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37659">
      <w:pPr>
        <w:spacing w:line="360" w:lineRule="auto"/>
        <w:jc w:val="right"/>
        <w:rPr>
          <w:rFonts w:ascii="仿宋" w:hAnsi="仿宋" w:eastAsia="仿宋" w:cs="仿宋"/>
          <w:color w:val="auto"/>
          <w:spacing w:val="-3"/>
          <w:sz w:val="64"/>
          <w:highlight w:val="none"/>
        </w:rPr>
      </w:pPr>
    </w:p>
    <w:p w14:paraId="0985BD75">
      <w:pPr>
        <w:pStyle w:val="13"/>
        <w:ind w:firstLine="880"/>
        <w:rPr>
          <w:rFonts w:ascii="仿宋" w:hAnsi="仿宋" w:eastAsia="仿宋" w:cs="仿宋"/>
          <w:color w:val="auto"/>
          <w:highlight w:val="none"/>
        </w:rPr>
      </w:pPr>
    </w:p>
    <w:p w14:paraId="0E17C4F0">
      <w:pPr>
        <w:spacing w:line="360" w:lineRule="auto"/>
        <w:jc w:val="center"/>
        <w:rPr>
          <w:rFonts w:ascii="仿宋" w:hAnsi="仿宋" w:eastAsia="仿宋" w:cs="仿宋"/>
          <w:b/>
          <w:bCs/>
          <w:color w:val="auto"/>
          <w:sz w:val="64"/>
          <w:highlight w:val="none"/>
        </w:rPr>
      </w:pPr>
      <w:r>
        <w:rPr>
          <w:rFonts w:hint="eastAsia" w:ascii="仿宋" w:hAnsi="仿宋" w:eastAsia="仿宋" w:cs="仿宋"/>
          <w:b/>
          <w:bCs/>
          <w:color w:val="auto"/>
          <w:spacing w:val="-3"/>
          <w:sz w:val="72"/>
          <w:szCs w:val="72"/>
          <w:highlight w:val="none"/>
        </w:rPr>
        <w:t>竞争性磋商文件</w:t>
      </w:r>
    </w:p>
    <w:p w14:paraId="261605B0">
      <w:pPr>
        <w:spacing w:line="720" w:lineRule="auto"/>
        <w:rPr>
          <w:rFonts w:ascii="仿宋" w:hAnsi="仿宋" w:eastAsia="仿宋" w:cs="仿宋"/>
          <w:bCs/>
          <w:color w:val="auto"/>
          <w:sz w:val="32"/>
          <w:szCs w:val="32"/>
          <w:highlight w:val="none"/>
          <w:lang w:val="zh-CN"/>
        </w:rPr>
      </w:pPr>
    </w:p>
    <w:p w14:paraId="0741CECF">
      <w:pPr>
        <w:tabs>
          <w:tab w:val="left" w:pos="6634"/>
        </w:tabs>
        <w:spacing w:line="480" w:lineRule="auto"/>
        <w:rPr>
          <w:rFonts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zh-CN"/>
        </w:rPr>
        <w:t>项目编号：</w:t>
      </w:r>
      <w:bookmarkStart w:id="0" w:name="_Hlk103347451"/>
      <w:r>
        <w:rPr>
          <w:rFonts w:hint="eastAsia" w:ascii="仿宋" w:hAnsi="仿宋" w:eastAsia="仿宋" w:cs="仿宋"/>
          <w:color w:val="auto"/>
          <w:sz w:val="32"/>
          <w:szCs w:val="32"/>
          <w:highlight w:val="none"/>
        </w:rPr>
        <w:t>NJXN-24077-FW</w:t>
      </w:r>
    </w:p>
    <w:p w14:paraId="5069CF5A">
      <w:pPr>
        <w:tabs>
          <w:tab w:val="left" w:pos="6634"/>
        </w:tabs>
        <w:spacing w:line="480" w:lineRule="auto"/>
        <w:ind w:left="1600" w:hanging="1600" w:hangingChars="5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bookmarkEnd w:id="0"/>
      <w:r>
        <w:rPr>
          <w:rFonts w:hint="eastAsia" w:ascii="仿宋" w:hAnsi="仿宋" w:eastAsia="仿宋" w:cs="仿宋"/>
          <w:color w:val="auto"/>
          <w:sz w:val="32"/>
          <w:szCs w:val="32"/>
          <w:highlight w:val="none"/>
        </w:rPr>
        <w:t xml:space="preserve">南京市雨花台区妇幼保健所2025年外送检验服务项目  </w:t>
      </w:r>
    </w:p>
    <w:p w14:paraId="411EB17F">
      <w:pPr>
        <w:tabs>
          <w:tab w:val="left" w:pos="6634"/>
        </w:tabs>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 购 人：南京市雨花台区妇幼保健所</w:t>
      </w:r>
    </w:p>
    <w:p w14:paraId="1688A237">
      <w:pPr>
        <w:tabs>
          <w:tab w:val="left" w:pos="6634"/>
        </w:tabs>
        <w:spacing w:line="480" w:lineRule="auto"/>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采购类别：服务类</w:t>
      </w:r>
      <w:r>
        <w:rPr>
          <w:rFonts w:hint="eastAsia" w:ascii="仿宋" w:hAnsi="仿宋" w:eastAsia="仿宋" w:cs="仿宋"/>
          <w:color w:val="auto"/>
          <w:sz w:val="32"/>
          <w:szCs w:val="32"/>
          <w:highlight w:val="none"/>
        </w:rPr>
        <w:tab/>
      </w:r>
      <w:bookmarkStart w:id="1" w:name="江苏省华厦工程项目管理有限公司"/>
      <w:bookmarkEnd w:id="1"/>
    </w:p>
    <w:p w14:paraId="35E2CCFC">
      <w:pPr>
        <w:spacing w:line="360" w:lineRule="auto"/>
        <w:jc w:val="center"/>
        <w:rPr>
          <w:rFonts w:ascii="仿宋" w:hAnsi="仿宋" w:eastAsia="仿宋" w:cs="仿宋"/>
          <w:color w:val="auto"/>
          <w:sz w:val="44"/>
          <w:szCs w:val="44"/>
          <w:highlight w:val="none"/>
        </w:rPr>
      </w:pPr>
    </w:p>
    <w:p w14:paraId="5AC5E1D5">
      <w:pPr>
        <w:rPr>
          <w:rFonts w:ascii="仿宋" w:hAnsi="仿宋" w:eastAsia="仿宋" w:cs="仿宋"/>
          <w:color w:val="auto"/>
          <w:highlight w:val="none"/>
        </w:rPr>
      </w:pPr>
    </w:p>
    <w:p w14:paraId="1D58ED6B">
      <w:pPr>
        <w:spacing w:line="360" w:lineRule="auto"/>
        <w:jc w:val="center"/>
        <w:rPr>
          <w:rFonts w:ascii="仿宋" w:hAnsi="仿宋" w:eastAsia="仿宋" w:cs="仿宋"/>
          <w:color w:val="auto"/>
          <w:sz w:val="44"/>
          <w:szCs w:val="44"/>
          <w:highlight w:val="none"/>
        </w:rPr>
      </w:pPr>
    </w:p>
    <w:p w14:paraId="638DD6B6">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南京信诺工程造价咨询有限责任公司</w:t>
      </w:r>
    </w:p>
    <w:p w14:paraId="09D9A59F">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二○二四年十二月</w:t>
      </w:r>
    </w:p>
    <w:p w14:paraId="479B83A4">
      <w:pPr>
        <w:rPr>
          <w:rFonts w:ascii="仿宋" w:hAnsi="仿宋" w:eastAsia="仿宋" w:cs="仿宋"/>
          <w:color w:val="auto"/>
          <w:highlight w:val="none"/>
        </w:rPr>
      </w:pPr>
      <w:r>
        <w:rPr>
          <w:rFonts w:hint="eastAsia" w:ascii="仿宋" w:hAnsi="仿宋" w:eastAsia="仿宋" w:cs="仿宋"/>
          <w:b/>
          <w:bCs/>
          <w:color w:val="auto"/>
          <w:sz w:val="28"/>
          <w:szCs w:val="32"/>
          <w:highlight w:val="none"/>
        </w:rPr>
        <w:br w:type="page"/>
      </w:r>
    </w:p>
    <w:sdt>
      <w:sdtPr>
        <w:rPr>
          <w:rFonts w:hint="eastAsia" w:ascii="仿宋" w:hAnsi="仿宋" w:eastAsia="仿宋" w:cs="仿宋"/>
          <w:b/>
          <w:bCs/>
          <w:color w:val="auto"/>
          <w:highlight w:val="none"/>
        </w:rPr>
        <w:id w:val="147479102"/>
        <w:docPartObj>
          <w:docPartGallery w:val="Table of Contents"/>
          <w:docPartUnique/>
        </w:docPartObj>
      </w:sdtPr>
      <w:sdtEndPr>
        <w:rPr>
          <w:rFonts w:hint="eastAsia" w:ascii="仿宋" w:hAnsi="仿宋" w:eastAsia="仿宋" w:cs="仿宋"/>
          <w:b/>
          <w:bCs/>
          <w:color w:val="auto"/>
          <w:sz w:val="32"/>
          <w:szCs w:val="32"/>
          <w:highlight w:val="none"/>
        </w:rPr>
      </w:sdtEndPr>
      <w:sdtContent>
        <w:p w14:paraId="35F3B42E">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644834E4">
          <w:pPr>
            <w:pStyle w:val="21"/>
            <w:tabs>
              <w:tab w:val="right" w:leader="dot" w:pos="8392"/>
            </w:tabs>
            <w:spacing w:before="0" w:line="360" w:lineRule="auto"/>
            <w:ind w:left="0"/>
            <w:rPr>
              <w:rFonts w:ascii="仿宋" w:hAnsi="仿宋" w:eastAsia="仿宋" w:cs="仿宋"/>
              <w:b w:val="0"/>
              <w:color w:val="auto"/>
              <w:highlight w:val="none"/>
            </w:rPr>
          </w:pPr>
          <w:r>
            <w:rPr>
              <w:rFonts w:hint="eastAsia" w:ascii="仿宋" w:hAnsi="仿宋" w:eastAsia="仿宋" w:cs="仿宋"/>
              <w:b w:val="0"/>
              <w:bCs w:val="0"/>
              <w:color w:val="auto"/>
              <w:sz w:val="28"/>
              <w:szCs w:val="28"/>
              <w:highlight w:val="none"/>
            </w:rPr>
            <w:fldChar w:fldCharType="begin"/>
          </w:r>
          <w:r>
            <w:rPr>
              <w:rFonts w:hint="eastAsia" w:ascii="仿宋" w:hAnsi="仿宋" w:eastAsia="仿宋" w:cs="仿宋"/>
              <w:b w:val="0"/>
              <w:bCs w:val="0"/>
              <w:color w:val="auto"/>
              <w:sz w:val="28"/>
              <w:szCs w:val="28"/>
              <w:highlight w:val="none"/>
            </w:rPr>
            <w:instrText xml:space="preserve">TOC \o "1-1" \h \u </w:instrText>
          </w:r>
          <w:r>
            <w:rPr>
              <w:rFonts w:hint="eastAsia" w:ascii="仿宋" w:hAnsi="仿宋" w:eastAsia="仿宋" w:cs="仿宋"/>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"_Toc25985" </w:instrText>
          </w:r>
          <w:r>
            <w:rPr>
              <w:color w:val="auto"/>
              <w:highlight w:val="none"/>
            </w:rPr>
            <w:fldChar w:fldCharType="separate"/>
          </w:r>
          <w:r>
            <w:rPr>
              <w:rFonts w:hint="eastAsia" w:ascii="仿宋" w:hAnsi="仿宋" w:eastAsia="仿宋" w:cs="仿宋"/>
              <w:b w:val="0"/>
              <w:color w:val="auto"/>
              <w:szCs w:val="32"/>
              <w:highlight w:val="none"/>
            </w:rPr>
            <w:t>第一章  竞争性磋商公告</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_Toc25985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3</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3E8AFF52">
          <w:pPr>
            <w:pStyle w:val="21"/>
            <w:tabs>
              <w:tab w:val="right" w:leader="dot" w:pos="8392"/>
            </w:tabs>
            <w:spacing w:before="0" w:line="360" w:lineRule="auto"/>
            <w:ind w:left="0"/>
            <w:rPr>
              <w:rFonts w:ascii="仿宋" w:hAnsi="仿宋" w:eastAsia="仿宋" w:cs="仿宋"/>
              <w:b w:val="0"/>
              <w:color w:val="auto"/>
              <w:highlight w:val="none"/>
            </w:rPr>
          </w:pPr>
          <w:r>
            <w:rPr>
              <w:color w:val="auto"/>
              <w:highlight w:val="none"/>
            </w:rPr>
            <w:fldChar w:fldCharType="begin"/>
          </w:r>
          <w:r>
            <w:rPr>
              <w:color w:val="auto"/>
              <w:highlight w:val="none"/>
            </w:rPr>
            <w:instrText xml:space="preserve"> HYPERLINK \l "_Toc32216" </w:instrText>
          </w:r>
          <w:r>
            <w:rPr>
              <w:color w:val="auto"/>
              <w:highlight w:val="none"/>
            </w:rPr>
            <w:fldChar w:fldCharType="separate"/>
          </w:r>
          <w:r>
            <w:rPr>
              <w:rFonts w:hint="eastAsia" w:ascii="仿宋" w:hAnsi="仿宋" w:eastAsia="仿宋" w:cs="仿宋"/>
              <w:b w:val="0"/>
              <w:color w:val="auto"/>
              <w:szCs w:val="32"/>
              <w:highlight w:val="none"/>
            </w:rPr>
            <w:t>第二章  供应商须知</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_Toc32216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8</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4F15BBDC">
          <w:pPr>
            <w:pStyle w:val="21"/>
            <w:tabs>
              <w:tab w:val="right" w:leader="dot" w:pos="8392"/>
            </w:tabs>
            <w:spacing w:before="0" w:line="360" w:lineRule="auto"/>
            <w:ind w:left="0"/>
            <w:rPr>
              <w:rFonts w:ascii="仿宋" w:hAnsi="仿宋" w:eastAsia="仿宋" w:cs="仿宋"/>
              <w:b w:val="0"/>
              <w:color w:val="auto"/>
              <w:highlight w:val="none"/>
            </w:rPr>
          </w:pPr>
          <w:r>
            <w:rPr>
              <w:color w:val="auto"/>
              <w:highlight w:val="none"/>
            </w:rPr>
            <w:fldChar w:fldCharType="begin"/>
          </w:r>
          <w:r>
            <w:rPr>
              <w:color w:val="auto"/>
              <w:highlight w:val="none"/>
            </w:rPr>
            <w:instrText xml:space="preserve"> HYPERLINK \l "_Toc7888" </w:instrText>
          </w:r>
          <w:r>
            <w:rPr>
              <w:color w:val="auto"/>
              <w:highlight w:val="none"/>
            </w:rPr>
            <w:fldChar w:fldCharType="separate"/>
          </w:r>
          <w:r>
            <w:rPr>
              <w:rFonts w:hint="eastAsia" w:ascii="仿宋" w:hAnsi="仿宋" w:eastAsia="仿宋" w:cs="仿宋"/>
              <w:b w:val="0"/>
              <w:color w:val="auto"/>
              <w:szCs w:val="32"/>
              <w:highlight w:val="none"/>
            </w:rPr>
            <w:t>第三章  评审办法及标准</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_Toc7888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24</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573251FC">
          <w:pPr>
            <w:pStyle w:val="21"/>
            <w:tabs>
              <w:tab w:val="right" w:leader="dot" w:pos="8392"/>
            </w:tabs>
            <w:spacing w:before="0" w:line="360" w:lineRule="auto"/>
            <w:ind w:left="0"/>
            <w:rPr>
              <w:rFonts w:ascii="仿宋" w:hAnsi="仿宋" w:eastAsia="仿宋" w:cs="仿宋"/>
              <w:b w:val="0"/>
              <w:color w:val="auto"/>
              <w:highlight w:val="none"/>
            </w:rPr>
          </w:pPr>
          <w:r>
            <w:rPr>
              <w:color w:val="auto"/>
              <w:highlight w:val="none"/>
            </w:rPr>
            <w:fldChar w:fldCharType="begin"/>
          </w:r>
          <w:r>
            <w:rPr>
              <w:color w:val="auto"/>
              <w:highlight w:val="none"/>
            </w:rPr>
            <w:instrText xml:space="preserve"> HYPERLINK \l "_Toc22174" </w:instrText>
          </w:r>
          <w:r>
            <w:rPr>
              <w:color w:val="auto"/>
              <w:highlight w:val="none"/>
            </w:rPr>
            <w:fldChar w:fldCharType="separate"/>
          </w:r>
          <w:r>
            <w:rPr>
              <w:rFonts w:hint="eastAsia" w:ascii="仿宋" w:hAnsi="仿宋" w:eastAsia="仿宋" w:cs="仿宋"/>
              <w:b w:val="0"/>
              <w:color w:val="auto"/>
              <w:szCs w:val="32"/>
              <w:highlight w:val="none"/>
            </w:rPr>
            <w:t>第四章  竞争性磋商项目需求</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_Toc22174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24</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6C7DBA0D">
          <w:pPr>
            <w:pStyle w:val="21"/>
            <w:tabs>
              <w:tab w:val="right" w:leader="dot" w:pos="8392"/>
            </w:tabs>
            <w:spacing w:before="0" w:line="360" w:lineRule="auto"/>
            <w:ind w:left="0"/>
            <w:rPr>
              <w:rFonts w:ascii="仿宋" w:hAnsi="仿宋" w:eastAsia="仿宋" w:cs="仿宋"/>
              <w:b w:val="0"/>
              <w:color w:val="auto"/>
              <w:highlight w:val="none"/>
            </w:rPr>
          </w:pPr>
          <w:r>
            <w:rPr>
              <w:color w:val="auto"/>
              <w:highlight w:val="none"/>
            </w:rPr>
            <w:fldChar w:fldCharType="begin"/>
          </w:r>
          <w:r>
            <w:rPr>
              <w:color w:val="auto"/>
              <w:highlight w:val="none"/>
            </w:rPr>
            <w:instrText xml:space="preserve"> HYPERLINK \l "_Toc5380" </w:instrText>
          </w:r>
          <w:r>
            <w:rPr>
              <w:color w:val="auto"/>
              <w:highlight w:val="none"/>
            </w:rPr>
            <w:fldChar w:fldCharType="separate"/>
          </w:r>
          <w:r>
            <w:rPr>
              <w:rFonts w:hint="eastAsia" w:ascii="仿宋" w:hAnsi="仿宋" w:eastAsia="仿宋" w:cs="仿宋"/>
              <w:b w:val="0"/>
              <w:color w:val="auto"/>
              <w:szCs w:val="32"/>
              <w:highlight w:val="none"/>
            </w:rPr>
            <w:t>第五章  合同草案条款及格式</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_Toc5380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28</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787FC089">
          <w:pPr>
            <w:pStyle w:val="21"/>
            <w:tabs>
              <w:tab w:val="right" w:leader="dot" w:pos="8392"/>
            </w:tabs>
            <w:spacing w:before="0" w:line="360" w:lineRule="auto"/>
            <w:ind w:left="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"_Toc18062" </w:instrText>
          </w:r>
          <w:r>
            <w:rPr>
              <w:color w:val="auto"/>
              <w:highlight w:val="none"/>
            </w:rPr>
            <w:fldChar w:fldCharType="separate"/>
          </w:r>
          <w:r>
            <w:rPr>
              <w:rFonts w:hint="eastAsia" w:ascii="仿宋" w:hAnsi="仿宋" w:eastAsia="仿宋" w:cs="仿宋"/>
              <w:b w:val="0"/>
              <w:color w:val="auto"/>
              <w:szCs w:val="32"/>
              <w:highlight w:val="none"/>
            </w:rPr>
            <w:t>第六章  响应文件格式</w:t>
          </w:r>
          <w:r>
            <w:rPr>
              <w:rFonts w:hint="eastAsia" w:ascii="仿宋" w:hAnsi="仿宋" w:eastAsia="仿宋" w:cs="仿宋"/>
              <w:b w:val="0"/>
              <w:color w:val="auto"/>
              <w:highlight w:val="none"/>
            </w:rPr>
            <w:tab/>
          </w: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PAGEREF _Toc18062 \h </w:instrText>
          </w:r>
          <w:r>
            <w:rPr>
              <w:rFonts w:hint="eastAsia" w:ascii="仿宋" w:hAnsi="仿宋" w:eastAsia="仿宋" w:cs="仿宋"/>
              <w:b w:val="0"/>
              <w:color w:val="auto"/>
              <w:highlight w:val="none"/>
            </w:rPr>
            <w:fldChar w:fldCharType="separate"/>
          </w:r>
          <w:r>
            <w:rPr>
              <w:rFonts w:hint="eastAsia" w:ascii="仿宋" w:hAnsi="仿宋" w:eastAsia="仿宋" w:cs="仿宋"/>
              <w:b w:val="0"/>
              <w:color w:val="auto"/>
              <w:highlight w:val="none"/>
            </w:rPr>
            <w:t>31</w:t>
          </w:r>
          <w:r>
            <w:rPr>
              <w:rFonts w:hint="eastAsia" w:ascii="仿宋" w:hAnsi="仿宋" w:eastAsia="仿宋" w:cs="仿宋"/>
              <w:b w:val="0"/>
              <w:color w:val="auto"/>
              <w:highlight w:val="none"/>
            </w:rPr>
            <w:fldChar w:fldCharType="end"/>
          </w:r>
          <w:r>
            <w:rPr>
              <w:rFonts w:hint="eastAsia" w:ascii="仿宋" w:hAnsi="仿宋" w:eastAsia="仿宋" w:cs="仿宋"/>
              <w:b w:val="0"/>
              <w:color w:val="auto"/>
              <w:highlight w:val="none"/>
            </w:rPr>
            <w:fldChar w:fldCharType="end"/>
          </w:r>
        </w:p>
        <w:p w14:paraId="3A0D7ACF">
          <w:pPr>
            <w:spacing w:line="480" w:lineRule="auto"/>
            <w:rPr>
              <w:rFonts w:ascii="仿宋" w:hAnsi="仿宋" w:eastAsia="仿宋" w:cs="仿宋"/>
              <w:color w:val="auto"/>
              <w:highlight w:val="none"/>
            </w:rPr>
          </w:pPr>
          <w:r>
            <w:rPr>
              <w:rFonts w:hint="eastAsia" w:ascii="仿宋" w:hAnsi="仿宋" w:eastAsia="仿宋" w:cs="仿宋"/>
              <w:color w:val="auto"/>
              <w:szCs w:val="28"/>
              <w:highlight w:val="none"/>
            </w:rPr>
            <w:fldChar w:fldCharType="end"/>
          </w:r>
        </w:p>
      </w:sdtContent>
    </w:sdt>
    <w:p w14:paraId="32A6B5C4">
      <w:pPr>
        <w:spacing w:line="360" w:lineRule="auto"/>
        <w:jc w:val="center"/>
        <w:outlineLvl w:val="0"/>
        <w:rPr>
          <w:rFonts w:ascii="仿宋" w:hAnsi="仿宋" w:eastAsia="仿宋" w:cs="仿宋"/>
          <w:b/>
          <w:bCs/>
          <w:color w:val="auto"/>
          <w:sz w:val="28"/>
          <w:szCs w:val="32"/>
          <w:highlight w:val="none"/>
        </w:rPr>
        <w:sectPr>
          <w:endnotePr>
            <w:numFmt w:val="decimal"/>
          </w:endnotePr>
          <w:pgSz w:w="11906" w:h="16838"/>
          <w:pgMar w:top="1417" w:right="1757" w:bottom="1417" w:left="1757" w:header="850" w:footer="1020" w:gutter="0"/>
          <w:cols w:space="720" w:num="1"/>
          <w:docGrid w:linePitch="286" w:charSpace="0"/>
        </w:sectPr>
      </w:pPr>
      <w:bookmarkStart w:id="2" w:name="_Toc25985"/>
      <w:bookmarkStart w:id="3" w:name="_Toc5870"/>
    </w:p>
    <w:p w14:paraId="35927CC6">
      <w:pPr>
        <w:spacing w:line="360" w:lineRule="auto"/>
        <w:jc w:val="center"/>
        <w:outlineLvl w:val="0"/>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第一章  竞争性磋商公告</w:t>
      </w:r>
      <w:bookmarkEnd w:id="2"/>
      <w:bookmarkEnd w:id="3"/>
    </w:p>
    <w:p w14:paraId="5644B0E9">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lang w:val="zh-CN"/>
        </w:rPr>
        <w:t>南京市雨花台区妇幼保健所2025年外送检验服务项目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南京市江北新区浦滨路150号中科创新广场23栋8楼</w:t>
      </w:r>
      <w:r>
        <w:rPr>
          <w:rFonts w:hint="eastAsia" w:ascii="仿宋" w:hAnsi="仿宋" w:eastAsia="仿宋" w:cs="仿宋"/>
          <w:color w:val="auto"/>
          <w:sz w:val="24"/>
          <w:szCs w:val="24"/>
          <w:highlight w:val="none"/>
        </w:rPr>
        <w:t>获取采购文件，并于</w:t>
      </w:r>
      <w:r>
        <w:rPr>
          <w:rFonts w:hint="eastAsia" w:ascii="仿宋" w:hAnsi="仿宋" w:eastAsia="仿宋" w:cs="仿宋"/>
          <w:b/>
          <w:bCs/>
          <w:color w:val="auto"/>
          <w:sz w:val="24"/>
          <w:szCs w:val="24"/>
          <w:highlight w:val="none"/>
          <w:u w:val="single"/>
        </w:rPr>
        <w:t>2024年12月</w:t>
      </w:r>
      <w:r>
        <w:rPr>
          <w:rFonts w:hint="eastAsia" w:ascii="仿宋" w:hAnsi="仿宋" w:eastAsia="仿宋" w:cs="仿宋"/>
          <w:b/>
          <w:bCs/>
          <w:color w:val="auto"/>
          <w:sz w:val="24"/>
          <w:szCs w:val="24"/>
          <w:highlight w:val="none"/>
          <w:u w:val="single"/>
          <w:lang w:val="en-US" w:eastAsia="zh-CN"/>
        </w:rPr>
        <w:t>31</w:t>
      </w:r>
      <w:r>
        <w:rPr>
          <w:rFonts w:hint="eastAsia" w:ascii="仿宋" w:hAnsi="仿宋" w:eastAsia="仿宋" w:cs="仿宋"/>
          <w:b/>
          <w:bCs/>
          <w:color w:val="auto"/>
          <w:sz w:val="24"/>
          <w:szCs w:val="24"/>
          <w:highlight w:val="none"/>
          <w:u w:val="single"/>
        </w:rPr>
        <w:t>日</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rPr>
        <w:t>点</w:t>
      </w:r>
      <w:r>
        <w:rPr>
          <w:rFonts w:hint="eastAsia" w:ascii="仿宋" w:hAnsi="仿宋" w:eastAsia="仿宋" w:cs="仿宋"/>
          <w:b/>
          <w:bCs/>
          <w:color w:val="auto"/>
          <w:sz w:val="24"/>
          <w:szCs w:val="24"/>
          <w:highlight w:val="none"/>
          <w:u w:val="single"/>
          <w:lang w:val="en-US" w:eastAsia="zh-CN"/>
        </w:rPr>
        <w:t>00</w:t>
      </w:r>
      <w:r>
        <w:rPr>
          <w:rFonts w:hint="eastAsia" w:ascii="仿宋" w:hAnsi="仿宋" w:eastAsia="仿宋" w:cs="仿宋"/>
          <w:b/>
          <w:bCs/>
          <w:color w:val="auto"/>
          <w:sz w:val="24"/>
          <w:szCs w:val="24"/>
          <w:highlight w:val="none"/>
          <w:u w:val="single"/>
        </w:rPr>
        <w:t>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14:paraId="1BCC413C">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36441034">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1.项目编号：</w:t>
      </w:r>
      <w:r>
        <w:rPr>
          <w:rFonts w:hint="eastAsia" w:ascii="仿宋" w:hAnsi="仿宋" w:eastAsia="仿宋" w:cs="仿宋"/>
          <w:color w:val="auto"/>
          <w:sz w:val="24"/>
          <w:szCs w:val="24"/>
          <w:highlight w:val="none"/>
        </w:rPr>
        <w:t>NJXN-24077-FW</w:t>
      </w:r>
    </w:p>
    <w:p w14:paraId="26DCDDF9">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2.项目名称：</w:t>
      </w:r>
      <w:r>
        <w:rPr>
          <w:rFonts w:hint="eastAsia" w:ascii="仿宋" w:hAnsi="仿宋" w:eastAsia="仿宋" w:cs="仿宋"/>
          <w:color w:val="auto"/>
          <w:sz w:val="24"/>
          <w:szCs w:val="24"/>
          <w:highlight w:val="none"/>
        </w:rPr>
        <w:t>南京市雨花台区妇幼保健所2025年外送检验服务项目</w:t>
      </w:r>
    </w:p>
    <w:p w14:paraId="083353CE">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3.项目所属行业</w:t>
      </w:r>
      <w:r>
        <w:rPr>
          <w:rFonts w:hint="eastAsia" w:ascii="仿宋" w:hAnsi="仿宋" w:eastAsia="仿宋" w:cs="仿宋"/>
          <w:color w:val="auto"/>
          <w:sz w:val="24"/>
          <w:szCs w:val="24"/>
          <w:highlight w:val="none"/>
        </w:rPr>
        <w:t>：根据《关于印发中小企业划型标准规定的通知》（工信部联企业〔2011〕300号）及《国家统计局关于印发&lt;统计上大中小微型企业划分办法（2017）&gt;的通知》（国统字〔2017〕213号）等文件规定，本项目所属行业为其他未列明行业。</w:t>
      </w:r>
    </w:p>
    <w:p w14:paraId="6AC77300">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4.采购方式：</w:t>
      </w:r>
      <w:r>
        <w:rPr>
          <w:rFonts w:hint="eastAsia" w:ascii="仿宋" w:hAnsi="仿宋" w:eastAsia="仿宋" w:cs="仿宋"/>
          <w:color w:val="auto"/>
          <w:sz w:val="24"/>
          <w:szCs w:val="24"/>
          <w:highlight w:val="none"/>
        </w:rPr>
        <w:t>竞争性磋商。</w:t>
      </w:r>
    </w:p>
    <w:p w14:paraId="09ADCE98">
      <w:pPr>
        <w:tabs>
          <w:tab w:val="left" w:pos="4830"/>
        </w:tabs>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5.项目预算：</w:t>
      </w:r>
      <w:r>
        <w:rPr>
          <w:rFonts w:hint="eastAsia" w:ascii="仿宋" w:hAnsi="仿宋" w:eastAsia="仿宋" w:cs="仿宋"/>
          <w:color w:val="auto"/>
          <w:sz w:val="24"/>
          <w:szCs w:val="24"/>
          <w:highlight w:val="none"/>
        </w:rPr>
        <w:t>人民币12.0万元。</w:t>
      </w:r>
    </w:p>
    <w:p w14:paraId="6D1125FB">
      <w:pPr>
        <w:tabs>
          <w:tab w:val="left" w:pos="4830"/>
        </w:tabs>
        <w:spacing w:line="360" w:lineRule="auto"/>
        <w:rPr>
          <w:rFonts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6.最高限价：</w:t>
      </w:r>
      <w:r>
        <w:rPr>
          <w:rFonts w:hint="eastAsia" w:ascii="仿宋" w:hAnsi="仿宋" w:eastAsia="仿宋" w:cs="仿宋"/>
          <w:color w:val="auto"/>
          <w:sz w:val="24"/>
          <w:szCs w:val="24"/>
          <w:highlight w:val="none"/>
        </w:rPr>
        <w:t>门诊检验：结算价格不超过采购人实际收费的40%；体检检验（即贴体检条码者）：妇科HPV全套及TCT检测结算价格不超过采购人实际收费的1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w:t>
      </w:r>
    </w:p>
    <w:p w14:paraId="5CE6C8F7">
      <w:pPr>
        <w:pStyle w:val="37"/>
        <w:shd w:val="clear" w:color="auto" w:fill="FFFFFF"/>
        <w:spacing w:line="360" w:lineRule="auto"/>
        <w:ind w:firstLine="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7.采购需求：</w:t>
      </w:r>
      <w:r>
        <w:rPr>
          <w:rFonts w:hint="eastAsia" w:ascii="仿宋" w:hAnsi="仿宋" w:eastAsia="仿宋" w:cs="仿宋"/>
          <w:color w:val="auto"/>
          <w:sz w:val="24"/>
          <w:szCs w:val="24"/>
          <w:highlight w:val="none"/>
        </w:rPr>
        <w:t>本项目南京市雨花台区妇幼保健所2025年外送检验服务项目，具体要求详见竞争性磋商文件第四章。</w:t>
      </w:r>
    </w:p>
    <w:p w14:paraId="1F705037">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8.合同履行期限：</w:t>
      </w:r>
      <w:r>
        <w:rPr>
          <w:rFonts w:hint="eastAsia" w:ascii="仿宋" w:hAnsi="仿宋" w:eastAsia="仿宋" w:cs="仿宋"/>
          <w:color w:val="auto"/>
          <w:sz w:val="24"/>
          <w:szCs w:val="24"/>
          <w:highlight w:val="none"/>
        </w:rPr>
        <w:t>2025年1月1日至2025年12月31日。</w:t>
      </w:r>
    </w:p>
    <w:p w14:paraId="645D4CE7">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9.本项目（是/否）接受联合体：</w:t>
      </w:r>
      <w:r>
        <w:rPr>
          <w:rFonts w:hint="eastAsia" w:ascii="仿宋" w:hAnsi="仿宋" w:eastAsia="仿宋" w:cs="仿宋"/>
          <w:color w:val="auto"/>
          <w:sz w:val="24"/>
          <w:szCs w:val="24"/>
          <w:highlight w:val="none"/>
        </w:rPr>
        <w:t>否</w:t>
      </w:r>
    </w:p>
    <w:p w14:paraId="6E787A4C">
      <w:pPr>
        <w:pStyle w:val="39"/>
        <w:spacing w:line="360" w:lineRule="auto"/>
        <w:ind w:firstLine="0" w:firstLineChars="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10.本项目是否接受进口产品：</w:t>
      </w:r>
      <w:r>
        <w:rPr>
          <w:rFonts w:hint="eastAsia" w:ascii="仿宋" w:hAnsi="仿宋" w:eastAsia="仿宋" w:cs="仿宋"/>
          <w:color w:val="auto"/>
          <w:sz w:val="24"/>
          <w:szCs w:val="24"/>
          <w:highlight w:val="none"/>
          <w:lang w:val="en-US"/>
        </w:rPr>
        <w:t>否</w:t>
      </w:r>
    </w:p>
    <w:p w14:paraId="7A19B02B">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14:paraId="1C59929A">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1.满足《中华人民共和国政府采购法》第二十二条规定</w:t>
      </w:r>
      <w:r>
        <w:rPr>
          <w:rFonts w:hint="eastAsia" w:ascii="仿宋" w:hAnsi="仿宋" w:eastAsia="仿宋" w:cs="仿宋"/>
          <w:color w:val="auto"/>
          <w:sz w:val="24"/>
          <w:szCs w:val="24"/>
          <w:highlight w:val="none"/>
        </w:rPr>
        <w:t>：</w:t>
      </w:r>
    </w:p>
    <w:p w14:paraId="77A53C4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（1）具有独立承担民事责任的能力（提供法人或者其他组织的营业执照，自然人的身份证，复印件加盖公章）；</w:t>
      </w:r>
    </w:p>
    <w:p w14:paraId="64E879C4">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（2）具有良好的商业信誉和健全的财务会计制度（提供参加本次政府采购活动前经审计的财务报告或银行出具的资信证明或其他会计报表等，成立不满一个月不需提供）；</w:t>
      </w:r>
    </w:p>
    <w:p w14:paraId="4C3CB75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（3）具有履行合同所必需的设备和专业技术能力（根据项目需求提供履行合同所必需的设备和专业技术能力的证明材料或声明函，复印件加盖公章）；</w:t>
      </w:r>
    </w:p>
    <w:p w14:paraId="6D60B89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（4）有依法缴纳税收和社会保障资金的良好记录（提供参加本次政府采购活动前半年内（至少一个月）依法缴纳税收和社会保障资金的相关资料，复印件加盖公章）；</w:t>
      </w:r>
    </w:p>
    <w:p w14:paraId="04CBCF6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（5）参加政府采购活动前三年内，在经营活动中没有重大违法记录（提供参加本次政府采购活动前三年内在经营活动中没有重大违法记录的书面声明材料）；</w:t>
      </w:r>
    </w:p>
    <w:p w14:paraId="0BD17D4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政府采购活动中推行信用承诺制的通知》（宁财购通〔2021〕5号）的规定，以上涉及的证明材料，供应商可以在投标文件中一次性提交，也可以在投标文件中提供满足相应条件的书面承诺书（详见投标文件附件），不再需要提供上述涉及的证明材料。</w:t>
      </w:r>
    </w:p>
    <w:p w14:paraId="386FDBA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投标文件中仅提供信用承诺书而未提供涉及的证明材料的，须在中标后，另行提供上述由信用承诺书替代的证明材料，材料须加盖公章后提交采购代理机构核验。经核验无误后，由采购代理机构发出中标（成交）通知书。</w:t>
      </w:r>
    </w:p>
    <w:p w14:paraId="09528300">
      <w:pPr>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2.落实政府采购政策需满足的资格要求：</w:t>
      </w:r>
      <w:r>
        <w:rPr>
          <w:rFonts w:hint="eastAsia" w:ascii="仿宋" w:hAnsi="仿宋" w:eastAsia="仿宋" w:cs="仿宋"/>
          <w:color w:val="auto"/>
          <w:sz w:val="24"/>
          <w:szCs w:val="24"/>
          <w:highlight w:val="none"/>
        </w:rPr>
        <w:t>（如属于专门面向中小企业采购的项目，供应商应为中小微企业、监狱企业、残疾人福利单位）</w:t>
      </w:r>
    </w:p>
    <w:p w14:paraId="77807152">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本项目按照以下第（</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color w:val="auto"/>
          <w:sz w:val="24"/>
          <w:szCs w:val="24"/>
          <w:highlight w:val="none"/>
        </w:rPr>
        <w:t>）种方式落实政府采购促进中小企业发展的要求：</w:t>
      </w:r>
    </w:p>
    <w:p w14:paraId="2397B5C5">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（1）本项目整体专门面向中小企业采购服务。</w:t>
      </w:r>
    </w:p>
    <w:p w14:paraId="77146A37">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（2）本项目整体专门面向小微企业采购服务。</w:t>
      </w:r>
    </w:p>
    <w:p w14:paraId="0305B9A9">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（3）本项目通过以下第（）种方式预留部分采购份额采购中小企业服务：</w:t>
      </w:r>
    </w:p>
    <w:p w14:paraId="3CBCFB9F">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①本项目要求供应商以联合体形式参加，中小企业合同金额应当达到的比例为_%。</w:t>
      </w:r>
    </w:p>
    <w:p w14:paraId="5E66C5C2">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②本项目要求供应商进行合同分包，中小企业合同金额应当达到的比例为_%。</w:t>
      </w:r>
    </w:p>
    <w:p w14:paraId="514A9654">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（4）本项目为非预留份额的采购项目或采购包，执行价格扣除优惠政策，具体详见第三章评标办法与标准。</w:t>
      </w:r>
    </w:p>
    <w:p w14:paraId="25369F40">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3.本项目的特定资格要求：</w:t>
      </w:r>
    </w:p>
    <w:p w14:paraId="28D22A3E">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（1）投标人具有有效的《医疗机构执业许可证》（提供证书扫描件并加盖电子公章）。</w:t>
      </w:r>
    </w:p>
    <w:p w14:paraId="3554C19E">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（2）投标人实验室通过专业部门或临床检验中心资质验收。（提供证明材料扫描件并加盖电子公章）。</w:t>
      </w:r>
    </w:p>
    <w:p w14:paraId="54EECC66">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4.有下列情形之一的，不得参加本次采购活动：</w:t>
      </w:r>
    </w:p>
    <w:p w14:paraId="46FF883A">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w:t>
      </w:r>
    </w:p>
    <w:p w14:paraId="7BC56EA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（2）为本采购项目提供整体设计、规范编制或者项目管理、监理、检测等服务的供应商，不得再参加该采购项目的其他采购活动；</w:t>
      </w:r>
    </w:p>
    <w:p w14:paraId="2268ECA9">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（3）参加本次采购活动不同供应商的法定代表人或委托代理人有夫妻、直系血亲关系的；</w:t>
      </w:r>
    </w:p>
    <w:p w14:paraId="37E1F976">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（4）参加本次采购活动不同供应商的负责人为同一人，或不同供应商之间存在直接控股、管理关系的（包括工商登记联系邮箱相同）；</w:t>
      </w:r>
    </w:p>
    <w:p w14:paraId="24C44918">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5）供应商的授权代理人(或法定代表人、项目经理、项目总监、项目负责人等)在采购文件发布日上月至投标截止日当月在同一单位缴纳社会保险的；</w:t>
      </w:r>
    </w:p>
    <w:p w14:paraId="42C0624D">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）如本项目接收联合体投标，联合体成员存在不良信用记录的，视同联合体存在不良信用记录。</w:t>
      </w:r>
    </w:p>
    <w:p w14:paraId="3EF3F393">
      <w:pPr>
        <w:spacing w:line="360" w:lineRule="auto"/>
        <w:ind w:left="479" w:leftChars="228"/>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5.政府采购信用承诺</w:t>
      </w:r>
    </w:p>
    <w:p w14:paraId="685662A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要求完成注册），然后在“信用记录”模块页面点击“信用记录打印”下载本单位《南京市政府采购供应商信用记录表暨信用承诺书》，由法定代表人签字并盖单位公章。</w:t>
      </w:r>
    </w:p>
    <w:p w14:paraId="6BC361A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经法定代表人签名和单位盖章后作为响应文件的组成部分提交。“《南京市政府采购供应商信用记录表暨信用承诺书》”在线打印时间要求：必须是在采购文件发布之日起至提交响应文件截止时间前。</w:t>
      </w:r>
    </w:p>
    <w:p w14:paraId="09A72987">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4BFA8B05">
      <w:pPr>
        <w:autoSpaceDE w:val="0"/>
        <w:autoSpaceDN w:val="0"/>
        <w:adjustRightInd w:val="0"/>
        <w:snapToGrid w:val="0"/>
        <w:spacing w:line="360" w:lineRule="auto"/>
        <w:jc w:val="lef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1.时间：</w:t>
      </w:r>
      <w:r>
        <w:rPr>
          <w:rFonts w:hint="eastAsia" w:ascii="仿宋" w:hAnsi="仿宋" w:eastAsia="仿宋" w:cs="仿宋"/>
          <w:color w:val="auto"/>
          <w:sz w:val="24"/>
          <w:szCs w:val="24"/>
          <w:highlight w:val="none"/>
        </w:rPr>
        <w:t>2024年12月20日至2024年12月26日，每天上午9:00至11:30，下午14:00至17:00 （北京时间，法定节假日除外）</w:t>
      </w:r>
    </w:p>
    <w:p w14:paraId="77F696E9">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南京市江北新区浦滨路150号中科创新广场23栋8楼</w:t>
      </w:r>
    </w:p>
    <w:p w14:paraId="38EE4A5F">
      <w:pPr>
        <w:spacing w:line="360" w:lineRule="auto"/>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3.</w:t>
      </w:r>
      <w:r>
        <w:rPr>
          <w:rFonts w:hint="eastAsia" w:ascii="仿宋" w:hAnsi="仿宋" w:eastAsia="仿宋" w:cs="仿宋"/>
          <w:color w:val="auto"/>
          <w:sz w:val="24"/>
          <w:szCs w:val="24"/>
          <w:highlight w:val="none"/>
        </w:rPr>
        <w:t>具体方式：（1）现场获取【请潜在供应商携带营业执照复印件（加盖公章）、介绍信或授权委托书（加盖公章）、授权代表身份证复印件、供应商为其缴纳的近6个月内任意一个月的社保、中小企业声明函，审核通过后获取竞争性磋商文件】。（2）电子获取【请潜在供应商将营业执照复印件（加盖公章）、介绍信或授权委托书（加盖公章）、授权代表身份证复印件、供应商为其缴纳的近6个月内任意一个月的社保、中小企业声明函、转账截图（缴纳支付宝帐户：1689598161@qq.com南京信诺工程造价咨询有限责任公司（汇款时备注简要单位名称及项目名称）以上资料扫描件（PDF格式）发送至46484134@qq.com并与采购代理联系（联系电话：18251903810），审核通过后获取竞争性磋商文件】。</w:t>
      </w:r>
    </w:p>
    <w:p w14:paraId="65B6AB4A">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color w:val="auto"/>
          <w:sz w:val="24"/>
          <w:szCs w:val="24"/>
          <w:highlight w:val="none"/>
        </w:rPr>
        <w:t>标书工本费：100元人民币/套，售后不退</w:t>
      </w:r>
    </w:p>
    <w:p w14:paraId="157748E0">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四、响应文件提交</w:t>
      </w:r>
    </w:p>
    <w:p w14:paraId="6D25D31D">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1.线下递交纸质响应文件</w:t>
      </w:r>
    </w:p>
    <w:p w14:paraId="2256B18B">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提交纸质响应文件开始时间：2024年12月3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6B716CC3">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提交纸质响应文件截止时间：2024年12月3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14:paraId="6B865B86">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2.提交响应文件地点（不接受传真、邮寄）：</w:t>
      </w:r>
      <w:r>
        <w:rPr>
          <w:rFonts w:hint="eastAsia" w:ascii="仿宋" w:hAnsi="仿宋" w:eastAsia="仿宋" w:cs="仿宋"/>
          <w:color w:val="auto"/>
          <w:sz w:val="24"/>
          <w:szCs w:val="24"/>
          <w:highlight w:val="none"/>
        </w:rPr>
        <w:t>南京市江北新区浦滨路150号中科创新广场23栋8楼，逾期送达或者未按照竞争性磋商文件编制要求提交的响应文件将被拒收。</w:t>
      </w:r>
    </w:p>
    <w:p w14:paraId="20825F8B">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3.纸质响应文件一式叁份（正本 壹 份、副本 贰 份），电子版响应文件 壹 份（电子文本为可编辑的word版以及加盖公章的正本扫描件），</w:t>
      </w:r>
      <w:r>
        <w:rPr>
          <w:rFonts w:hint="eastAsia" w:ascii="仿宋" w:hAnsi="仿宋" w:eastAsia="仿宋" w:cs="仿宋"/>
          <w:bCs/>
          <w:color w:val="auto"/>
          <w:sz w:val="24"/>
          <w:szCs w:val="24"/>
          <w:highlight w:val="none"/>
        </w:rPr>
        <w:t>U盘</w:t>
      </w:r>
      <w:r>
        <w:rPr>
          <w:rFonts w:hint="eastAsia" w:ascii="仿宋" w:hAnsi="仿宋" w:eastAsia="仿宋" w:cs="仿宋"/>
          <w:color w:val="auto"/>
          <w:sz w:val="24"/>
          <w:szCs w:val="24"/>
          <w:highlight w:val="none"/>
        </w:rPr>
        <w:t>。当电子版文件和纸质正本文件不一致时，以纸质正本文件为准。电子版文件用于辅助评审和存档，供应商需承担前述不一致造成的不利后果。</w:t>
      </w:r>
    </w:p>
    <w:p w14:paraId="6E8B1EFF">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14:paraId="47418C5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b/>
          <w:bCs/>
          <w:color w:val="auto"/>
          <w:sz w:val="24"/>
          <w:szCs w:val="24"/>
          <w:highlight w:val="none"/>
        </w:rPr>
        <w:t>2024年12月</w:t>
      </w: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点</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分</w:t>
      </w:r>
      <w:r>
        <w:rPr>
          <w:rFonts w:hint="eastAsia" w:ascii="仿宋" w:hAnsi="仿宋" w:eastAsia="仿宋" w:cs="仿宋"/>
          <w:color w:val="auto"/>
          <w:sz w:val="24"/>
          <w:szCs w:val="24"/>
          <w:highlight w:val="none"/>
        </w:rPr>
        <w:t>（北京时间）</w:t>
      </w:r>
    </w:p>
    <w:p w14:paraId="4E393479">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b/>
          <w:bCs/>
          <w:color w:val="auto"/>
          <w:sz w:val="24"/>
          <w:szCs w:val="24"/>
          <w:highlight w:val="none"/>
        </w:rPr>
        <w:t>南京市江北新区浦滨路150号中科创新广场23栋8楼</w:t>
      </w:r>
    </w:p>
    <w:p w14:paraId="453BEBE5">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06C2182B">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282CF4AF">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567D9539">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1.集中现场考察或答疑</w:t>
      </w:r>
    </w:p>
    <w:p w14:paraId="16571FF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采购人不组织，供应商可自行联系采购人。未考察现场或考察工作不详细的供应商成交后，不得以不完全了解现场情况为理由而向采购人提出任何索赔或其他要求，对此采购人不承担任何责任并将不</w:t>
      </w:r>
      <w:bookmarkStart w:id="133" w:name="_GoBack"/>
      <w:bookmarkEnd w:id="133"/>
      <w:r>
        <w:rPr>
          <w:rFonts w:hint="eastAsia" w:ascii="仿宋" w:hAnsi="仿宋" w:eastAsia="仿宋" w:cs="仿宋"/>
          <w:color w:val="auto"/>
          <w:sz w:val="24"/>
          <w:szCs w:val="24"/>
          <w:highlight w:val="none"/>
        </w:rPr>
        <w:t>作任何答复。</w:t>
      </w:r>
    </w:p>
    <w:p w14:paraId="2B0C6FBE">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2.公告媒体</w:t>
      </w:r>
    </w:p>
    <w:p w14:paraId="00863AA5">
      <w:pPr>
        <w:wordWrap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（1）本采购公告在南京公共采购信息网（https://njgc.jfh.com/）公示发布，敬请各供应商关注；</w:t>
      </w:r>
    </w:p>
    <w:p w14:paraId="1117AAA9">
      <w:pPr>
        <w:wordWrap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（2）有关本次采购存在变动或修改，敬请各供应商及时关注南京公共采购信息网（https://njgc.jfh.com/）发布的关于本项目的信息更正公告；</w:t>
      </w:r>
    </w:p>
    <w:p w14:paraId="554A6157">
      <w:pPr>
        <w:wordWrap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（3）对采购项目的技术及需求问题，请向采购人联系人咨询。</w:t>
      </w:r>
    </w:p>
    <w:p w14:paraId="0EA5BD1C">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3.采购项目需要落实的政府采购政策</w:t>
      </w:r>
    </w:p>
    <w:p w14:paraId="6F4BC190">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w:t>
      </w:r>
    </w:p>
    <w:p w14:paraId="6F3E57C4">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（2）政府采购支持监狱企业发展</w:t>
      </w:r>
    </w:p>
    <w:p w14:paraId="75D55288">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（3）政府采购促进残疾人就业</w:t>
      </w:r>
    </w:p>
    <w:p w14:paraId="1A7EF949">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（4）政府采购鼓励采购节能环保产品</w:t>
      </w:r>
    </w:p>
    <w:p w14:paraId="072BD83A">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（5）信息安全产品政策</w:t>
      </w:r>
    </w:p>
    <w:p w14:paraId="135B41F4">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（6）进口产品政策</w:t>
      </w:r>
    </w:p>
    <w:p w14:paraId="72C9A14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（7）投标担保政策</w:t>
      </w:r>
    </w:p>
    <w:p w14:paraId="46129379">
      <w:p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4.响应文件提交时，请供应商法定代表人或其授权委托代表人携带本人有效身份证原件出席。</w:t>
      </w:r>
    </w:p>
    <w:p w14:paraId="156E45AA">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5.本项目成交后不允许分包、转包。</w:t>
      </w:r>
    </w:p>
    <w:p w14:paraId="7E879FAC">
      <w:pPr>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p>
    <w:p w14:paraId="31B4FD96">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1.采购人信息</w:t>
      </w:r>
    </w:p>
    <w:p w14:paraId="7A57445F">
      <w:pPr>
        <w:tabs>
          <w:tab w:val="left" w:pos="1524"/>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采购单位名称：南京市雨花台区妇幼保健所</w:t>
      </w:r>
    </w:p>
    <w:p w14:paraId="750293C0">
      <w:pPr>
        <w:tabs>
          <w:tab w:val="left" w:pos="1524"/>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地址：南京市雨花台区雨花街道雨花路196号</w:t>
      </w:r>
    </w:p>
    <w:p w14:paraId="5CC4653B">
      <w:pPr>
        <w:keepNext/>
        <w:keepLine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联系人：彭科</w:t>
      </w:r>
    </w:p>
    <w:p w14:paraId="6C28B90E">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联系方式：025-52453543</w:t>
      </w:r>
    </w:p>
    <w:p w14:paraId="58F5A7D0">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2.采购代理机构信息</w:t>
      </w:r>
    </w:p>
    <w:p w14:paraId="68FC4BE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名称：南京信诺工程造价咨询有限责任公司</w:t>
      </w:r>
    </w:p>
    <w:p w14:paraId="0126426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地址：南京市江北新区浦滨路150号中科创新广场23栋8楼</w:t>
      </w:r>
    </w:p>
    <w:p w14:paraId="016505A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联系电话：18251903810</w:t>
      </w:r>
    </w:p>
    <w:p w14:paraId="6F302A60">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3.项目联系方式</w:t>
      </w:r>
    </w:p>
    <w:p w14:paraId="0D1BA6F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项目联系人：殷工</w:t>
      </w:r>
    </w:p>
    <w:p w14:paraId="2E541A05">
      <w:pPr>
        <w:spacing w:line="360" w:lineRule="auto"/>
        <w:jc w:val="left"/>
        <w:rPr>
          <w:rFonts w:ascii="仿宋" w:hAnsi="仿宋" w:eastAsia="仿宋" w:cs="仿宋"/>
          <w:color w:val="auto"/>
          <w:sz w:val="22"/>
          <w:highlight w:val="none"/>
        </w:rPr>
      </w:pPr>
      <w:r>
        <w:rPr>
          <w:rFonts w:hint="eastAsia" w:ascii="仿宋" w:hAnsi="仿宋" w:eastAsia="仿宋" w:cs="仿宋"/>
          <w:color w:val="auto"/>
          <w:sz w:val="24"/>
          <w:szCs w:val="24"/>
          <w:highlight w:val="none"/>
        </w:rPr>
        <w:t>电　　　话：18251903810</w:t>
      </w:r>
      <w:r>
        <w:rPr>
          <w:rFonts w:hint="eastAsia" w:ascii="仿宋" w:hAnsi="仿宋" w:eastAsia="仿宋" w:cs="仿宋"/>
          <w:color w:val="auto"/>
          <w:sz w:val="22"/>
          <w:highlight w:val="none"/>
        </w:rPr>
        <w:br w:type="page"/>
      </w:r>
    </w:p>
    <w:p w14:paraId="2596FBCC">
      <w:pPr>
        <w:jc w:val="center"/>
        <w:outlineLvl w:val="0"/>
        <w:rPr>
          <w:rFonts w:ascii="仿宋" w:hAnsi="仿宋" w:eastAsia="仿宋" w:cs="仿宋"/>
          <w:b/>
          <w:bCs/>
          <w:color w:val="auto"/>
          <w:sz w:val="28"/>
          <w:szCs w:val="32"/>
          <w:highlight w:val="none"/>
        </w:rPr>
      </w:pPr>
      <w:bookmarkStart w:id="4" w:name="_Toc32216"/>
      <w:bookmarkStart w:id="5" w:name="_Toc1030"/>
      <w:bookmarkStart w:id="6" w:name="_Toc32126"/>
      <w:r>
        <w:rPr>
          <w:rFonts w:hint="eastAsia" w:ascii="仿宋" w:hAnsi="仿宋" w:eastAsia="仿宋" w:cs="仿宋"/>
          <w:b/>
          <w:bCs/>
          <w:color w:val="auto"/>
          <w:sz w:val="28"/>
          <w:szCs w:val="32"/>
          <w:highlight w:val="none"/>
        </w:rPr>
        <w:t>第二章  供应商须知</w:t>
      </w:r>
      <w:bookmarkEnd w:id="4"/>
      <w:bookmarkEnd w:id="5"/>
      <w:bookmarkEnd w:id="6"/>
    </w:p>
    <w:p w14:paraId="5F8B7E26">
      <w:pPr>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供应商须知前附表</w:t>
      </w:r>
    </w:p>
    <w:tbl>
      <w:tblPr>
        <w:tblStyle w:val="29"/>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659"/>
        <w:gridCol w:w="6182"/>
      </w:tblGrid>
      <w:tr w14:paraId="03AF3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59" w:type="dxa"/>
            <w:tcBorders>
              <w:top w:val="single" w:color="auto" w:sz="4" w:space="0"/>
              <w:bottom w:val="single" w:color="auto" w:sz="4" w:space="0"/>
              <w:right w:val="single" w:color="auto" w:sz="4" w:space="0"/>
            </w:tcBorders>
            <w:vAlign w:val="center"/>
          </w:tcPr>
          <w:p w14:paraId="57DA7AB1">
            <w:pPr>
              <w:spacing w:line="360" w:lineRule="auto"/>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7A1A059B">
            <w:pPr>
              <w:spacing w:line="360" w:lineRule="auto"/>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名  称</w:t>
            </w:r>
          </w:p>
        </w:tc>
        <w:tc>
          <w:tcPr>
            <w:tcW w:w="6182" w:type="dxa"/>
            <w:tcBorders>
              <w:top w:val="single" w:color="auto" w:sz="4" w:space="0"/>
              <w:left w:val="single" w:color="auto" w:sz="4" w:space="0"/>
              <w:bottom w:val="single" w:color="auto" w:sz="4" w:space="0"/>
            </w:tcBorders>
            <w:vAlign w:val="center"/>
          </w:tcPr>
          <w:p w14:paraId="07A8A02D">
            <w:pPr>
              <w:spacing w:line="360" w:lineRule="auto"/>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内  容</w:t>
            </w:r>
          </w:p>
        </w:tc>
      </w:tr>
      <w:tr w14:paraId="4B89F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7125576D">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659" w:type="dxa"/>
            <w:tcBorders>
              <w:top w:val="single" w:color="auto" w:sz="4" w:space="0"/>
              <w:left w:val="single" w:color="auto" w:sz="4" w:space="0"/>
              <w:bottom w:val="single" w:color="auto" w:sz="4" w:space="0"/>
              <w:right w:val="single" w:color="auto" w:sz="4" w:space="0"/>
            </w:tcBorders>
            <w:vAlign w:val="center"/>
          </w:tcPr>
          <w:p w14:paraId="1C5C375E">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6182" w:type="dxa"/>
            <w:tcBorders>
              <w:top w:val="single" w:color="auto" w:sz="4" w:space="0"/>
              <w:left w:val="single" w:color="auto" w:sz="4" w:space="0"/>
              <w:bottom w:val="single" w:color="auto" w:sz="4" w:space="0"/>
            </w:tcBorders>
            <w:vAlign w:val="center"/>
          </w:tcPr>
          <w:p w14:paraId="01EEA6B9">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本项目不设磋商保证金</w:t>
            </w:r>
          </w:p>
        </w:tc>
      </w:tr>
      <w:tr w14:paraId="1D253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046CD50C">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659" w:type="dxa"/>
            <w:tcBorders>
              <w:top w:val="single" w:color="auto" w:sz="4" w:space="0"/>
              <w:left w:val="single" w:color="auto" w:sz="4" w:space="0"/>
              <w:bottom w:val="single" w:color="auto" w:sz="4" w:space="0"/>
              <w:right w:val="single" w:color="auto" w:sz="4" w:space="0"/>
            </w:tcBorders>
            <w:vAlign w:val="center"/>
          </w:tcPr>
          <w:p w14:paraId="0282EF51">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响应文件数量</w:t>
            </w:r>
          </w:p>
        </w:tc>
        <w:tc>
          <w:tcPr>
            <w:tcW w:w="6182" w:type="dxa"/>
            <w:tcBorders>
              <w:top w:val="single" w:color="auto" w:sz="4" w:space="0"/>
              <w:left w:val="single" w:color="auto" w:sz="4" w:space="0"/>
              <w:bottom w:val="single" w:color="auto" w:sz="4" w:space="0"/>
            </w:tcBorders>
            <w:vAlign w:val="center"/>
          </w:tcPr>
          <w:p w14:paraId="75FD185B">
            <w:pPr>
              <w:tabs>
                <w:tab w:val="left" w:pos="312"/>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（1）纸质正本</w:t>
            </w:r>
            <w:r>
              <w:rPr>
                <w:rFonts w:hint="eastAsia" w:ascii="仿宋" w:hAnsi="仿宋" w:eastAsia="仿宋" w:cs="仿宋"/>
                <w:b/>
                <w:bCs/>
                <w:color w:val="auto"/>
                <w:szCs w:val="21"/>
                <w:highlight w:val="none"/>
                <w:u w:val="single"/>
              </w:rPr>
              <w:t>壹</w:t>
            </w:r>
            <w:r>
              <w:rPr>
                <w:rFonts w:hint="eastAsia" w:ascii="仿宋" w:hAnsi="仿宋" w:eastAsia="仿宋" w:cs="仿宋"/>
                <w:color w:val="auto"/>
                <w:szCs w:val="21"/>
                <w:highlight w:val="none"/>
              </w:rPr>
              <w:t>份，纸质副本</w:t>
            </w:r>
            <w:r>
              <w:rPr>
                <w:rFonts w:hint="eastAsia" w:ascii="仿宋" w:hAnsi="仿宋" w:eastAsia="仿宋" w:cs="仿宋"/>
                <w:b/>
                <w:bCs/>
                <w:color w:val="auto"/>
                <w:szCs w:val="21"/>
                <w:highlight w:val="none"/>
                <w:u w:val="single"/>
              </w:rPr>
              <w:t>贰</w:t>
            </w:r>
            <w:r>
              <w:rPr>
                <w:rFonts w:hint="eastAsia" w:ascii="仿宋" w:hAnsi="仿宋" w:eastAsia="仿宋" w:cs="仿宋"/>
                <w:color w:val="auto"/>
                <w:szCs w:val="21"/>
                <w:highlight w:val="none"/>
              </w:rPr>
              <w:t>份。</w:t>
            </w:r>
          </w:p>
          <w:p w14:paraId="72CCBAC5">
            <w:pPr>
              <w:tabs>
                <w:tab w:val="left" w:pos="312"/>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（2）电子版</w:t>
            </w:r>
            <w:r>
              <w:rPr>
                <w:rFonts w:hint="eastAsia" w:ascii="仿宋" w:hAnsi="仿宋" w:eastAsia="仿宋" w:cs="仿宋"/>
                <w:b/>
                <w:bCs/>
                <w:color w:val="auto"/>
                <w:szCs w:val="21"/>
                <w:highlight w:val="none"/>
                <w:u w:val="single"/>
              </w:rPr>
              <w:t>壹</w:t>
            </w:r>
            <w:r>
              <w:rPr>
                <w:rFonts w:hint="eastAsia" w:ascii="仿宋" w:hAnsi="仿宋" w:eastAsia="仿宋" w:cs="仿宋"/>
                <w:color w:val="auto"/>
                <w:szCs w:val="21"/>
                <w:highlight w:val="none"/>
              </w:rPr>
              <w:t>份。</w:t>
            </w:r>
          </w:p>
          <w:p w14:paraId="1911EB2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（3）当纸质正本文件与副本、电子版文件不一致时，以纸质正本文件为准，供应商须承担前述不一致造成的不利后果。</w:t>
            </w:r>
          </w:p>
        </w:tc>
      </w:tr>
      <w:tr w14:paraId="1D741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6C97E95">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659" w:type="dxa"/>
            <w:tcBorders>
              <w:top w:val="single" w:color="auto" w:sz="4" w:space="0"/>
              <w:left w:val="single" w:color="auto" w:sz="4" w:space="0"/>
              <w:bottom w:val="single" w:color="auto" w:sz="4" w:space="0"/>
              <w:right w:val="single" w:color="auto" w:sz="4" w:space="0"/>
            </w:tcBorders>
            <w:vAlign w:val="center"/>
          </w:tcPr>
          <w:p w14:paraId="481F84C0">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响应文件的编制、密封、递交</w:t>
            </w:r>
          </w:p>
        </w:tc>
        <w:tc>
          <w:tcPr>
            <w:tcW w:w="6182" w:type="dxa"/>
            <w:tcBorders>
              <w:top w:val="single" w:color="auto" w:sz="4" w:space="0"/>
              <w:left w:val="single" w:color="auto" w:sz="4" w:space="0"/>
              <w:bottom w:val="single" w:color="auto" w:sz="4" w:space="0"/>
            </w:tcBorders>
            <w:vAlign w:val="center"/>
          </w:tcPr>
          <w:p w14:paraId="4FA2B108">
            <w:pPr>
              <w:spacing w:line="360" w:lineRule="auto"/>
              <w:rPr>
                <w:rFonts w:ascii="仿宋" w:hAnsi="仿宋" w:eastAsia="仿宋" w:cs="仿宋"/>
                <w:color w:val="auto"/>
                <w:szCs w:val="21"/>
                <w:highlight w:val="none"/>
              </w:rPr>
            </w:pPr>
            <w:r>
              <w:rPr>
                <w:rFonts w:hint="eastAsia" w:ascii="仿宋" w:hAnsi="仿宋" w:eastAsia="仿宋" w:cs="仿宋"/>
                <w:b/>
                <w:bCs/>
                <w:color w:val="auto"/>
                <w:szCs w:val="21"/>
                <w:highlight w:val="none"/>
              </w:rPr>
              <w:t>（1）文件签署：</w:t>
            </w:r>
            <w:r>
              <w:rPr>
                <w:rFonts w:hint="eastAsia" w:ascii="仿宋" w:hAnsi="仿宋" w:eastAsia="仿宋" w:cs="仿宋"/>
                <w:color w:val="auto"/>
                <w:szCs w:val="21"/>
                <w:highlight w:val="none"/>
              </w:rPr>
              <w:t>由供应商法定代表人或经正式授权并对供应商有约束力的委托代理人用不褪色墨水书写签署。</w:t>
            </w:r>
          </w:p>
          <w:p w14:paraId="16F2D620">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（2）文件编制：</w:t>
            </w:r>
            <w:r>
              <w:rPr>
                <w:rFonts w:hint="eastAsia" w:ascii="仿宋" w:hAnsi="仿宋" w:eastAsia="仿宋" w:cs="仿宋"/>
                <w:color w:val="auto"/>
                <w:szCs w:val="21"/>
                <w:highlight w:val="none"/>
              </w:rPr>
              <w:t>响应文件的编制应按照磋商文件统一规定的格式</w:t>
            </w:r>
            <w:r>
              <w:rPr>
                <w:rFonts w:hint="eastAsia" w:ascii="仿宋" w:hAnsi="仿宋" w:eastAsia="仿宋" w:cs="仿宋"/>
                <w:b/>
                <w:bCs/>
                <w:color w:val="auto"/>
                <w:szCs w:val="21"/>
                <w:highlight w:val="none"/>
              </w:rPr>
              <w:t>（规定格式中要求盖章或签字的，则必须盖章或签字）</w:t>
            </w:r>
            <w:r>
              <w:rPr>
                <w:rFonts w:hint="eastAsia" w:ascii="仿宋" w:hAnsi="仿宋" w:eastAsia="仿宋" w:cs="仿宋"/>
                <w:color w:val="auto"/>
                <w:szCs w:val="21"/>
                <w:highlight w:val="none"/>
              </w:rPr>
              <w:t>，供应商可根据自身实际情况进行添加调整；供应商应在响应文件中写清相应的项目编号、项目名称、供应商全称、地址、电话等，每份纸质文件须清楚标明“正本”或“副本”字样。</w:t>
            </w:r>
          </w:p>
          <w:p w14:paraId="70A86E29">
            <w:pPr>
              <w:spacing w:line="360" w:lineRule="auto"/>
              <w:rPr>
                <w:rFonts w:ascii="仿宋" w:hAnsi="仿宋" w:eastAsia="仿宋" w:cs="仿宋"/>
                <w:color w:val="auto"/>
                <w:szCs w:val="21"/>
                <w:highlight w:val="none"/>
              </w:rPr>
            </w:pPr>
            <w:r>
              <w:rPr>
                <w:rFonts w:hint="eastAsia" w:ascii="仿宋" w:hAnsi="仿宋" w:eastAsia="仿宋" w:cs="仿宋"/>
                <w:b/>
                <w:bCs/>
                <w:color w:val="auto"/>
                <w:szCs w:val="21"/>
                <w:highlight w:val="none"/>
              </w:rPr>
              <w:t>（3）文件密封：</w:t>
            </w:r>
            <w:r>
              <w:rPr>
                <w:rFonts w:hint="eastAsia" w:ascii="仿宋" w:hAnsi="仿宋" w:eastAsia="仿宋" w:cs="仿宋"/>
                <w:color w:val="auto"/>
                <w:szCs w:val="21"/>
                <w:highlight w:val="none"/>
              </w:rPr>
              <w:t>供应商应将响应文件用档案袋或封套密封，封面并注明项目编号、项目名称、供应商地址、供应商全称等。</w:t>
            </w:r>
          </w:p>
          <w:p w14:paraId="707F4714">
            <w:pPr>
              <w:spacing w:line="360" w:lineRule="auto"/>
              <w:rPr>
                <w:rFonts w:ascii="仿宋" w:hAnsi="仿宋" w:eastAsia="仿宋" w:cs="仿宋"/>
                <w:color w:val="auto"/>
                <w:szCs w:val="21"/>
                <w:highlight w:val="none"/>
              </w:rPr>
            </w:pPr>
            <w:r>
              <w:rPr>
                <w:rFonts w:hint="eastAsia" w:ascii="仿宋" w:hAnsi="仿宋" w:eastAsia="仿宋" w:cs="仿宋"/>
                <w:b/>
                <w:bCs/>
                <w:color w:val="auto"/>
                <w:szCs w:val="21"/>
                <w:highlight w:val="none"/>
              </w:rPr>
              <w:t>（4）文件修改：</w:t>
            </w:r>
            <w:r>
              <w:rPr>
                <w:rFonts w:hint="eastAsia" w:ascii="仿宋" w:hAnsi="仿宋" w:eastAsia="仿宋" w:cs="仿宋"/>
                <w:color w:val="auto"/>
                <w:szCs w:val="21"/>
                <w:highlight w:val="none"/>
              </w:rPr>
              <w:t>响应文件不应有涂改、增删之处，如必须修改时，修改处必须有供应商公章或供应商法定代表人或授权代表签字。</w:t>
            </w:r>
          </w:p>
        </w:tc>
      </w:tr>
      <w:tr w14:paraId="27F5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2C5F06E6">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659" w:type="dxa"/>
            <w:tcBorders>
              <w:top w:val="single" w:color="auto" w:sz="4" w:space="0"/>
              <w:left w:val="single" w:color="auto" w:sz="4" w:space="0"/>
              <w:bottom w:val="single" w:color="auto" w:sz="4" w:space="0"/>
              <w:right w:val="single" w:color="auto" w:sz="4" w:space="0"/>
            </w:tcBorders>
            <w:vAlign w:val="center"/>
          </w:tcPr>
          <w:p w14:paraId="70EF5E83">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响应文件拒收情形</w:t>
            </w:r>
          </w:p>
        </w:tc>
        <w:tc>
          <w:tcPr>
            <w:tcW w:w="6182" w:type="dxa"/>
            <w:tcBorders>
              <w:top w:val="single" w:color="auto" w:sz="4" w:space="0"/>
              <w:left w:val="single" w:color="auto" w:sz="4" w:space="0"/>
              <w:bottom w:val="single" w:color="auto" w:sz="4" w:space="0"/>
            </w:tcBorders>
            <w:vAlign w:val="center"/>
          </w:tcPr>
          <w:p w14:paraId="6E97FF3F">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逾期送达或者未按照磋商文件编制要求递交的响应文件：</w:t>
            </w:r>
          </w:p>
          <w:p w14:paraId="193E41F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（1）线下纸质响应文件逾期送达；</w:t>
            </w:r>
          </w:p>
          <w:p w14:paraId="60C71A6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（2）纸质响应文件未按要求密封。</w:t>
            </w:r>
          </w:p>
        </w:tc>
      </w:tr>
      <w:tr w14:paraId="46EDE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1BF5E610">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659" w:type="dxa"/>
            <w:tcBorders>
              <w:top w:val="single" w:color="auto" w:sz="4" w:space="0"/>
              <w:left w:val="single" w:color="auto" w:sz="4" w:space="0"/>
              <w:bottom w:val="single" w:color="auto" w:sz="4" w:space="0"/>
              <w:right w:val="single" w:color="auto" w:sz="4" w:space="0"/>
            </w:tcBorders>
            <w:vAlign w:val="center"/>
          </w:tcPr>
          <w:p w14:paraId="48CE4BE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《中华人民共和国政府采购法》第二十二条规定的证明文件</w:t>
            </w:r>
          </w:p>
        </w:tc>
        <w:tc>
          <w:tcPr>
            <w:tcW w:w="6182" w:type="dxa"/>
            <w:tcBorders>
              <w:top w:val="single" w:color="auto" w:sz="4" w:space="0"/>
              <w:left w:val="single" w:color="auto" w:sz="4" w:space="0"/>
              <w:bottom w:val="single" w:color="auto" w:sz="4" w:space="0"/>
            </w:tcBorders>
            <w:vAlign w:val="center"/>
          </w:tcPr>
          <w:p w14:paraId="7CF03739">
            <w:pPr>
              <w:pStyle w:val="13"/>
              <w:ind w:firstLine="0" w:firstLineChars="0"/>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（1）具有独立承担民事责任的能力的证明材料：</w:t>
            </w:r>
          </w:p>
          <w:p w14:paraId="1A32A719">
            <w:pPr>
              <w:pStyle w:val="13"/>
              <w:numPr>
                <w:ilvl w:val="0"/>
                <w:numId w:val="1"/>
              </w:numPr>
              <w:ind w:left="0"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14:paraId="760EF626">
            <w:pPr>
              <w:pStyle w:val="13"/>
              <w:numPr>
                <w:ilvl w:val="0"/>
                <w:numId w:val="1"/>
              </w:numPr>
              <w:ind w:left="0"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如供应商是事业单位的，应提供有效的“事业单位法人证书”；</w:t>
            </w:r>
          </w:p>
          <w:p w14:paraId="5002DE73">
            <w:pPr>
              <w:pStyle w:val="13"/>
              <w:numPr>
                <w:ilvl w:val="0"/>
                <w:numId w:val="1"/>
              </w:numPr>
              <w:ind w:left="0"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如供应商是非企业专业服务机构的，应提供有效的执业许可证等证明文件；</w:t>
            </w:r>
          </w:p>
          <w:p w14:paraId="3FE85F06">
            <w:pPr>
              <w:pStyle w:val="13"/>
              <w:numPr>
                <w:ilvl w:val="0"/>
                <w:numId w:val="1"/>
              </w:numPr>
              <w:ind w:left="0"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如供应商是个体工商户的，应提供有效的“个体工商户营业执照”；</w:t>
            </w:r>
          </w:p>
          <w:p w14:paraId="572826E0">
            <w:pPr>
              <w:pStyle w:val="13"/>
              <w:numPr>
                <w:ilvl w:val="0"/>
                <w:numId w:val="1"/>
              </w:numPr>
              <w:ind w:left="0"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如供应商是自然人的，应提供有效的自然人身份证明。</w:t>
            </w:r>
          </w:p>
          <w:p w14:paraId="2F3FC91B">
            <w:pPr>
              <w:pStyle w:val="13"/>
              <w:ind w:firstLine="0" w:firstLineChars="0"/>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（2）南京市政府采购供应商信用记录表暨信用承诺书：（具体格式详见附件）</w:t>
            </w:r>
          </w:p>
          <w:p w14:paraId="71FD836A">
            <w:pPr>
              <w:spacing w:line="360" w:lineRule="auto"/>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zh-CN"/>
              </w:rPr>
              <w:t>（3）法律、行政法规规定的其他条件：无</w:t>
            </w:r>
          </w:p>
          <w:p w14:paraId="025004FD">
            <w:pPr>
              <w:pStyle w:val="13"/>
              <w:ind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说明1：供应商在中标（成交）后，应按采购文件要求（详见采购文件第六章响应文件格式），将南京市政府采购供应商信用记录表暨信用承诺书替代的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案件当事人名单、政府采购严重违法失信行为记录名单的证明材料。提交采购人或采购代理机构核验；经核验无误后，由采购人或采购代理机构发出中标（成交）通知书。</w:t>
            </w:r>
          </w:p>
          <w:p w14:paraId="3CA59C90">
            <w:pPr>
              <w:pStyle w:val="13"/>
              <w:ind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说明2：属于以下情形，须按照竞争性磋商文件第六章要求提供证明材料，不得以信用承诺书替代：</w:t>
            </w:r>
          </w:p>
          <w:p w14:paraId="44D64347">
            <w:pPr>
              <w:pStyle w:val="13"/>
              <w:ind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1、供应商被列入严重失信主体名单；</w:t>
            </w:r>
          </w:p>
          <w:p w14:paraId="7D108C5F">
            <w:pPr>
              <w:pStyle w:val="13"/>
              <w:ind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2、被相关监管部门作出行政处罚且尚在处罚有效期内；</w:t>
            </w:r>
          </w:p>
          <w:p w14:paraId="23971829">
            <w:pPr>
              <w:pStyle w:val="13"/>
              <w:ind w:firstLine="0" w:firstLineChars="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3、其他法律、行政法规规定的不适用信用承诺的情形。</w:t>
            </w:r>
          </w:p>
        </w:tc>
      </w:tr>
      <w:tr w14:paraId="770D5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5DF5571C">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659" w:type="dxa"/>
            <w:tcBorders>
              <w:top w:val="single" w:color="auto" w:sz="4" w:space="0"/>
              <w:left w:val="single" w:color="auto" w:sz="4" w:space="0"/>
              <w:bottom w:val="single" w:color="auto" w:sz="4" w:space="0"/>
              <w:right w:val="single" w:color="auto" w:sz="4" w:space="0"/>
            </w:tcBorders>
            <w:vAlign w:val="center"/>
          </w:tcPr>
          <w:p w14:paraId="2F96A463">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响应无效情形</w:t>
            </w:r>
          </w:p>
        </w:tc>
        <w:tc>
          <w:tcPr>
            <w:tcW w:w="6182" w:type="dxa"/>
            <w:tcBorders>
              <w:top w:val="single" w:color="auto" w:sz="4" w:space="0"/>
              <w:left w:val="single" w:color="auto" w:sz="4" w:space="0"/>
              <w:bottom w:val="single" w:color="auto" w:sz="4" w:space="0"/>
            </w:tcBorders>
            <w:vAlign w:val="center"/>
          </w:tcPr>
          <w:p w14:paraId="335FC5B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（1）针对本章“二、响应文件编制”中的“3.2响应文件的商务部分”和“3.3响应文件的技术部分”中加★项要求，响应文件提供的证明材料缺失或无效的；</w:t>
            </w:r>
          </w:p>
          <w:p w14:paraId="008AFF9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（2）响应文件未按照磋商文件规定要求</w:t>
            </w:r>
            <w:r>
              <w:rPr>
                <w:rFonts w:hint="eastAsia" w:ascii="仿宋" w:hAnsi="仿宋" w:eastAsia="仿宋" w:cs="仿宋"/>
                <w:b/>
                <w:bCs/>
                <w:color w:val="auto"/>
                <w:szCs w:val="21"/>
                <w:highlight w:val="none"/>
              </w:rPr>
              <w:t>签署、盖章</w:t>
            </w:r>
            <w:r>
              <w:rPr>
                <w:rFonts w:hint="eastAsia" w:ascii="仿宋" w:hAnsi="仿宋" w:eastAsia="仿宋" w:cs="仿宋"/>
                <w:color w:val="auto"/>
                <w:szCs w:val="21"/>
                <w:highlight w:val="none"/>
              </w:rPr>
              <w:t>的；</w:t>
            </w:r>
          </w:p>
          <w:p w14:paraId="29B9154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（3）纸质响应文件</w:t>
            </w:r>
            <w:r>
              <w:rPr>
                <w:rFonts w:hint="eastAsia" w:ascii="仿宋" w:hAnsi="仿宋" w:eastAsia="仿宋" w:cs="仿宋"/>
                <w:b/>
                <w:bCs/>
                <w:color w:val="auto"/>
                <w:szCs w:val="21"/>
                <w:highlight w:val="none"/>
              </w:rPr>
              <w:t>未清楚标明</w:t>
            </w:r>
            <w:r>
              <w:rPr>
                <w:rFonts w:hint="eastAsia" w:ascii="仿宋" w:hAnsi="仿宋" w:eastAsia="仿宋" w:cs="仿宋"/>
                <w:color w:val="auto"/>
                <w:szCs w:val="21"/>
                <w:highlight w:val="none"/>
              </w:rPr>
              <w:t>“正本”或“副本”；</w:t>
            </w:r>
          </w:p>
          <w:p w14:paraId="3C4C000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（4）响应文件未响应采购项目需求中规定的实质性要求的；</w:t>
            </w:r>
          </w:p>
          <w:p w14:paraId="344F890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（5）响应文件未详细阐述服务内容，而是直接拷贝采购文件技术要求的；</w:t>
            </w:r>
          </w:p>
          <w:p w14:paraId="2995FC6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（6）投标总报价超过项目预算金额或最高限价；</w:t>
            </w:r>
          </w:p>
          <w:p w14:paraId="29114249">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（7）投标报价存在缺项、漏项；</w:t>
            </w:r>
          </w:p>
          <w:p w14:paraId="694467C3">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（8）磋商小组认为供应商的报价明显低于其他供应商的报价，有可能影响服务质量或者不能诚信履约的，供应商未在磋商现场合理的时间内提供书面说明或相关证明材料，不能证明其报价合理的；</w:t>
            </w:r>
          </w:p>
          <w:p w14:paraId="4AABB857">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（9）响应文件含有采购人不能接受的附加条件的；</w:t>
            </w:r>
          </w:p>
          <w:p w14:paraId="1D5337AC">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（10）不同供应商的响应文件由同一单位或者个人编制；</w:t>
            </w:r>
          </w:p>
          <w:p w14:paraId="5F1C3FA9">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（11）不同供应商委托同一单位或者个人办理投标事宜；</w:t>
            </w:r>
          </w:p>
          <w:p w14:paraId="5133678A">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（12）不同供应商的响应文件载明的项目管理成员或联系人员为同一人；</w:t>
            </w:r>
          </w:p>
          <w:p w14:paraId="0057B3FF">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（13）不同供应商的响应文件异常一致或者投标报价呈规律性差异；</w:t>
            </w:r>
          </w:p>
          <w:p w14:paraId="32B7593E">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（14）不同供应商的响应文件相互混装；</w:t>
            </w:r>
          </w:p>
          <w:p w14:paraId="38F5A1DB">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（15）为本采购项目提供整体设计、规范编制或者项目管理、监理、检测等服务的供应商参加该采购项目的其他采购活动的；</w:t>
            </w:r>
          </w:p>
          <w:p w14:paraId="3BC45BAD">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（16）不同供应商的法定代表人或委托代理人有夫妻、直系血亲关系；</w:t>
            </w:r>
          </w:p>
          <w:p w14:paraId="0CDCBAE4">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（17）不同供应商的负责人为同一人或者存在控股、管理关系的；</w:t>
            </w:r>
          </w:p>
          <w:p w14:paraId="32C351AB">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020215CC">
            <w:pPr>
              <w:pStyle w:val="37"/>
              <w:spacing w:line="360" w:lineRule="auto"/>
              <w:ind w:firstLine="0"/>
              <w:rPr>
                <w:rFonts w:ascii="仿宋" w:hAnsi="仿宋" w:eastAsia="仿宋" w:cs="仿宋"/>
                <w:color w:val="auto"/>
                <w:szCs w:val="21"/>
                <w:highlight w:val="none"/>
              </w:rPr>
            </w:pPr>
            <w:r>
              <w:rPr>
                <w:rFonts w:hint="eastAsia" w:ascii="仿宋" w:hAnsi="仿宋" w:eastAsia="仿宋" w:cs="仿宋"/>
                <w:color w:val="auto"/>
                <w:szCs w:val="21"/>
                <w:highlight w:val="none"/>
              </w:rPr>
              <w:t>（19）未提供《南京市政府采购供应商信用记录表暨信用承诺书》；</w:t>
            </w:r>
          </w:p>
          <w:p w14:paraId="37348DD2">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（20）法律、法规和磋商文件规定的其他无效情形。</w:t>
            </w:r>
          </w:p>
        </w:tc>
      </w:tr>
      <w:tr w14:paraId="56324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auto" w:sz="4" w:space="0"/>
              <w:bottom w:val="single" w:color="auto" w:sz="4" w:space="0"/>
              <w:right w:val="single" w:color="auto" w:sz="4" w:space="0"/>
            </w:tcBorders>
            <w:vAlign w:val="center"/>
          </w:tcPr>
          <w:p w14:paraId="4B9378BD">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659" w:type="dxa"/>
            <w:tcBorders>
              <w:top w:val="single" w:color="auto" w:sz="4" w:space="0"/>
              <w:left w:val="single" w:color="auto" w:sz="4" w:space="0"/>
              <w:bottom w:val="single" w:color="auto" w:sz="4" w:space="0"/>
              <w:right w:val="single" w:color="auto" w:sz="4" w:space="0"/>
            </w:tcBorders>
            <w:vAlign w:val="center"/>
          </w:tcPr>
          <w:p w14:paraId="6F1AA390">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磋商终止情形</w:t>
            </w:r>
          </w:p>
        </w:tc>
        <w:tc>
          <w:tcPr>
            <w:tcW w:w="6182" w:type="dxa"/>
            <w:tcBorders>
              <w:top w:val="single" w:color="auto" w:sz="4" w:space="0"/>
              <w:left w:val="single" w:color="auto" w:sz="4" w:space="0"/>
              <w:bottom w:val="single" w:color="auto" w:sz="4" w:space="0"/>
            </w:tcBorders>
            <w:vAlign w:val="center"/>
          </w:tcPr>
          <w:p w14:paraId="0FA0784C">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（1）因情况变化，不再符合规定的竞争性磋商采购方式适用情形的；</w:t>
            </w:r>
          </w:p>
          <w:p w14:paraId="25A4416E">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（2）所有供应商的响应文件被磋商小组认定为无效的；</w:t>
            </w:r>
          </w:p>
          <w:p w14:paraId="25378C04">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（3）出现影响采购公正的违法、违规行为的；</w:t>
            </w:r>
          </w:p>
          <w:p w14:paraId="6CA2F520">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（4）所有供应商的最终报价均超过采购文件中规定的项目预算或者最高限价的；</w:t>
            </w:r>
          </w:p>
          <w:p w14:paraId="4BB6F817">
            <w:pPr>
              <w:tabs>
                <w:tab w:val="left" w:pos="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（5）因重大变故，采购任务取消的。</w:t>
            </w:r>
          </w:p>
        </w:tc>
      </w:tr>
      <w:tr w14:paraId="635B9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5F8B32A8">
            <w:pPr>
              <w:tabs>
                <w:tab w:val="left" w:pos="130"/>
              </w:tabs>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659" w:type="dxa"/>
            <w:tcBorders>
              <w:top w:val="single" w:color="auto" w:sz="4" w:space="0"/>
              <w:left w:val="single" w:color="auto" w:sz="4" w:space="0"/>
              <w:bottom w:val="single" w:color="auto" w:sz="4" w:space="0"/>
              <w:right w:val="single" w:color="auto" w:sz="4" w:space="0"/>
            </w:tcBorders>
            <w:vAlign w:val="center"/>
          </w:tcPr>
          <w:p w14:paraId="13CC5D4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盖章要求</w:t>
            </w:r>
          </w:p>
        </w:tc>
        <w:tc>
          <w:tcPr>
            <w:tcW w:w="6182" w:type="dxa"/>
            <w:tcBorders>
              <w:top w:val="single" w:color="auto" w:sz="4" w:space="0"/>
              <w:left w:val="single" w:color="auto" w:sz="4" w:space="0"/>
              <w:bottom w:val="single" w:color="auto" w:sz="4" w:space="0"/>
            </w:tcBorders>
            <w:vAlign w:val="center"/>
          </w:tcPr>
          <w:p w14:paraId="3AB3B3F2">
            <w:pPr>
              <w:spacing w:line="360" w:lineRule="auto"/>
              <w:rPr>
                <w:rFonts w:ascii="仿宋" w:hAnsi="仿宋" w:eastAsia="仿宋" w:cs="仿宋"/>
                <w:color w:val="auto"/>
                <w:szCs w:val="21"/>
                <w:highlight w:val="none"/>
              </w:rPr>
            </w:pPr>
            <w:r>
              <w:rPr>
                <w:rFonts w:hint="eastAsia" w:ascii="仿宋" w:hAnsi="仿宋" w:eastAsia="仿宋" w:cs="仿宋"/>
                <w:b/>
                <w:bCs/>
                <w:color w:val="auto"/>
                <w:szCs w:val="21"/>
                <w:highlight w:val="none"/>
              </w:rPr>
              <w:t>供应商响应文件中加盖的公章仅能使用与供应商名称一致的标准公章</w:t>
            </w:r>
            <w:r>
              <w:rPr>
                <w:rFonts w:hint="eastAsia" w:ascii="仿宋" w:hAnsi="仿宋" w:eastAsia="仿宋" w:cs="仿宋"/>
                <w:color w:val="auto"/>
                <w:szCs w:val="21"/>
                <w:highlight w:val="none"/>
              </w:rPr>
              <w:t>，不得使用其他形式（如带有“专用章”、“合同章”、“财务章”、“业务章”等字样）的印章；</w:t>
            </w:r>
            <w:r>
              <w:rPr>
                <w:rFonts w:hint="eastAsia" w:ascii="仿宋" w:hAnsi="仿宋" w:eastAsia="仿宋" w:cs="仿宋"/>
                <w:b/>
                <w:bCs/>
                <w:color w:val="auto"/>
                <w:szCs w:val="21"/>
                <w:highlight w:val="none"/>
              </w:rPr>
              <w:t>否则，按无效投标处理。</w:t>
            </w:r>
          </w:p>
        </w:tc>
      </w:tr>
    </w:tbl>
    <w:p w14:paraId="674114C0">
      <w:pPr>
        <w:spacing w:before="120" w:beforeLines="50"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注：如有供应商须知正文条款与供应商须知前附表不一致，以供应商须知前附表为准。</w:t>
      </w:r>
    </w:p>
    <w:p w14:paraId="40621968">
      <w:pPr>
        <w:spacing w:line="360" w:lineRule="auto"/>
        <w:ind w:firstLine="482" w:firstLineChars="200"/>
        <w:outlineLvl w:val="1"/>
        <w:rPr>
          <w:rFonts w:ascii="仿宋" w:hAnsi="仿宋" w:eastAsia="仿宋" w:cs="仿宋"/>
          <w:b/>
          <w:bCs/>
          <w:color w:val="auto"/>
          <w:sz w:val="24"/>
          <w:szCs w:val="24"/>
          <w:highlight w:val="none"/>
        </w:rPr>
      </w:pPr>
      <w:bookmarkStart w:id="7" w:name="_Toc27538"/>
      <w:bookmarkStart w:id="8" w:name="_Toc32457"/>
      <w:r>
        <w:rPr>
          <w:rFonts w:hint="eastAsia" w:ascii="仿宋" w:hAnsi="仿宋" w:eastAsia="仿宋" w:cs="仿宋"/>
          <w:b/>
          <w:bCs/>
          <w:color w:val="auto"/>
          <w:sz w:val="24"/>
          <w:szCs w:val="24"/>
          <w:highlight w:val="none"/>
        </w:rPr>
        <w:t>一、总则</w:t>
      </w:r>
      <w:bookmarkEnd w:id="7"/>
      <w:bookmarkEnd w:id="8"/>
    </w:p>
    <w:p w14:paraId="62097027">
      <w:pPr>
        <w:spacing w:line="360" w:lineRule="auto"/>
        <w:ind w:firstLine="482" w:firstLineChars="200"/>
        <w:outlineLvl w:val="2"/>
        <w:rPr>
          <w:rFonts w:ascii="仿宋" w:hAnsi="仿宋" w:eastAsia="仿宋" w:cs="仿宋"/>
          <w:b/>
          <w:bCs/>
          <w:color w:val="auto"/>
          <w:sz w:val="24"/>
          <w:szCs w:val="24"/>
          <w:highlight w:val="none"/>
        </w:rPr>
      </w:pPr>
      <w:bookmarkStart w:id="9" w:name="_Toc21866"/>
      <w:bookmarkStart w:id="10" w:name="_Toc27755"/>
      <w:r>
        <w:rPr>
          <w:rFonts w:hint="eastAsia" w:ascii="仿宋" w:hAnsi="仿宋" w:eastAsia="仿宋" w:cs="仿宋"/>
          <w:b/>
          <w:bCs/>
          <w:color w:val="auto"/>
          <w:sz w:val="24"/>
          <w:szCs w:val="24"/>
          <w:highlight w:val="none"/>
        </w:rPr>
        <w:t>1、适用法律</w:t>
      </w:r>
      <w:bookmarkEnd w:id="9"/>
      <w:bookmarkEnd w:id="10"/>
    </w:p>
    <w:p w14:paraId="5CA6081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《中华人民共和国政府采购法》《中华人民共和国政府采购法实施条例》《政府采购竞争性磋商采购方式管理暂行办法》等有关法律、规章和规定等。</w:t>
      </w:r>
    </w:p>
    <w:p w14:paraId="473F2B07">
      <w:pPr>
        <w:spacing w:line="360" w:lineRule="auto"/>
        <w:ind w:firstLine="482" w:firstLineChars="200"/>
        <w:outlineLvl w:val="2"/>
        <w:rPr>
          <w:rFonts w:ascii="仿宋" w:hAnsi="仿宋" w:eastAsia="仿宋" w:cs="仿宋"/>
          <w:b/>
          <w:bCs/>
          <w:color w:val="auto"/>
          <w:sz w:val="24"/>
          <w:szCs w:val="24"/>
          <w:highlight w:val="none"/>
        </w:rPr>
      </w:pPr>
      <w:bookmarkStart w:id="11" w:name="_Toc2739"/>
      <w:bookmarkStart w:id="12" w:name="_Toc20696"/>
      <w:r>
        <w:rPr>
          <w:rFonts w:hint="eastAsia" w:ascii="仿宋" w:hAnsi="仿宋" w:eastAsia="仿宋" w:cs="仿宋"/>
          <w:b/>
          <w:bCs/>
          <w:color w:val="auto"/>
          <w:sz w:val="24"/>
          <w:szCs w:val="24"/>
          <w:highlight w:val="none"/>
        </w:rPr>
        <w:t>2、定义</w:t>
      </w:r>
      <w:bookmarkEnd w:id="11"/>
      <w:bookmarkEnd w:id="12"/>
    </w:p>
    <w:p w14:paraId="4D7656C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“供应商”是指参加磋商竞争，并符合采购文件规定资格条件的法人、其他组织或者自然人。</w:t>
      </w:r>
    </w:p>
    <w:p w14:paraId="7210DF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“货物和服务”指本采购文件中所述产品及相关服务。</w:t>
      </w:r>
    </w:p>
    <w:p w14:paraId="1585CF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“用户或使用单位”是指本项目采购人。</w:t>
      </w:r>
    </w:p>
    <w:p w14:paraId="7300DB35">
      <w:pPr>
        <w:spacing w:line="360" w:lineRule="auto"/>
        <w:ind w:firstLine="482" w:firstLineChars="200"/>
        <w:outlineLvl w:val="2"/>
        <w:rPr>
          <w:rFonts w:ascii="仿宋" w:hAnsi="仿宋" w:eastAsia="仿宋" w:cs="仿宋"/>
          <w:b/>
          <w:bCs/>
          <w:color w:val="auto"/>
          <w:sz w:val="24"/>
          <w:szCs w:val="24"/>
          <w:highlight w:val="none"/>
        </w:rPr>
      </w:pPr>
      <w:bookmarkStart w:id="13" w:name="_Toc29725"/>
      <w:bookmarkStart w:id="14" w:name="_Toc14211"/>
      <w:r>
        <w:rPr>
          <w:rFonts w:hint="eastAsia" w:ascii="仿宋" w:hAnsi="仿宋" w:eastAsia="仿宋" w:cs="仿宋"/>
          <w:b/>
          <w:bCs/>
          <w:color w:val="auto"/>
          <w:sz w:val="24"/>
          <w:szCs w:val="24"/>
          <w:highlight w:val="none"/>
        </w:rPr>
        <w:t>3、政策功能</w:t>
      </w:r>
      <w:bookmarkEnd w:id="13"/>
      <w:bookmarkEnd w:id="14"/>
    </w:p>
    <w:p w14:paraId="703FD4E5">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中小企业政策</w:t>
      </w:r>
    </w:p>
    <w:p w14:paraId="7A20E9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0B7E32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607C094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14:paraId="5E38E51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689DFBE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（5）未按要求提供相关材料的，不享受相关政策。</w:t>
      </w:r>
    </w:p>
    <w:p w14:paraId="352FAF7B">
      <w:pPr>
        <w:spacing w:line="360" w:lineRule="auto"/>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（6）本项目行业属性为其他未列明行业。</w:t>
      </w:r>
    </w:p>
    <w:p w14:paraId="7667A3A0">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节能产品政策</w:t>
      </w:r>
    </w:p>
    <w:p w14:paraId="7FC3437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（1）节能产品是指列入财政部、国家发展和改革委员会制定的节能产品品目政府采购清单，且经过认证的节能产品；</w:t>
      </w:r>
    </w:p>
    <w:p w14:paraId="1613CDF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（2）拟采购产品属于节能产品政府采购清单规定必须强制采购的，实行强制采购。</w:t>
      </w:r>
    </w:p>
    <w:p w14:paraId="2EB5A01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（3）拟采购产品属于节能产品政府采购清单规定优先采购的，在技术、服务等指标同等条件下，实行优先采购，优先采购的要求详见第三章说明内容。</w:t>
      </w:r>
    </w:p>
    <w:p w14:paraId="61EB60F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（4）参加政府采购活动的节能产品供应商应当提供有效的节能产品认证证书复印件。</w:t>
      </w:r>
    </w:p>
    <w:p w14:paraId="2525C2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（5）未按要求提供相关材料的，不享受相关政策。</w:t>
      </w:r>
    </w:p>
    <w:p w14:paraId="2974F94E">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环境标志产品政策</w:t>
      </w:r>
    </w:p>
    <w:p w14:paraId="5251D99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（1）环境标志产品是指列入财政部、生态环境部制定的环境标志产品品目政府采购清单，且经过认证的环境标志产品；</w:t>
      </w:r>
    </w:p>
    <w:p w14:paraId="3E8403A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（2）拟采购产品属于环境标志产品政府采购清单规定优先采购的，在性能、技术、服务等指标同等条件下，实行优先采购，优先采购的要求详见第三章说明内容。</w:t>
      </w:r>
    </w:p>
    <w:p w14:paraId="0D94BF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（3）参加政府采购活动的环境标志产品应当提供有效的环境标志产品认证证书复印件。</w:t>
      </w:r>
    </w:p>
    <w:p w14:paraId="40CC2F6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未按要求提供相关材料的，不享受相关政策。</w:t>
      </w:r>
    </w:p>
    <w:p w14:paraId="4BD16E91">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 信息安全产品政策</w:t>
      </w:r>
    </w:p>
    <w:p w14:paraId="2CCBFC8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（1）信息安全产品是指列入国家质检总局、国家认监委《信息安全产品强制性认证目录》，并获得强制性产品认证证书的产品；</w:t>
      </w:r>
    </w:p>
    <w:p w14:paraId="297CEEA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（2）提供的产品属于信息安全产品的，供应商应当选择经国家认证的信息安全产品投标，并提供由中国信息安全认证中心按国家标准认证颁发的有效认证证书复印件。</w:t>
      </w:r>
    </w:p>
    <w:p w14:paraId="7C43CACA">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 进口产品政策</w:t>
      </w:r>
    </w:p>
    <w:p w14:paraId="529B82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（1）除第一章竞争性磋商公告另有规定外，不允许进口产品参加。进口产品认定依照《财政部关于政府采购进口产品管理有关问题的通知》（财办库〔2008〕248 号）的规定。</w:t>
      </w:r>
    </w:p>
    <w:p w14:paraId="1FDF5C3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（2）允许进口产品参加的，满足需求的国内产品可以参加。</w:t>
      </w:r>
    </w:p>
    <w:p w14:paraId="02B4F59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（3）允许进口产品参加的，优先采购向我国企业转让技术、与我国企业签订消化吸收再创新方案的供应商的进口产品。</w:t>
      </w:r>
    </w:p>
    <w:p w14:paraId="5E11433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（4）未按要求提供相关材料的，不享受相关政策。</w:t>
      </w:r>
    </w:p>
    <w:p w14:paraId="450E21DC">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3.6 投标担保政策</w:t>
      </w:r>
    </w:p>
    <w:p w14:paraId="33BE183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（1）供应商磋商保证金可以用担保形式递交，保函要求详见关于开展政府采购信用担保试点工作的通知(财库〔2011〕124号)。</w:t>
      </w:r>
    </w:p>
    <w:p w14:paraId="347E7F2B">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3.7 供应商信用信息查询</w:t>
      </w:r>
    </w:p>
    <w:p w14:paraId="2E48E60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（1）采购人或采购代理机构将在“信用中国”（www.creditchina.gov.cn）、“中国政府采购网”（www.ccgp.gov.cn）对供应商进行信用信息查询，并将网站查询有关记录留存（财库〔2016〕125 号）。</w:t>
      </w:r>
    </w:p>
    <w:p w14:paraId="55F5412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（2）查询截止时间：提交响应文件截止时间前。</w:t>
      </w:r>
    </w:p>
    <w:p w14:paraId="07884F6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（3）供应商信用查询记录不符合要求的，采购人或采购代理机构将依法拒绝供应商参加本次采购活动。</w:t>
      </w:r>
    </w:p>
    <w:p w14:paraId="6703896F">
      <w:pPr>
        <w:spacing w:line="360" w:lineRule="auto"/>
        <w:ind w:firstLine="482" w:firstLineChars="200"/>
        <w:outlineLvl w:val="2"/>
        <w:rPr>
          <w:rFonts w:ascii="仿宋" w:hAnsi="仿宋" w:eastAsia="仿宋" w:cs="仿宋"/>
          <w:b/>
          <w:bCs/>
          <w:color w:val="auto"/>
          <w:sz w:val="24"/>
          <w:szCs w:val="24"/>
          <w:highlight w:val="none"/>
        </w:rPr>
      </w:pPr>
      <w:bookmarkStart w:id="15" w:name="_Toc8844"/>
      <w:bookmarkStart w:id="16" w:name="_Toc18511"/>
      <w:r>
        <w:rPr>
          <w:rFonts w:hint="eastAsia" w:ascii="仿宋" w:hAnsi="仿宋" w:eastAsia="仿宋" w:cs="仿宋"/>
          <w:b/>
          <w:bCs/>
          <w:color w:val="auto"/>
          <w:sz w:val="24"/>
          <w:szCs w:val="24"/>
          <w:highlight w:val="none"/>
        </w:rPr>
        <w:t>4、磋商费用</w:t>
      </w:r>
      <w:bookmarkEnd w:id="15"/>
      <w:bookmarkEnd w:id="16"/>
    </w:p>
    <w:p w14:paraId="265ED6D9">
      <w:pPr>
        <w:spacing w:line="360" w:lineRule="auto"/>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供应商应承担所有与准备和参加磋商有关的费用，无论采购结果如何，采购代理机构和采购人在任何情况下均无义务和责任承担这些费用；</w:t>
      </w:r>
    </w:p>
    <w:p w14:paraId="5B382AFF">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4.2 本项目采购代理服务费收费标准：</w:t>
      </w:r>
    </w:p>
    <w:p w14:paraId="231569DC">
      <w:pPr>
        <w:spacing w:line="360" w:lineRule="auto"/>
        <w:ind w:firstLine="482" w:firstLineChars="200"/>
        <w:outlineLvl w:val="3"/>
        <w:rPr>
          <w:rStyle w:val="67"/>
          <w:rFonts w:ascii="仿宋" w:hAnsi="仿宋" w:eastAsia="仿宋" w:cs="仿宋"/>
          <w:b/>
          <w:color w:val="auto"/>
          <w:kern w:val="0"/>
          <w:sz w:val="24"/>
          <w:szCs w:val="24"/>
          <w:highlight w:val="none"/>
          <w:lang w:val="zh-CN"/>
        </w:rPr>
      </w:pPr>
      <w:r>
        <w:rPr>
          <w:rStyle w:val="67"/>
          <w:rFonts w:hint="eastAsia" w:ascii="仿宋" w:hAnsi="仿宋" w:eastAsia="仿宋" w:cs="仿宋"/>
          <w:b/>
          <w:color w:val="auto"/>
          <w:kern w:val="0"/>
          <w:sz w:val="24"/>
          <w:szCs w:val="24"/>
          <w:highlight w:val="none"/>
          <w:lang w:val="zh-CN"/>
        </w:rPr>
        <w:t>依据《政府采购代理机构管理暂行办法》（财库〔2018〕2号）第十五条，本项目代理费用由成交供应商支付，招标代理费参照国家计委关于印发《招标代理服务收费管理暂行办法》的通知计价格〔2002〕1980号文件收取，不足3000 元按3000元计取。</w:t>
      </w:r>
    </w:p>
    <w:p w14:paraId="2A33A87C">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 本次采购代理服务费在成交供应商领取成交通知书时结算。</w:t>
      </w:r>
    </w:p>
    <w:p w14:paraId="597ADCE0">
      <w:pPr>
        <w:spacing w:line="360" w:lineRule="auto"/>
        <w:ind w:firstLine="482" w:firstLineChars="200"/>
        <w:outlineLvl w:val="1"/>
        <w:rPr>
          <w:rFonts w:ascii="仿宋" w:hAnsi="仿宋" w:eastAsia="仿宋" w:cs="仿宋"/>
          <w:b/>
          <w:bCs/>
          <w:color w:val="auto"/>
          <w:sz w:val="24"/>
          <w:szCs w:val="24"/>
          <w:highlight w:val="none"/>
        </w:rPr>
      </w:pPr>
      <w:bookmarkStart w:id="17" w:name="_Toc21928"/>
      <w:bookmarkStart w:id="18" w:name="_Toc13236"/>
      <w:r>
        <w:rPr>
          <w:rFonts w:hint="eastAsia" w:ascii="仿宋" w:hAnsi="仿宋" w:eastAsia="仿宋" w:cs="仿宋"/>
          <w:b/>
          <w:bCs/>
          <w:color w:val="auto"/>
          <w:sz w:val="24"/>
          <w:szCs w:val="24"/>
          <w:highlight w:val="none"/>
        </w:rPr>
        <w:t>二、响应文件编制</w:t>
      </w:r>
      <w:bookmarkEnd w:id="17"/>
      <w:bookmarkEnd w:id="18"/>
    </w:p>
    <w:p w14:paraId="66F7112A">
      <w:pPr>
        <w:spacing w:line="360" w:lineRule="auto"/>
        <w:ind w:firstLine="482" w:firstLineChars="200"/>
        <w:outlineLvl w:val="2"/>
        <w:rPr>
          <w:rFonts w:ascii="仿宋" w:hAnsi="仿宋" w:eastAsia="仿宋" w:cs="仿宋"/>
          <w:b/>
          <w:bCs/>
          <w:color w:val="auto"/>
          <w:sz w:val="24"/>
          <w:szCs w:val="24"/>
          <w:highlight w:val="none"/>
        </w:rPr>
      </w:pPr>
      <w:bookmarkStart w:id="19" w:name="_Toc21862"/>
      <w:bookmarkStart w:id="20" w:name="_Toc1024"/>
      <w:r>
        <w:rPr>
          <w:rFonts w:hint="eastAsia" w:ascii="仿宋" w:hAnsi="仿宋" w:eastAsia="仿宋" w:cs="仿宋"/>
          <w:b/>
          <w:bCs/>
          <w:color w:val="auto"/>
          <w:sz w:val="24"/>
          <w:szCs w:val="24"/>
          <w:highlight w:val="none"/>
        </w:rPr>
        <w:t>1、供应商应当按照磋商文件的要求编制响应文件，并对其提交的响应文件真实性、合法性承担法律责任。</w:t>
      </w:r>
      <w:bookmarkEnd w:id="19"/>
      <w:bookmarkEnd w:id="20"/>
    </w:p>
    <w:p w14:paraId="3CEF3BE1">
      <w:pPr>
        <w:spacing w:line="360" w:lineRule="auto"/>
        <w:ind w:firstLine="482" w:firstLineChars="200"/>
        <w:outlineLvl w:val="2"/>
        <w:rPr>
          <w:rFonts w:ascii="仿宋" w:hAnsi="仿宋" w:eastAsia="仿宋" w:cs="仿宋"/>
          <w:b/>
          <w:bCs/>
          <w:color w:val="auto"/>
          <w:sz w:val="24"/>
          <w:szCs w:val="24"/>
          <w:highlight w:val="none"/>
        </w:rPr>
      </w:pPr>
      <w:bookmarkStart w:id="21" w:name="_Toc22849"/>
      <w:bookmarkStart w:id="22" w:name="_Toc19716"/>
      <w:r>
        <w:rPr>
          <w:rFonts w:hint="eastAsia" w:ascii="仿宋" w:hAnsi="仿宋" w:eastAsia="仿宋" w:cs="仿宋"/>
          <w:b/>
          <w:bCs/>
          <w:color w:val="auto"/>
          <w:sz w:val="24"/>
          <w:szCs w:val="24"/>
          <w:highlight w:val="none"/>
        </w:rPr>
        <w:t>2、响应文件的语言、计量单位、货币和编制</w:t>
      </w:r>
      <w:bookmarkEnd w:id="21"/>
      <w:bookmarkEnd w:id="22"/>
    </w:p>
    <w:p w14:paraId="0993BBE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提交的响应文件、技术文件和资料，包括相关说明，以及供应商与采购代理机构和采购人就有关磋商的所有来往函电均应使用中文。响应文件中若有英文或其他语言文字的资料，应提供相应的中文翻译资料。对不同文本响应文件的解释发生异议的，以中文文本为准。</w:t>
      </w:r>
    </w:p>
    <w:p w14:paraId="0C7754F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供应商所使用的计量单位应为国家法定计量单位。</w:t>
      </w:r>
    </w:p>
    <w:p w14:paraId="012E6FB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供应商应用人民币报价，响应文件报价出现前后不一致的，按照下列规定修正：</w:t>
      </w:r>
    </w:p>
    <w:p w14:paraId="1806163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（1）磋商申请及声明内容与响应文件中相应内容不一致的，以磋商申请及声明为准；</w:t>
      </w:r>
    </w:p>
    <w:p w14:paraId="7AB4637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875F55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（3）单价金额小数点或者百分比有明显错位的，以磋商申请及声明的总价为准，并修改单价</w:t>
      </w:r>
    </w:p>
    <w:p w14:paraId="1AAB5A9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6E3FF24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（5）同时出现两种以上不一致的，按照前款规定的顺序修正。修正后的报价按照2.4要求的规定进行确认后产生约束力，供应商不确认的，其响应无效。</w:t>
      </w:r>
    </w:p>
    <w:p w14:paraId="0FE8523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 响应文件应字迹清楚、内容齐全，不应有涂改、增删之处，如必须修改时，修改处必须有供应商公章或供应商法定代表人或授权代表签字。</w:t>
      </w:r>
    </w:p>
    <w:p w14:paraId="5560E0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 响应文件的编制应当按照磋商文件统一规定的格式</w:t>
      </w:r>
      <w:r>
        <w:rPr>
          <w:rFonts w:hint="eastAsia" w:ascii="仿宋" w:hAnsi="仿宋" w:eastAsia="仿宋" w:cs="仿宋"/>
          <w:b/>
          <w:bCs/>
          <w:color w:val="auto"/>
          <w:sz w:val="24"/>
          <w:szCs w:val="24"/>
          <w:highlight w:val="none"/>
        </w:rPr>
        <w:t>（规定格式中要求盖章或签字的，则必须盖章或签字）</w:t>
      </w:r>
      <w:r>
        <w:rPr>
          <w:rFonts w:hint="eastAsia" w:ascii="仿宋" w:hAnsi="仿宋" w:eastAsia="仿宋" w:cs="仿宋"/>
          <w:color w:val="auto"/>
          <w:sz w:val="24"/>
          <w:szCs w:val="24"/>
          <w:highlight w:val="none"/>
        </w:rPr>
        <w:t>，供应商可根据自身实际情况进行添加调整。响应文件统一用A4规格幅面打印、装订成册并编制目录，由于编排混乱导致响应文件被误读或查找不到，责任由供应商承担。</w:t>
      </w:r>
    </w:p>
    <w:p w14:paraId="4ED84C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 供应商应在响应文件中写清相应的项目编号、项目名称、供应商全称、地址、电话等，每份纸质文件须清楚标明“正本”或“副本” 字样。如有必要，可以增加附页，作为响应文件的组成部分。</w:t>
      </w:r>
    </w:p>
    <w:p w14:paraId="19EA7B9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 供应商应将响应文件用档案袋或封套密封，封面并注明项目编号、项目名称、供应商地址、供应商全称等；</w:t>
      </w:r>
    </w:p>
    <w:p w14:paraId="4EDE7E6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 纸质响应文件一式 叁 份（正本 壹 份、副本 贰 份），电子版响应文件 壹 份。当电子版文件和纸质正本文件不一致时，以纸质正本文件为准。电子版文件用于辅助评审和存档，供应商需承担前述不一致造成的不利后果。</w:t>
      </w:r>
    </w:p>
    <w:p w14:paraId="161377DF">
      <w:pPr>
        <w:spacing w:line="360" w:lineRule="auto"/>
        <w:ind w:firstLine="482" w:firstLineChars="200"/>
        <w:outlineLvl w:val="2"/>
        <w:rPr>
          <w:rFonts w:ascii="仿宋" w:hAnsi="仿宋" w:eastAsia="仿宋" w:cs="仿宋"/>
          <w:b/>
          <w:bCs/>
          <w:color w:val="auto"/>
          <w:sz w:val="24"/>
          <w:szCs w:val="24"/>
          <w:highlight w:val="none"/>
        </w:rPr>
      </w:pPr>
      <w:bookmarkStart w:id="23" w:name="_Toc31613"/>
      <w:bookmarkStart w:id="24" w:name="_Toc20050"/>
      <w:r>
        <w:rPr>
          <w:rFonts w:hint="eastAsia" w:ascii="仿宋" w:hAnsi="仿宋" w:eastAsia="仿宋" w:cs="仿宋"/>
          <w:b/>
          <w:bCs/>
          <w:color w:val="auto"/>
          <w:sz w:val="24"/>
          <w:szCs w:val="24"/>
          <w:highlight w:val="none"/>
        </w:rPr>
        <w:t>3、响应文件的组成</w:t>
      </w:r>
      <w:bookmarkEnd w:id="23"/>
      <w:bookmarkEnd w:id="24"/>
    </w:p>
    <w:p w14:paraId="1B8A97D6">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供应商应当根据磋商文件要求编制响应文件，并根据自己的商务能力、技术水平对磋商文件提出的要求和条件逐条标明是否响应。响应文件由商务部分、技术部分、价格部分，以及其他部分组成。</w:t>
      </w:r>
    </w:p>
    <w:p w14:paraId="16F66946">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响应文件的商务部分</w:t>
      </w:r>
    </w:p>
    <w:p w14:paraId="3BE6FC9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商务部分是证明供应商有资格参加磋商和成交后有能力履行合同的文件，这些文件应能满足竞争性磋商采购文件的要求，包括但不限于下列文件，其中加★项目不得有缺失或无效：</w:t>
      </w:r>
    </w:p>
    <w:p w14:paraId="64B766FF">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（1）★磋商申请及声明；</w:t>
      </w:r>
    </w:p>
    <w:p w14:paraId="4B2E399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（2）★法定代表人授权委托书及委托代理人的身份证复印件；</w:t>
      </w:r>
    </w:p>
    <w:p w14:paraId="156B2CC7">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（3）★第一章竞争性磋商公告中“2.落实政府采购政策需满足的资格要求” 的证明文件；</w:t>
      </w:r>
    </w:p>
    <w:p w14:paraId="2878B07A">
      <w:pPr>
        <w:keepNext/>
        <w:keepLines/>
        <w:autoSpaceDE w:val="0"/>
        <w:autoSpaceDN w:val="0"/>
        <w:spacing w:line="360" w:lineRule="auto"/>
        <w:ind w:firstLine="482" w:firstLineChars="200"/>
        <w:rPr>
          <w:rFonts w:ascii="仿宋" w:hAnsi="仿宋" w:eastAsia="仿宋" w:cs="仿宋"/>
          <w:color w:val="auto"/>
          <w:highlight w:val="none"/>
        </w:rPr>
      </w:pPr>
      <w:r>
        <w:rPr>
          <w:rFonts w:hint="eastAsia" w:ascii="仿宋" w:hAnsi="仿宋" w:eastAsia="仿宋" w:cs="仿宋"/>
          <w:b/>
          <w:bCs/>
          <w:color w:val="auto"/>
          <w:sz w:val="24"/>
          <w:szCs w:val="24"/>
          <w:highlight w:val="none"/>
        </w:rPr>
        <w:t>（4）★第一章竞争性磋商公告中“3.本项目的特定资格要求”的证明文件；</w:t>
      </w:r>
    </w:p>
    <w:p w14:paraId="3E5D5E94">
      <w:pPr>
        <w:autoSpaceDE w:val="0"/>
        <w:autoSpaceDN w:val="0"/>
        <w:adjustRightIn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（5）★《南京市政府采购供应商信用记录表暨信用承诺书》</w:t>
      </w:r>
      <w:r>
        <w:rPr>
          <w:rFonts w:hint="eastAsia" w:ascii="仿宋" w:hAnsi="仿宋" w:eastAsia="仿宋" w:cs="仿宋"/>
          <w:b/>
          <w:bCs/>
          <w:color w:val="auto"/>
          <w:sz w:val="24"/>
          <w:highlight w:val="none"/>
        </w:rPr>
        <w:t>及供应商在有效经营期内的营业执照复印件</w:t>
      </w:r>
      <w:r>
        <w:rPr>
          <w:rFonts w:hint="eastAsia" w:ascii="仿宋" w:hAnsi="仿宋" w:eastAsia="仿宋" w:cs="仿宋"/>
          <w:b/>
          <w:bCs/>
          <w:color w:val="auto"/>
          <w:sz w:val="24"/>
          <w:highlight w:val="none"/>
          <w:lang w:val="zh-CN"/>
        </w:rPr>
        <w:t>；（</w:t>
      </w:r>
      <w:r>
        <w:rPr>
          <w:rFonts w:hint="eastAsia" w:ascii="仿宋" w:hAnsi="仿宋" w:eastAsia="仿宋" w:cs="仿宋"/>
          <w:b/>
          <w:bCs/>
          <w:color w:val="auto"/>
          <w:sz w:val="24"/>
          <w:highlight w:val="none"/>
        </w:rPr>
        <w:t>不得以信用承诺书替代的供应商须按照磋商文件第六章要求提供证明材料）</w:t>
      </w:r>
      <w:r>
        <w:rPr>
          <w:rFonts w:hint="eastAsia" w:ascii="仿宋" w:hAnsi="仿宋" w:eastAsia="仿宋" w:cs="仿宋"/>
          <w:b/>
          <w:bCs/>
          <w:color w:val="auto"/>
          <w:sz w:val="24"/>
          <w:szCs w:val="24"/>
          <w:highlight w:val="none"/>
        </w:rPr>
        <w:t>；</w:t>
      </w:r>
    </w:p>
    <w:p w14:paraId="79A83C5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（6）供应商认为需要提供的其他资格证明文件和商务资料；</w:t>
      </w:r>
    </w:p>
    <w:p w14:paraId="3FD97CF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《商务条款偏离表》。</w:t>
      </w:r>
    </w:p>
    <w:p w14:paraId="7B08C1F8">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响应文件的技术部分</w:t>
      </w:r>
    </w:p>
    <w:p w14:paraId="2AE8FFF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3.3.1 技术部分是证明供应商提供的货物和服务是合格的，并符合磋商文件要求的证明文件，以及对货物和服务的详细说明，这些文件可以是文字资料、图纸（表）和数据等；</w:t>
      </w:r>
    </w:p>
    <w:p w14:paraId="7A697D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3.3.2 若技术性能无特殊说明，则按国家有关部门最新颁布的标准及规范为准；</w:t>
      </w:r>
    </w:p>
    <w:p w14:paraId="0377C7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3.3.3 提供的货物和服务如与磋商文件要求有不符之处，应说明其差别之所在，并在《技术条款偏离表》中逐条予以说明；</w:t>
      </w:r>
    </w:p>
    <w:p w14:paraId="58EC8A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3.3.4 响应文件应按照磋商文件要求提供技术资料、文件和有关证明，包括但不限于下列文件，</w:t>
      </w:r>
      <w:r>
        <w:rPr>
          <w:rFonts w:hint="eastAsia" w:ascii="仿宋" w:hAnsi="仿宋" w:eastAsia="仿宋" w:cs="仿宋"/>
          <w:b/>
          <w:bCs/>
          <w:color w:val="auto"/>
          <w:sz w:val="24"/>
          <w:szCs w:val="24"/>
          <w:highlight w:val="none"/>
        </w:rPr>
        <w:t>其中加“★”项目不得有缺失或无效</w:t>
      </w:r>
      <w:r>
        <w:rPr>
          <w:rFonts w:hint="eastAsia" w:ascii="仿宋" w:hAnsi="仿宋" w:eastAsia="仿宋" w:cs="仿宋"/>
          <w:color w:val="auto"/>
          <w:sz w:val="24"/>
          <w:szCs w:val="24"/>
          <w:highlight w:val="none"/>
        </w:rPr>
        <w:t>：</w:t>
      </w:r>
    </w:p>
    <w:p w14:paraId="453FCA8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（1）★项目的技术说明或实施方案；</w:t>
      </w:r>
    </w:p>
    <w:p w14:paraId="5D3F246D">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（2）★《技术条款偏离表》；</w:t>
      </w:r>
    </w:p>
    <w:p w14:paraId="1ED5665E">
      <w:pPr>
        <w:widowControl/>
        <w:ind w:firstLine="482" w:firstLineChars="200"/>
        <w:jc w:val="left"/>
        <w:rPr>
          <w:rFonts w:ascii="宋体" w:hAnsi="宋体" w:eastAsia="仿宋"/>
          <w:b/>
          <w:color w:val="auto"/>
          <w:szCs w:val="21"/>
          <w:highlight w:val="none"/>
        </w:rPr>
      </w:pPr>
      <w:r>
        <w:rPr>
          <w:rFonts w:hint="eastAsia" w:ascii="仿宋" w:hAnsi="仿宋" w:eastAsia="仿宋" w:cs="仿宋"/>
          <w:b/>
          <w:bCs/>
          <w:color w:val="auto"/>
          <w:sz w:val="24"/>
          <w:szCs w:val="24"/>
          <w:highlight w:val="none"/>
        </w:rPr>
        <w:t>（3）★服务承诺（第四章 竞争性磋商项目需求 三、服务要求加“★”条款</w:t>
      </w:r>
    </w:p>
    <w:p w14:paraId="41EE9394">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p>
    <w:p w14:paraId="5CBE88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（4）验收标准、技术资料；</w:t>
      </w:r>
    </w:p>
    <w:p w14:paraId="4281547F">
      <w:pPr>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（5）供应商认为需要提供的其他技术资料等</w:t>
      </w:r>
      <w:r>
        <w:rPr>
          <w:rFonts w:hint="eastAsia" w:ascii="仿宋" w:hAnsi="仿宋" w:eastAsia="仿宋" w:cs="仿宋"/>
          <w:b/>
          <w:bCs/>
          <w:color w:val="auto"/>
          <w:sz w:val="24"/>
          <w:szCs w:val="24"/>
          <w:highlight w:val="none"/>
        </w:rPr>
        <w:t>。</w:t>
      </w:r>
    </w:p>
    <w:p w14:paraId="3EB0472B">
      <w:pPr>
        <w:spacing w:line="360" w:lineRule="auto"/>
        <w:ind w:firstLine="482" w:firstLineChars="200"/>
        <w:outlineLvl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 响应文件的价格部分</w:t>
      </w:r>
    </w:p>
    <w:p w14:paraId="0C6F675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（1）价格部分是对服务价格构成的说明，磋商文件如没有特别说明的话，对每一项服务仅接受一个价格。</w:t>
      </w:r>
    </w:p>
    <w:p w14:paraId="7B7D835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（2）报价应包含完成本服务项目发生的所有含税费用、支付给员工的工资和国家强制缴纳的各种社会保障资金，以及供应商认为需要的其他费用等。</w:t>
      </w:r>
    </w:p>
    <w:p w14:paraId="3207EBA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（3）供应商应充分考虑到市场价格变动，以及项目实施过程中的不可预见因素，一旦成交，总价格不变。如果有漏项，视同让利。</w:t>
      </w:r>
    </w:p>
    <w:p w14:paraId="2A2283E0">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（4）供应商应在《报价表》、《分项报价表》等标明提供货物或服务的单价、总价以及分项报价。</w:t>
      </w:r>
    </w:p>
    <w:p w14:paraId="7882AA2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（5）经磋商后，如果成交价高于或低于供应商在响应文件首次报价的，分项报价同比例调整。</w:t>
      </w:r>
    </w:p>
    <w:p w14:paraId="08269228">
      <w:pPr>
        <w:spacing w:line="360" w:lineRule="auto"/>
        <w:ind w:firstLine="482" w:firstLineChars="200"/>
        <w:outlineLvl w:val="3"/>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3.5 响应文件的其他部分。</w:t>
      </w:r>
      <w:r>
        <w:rPr>
          <w:rFonts w:hint="eastAsia" w:ascii="仿宋" w:hAnsi="仿宋" w:eastAsia="仿宋" w:cs="仿宋"/>
          <w:color w:val="auto"/>
          <w:sz w:val="24"/>
          <w:szCs w:val="24"/>
          <w:highlight w:val="none"/>
        </w:rPr>
        <w:t>其他部分由供应商根据编制响应文件需要提供的其他相关文件。</w:t>
      </w:r>
    </w:p>
    <w:p w14:paraId="3662D894">
      <w:pPr>
        <w:spacing w:line="360" w:lineRule="auto"/>
        <w:ind w:firstLine="480" w:firstLineChars="200"/>
        <w:outlineLvl w:val="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 磋商保证金：本项目不设磋商保证金。</w:t>
      </w:r>
    </w:p>
    <w:p w14:paraId="7AEC758C">
      <w:pPr>
        <w:spacing w:line="360" w:lineRule="auto"/>
        <w:ind w:firstLine="482" w:firstLineChars="200"/>
        <w:outlineLvl w:val="1"/>
        <w:rPr>
          <w:rFonts w:ascii="仿宋" w:hAnsi="仿宋" w:eastAsia="仿宋" w:cs="仿宋"/>
          <w:b/>
          <w:bCs/>
          <w:color w:val="auto"/>
          <w:sz w:val="24"/>
          <w:szCs w:val="24"/>
          <w:highlight w:val="none"/>
        </w:rPr>
      </w:pPr>
      <w:bookmarkStart w:id="25" w:name="_Toc28102"/>
      <w:bookmarkStart w:id="26" w:name="_Toc3990"/>
      <w:r>
        <w:rPr>
          <w:rFonts w:hint="eastAsia" w:ascii="仿宋" w:hAnsi="仿宋" w:eastAsia="仿宋" w:cs="仿宋"/>
          <w:b/>
          <w:bCs/>
          <w:color w:val="auto"/>
          <w:sz w:val="24"/>
          <w:szCs w:val="24"/>
          <w:highlight w:val="none"/>
        </w:rPr>
        <w:t>三、响应文件签署与提交</w:t>
      </w:r>
      <w:bookmarkEnd w:id="25"/>
      <w:bookmarkEnd w:id="26"/>
    </w:p>
    <w:p w14:paraId="57F3FC41">
      <w:pPr>
        <w:spacing w:line="360" w:lineRule="auto"/>
        <w:ind w:firstLine="482" w:firstLineChars="200"/>
        <w:outlineLvl w:val="2"/>
        <w:rPr>
          <w:rFonts w:ascii="仿宋" w:hAnsi="仿宋" w:eastAsia="仿宋" w:cs="仿宋"/>
          <w:b/>
          <w:bCs/>
          <w:color w:val="auto"/>
          <w:sz w:val="24"/>
          <w:szCs w:val="24"/>
          <w:highlight w:val="none"/>
        </w:rPr>
      </w:pPr>
      <w:bookmarkStart w:id="27" w:name="_Toc11667"/>
      <w:bookmarkStart w:id="28" w:name="_Toc9406"/>
      <w:r>
        <w:rPr>
          <w:rFonts w:hint="eastAsia" w:ascii="仿宋" w:hAnsi="仿宋" w:eastAsia="仿宋" w:cs="仿宋"/>
          <w:b/>
          <w:bCs/>
          <w:color w:val="auto"/>
          <w:sz w:val="24"/>
          <w:szCs w:val="24"/>
          <w:highlight w:val="none"/>
        </w:rPr>
        <w:t>1、响应文件的正本和副本均由供应商法定代表人或经正式授权并对供应商有约束力的委托代理人用不褪色墨水书写签署。</w:t>
      </w:r>
      <w:bookmarkEnd w:id="27"/>
      <w:bookmarkEnd w:id="28"/>
    </w:p>
    <w:p w14:paraId="71D2E987">
      <w:pPr>
        <w:spacing w:line="360" w:lineRule="auto"/>
        <w:ind w:firstLine="482" w:firstLineChars="200"/>
        <w:outlineLvl w:val="2"/>
        <w:rPr>
          <w:rFonts w:ascii="仿宋" w:hAnsi="仿宋" w:eastAsia="仿宋" w:cs="仿宋"/>
          <w:b/>
          <w:bCs/>
          <w:color w:val="auto"/>
          <w:sz w:val="24"/>
          <w:szCs w:val="24"/>
          <w:highlight w:val="none"/>
        </w:rPr>
      </w:pPr>
      <w:bookmarkStart w:id="29" w:name="_Toc9389"/>
      <w:bookmarkStart w:id="30" w:name="_Toc402"/>
      <w:r>
        <w:rPr>
          <w:rFonts w:hint="eastAsia" w:ascii="仿宋" w:hAnsi="仿宋" w:eastAsia="仿宋" w:cs="仿宋"/>
          <w:b/>
          <w:bCs/>
          <w:color w:val="auto"/>
          <w:sz w:val="24"/>
          <w:szCs w:val="24"/>
          <w:highlight w:val="none"/>
        </w:rPr>
        <w:t>2、供应商应当在磋商文件要求提交响应文件的截止时间前，将响应文件密封送达指定地点。</w:t>
      </w:r>
      <w:bookmarkEnd w:id="29"/>
      <w:bookmarkEnd w:id="30"/>
    </w:p>
    <w:p w14:paraId="590BD8DC">
      <w:pPr>
        <w:spacing w:line="360" w:lineRule="auto"/>
        <w:ind w:firstLine="482" w:firstLineChars="200"/>
        <w:outlineLvl w:val="2"/>
        <w:rPr>
          <w:rFonts w:ascii="仿宋" w:hAnsi="仿宋" w:eastAsia="仿宋" w:cs="仿宋"/>
          <w:color w:val="auto"/>
          <w:sz w:val="24"/>
          <w:szCs w:val="24"/>
          <w:highlight w:val="none"/>
        </w:rPr>
      </w:pPr>
      <w:bookmarkStart w:id="31" w:name="_Toc9295"/>
      <w:bookmarkStart w:id="32" w:name="_Toc10463"/>
      <w:r>
        <w:rPr>
          <w:rFonts w:hint="eastAsia" w:ascii="仿宋" w:hAnsi="仿宋" w:eastAsia="仿宋" w:cs="仿宋"/>
          <w:b/>
          <w:bCs/>
          <w:color w:val="auto"/>
          <w:sz w:val="24"/>
          <w:szCs w:val="24"/>
          <w:highlight w:val="none"/>
        </w:rPr>
        <w:t>3、有下列情形之一的响应文件将拒收：</w:t>
      </w:r>
      <w:r>
        <w:rPr>
          <w:rFonts w:hint="eastAsia" w:ascii="仿宋" w:hAnsi="仿宋" w:eastAsia="仿宋" w:cs="仿宋"/>
          <w:color w:val="auto"/>
          <w:sz w:val="24"/>
          <w:szCs w:val="24"/>
          <w:highlight w:val="none"/>
        </w:rPr>
        <w:t>逾期送达或者未按照竞争性磋商文件编制要求提交的响应文件。</w:t>
      </w:r>
      <w:bookmarkEnd w:id="31"/>
      <w:bookmarkEnd w:id="32"/>
    </w:p>
    <w:p w14:paraId="243B5F78">
      <w:pPr>
        <w:spacing w:line="360" w:lineRule="auto"/>
        <w:ind w:firstLine="482" w:firstLineChars="200"/>
        <w:outlineLvl w:val="1"/>
        <w:rPr>
          <w:rFonts w:ascii="仿宋" w:hAnsi="仿宋" w:eastAsia="仿宋" w:cs="仿宋"/>
          <w:b/>
          <w:bCs/>
          <w:color w:val="auto"/>
          <w:sz w:val="24"/>
          <w:szCs w:val="24"/>
          <w:highlight w:val="none"/>
        </w:rPr>
      </w:pPr>
      <w:bookmarkStart w:id="33" w:name="_Toc5405"/>
      <w:bookmarkStart w:id="34" w:name="_Toc2484"/>
      <w:r>
        <w:rPr>
          <w:rFonts w:hint="eastAsia" w:ascii="仿宋" w:hAnsi="仿宋" w:eastAsia="仿宋" w:cs="仿宋"/>
          <w:b/>
          <w:bCs/>
          <w:color w:val="auto"/>
          <w:sz w:val="24"/>
          <w:szCs w:val="24"/>
          <w:highlight w:val="none"/>
        </w:rPr>
        <w:t>四、磋商</w:t>
      </w:r>
      <w:bookmarkEnd w:id="33"/>
      <w:bookmarkEnd w:id="34"/>
    </w:p>
    <w:p w14:paraId="3B14677A">
      <w:pPr>
        <w:spacing w:line="360" w:lineRule="auto"/>
        <w:ind w:firstLine="482" w:firstLineChars="200"/>
        <w:outlineLvl w:val="2"/>
        <w:rPr>
          <w:rFonts w:ascii="仿宋" w:hAnsi="仿宋" w:eastAsia="仿宋" w:cs="仿宋"/>
          <w:b/>
          <w:bCs/>
          <w:color w:val="auto"/>
          <w:sz w:val="24"/>
          <w:szCs w:val="24"/>
          <w:highlight w:val="none"/>
        </w:rPr>
      </w:pPr>
      <w:bookmarkStart w:id="35" w:name="_Toc24869"/>
      <w:bookmarkStart w:id="36" w:name="_Toc27031"/>
      <w:r>
        <w:rPr>
          <w:rFonts w:hint="eastAsia" w:ascii="仿宋" w:hAnsi="仿宋" w:eastAsia="仿宋" w:cs="仿宋"/>
          <w:b/>
          <w:bCs/>
          <w:color w:val="auto"/>
          <w:sz w:val="24"/>
          <w:szCs w:val="24"/>
          <w:highlight w:val="none"/>
        </w:rPr>
        <w:t>1、联合体（本项目不接受）</w:t>
      </w:r>
      <w:bookmarkEnd w:id="35"/>
      <w:bookmarkEnd w:id="36"/>
    </w:p>
    <w:p w14:paraId="3294157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（1）两个以上的自然人、法人或者其他组织可以组成一个联合体，以一个供应商的身份共同参加政府采购。</w:t>
      </w:r>
    </w:p>
    <w:p w14:paraId="781DCC3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（2）鼓励大中型企业和其他自然人、法人或者其他组织与小型、微型企业组成联合体共同参加非专门面向中小企业的政府采购活动。</w:t>
      </w:r>
    </w:p>
    <w:p w14:paraId="7623FB8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以联合体形式参加采购的，联合体各方均应当符合政府采购法第二十二条第一款规定的条件要求；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4D2FE4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（4）联合体各方之间应当签订联合体协议，明确约定联合体各方承担的工作和相应的责任，并将联合体协议连同响应文件一并提交。</w:t>
      </w:r>
    </w:p>
    <w:p w14:paraId="03581BB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（5）以联合体形式参加政府采购活动的，联合体各方不得再单独参加或者与其他供应商另外组成联合体参加同一合同项下的政府采购活动。</w:t>
      </w:r>
    </w:p>
    <w:p w14:paraId="77A104FE">
      <w:pPr>
        <w:spacing w:line="360" w:lineRule="auto"/>
        <w:ind w:firstLine="482" w:firstLineChars="200"/>
        <w:outlineLvl w:val="2"/>
        <w:rPr>
          <w:rFonts w:ascii="仿宋" w:hAnsi="仿宋" w:eastAsia="仿宋" w:cs="仿宋"/>
          <w:b/>
          <w:bCs/>
          <w:color w:val="auto"/>
          <w:sz w:val="24"/>
          <w:szCs w:val="24"/>
          <w:highlight w:val="none"/>
        </w:rPr>
      </w:pPr>
      <w:bookmarkStart w:id="37" w:name="_Toc26229"/>
      <w:bookmarkStart w:id="38" w:name="_Toc8617"/>
      <w:r>
        <w:rPr>
          <w:rFonts w:hint="eastAsia" w:ascii="仿宋" w:hAnsi="仿宋" w:eastAsia="仿宋" w:cs="仿宋"/>
          <w:b/>
          <w:bCs/>
          <w:color w:val="auto"/>
          <w:sz w:val="24"/>
          <w:szCs w:val="24"/>
          <w:highlight w:val="none"/>
        </w:rPr>
        <w:t>2、磋商组织</w:t>
      </w:r>
      <w:bookmarkEnd w:id="37"/>
      <w:bookmarkEnd w:id="38"/>
    </w:p>
    <w:p w14:paraId="647ECBC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在提交响应文件时间截止后，采购代理机构在规定的时间和地点组织磋商小组分别与供应商进行磋商。</w:t>
      </w:r>
    </w:p>
    <w:p w14:paraId="3A1D07F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磋商工作由采购代理机构负责组织，具体磋商事务由依法组建的磋商小组负责。</w:t>
      </w:r>
    </w:p>
    <w:p w14:paraId="5F573422">
      <w:pPr>
        <w:spacing w:line="360" w:lineRule="auto"/>
        <w:ind w:firstLine="482" w:firstLineChars="200"/>
        <w:outlineLvl w:val="2"/>
        <w:rPr>
          <w:rFonts w:ascii="仿宋" w:hAnsi="仿宋" w:eastAsia="仿宋" w:cs="仿宋"/>
          <w:b/>
          <w:bCs/>
          <w:color w:val="auto"/>
          <w:sz w:val="24"/>
          <w:szCs w:val="24"/>
          <w:highlight w:val="none"/>
        </w:rPr>
      </w:pPr>
      <w:bookmarkStart w:id="39" w:name="_Toc1872"/>
      <w:bookmarkStart w:id="40" w:name="_Toc6753"/>
      <w:r>
        <w:rPr>
          <w:rFonts w:hint="eastAsia" w:ascii="仿宋" w:hAnsi="仿宋" w:eastAsia="仿宋" w:cs="仿宋"/>
          <w:b/>
          <w:bCs/>
          <w:color w:val="auto"/>
          <w:sz w:val="24"/>
          <w:szCs w:val="24"/>
          <w:highlight w:val="none"/>
        </w:rPr>
        <w:t>3、磋商程序</w:t>
      </w:r>
      <w:bookmarkEnd w:id="39"/>
      <w:bookmarkEnd w:id="40"/>
    </w:p>
    <w:p w14:paraId="6944CAC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1EF4DF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磋商小组所有成员集中与单一供应商分别进行磋商，所有参加磋商的供应商均有同等的磋商机会。</w:t>
      </w:r>
    </w:p>
    <w:p w14:paraId="395C2BA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8C95C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7E41B2B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 供应商应当按照磋商文件的变动情况和磋商小组的要求重新提交响应文件，对原响应文件进行技术、商务、价格修正，重新提交的响应文件应当实质性响应本磋商文件以及对磋商文件作出的实质性变动，并按磋商文件的规定进行签署。重新提交的响应文件与原响应文件不一致的，以重新提交的响应文件为准。不按要求签署或者逾期未提交响应文件的，视同放弃磋商。</w:t>
      </w:r>
    </w:p>
    <w:p w14:paraId="45A946A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 已提交响应文件的供应商，在提交最后报价之前，可以根据磋商情况退出磋商。</w:t>
      </w:r>
    </w:p>
    <w:p w14:paraId="46B25F1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 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6CB01FF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59120D2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E8B3FA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号）第三条第四款的规定，市场竞争不充分的科研项目，以及需要扶持的科技成果转化项目，提交最后报价的供应商可以为2家，磋商小组将根据供应商最后得分由高到低的顺序推荐2名及以上成交候选供应商。</w:t>
      </w:r>
    </w:p>
    <w:p w14:paraId="24AA212F">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3.8 出现下列情形之一的响应文件按照无效处理：</w:t>
      </w:r>
    </w:p>
    <w:p w14:paraId="1720A1E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（1）针对本章 “二、响应文件编制”中的“</w:t>
      </w:r>
      <w:r>
        <w:rPr>
          <w:rFonts w:hint="eastAsia" w:ascii="仿宋" w:hAnsi="仿宋" w:eastAsia="仿宋" w:cs="仿宋"/>
          <w:b/>
          <w:bCs/>
          <w:color w:val="auto"/>
          <w:sz w:val="24"/>
          <w:szCs w:val="24"/>
          <w:highlight w:val="none"/>
        </w:rPr>
        <w:t>3.2响应文件的商务部分</w:t>
      </w:r>
      <w:r>
        <w:rPr>
          <w:rFonts w:hint="eastAsia" w:ascii="仿宋" w:hAnsi="仿宋" w:eastAsia="仿宋" w:cs="仿宋"/>
          <w:color w:val="auto"/>
          <w:sz w:val="24"/>
          <w:szCs w:val="24"/>
          <w:highlight w:val="none"/>
        </w:rPr>
        <w:t>”和“</w:t>
      </w:r>
      <w:r>
        <w:rPr>
          <w:rFonts w:hint="eastAsia" w:ascii="仿宋" w:hAnsi="仿宋" w:eastAsia="仿宋" w:cs="仿宋"/>
          <w:b/>
          <w:bCs/>
          <w:color w:val="auto"/>
          <w:sz w:val="24"/>
          <w:szCs w:val="24"/>
          <w:highlight w:val="none"/>
        </w:rPr>
        <w:t>3.3响应文件的技术部分</w:t>
      </w:r>
      <w:r>
        <w:rPr>
          <w:rFonts w:hint="eastAsia" w:ascii="仿宋" w:hAnsi="仿宋" w:eastAsia="仿宋" w:cs="仿宋"/>
          <w:color w:val="auto"/>
          <w:sz w:val="24"/>
          <w:szCs w:val="24"/>
          <w:highlight w:val="none"/>
        </w:rPr>
        <w:t>”中加★项要求，响应文件提供的证明材料缺失或无效的；</w:t>
      </w:r>
    </w:p>
    <w:p w14:paraId="7172AD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（2）响应文件未按照磋商文件规定要求签署、盖章的；</w:t>
      </w:r>
    </w:p>
    <w:p w14:paraId="70A5090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（3）纸质响应文件未清楚标明“正本”或“副本”；</w:t>
      </w:r>
    </w:p>
    <w:p w14:paraId="3AA50C8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（4）响应文件未响应采购项目需求中规定的实质性要求的；</w:t>
      </w:r>
    </w:p>
    <w:p w14:paraId="626BA72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（5）响应文件未详细阐述服务内容，而是直接拷贝采购文件技术要求的；</w:t>
      </w:r>
    </w:p>
    <w:p w14:paraId="092C58B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（6）投标总报价超过项目预算金额或最高限价；</w:t>
      </w:r>
    </w:p>
    <w:p w14:paraId="1FC708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（7）投标报价存在缺项、漏项；</w:t>
      </w:r>
    </w:p>
    <w:p w14:paraId="281C09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（8）磋商小组认为供应商的报价明显低于其他供应商的报价，有可能影响服务质量或者不能诚信履约的，供应商未在磋商现场合理的时间内提供书面说明或相关证明材料，不能证明其报价合理的；</w:t>
      </w:r>
    </w:p>
    <w:p w14:paraId="0C76F7D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（9）响应文件含有采购人不能接受的附加条件的；</w:t>
      </w:r>
    </w:p>
    <w:p w14:paraId="56A801C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（10）不同供应商的响应文件由同一单位或者个人编制；</w:t>
      </w:r>
    </w:p>
    <w:p w14:paraId="16C2C0E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（11）不同供应商委托同一单位或者个人办理投标事宜；</w:t>
      </w:r>
    </w:p>
    <w:p w14:paraId="6E25244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（12）不同供应商的响应文件载明的项目管理成员或联系人员为同一人；</w:t>
      </w:r>
    </w:p>
    <w:p w14:paraId="65CC898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（13）不同供应商的响应文件异常一致或者投标报价呈规律性差异；</w:t>
      </w:r>
    </w:p>
    <w:p w14:paraId="72421EB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（14）不同供应商的响应文件相互混装；</w:t>
      </w:r>
    </w:p>
    <w:p w14:paraId="27FD575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（15）为本采购项目提供整体设计、规范编制或者项目管理、监理、检测等服务的供应商参加该采购项目的其他采购活动；</w:t>
      </w:r>
    </w:p>
    <w:p w14:paraId="09ED9A7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（16）不同供应商的法定代表人或委托代理人有夫妻、直系血亲关系；</w:t>
      </w:r>
    </w:p>
    <w:p w14:paraId="734B32E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（17）不同供应商的负责人为同一人或者存在控股、管理关系的；</w:t>
      </w:r>
    </w:p>
    <w:p w14:paraId="7FA8F1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4B49AAF3">
      <w:pPr>
        <w:pStyle w:val="3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（19）未提供《南京市政府采购供应商信用记录表暨信用承诺书》；</w:t>
      </w:r>
    </w:p>
    <w:p w14:paraId="4689ED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（20）法律、法规和磋商文件规定的其他无效情形。</w:t>
      </w:r>
    </w:p>
    <w:p w14:paraId="0EC6C42F">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3.9 出现下列情形之一的，磋商终止：</w:t>
      </w:r>
    </w:p>
    <w:p w14:paraId="2A0D1A4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（1）因情况变化，不再符合规定的竞争性磋商采购方式适用情形的；</w:t>
      </w:r>
    </w:p>
    <w:p w14:paraId="6C34E69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（2）所有供应商的响应文件被磋商小组认定为无效的；</w:t>
      </w:r>
    </w:p>
    <w:p w14:paraId="4ABDD69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（3）出现影响采购公正的违法、违规行为的；</w:t>
      </w:r>
    </w:p>
    <w:p w14:paraId="7DD5CE6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（4）所有供应商的最终报价均超过采购文件中规定的项目预算或者最高限价的；</w:t>
      </w:r>
    </w:p>
    <w:p w14:paraId="2AA0F5B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（5）因重大变故，采购任务取消的。</w:t>
      </w:r>
    </w:p>
    <w:p w14:paraId="7FB99EA9">
      <w:pPr>
        <w:spacing w:line="360" w:lineRule="auto"/>
        <w:ind w:firstLine="482" w:firstLineChars="200"/>
        <w:outlineLvl w:val="2"/>
        <w:rPr>
          <w:rFonts w:ascii="仿宋" w:hAnsi="仿宋" w:eastAsia="仿宋" w:cs="仿宋"/>
          <w:b/>
          <w:bCs/>
          <w:color w:val="auto"/>
          <w:sz w:val="24"/>
          <w:szCs w:val="24"/>
          <w:highlight w:val="none"/>
        </w:rPr>
      </w:pPr>
      <w:bookmarkStart w:id="41" w:name="_Toc22345"/>
      <w:bookmarkStart w:id="42" w:name="_Toc18727"/>
      <w:r>
        <w:rPr>
          <w:rFonts w:hint="eastAsia" w:ascii="仿宋" w:hAnsi="仿宋" w:eastAsia="仿宋" w:cs="仿宋"/>
          <w:b/>
          <w:bCs/>
          <w:color w:val="auto"/>
          <w:sz w:val="24"/>
          <w:szCs w:val="24"/>
          <w:highlight w:val="none"/>
        </w:rPr>
        <w:t>4、评审办法和标准</w:t>
      </w:r>
      <w:bookmarkEnd w:id="41"/>
      <w:bookmarkEnd w:id="42"/>
    </w:p>
    <w:p w14:paraId="2660A67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采用综合评分法。即在最大限度地满足竞争性磋商文件实质性要求前提下，按照磋商文件中规定的各项因素进行综合评审后，以评审总得分最高的供应商作为成交候选供应商或者成交供应商的评审方法。</w:t>
      </w:r>
    </w:p>
    <w:p w14:paraId="48BC6FF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评审办法和标准详见第三章。</w:t>
      </w:r>
    </w:p>
    <w:p w14:paraId="67435D34">
      <w:pPr>
        <w:spacing w:line="360" w:lineRule="auto"/>
        <w:ind w:firstLine="482" w:firstLineChars="200"/>
        <w:outlineLvl w:val="2"/>
        <w:rPr>
          <w:rFonts w:ascii="仿宋" w:hAnsi="仿宋" w:eastAsia="仿宋" w:cs="仿宋"/>
          <w:b/>
          <w:bCs/>
          <w:color w:val="auto"/>
          <w:sz w:val="24"/>
          <w:szCs w:val="24"/>
          <w:highlight w:val="none"/>
        </w:rPr>
      </w:pPr>
      <w:bookmarkStart w:id="43" w:name="_Toc16121"/>
      <w:bookmarkStart w:id="44" w:name="_Toc16622"/>
      <w:r>
        <w:rPr>
          <w:rFonts w:hint="eastAsia" w:ascii="仿宋" w:hAnsi="仿宋" w:eastAsia="仿宋" w:cs="仿宋"/>
          <w:b/>
          <w:bCs/>
          <w:color w:val="auto"/>
          <w:sz w:val="24"/>
          <w:szCs w:val="24"/>
          <w:highlight w:val="none"/>
        </w:rPr>
        <w:t>5、确定成交候选供应商</w:t>
      </w:r>
      <w:bookmarkEnd w:id="43"/>
      <w:bookmarkEnd w:id="44"/>
    </w:p>
    <w:p w14:paraId="412AC6A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在综合比较与评价后按照得分高低顺序对供应商进行排列。得分相同的，按报价由低到高顺序排列。得分且报价相同的，按技术指标优劣顺序排列。磋商小组将综合排名第一的供应商确定为成交候选供应商。</w:t>
      </w:r>
    </w:p>
    <w:p w14:paraId="4BA31B2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 磋商小组根据磋商过程和结果编写评审报告。</w:t>
      </w:r>
    </w:p>
    <w:p w14:paraId="48401B16">
      <w:pPr>
        <w:spacing w:line="360" w:lineRule="auto"/>
        <w:ind w:firstLine="482" w:firstLineChars="200"/>
        <w:outlineLvl w:val="2"/>
        <w:rPr>
          <w:rFonts w:ascii="仿宋" w:hAnsi="仿宋" w:eastAsia="仿宋" w:cs="仿宋"/>
          <w:b/>
          <w:bCs/>
          <w:color w:val="auto"/>
          <w:sz w:val="24"/>
          <w:szCs w:val="24"/>
          <w:highlight w:val="none"/>
        </w:rPr>
      </w:pPr>
      <w:bookmarkStart w:id="45" w:name="_Toc25534"/>
      <w:bookmarkStart w:id="46" w:name="_Toc12358"/>
      <w:r>
        <w:rPr>
          <w:rFonts w:hint="eastAsia" w:ascii="仿宋" w:hAnsi="仿宋" w:eastAsia="仿宋" w:cs="仿宋"/>
          <w:b/>
          <w:bCs/>
          <w:color w:val="auto"/>
          <w:sz w:val="24"/>
          <w:szCs w:val="24"/>
          <w:highlight w:val="none"/>
        </w:rPr>
        <w:t>6、确定成交供应商</w:t>
      </w:r>
      <w:bookmarkEnd w:id="45"/>
      <w:bookmarkEnd w:id="46"/>
    </w:p>
    <w:p w14:paraId="375B438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 评审结果确定后，采购人在评审现场可根据成交候选人名单委托授权磋商小组直接确定成交供应商。</w:t>
      </w:r>
    </w:p>
    <w:p w14:paraId="1ECE7E4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 采购人如未授权委托直接确定成交供应商的，采购代理机构将在评审结束后 2 个工作日内将评审报告送采购人确认。</w:t>
      </w:r>
    </w:p>
    <w:p w14:paraId="24424D6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 采购人在收到评审报告后 5 个工作日内，从评审报告提出的成交候选供应商中，按照排序由高到低的原则确定成交供应商。</w:t>
      </w:r>
    </w:p>
    <w:p w14:paraId="75F8AD5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6.4 成交供应商确定后，将在原政府采购信息发布媒体上公告，成交供应商应及时到采购代理机构号领取成交通知书。</w:t>
      </w:r>
    </w:p>
    <w:p w14:paraId="7E25844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6.5 成交通知书对采购人和成交供应商具有同等法律效力。</w:t>
      </w:r>
    </w:p>
    <w:p w14:paraId="6A5E9E5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6.6 采购代理机构对未成交的供应商不作未成交原因的解释。</w:t>
      </w:r>
    </w:p>
    <w:p w14:paraId="7ACF870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6.7 所有响应文件都将作为档案保存，不论成交与否，采购代理机构均不退回。</w:t>
      </w:r>
    </w:p>
    <w:p w14:paraId="169E1294">
      <w:pPr>
        <w:spacing w:line="360" w:lineRule="auto"/>
        <w:ind w:firstLine="482" w:firstLineChars="200"/>
        <w:outlineLvl w:val="2"/>
        <w:rPr>
          <w:rFonts w:ascii="仿宋" w:hAnsi="仿宋" w:eastAsia="仿宋" w:cs="仿宋"/>
          <w:b/>
          <w:bCs/>
          <w:color w:val="auto"/>
          <w:sz w:val="24"/>
          <w:szCs w:val="24"/>
          <w:highlight w:val="none"/>
        </w:rPr>
      </w:pPr>
      <w:bookmarkStart w:id="47" w:name="_Toc6279"/>
      <w:bookmarkStart w:id="48" w:name="_Toc22211"/>
      <w:r>
        <w:rPr>
          <w:rFonts w:hint="eastAsia" w:ascii="仿宋" w:hAnsi="仿宋" w:eastAsia="仿宋" w:cs="仿宋"/>
          <w:b/>
          <w:bCs/>
          <w:color w:val="auto"/>
          <w:sz w:val="24"/>
          <w:szCs w:val="24"/>
          <w:highlight w:val="none"/>
        </w:rPr>
        <w:t>7、签订合同</w:t>
      </w:r>
      <w:bookmarkEnd w:id="47"/>
      <w:bookmarkEnd w:id="48"/>
    </w:p>
    <w:p w14:paraId="05FB3E0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成交供应商应当自成交通知书发出之日起三十日内，与采购人签订政府采购合同，所签订的合同不得对磋商文件和响应文件作实质性修改。</w:t>
      </w:r>
    </w:p>
    <w:p w14:paraId="47F5B5D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采购人不得向成交供应商提出任何不合理的要求作为签订合同的条件，不得与成交供应商私下订立背离合同实质性内容的协议。</w:t>
      </w:r>
    </w:p>
    <w:p w14:paraId="451A3CE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 除不可抗力等因素外，成交通知书发出后，采购人改变成交结果，或者成交供应商拒绝签订政府采购合同的，应当承担相应的法律责任。</w:t>
      </w:r>
    </w:p>
    <w:p w14:paraId="18904D79">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7.4 成交供应商除发生法律规定的不能预见、不能避免并不能克服的客观情况外不得放弃或拒绝签订合同的。放弃或拒绝签订合同的，财政部门视情将其列入不良行为名单，在一至三年内不得参加南京市政府采购活动，并予以通报。</w:t>
      </w:r>
    </w:p>
    <w:p w14:paraId="7664FE3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0E891E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7.6 政府采购合同履行中，采购人需追加与合同标的相同的服务的，在不改变合同其他条款的前提下，可以与供应商协商签订补充合同，但所有补充合同的采购金额不得超过原合同采购金额的百分之十。</w:t>
      </w:r>
    </w:p>
    <w:p w14:paraId="4F42244B">
      <w:pPr>
        <w:spacing w:line="360" w:lineRule="auto"/>
        <w:ind w:firstLine="482" w:firstLineChars="200"/>
        <w:outlineLvl w:val="1"/>
        <w:rPr>
          <w:rFonts w:ascii="仿宋" w:hAnsi="仿宋" w:eastAsia="仿宋" w:cs="仿宋"/>
          <w:b/>
          <w:bCs/>
          <w:color w:val="auto"/>
          <w:sz w:val="24"/>
          <w:szCs w:val="24"/>
          <w:highlight w:val="none"/>
        </w:rPr>
      </w:pPr>
      <w:bookmarkStart w:id="49" w:name="_Toc19961"/>
      <w:bookmarkStart w:id="50" w:name="_Toc15178"/>
      <w:r>
        <w:rPr>
          <w:rFonts w:hint="eastAsia" w:ascii="仿宋" w:hAnsi="仿宋" w:eastAsia="仿宋" w:cs="仿宋"/>
          <w:b/>
          <w:bCs/>
          <w:color w:val="auto"/>
          <w:sz w:val="24"/>
          <w:szCs w:val="24"/>
          <w:highlight w:val="none"/>
        </w:rPr>
        <w:t>五、询问、质疑、投诉和诚实信用</w:t>
      </w:r>
      <w:bookmarkEnd w:id="49"/>
      <w:bookmarkEnd w:id="50"/>
    </w:p>
    <w:p w14:paraId="0E9CE890">
      <w:pPr>
        <w:spacing w:line="360" w:lineRule="auto"/>
        <w:ind w:firstLine="482" w:firstLineChars="200"/>
        <w:outlineLvl w:val="2"/>
        <w:rPr>
          <w:rFonts w:ascii="仿宋" w:hAnsi="仿宋" w:eastAsia="仿宋" w:cs="仿宋"/>
          <w:b/>
          <w:bCs/>
          <w:color w:val="auto"/>
          <w:sz w:val="24"/>
          <w:szCs w:val="24"/>
          <w:highlight w:val="none"/>
        </w:rPr>
      </w:pPr>
      <w:bookmarkStart w:id="51" w:name="_Toc15092"/>
      <w:bookmarkStart w:id="52" w:name="_Toc9505"/>
      <w:r>
        <w:rPr>
          <w:rFonts w:hint="eastAsia" w:ascii="仿宋" w:hAnsi="仿宋" w:eastAsia="仿宋" w:cs="仿宋"/>
          <w:b/>
          <w:bCs/>
          <w:color w:val="auto"/>
          <w:sz w:val="24"/>
          <w:szCs w:val="24"/>
          <w:highlight w:val="none"/>
        </w:rPr>
        <w:t>1、询问</w:t>
      </w:r>
      <w:bookmarkEnd w:id="51"/>
      <w:bookmarkEnd w:id="52"/>
    </w:p>
    <w:p w14:paraId="4E117F3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供应商对采购活动事项有疑问的，可以依法向采购代理机构或采购人提出询问，采购人或者采购代理机构在三个工作日内对供应商依法提出的询问作出答复，但答复的内容不涉及商业秘密。</w:t>
      </w:r>
    </w:p>
    <w:p w14:paraId="13D83EF2">
      <w:pPr>
        <w:spacing w:line="360" w:lineRule="auto"/>
        <w:ind w:firstLine="482" w:firstLineChars="200"/>
        <w:outlineLvl w:val="2"/>
        <w:rPr>
          <w:rFonts w:ascii="仿宋" w:hAnsi="仿宋" w:eastAsia="仿宋" w:cs="仿宋"/>
          <w:b/>
          <w:bCs/>
          <w:color w:val="auto"/>
          <w:sz w:val="24"/>
          <w:szCs w:val="24"/>
          <w:highlight w:val="none"/>
        </w:rPr>
      </w:pPr>
      <w:bookmarkStart w:id="53" w:name="_Toc28869"/>
      <w:bookmarkStart w:id="54" w:name="_Toc1089"/>
      <w:r>
        <w:rPr>
          <w:rFonts w:hint="eastAsia" w:ascii="仿宋" w:hAnsi="仿宋" w:eastAsia="仿宋" w:cs="仿宋"/>
          <w:b/>
          <w:bCs/>
          <w:color w:val="auto"/>
          <w:sz w:val="24"/>
          <w:szCs w:val="24"/>
          <w:highlight w:val="none"/>
        </w:rPr>
        <w:t>2、质疑</w:t>
      </w:r>
      <w:bookmarkEnd w:id="53"/>
      <w:bookmarkEnd w:id="54"/>
    </w:p>
    <w:p w14:paraId="5EE6E31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供应商认为磋商文件、采购过程、成交结果使自己的权益受到损害的，可以在知道或者应知其权益受到损害之日起七个工作日内，以书面形式向采购人、采购代理机构提出质疑。质疑的供应商应是参与所质疑项目采购活动的供应商，并应在法定质疑期内一次性提出针对同一采购程序环节的质疑。</w:t>
      </w:r>
    </w:p>
    <w:p w14:paraId="39100CCC">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 上述“知道或者应知其权益受到损害之日起七个工作日内”是指：</w:t>
      </w:r>
    </w:p>
    <w:p w14:paraId="05F6CA2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（1）对磋商文件提出质疑的，应当在采购文件公告期限届满之日起7个工作日内提出；</w:t>
      </w:r>
    </w:p>
    <w:p w14:paraId="59C8AB1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（2）对采购过程提出质疑的，应当在采购程序环节结束之日起7个工作日内提出；</w:t>
      </w:r>
    </w:p>
    <w:p w14:paraId="3159785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（3）对成交结果提出质疑的，应当在成交结果公告期限届满之日起7个工作日内提出。</w:t>
      </w:r>
    </w:p>
    <w:p w14:paraId="32CBFE47">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 质疑文件接收信息：</w:t>
      </w:r>
    </w:p>
    <w:p w14:paraId="3A5CA97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（1）接收单位：南京信诺工程造价咨询有限责任公司</w:t>
      </w:r>
    </w:p>
    <w:p w14:paraId="2A23A90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（2）联系人：李工</w:t>
      </w:r>
    </w:p>
    <w:p w14:paraId="21F2997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（3）联系电话：13813811768   </w:t>
      </w:r>
    </w:p>
    <w:p w14:paraId="4728D07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（4）地址：南京市江北新区浦滨路150号中科创新广场23栋8楼</w:t>
      </w:r>
    </w:p>
    <w:p w14:paraId="4B7E210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（5）邮编：210000</w:t>
      </w:r>
    </w:p>
    <w:p w14:paraId="2F46593E">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 质疑文件应包括以下主要内容：</w:t>
      </w:r>
    </w:p>
    <w:p w14:paraId="0A7109A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（1）质疑供应商的姓名或者名称、地址、邮编、联系人及联系电话；</w:t>
      </w:r>
    </w:p>
    <w:p w14:paraId="3BC8154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14:paraId="57881F1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1C4B13A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35FB1F2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0D349E1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255CAA9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（7）质疑供应商可以委托代理人进行质疑和投诉。其授权委托书应当载明代理人的姓名或者名称、代理事项、具体权限、期限和相关事项，代理人提出质疑和投诉，应当提交质疑供应商签署的授权委托书；</w:t>
      </w:r>
    </w:p>
    <w:p w14:paraId="73BF99B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（8）质疑供应商为自然人的，应当由本人签字；供应商为法人或者其他组织的，应当由法定代表人、主要负责人，或者其授权代表签字或者盖章，并加盖公章。</w:t>
      </w:r>
    </w:p>
    <w:p w14:paraId="47C75A6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 供应商提出的询问或者质疑超出采购人对采购代理机构委托授权范围的，供应商应向采购人提出。</w:t>
      </w:r>
    </w:p>
    <w:p w14:paraId="26DF4A4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 供应商不得虚假质疑和恶意质疑，并对质疑内容的真实性承担责任。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7EF31F6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 采购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14:paraId="371442EA">
      <w:pPr>
        <w:spacing w:line="360" w:lineRule="auto"/>
        <w:ind w:firstLine="482" w:firstLineChars="200"/>
        <w:outlineLvl w:val="2"/>
        <w:rPr>
          <w:rFonts w:ascii="仿宋" w:hAnsi="仿宋" w:eastAsia="仿宋" w:cs="仿宋"/>
          <w:b/>
          <w:bCs/>
          <w:color w:val="auto"/>
          <w:sz w:val="24"/>
          <w:szCs w:val="24"/>
          <w:highlight w:val="none"/>
        </w:rPr>
      </w:pPr>
      <w:bookmarkStart w:id="55" w:name="_Toc3853"/>
      <w:bookmarkStart w:id="56" w:name="_Toc17424"/>
      <w:r>
        <w:rPr>
          <w:rFonts w:hint="eastAsia" w:ascii="仿宋" w:hAnsi="仿宋" w:eastAsia="仿宋" w:cs="仿宋"/>
          <w:b/>
          <w:bCs/>
          <w:color w:val="auto"/>
          <w:sz w:val="24"/>
          <w:szCs w:val="24"/>
          <w:highlight w:val="none"/>
        </w:rPr>
        <w:t>3、投诉</w:t>
      </w:r>
      <w:bookmarkEnd w:id="55"/>
      <w:bookmarkEnd w:id="56"/>
    </w:p>
    <w:p w14:paraId="506CA9F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质疑供应商对采购人、采购代理机构的答复不满意或者采购人、采购代理机构未在规定的时间内作出答复的，可以在答复期满后十五个工作日内向同级政府采购监督管理部门投诉。</w:t>
      </w:r>
    </w:p>
    <w:p w14:paraId="42D4889D">
      <w:pPr>
        <w:spacing w:line="360" w:lineRule="auto"/>
        <w:ind w:firstLine="482" w:firstLineChars="200"/>
        <w:outlineLvl w:val="2"/>
        <w:rPr>
          <w:rFonts w:ascii="仿宋" w:hAnsi="仿宋" w:eastAsia="仿宋" w:cs="仿宋"/>
          <w:b/>
          <w:bCs/>
          <w:color w:val="auto"/>
          <w:sz w:val="24"/>
          <w:szCs w:val="24"/>
          <w:highlight w:val="none"/>
        </w:rPr>
      </w:pPr>
      <w:bookmarkStart w:id="57" w:name="_Toc29309"/>
      <w:bookmarkStart w:id="58" w:name="_Toc13377"/>
      <w:r>
        <w:rPr>
          <w:rFonts w:hint="eastAsia" w:ascii="仿宋" w:hAnsi="仿宋" w:eastAsia="仿宋" w:cs="仿宋"/>
          <w:b/>
          <w:bCs/>
          <w:color w:val="auto"/>
          <w:sz w:val="24"/>
          <w:szCs w:val="24"/>
          <w:highlight w:val="none"/>
        </w:rPr>
        <w:t>4、诚实信用</w:t>
      </w:r>
      <w:bookmarkEnd w:id="57"/>
      <w:bookmarkEnd w:id="58"/>
    </w:p>
    <w:p w14:paraId="749B04D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供应商之间不得相互串通报价，不得妨碍其他供应商的公平竞争，不得损害采购人和其他供应商的合法权益。</w:t>
      </w:r>
    </w:p>
    <w:p w14:paraId="573ED39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供应商不得以向采购代理机构工作人员、磋商小组行贿或者采取其他不正当手段谋取中标。经查实供应商有此行为的，政府采购监督管理部门将供应商列入不良行为记录名单，按照政府采购法有关规定处理。</w:t>
      </w:r>
    </w:p>
    <w:p w14:paraId="2CCCA32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 供应商不得虚假承诺，否则，按照提供虚假材料谋取中标成交处理。</w:t>
      </w:r>
    </w:p>
    <w:p w14:paraId="4E73ED9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4.4 供应商应自觉遵守磋商、评审纪律，扰乱磋商、评审现场秩序的，属于失信行为，根据《南京市政府采购供应商信用管理工作暂行办法》，失信行为将被记入供应商诚信档案。</w:t>
      </w:r>
    </w:p>
    <w:p w14:paraId="598D7144">
      <w:pPr>
        <w:widowControl/>
        <w:jc w:val="left"/>
        <w:rPr>
          <w:rFonts w:ascii="仿宋" w:hAnsi="仿宋" w:eastAsia="仿宋" w:cs="仿宋"/>
          <w:color w:val="auto"/>
          <w:sz w:val="22"/>
          <w:highlight w:val="none"/>
        </w:rPr>
      </w:pPr>
      <w:r>
        <w:rPr>
          <w:rFonts w:hint="eastAsia" w:ascii="仿宋" w:hAnsi="仿宋" w:eastAsia="仿宋" w:cs="仿宋"/>
          <w:color w:val="auto"/>
          <w:sz w:val="22"/>
          <w:highlight w:val="none"/>
        </w:rPr>
        <w:br w:type="page"/>
      </w:r>
    </w:p>
    <w:p w14:paraId="735CEDCD">
      <w:pPr>
        <w:jc w:val="center"/>
        <w:outlineLvl w:val="0"/>
        <w:rPr>
          <w:rFonts w:ascii="仿宋" w:hAnsi="仿宋" w:eastAsia="仿宋" w:cs="仿宋"/>
          <w:b/>
          <w:bCs/>
          <w:color w:val="auto"/>
          <w:sz w:val="28"/>
          <w:szCs w:val="32"/>
          <w:highlight w:val="none"/>
        </w:rPr>
      </w:pPr>
      <w:bookmarkStart w:id="59" w:name="_Toc7888"/>
      <w:bookmarkStart w:id="60" w:name="_Toc18126"/>
      <w:bookmarkStart w:id="61" w:name="_Toc19834"/>
      <w:r>
        <w:rPr>
          <w:rFonts w:hint="eastAsia" w:ascii="仿宋" w:hAnsi="仿宋" w:eastAsia="仿宋" w:cs="仿宋"/>
          <w:b/>
          <w:bCs/>
          <w:color w:val="auto"/>
          <w:sz w:val="28"/>
          <w:szCs w:val="32"/>
          <w:highlight w:val="none"/>
        </w:rPr>
        <w:t>第三章  评审办法及标准</w:t>
      </w:r>
      <w:bookmarkEnd w:id="59"/>
      <w:bookmarkEnd w:id="60"/>
      <w:bookmarkEnd w:id="61"/>
    </w:p>
    <w:p w14:paraId="56B24C79">
      <w:pPr>
        <w:ind w:firstLine="420" w:firstLineChars="200"/>
        <w:rPr>
          <w:rFonts w:ascii="宋体" w:hAnsi="宋体"/>
          <w:b/>
          <w:color w:val="auto"/>
          <w:szCs w:val="21"/>
          <w:highlight w:val="none"/>
        </w:rPr>
      </w:pPr>
      <w:bookmarkStart w:id="62" w:name="_Toc16993"/>
      <w:bookmarkStart w:id="63" w:name="_Toc22174"/>
      <w:bookmarkStart w:id="64" w:name="_Toc20406"/>
      <w:r>
        <w:rPr>
          <w:rFonts w:hint="eastAsia" w:ascii="宋体" w:hAnsi="宋体"/>
          <w:b/>
          <w:color w:val="auto"/>
          <w:szCs w:val="21"/>
          <w:highlight w:val="none"/>
        </w:rPr>
        <w:t>一、资格审查标准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6661"/>
      </w:tblGrid>
      <w:tr w14:paraId="4ADF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63598BC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评审因素</w:t>
            </w:r>
          </w:p>
        </w:tc>
        <w:tc>
          <w:tcPr>
            <w:tcW w:w="6661" w:type="dxa"/>
            <w:vAlign w:val="center"/>
          </w:tcPr>
          <w:p w14:paraId="535C01D6">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评审标准</w:t>
            </w:r>
          </w:p>
        </w:tc>
      </w:tr>
      <w:tr w14:paraId="1D08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restart"/>
            <w:vAlign w:val="center"/>
          </w:tcPr>
          <w:p w14:paraId="495342E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资质要求</w:t>
            </w:r>
          </w:p>
        </w:tc>
        <w:tc>
          <w:tcPr>
            <w:tcW w:w="6661" w:type="dxa"/>
            <w:vAlign w:val="center"/>
          </w:tcPr>
          <w:p w14:paraId="01C55F96">
            <w:pPr>
              <w:rPr>
                <w:rFonts w:ascii="仿宋" w:hAnsi="仿宋" w:eastAsia="仿宋" w:cs="仿宋"/>
                <w:color w:val="auto"/>
                <w:szCs w:val="21"/>
                <w:highlight w:val="none"/>
              </w:rPr>
            </w:pPr>
            <w:r>
              <w:rPr>
                <w:rFonts w:hint="eastAsia" w:ascii="仿宋" w:hAnsi="仿宋" w:eastAsia="仿宋" w:cs="仿宋"/>
                <w:bCs/>
                <w:color w:val="auto"/>
                <w:szCs w:val="21"/>
                <w:highlight w:val="none"/>
                <w:lang w:bidi="ar"/>
              </w:rPr>
              <w:t>《南京市政府采购供应商信用记录表暨信用承诺书》（</w:t>
            </w:r>
            <w:r>
              <w:rPr>
                <w:rFonts w:hint="eastAsia" w:ascii="仿宋" w:hAnsi="仿宋" w:eastAsia="仿宋" w:cs="仿宋"/>
                <w:b/>
                <w:color w:val="auto"/>
                <w:szCs w:val="21"/>
                <w:highlight w:val="none"/>
                <w:lang w:bidi="ar"/>
              </w:rPr>
              <w:t>按格式六（1）的要求</w:t>
            </w:r>
            <w:r>
              <w:rPr>
                <w:rFonts w:hint="eastAsia" w:ascii="仿宋" w:hAnsi="仿宋" w:eastAsia="仿宋" w:cs="仿宋"/>
                <w:bCs/>
                <w:color w:val="auto"/>
                <w:szCs w:val="21"/>
                <w:highlight w:val="none"/>
                <w:lang w:bidi="ar"/>
              </w:rPr>
              <w:t>）</w:t>
            </w:r>
          </w:p>
        </w:tc>
      </w:tr>
      <w:tr w14:paraId="17D0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76DAD646">
            <w:pPr>
              <w:jc w:val="center"/>
              <w:rPr>
                <w:rFonts w:ascii="仿宋" w:hAnsi="仿宋" w:eastAsia="仿宋" w:cs="仿宋"/>
                <w:color w:val="auto"/>
                <w:szCs w:val="21"/>
                <w:highlight w:val="none"/>
              </w:rPr>
            </w:pPr>
          </w:p>
        </w:tc>
        <w:tc>
          <w:tcPr>
            <w:tcW w:w="6661" w:type="dxa"/>
            <w:vAlign w:val="center"/>
          </w:tcPr>
          <w:p w14:paraId="6B68670F">
            <w:pPr>
              <w:rPr>
                <w:rFonts w:ascii="仿宋" w:hAnsi="仿宋" w:eastAsia="仿宋" w:cs="仿宋"/>
                <w:bCs/>
                <w:color w:val="auto"/>
                <w:szCs w:val="21"/>
                <w:highlight w:val="none"/>
              </w:rPr>
            </w:pPr>
            <w:r>
              <w:rPr>
                <w:rFonts w:hint="eastAsia" w:ascii="仿宋" w:hAnsi="仿宋" w:eastAsia="仿宋" w:cs="仿宋"/>
                <w:bCs/>
                <w:color w:val="auto"/>
                <w:szCs w:val="21"/>
                <w:highlight w:val="none"/>
              </w:rPr>
              <w:t>具有独立承担民事责任的能力（提供事业单位法人证书或者企业单位的营业执照；供应商为自然人的，提供其身份证）（复印件）；</w:t>
            </w:r>
          </w:p>
        </w:tc>
      </w:tr>
      <w:tr w14:paraId="318D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56D20DCF">
            <w:pPr>
              <w:jc w:val="center"/>
              <w:rPr>
                <w:rFonts w:ascii="仿宋" w:hAnsi="仿宋" w:eastAsia="仿宋" w:cs="仿宋"/>
                <w:color w:val="auto"/>
                <w:szCs w:val="21"/>
                <w:highlight w:val="none"/>
              </w:rPr>
            </w:pPr>
          </w:p>
        </w:tc>
        <w:tc>
          <w:tcPr>
            <w:tcW w:w="6661" w:type="dxa"/>
            <w:vAlign w:val="center"/>
          </w:tcPr>
          <w:p w14:paraId="7BDE1FD6">
            <w:pPr>
              <w:rPr>
                <w:rFonts w:ascii="仿宋" w:hAnsi="仿宋" w:eastAsia="仿宋" w:cs="仿宋"/>
                <w:bCs/>
                <w:color w:val="auto"/>
                <w:szCs w:val="21"/>
                <w:highlight w:val="none"/>
              </w:rPr>
            </w:pPr>
            <w:r>
              <w:rPr>
                <w:rFonts w:hint="eastAsia" w:ascii="仿宋" w:hAnsi="仿宋" w:eastAsia="仿宋" w:cs="仿宋"/>
                <w:bCs/>
                <w:color w:val="auto"/>
                <w:szCs w:val="21"/>
                <w:highlight w:val="none"/>
              </w:rPr>
              <w:t>具有良好的商业信誉和健全的财务会计制度（提供2022年度经审计的财务报告，或企业编制的会计报表，或磋商截止时间前六个月内银行出具的资信证明，复印件加盖公章）（供应商为参加本次政府采购活动前半年内注册的公司，无须提供）；</w:t>
            </w:r>
          </w:p>
        </w:tc>
      </w:tr>
      <w:tr w14:paraId="4E8E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3F85DBB9">
            <w:pPr>
              <w:jc w:val="center"/>
              <w:rPr>
                <w:rFonts w:ascii="仿宋" w:hAnsi="仿宋" w:eastAsia="仿宋" w:cs="仿宋"/>
                <w:color w:val="auto"/>
                <w:szCs w:val="21"/>
                <w:highlight w:val="none"/>
              </w:rPr>
            </w:pPr>
          </w:p>
        </w:tc>
        <w:tc>
          <w:tcPr>
            <w:tcW w:w="6661" w:type="dxa"/>
            <w:vAlign w:val="center"/>
          </w:tcPr>
          <w:p w14:paraId="2EB07FAC">
            <w:pPr>
              <w:rPr>
                <w:rFonts w:ascii="仿宋" w:hAnsi="仿宋" w:eastAsia="仿宋" w:cs="仿宋"/>
                <w:color w:val="auto"/>
                <w:kern w:val="0"/>
                <w:szCs w:val="21"/>
                <w:highlight w:val="none"/>
              </w:rPr>
            </w:pPr>
            <w:r>
              <w:rPr>
                <w:rFonts w:hint="eastAsia" w:ascii="仿宋" w:hAnsi="仿宋" w:eastAsia="仿宋" w:cs="仿宋"/>
                <w:bCs/>
                <w:color w:val="auto"/>
                <w:szCs w:val="21"/>
                <w:highlight w:val="none"/>
              </w:rPr>
              <w:t>具有依法缴纳税收和社会保障资金的良好记录（提供参加本次政府采购活动前半年内至少一个月依法缴纳税收和社会保障资金的凭据，复印件加盖公章）（提供相关主管部门证明或银行代扣证明的复印件，根据国家相关政策免缴或迟缴的需提供相关证明材料）；</w:t>
            </w:r>
          </w:p>
        </w:tc>
      </w:tr>
      <w:tr w14:paraId="7C43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16F26168">
            <w:pPr>
              <w:jc w:val="center"/>
              <w:rPr>
                <w:rFonts w:ascii="仿宋" w:hAnsi="仿宋" w:eastAsia="仿宋" w:cs="仿宋"/>
                <w:color w:val="auto"/>
                <w:szCs w:val="21"/>
                <w:highlight w:val="none"/>
              </w:rPr>
            </w:pPr>
          </w:p>
        </w:tc>
        <w:tc>
          <w:tcPr>
            <w:tcW w:w="6661" w:type="dxa"/>
            <w:vAlign w:val="center"/>
          </w:tcPr>
          <w:p w14:paraId="3A5EDB65">
            <w:pPr>
              <w:rPr>
                <w:rFonts w:ascii="仿宋" w:hAnsi="仿宋" w:eastAsia="仿宋" w:cs="仿宋"/>
                <w:color w:val="auto"/>
                <w:kern w:val="0"/>
                <w:szCs w:val="21"/>
                <w:highlight w:val="none"/>
              </w:rPr>
            </w:pPr>
            <w:r>
              <w:rPr>
                <w:rFonts w:hint="eastAsia" w:ascii="仿宋" w:hAnsi="仿宋" w:eastAsia="仿宋" w:cs="仿宋"/>
                <w:bCs/>
                <w:color w:val="auto"/>
                <w:szCs w:val="21"/>
                <w:highlight w:val="none"/>
              </w:rPr>
              <w:t>具有履行合同所必需的设备和专业技术能力的声明（提供书面声明原件）；</w:t>
            </w:r>
          </w:p>
        </w:tc>
      </w:tr>
      <w:tr w14:paraId="42D1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6643C7FA">
            <w:pPr>
              <w:jc w:val="center"/>
              <w:rPr>
                <w:rFonts w:ascii="仿宋" w:hAnsi="仿宋" w:eastAsia="仿宋" w:cs="仿宋"/>
                <w:color w:val="auto"/>
                <w:szCs w:val="21"/>
                <w:highlight w:val="none"/>
              </w:rPr>
            </w:pPr>
          </w:p>
        </w:tc>
        <w:tc>
          <w:tcPr>
            <w:tcW w:w="6661" w:type="dxa"/>
            <w:vAlign w:val="center"/>
          </w:tcPr>
          <w:p w14:paraId="649C74FD">
            <w:pPr>
              <w:rPr>
                <w:rFonts w:ascii="仿宋" w:hAnsi="仿宋" w:eastAsia="仿宋" w:cs="仿宋"/>
                <w:color w:val="auto"/>
                <w:kern w:val="0"/>
                <w:szCs w:val="21"/>
                <w:highlight w:val="none"/>
              </w:rPr>
            </w:pPr>
            <w:r>
              <w:rPr>
                <w:rFonts w:hint="eastAsia" w:ascii="仿宋" w:hAnsi="仿宋" w:eastAsia="仿宋" w:cs="仿宋"/>
                <w:bCs/>
                <w:color w:val="auto"/>
                <w:szCs w:val="21"/>
                <w:highlight w:val="none"/>
              </w:rPr>
              <w:t>参加政府采购活动前三年内，在经营活动中没有重大违法记录的书面声明（提供书面声明原件）；</w:t>
            </w:r>
          </w:p>
        </w:tc>
      </w:tr>
      <w:tr w14:paraId="4FCA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restart"/>
            <w:vAlign w:val="center"/>
          </w:tcPr>
          <w:p w14:paraId="17A82E0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禁止投标的情形</w:t>
            </w:r>
          </w:p>
        </w:tc>
        <w:tc>
          <w:tcPr>
            <w:tcW w:w="6661" w:type="dxa"/>
            <w:vAlign w:val="center"/>
          </w:tcPr>
          <w:p w14:paraId="533C6F7B">
            <w:pPr>
              <w:rPr>
                <w:rFonts w:ascii="仿宋" w:hAnsi="仿宋" w:eastAsia="仿宋" w:cs="仿宋"/>
                <w:color w:val="auto"/>
                <w:szCs w:val="21"/>
                <w:highlight w:val="none"/>
              </w:rPr>
            </w:pPr>
            <w:r>
              <w:rPr>
                <w:rFonts w:hint="eastAsia" w:ascii="仿宋" w:hAnsi="仿宋" w:eastAsia="仿宋" w:cs="仿宋"/>
                <w:color w:val="auto"/>
                <w:szCs w:val="21"/>
                <w:highlight w:val="none"/>
              </w:rPr>
              <w:t>单位负责人为同一人或者存在直接控股、管理关系的不同供应商，不得参加同一合同项下的政府采购活动</w:t>
            </w:r>
          </w:p>
        </w:tc>
      </w:tr>
      <w:tr w14:paraId="7DEA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Merge w:val="continue"/>
            <w:vAlign w:val="center"/>
          </w:tcPr>
          <w:p w14:paraId="33E86BAA">
            <w:pPr>
              <w:jc w:val="center"/>
              <w:rPr>
                <w:rFonts w:ascii="仿宋" w:hAnsi="仿宋" w:eastAsia="仿宋" w:cs="仿宋"/>
                <w:color w:val="auto"/>
                <w:szCs w:val="21"/>
                <w:highlight w:val="none"/>
              </w:rPr>
            </w:pPr>
          </w:p>
        </w:tc>
        <w:tc>
          <w:tcPr>
            <w:tcW w:w="6661" w:type="dxa"/>
            <w:vAlign w:val="center"/>
          </w:tcPr>
          <w:p w14:paraId="36F81198">
            <w:pPr>
              <w:rPr>
                <w:rFonts w:ascii="仿宋" w:hAnsi="仿宋" w:eastAsia="仿宋" w:cs="仿宋"/>
                <w:color w:val="auto"/>
                <w:kern w:val="0"/>
                <w:szCs w:val="21"/>
                <w:highlight w:val="none"/>
              </w:rPr>
            </w:pPr>
            <w:r>
              <w:rPr>
                <w:rFonts w:hint="eastAsia" w:ascii="仿宋" w:hAnsi="仿宋" w:eastAsia="仿宋" w:cs="仿宋"/>
                <w:color w:val="auto"/>
                <w:szCs w:val="21"/>
                <w:highlight w:val="none"/>
              </w:rPr>
              <w:t>凡为采购项目提供整体设计、规范编制或者项目管理、监理、检测等服务的供应商，不得再参加该项目的其他采购活动</w:t>
            </w:r>
          </w:p>
        </w:tc>
      </w:tr>
    </w:tbl>
    <w:p w14:paraId="5EB6FA9F">
      <w:pPr>
        <w:ind w:firstLine="482" w:firstLineChars="200"/>
        <w:rPr>
          <w:rFonts w:ascii="仿宋" w:hAnsi="仿宋" w:eastAsia="仿宋" w:cs="仿宋"/>
          <w:b/>
          <w:color w:val="auto"/>
          <w:sz w:val="24"/>
          <w:szCs w:val="24"/>
          <w:highlight w:val="none"/>
        </w:rPr>
      </w:pPr>
    </w:p>
    <w:p w14:paraId="0F88C905">
      <w:pPr>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二、符合性审查标准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6661"/>
      </w:tblGrid>
      <w:tr w14:paraId="0B70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6DF46DA0">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评审因素</w:t>
            </w:r>
          </w:p>
        </w:tc>
        <w:tc>
          <w:tcPr>
            <w:tcW w:w="6661" w:type="dxa"/>
            <w:vAlign w:val="center"/>
          </w:tcPr>
          <w:p w14:paraId="6E03ACB3">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评审标准</w:t>
            </w:r>
          </w:p>
        </w:tc>
      </w:tr>
      <w:tr w14:paraId="6B36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17B1D211">
            <w:pPr>
              <w:jc w:val="center"/>
              <w:rPr>
                <w:rFonts w:ascii="仿宋" w:hAnsi="仿宋" w:eastAsia="仿宋" w:cs="仿宋"/>
                <w:b/>
                <w:color w:val="auto"/>
                <w:szCs w:val="21"/>
                <w:highlight w:val="none"/>
              </w:rPr>
            </w:pPr>
            <w:r>
              <w:rPr>
                <w:rFonts w:hint="eastAsia" w:ascii="仿宋" w:hAnsi="仿宋" w:eastAsia="仿宋" w:cs="仿宋"/>
                <w:color w:val="auto"/>
                <w:szCs w:val="21"/>
                <w:highlight w:val="none"/>
              </w:rPr>
              <w:t>供应商名称</w:t>
            </w:r>
          </w:p>
        </w:tc>
        <w:tc>
          <w:tcPr>
            <w:tcW w:w="6661" w:type="dxa"/>
            <w:vAlign w:val="center"/>
          </w:tcPr>
          <w:p w14:paraId="3EFDB673">
            <w:pPr>
              <w:rPr>
                <w:rFonts w:ascii="仿宋" w:hAnsi="仿宋" w:eastAsia="仿宋" w:cs="仿宋"/>
                <w:color w:val="auto"/>
                <w:szCs w:val="21"/>
                <w:highlight w:val="none"/>
              </w:rPr>
            </w:pPr>
            <w:r>
              <w:rPr>
                <w:rFonts w:hint="eastAsia" w:ascii="仿宋" w:hAnsi="仿宋" w:eastAsia="仿宋" w:cs="仿宋"/>
                <w:color w:val="auto"/>
                <w:szCs w:val="21"/>
                <w:highlight w:val="none"/>
              </w:rPr>
              <w:t>与营业执照、资质证书一致</w:t>
            </w:r>
          </w:p>
        </w:tc>
      </w:tr>
      <w:tr w14:paraId="3F83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70E6783D">
            <w:pPr>
              <w:jc w:val="center"/>
              <w:rPr>
                <w:rFonts w:ascii="仿宋" w:hAnsi="仿宋" w:eastAsia="仿宋" w:cs="仿宋"/>
                <w:b/>
                <w:color w:val="auto"/>
                <w:szCs w:val="21"/>
                <w:highlight w:val="none"/>
              </w:rPr>
            </w:pPr>
            <w:r>
              <w:rPr>
                <w:rFonts w:hint="eastAsia" w:ascii="仿宋" w:hAnsi="仿宋" w:eastAsia="仿宋" w:cs="仿宋"/>
                <w:color w:val="auto"/>
                <w:szCs w:val="21"/>
                <w:highlight w:val="none"/>
              </w:rPr>
              <w:t>响应文件签字、盖章</w:t>
            </w:r>
          </w:p>
        </w:tc>
        <w:tc>
          <w:tcPr>
            <w:tcW w:w="6661" w:type="dxa"/>
            <w:vAlign w:val="center"/>
          </w:tcPr>
          <w:p w14:paraId="0A5A0D83">
            <w:pPr>
              <w:rPr>
                <w:rFonts w:ascii="仿宋" w:hAnsi="仿宋" w:eastAsia="仿宋" w:cs="仿宋"/>
                <w:color w:val="auto"/>
                <w:szCs w:val="21"/>
                <w:highlight w:val="none"/>
              </w:rPr>
            </w:pPr>
            <w:r>
              <w:rPr>
                <w:rFonts w:hint="eastAsia" w:ascii="仿宋" w:hAnsi="仿宋" w:eastAsia="仿宋" w:cs="仿宋"/>
                <w:color w:val="auto"/>
                <w:szCs w:val="21"/>
                <w:highlight w:val="none"/>
              </w:rPr>
              <w:t>有法定代表人或其委托代理人签字并加盖单位章。由法定代表人签字的，应附法定代表人身份证明；由代理人签字的，应附授权委托书，身份证明。授权委托书应符合第六部分“响应文件组成”的相关规定</w:t>
            </w:r>
          </w:p>
        </w:tc>
      </w:tr>
      <w:tr w14:paraId="7655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5CFAF653">
            <w:pPr>
              <w:jc w:val="center"/>
              <w:rPr>
                <w:rFonts w:ascii="仿宋" w:hAnsi="仿宋" w:eastAsia="仿宋" w:cs="仿宋"/>
                <w:b/>
                <w:color w:val="auto"/>
                <w:szCs w:val="21"/>
                <w:highlight w:val="none"/>
              </w:rPr>
            </w:pPr>
            <w:r>
              <w:rPr>
                <w:rFonts w:hint="eastAsia" w:ascii="仿宋" w:hAnsi="仿宋" w:eastAsia="仿宋" w:cs="仿宋"/>
                <w:color w:val="auto"/>
                <w:szCs w:val="21"/>
                <w:highlight w:val="none"/>
              </w:rPr>
              <w:t>响应文件格式</w:t>
            </w:r>
          </w:p>
        </w:tc>
        <w:tc>
          <w:tcPr>
            <w:tcW w:w="6661" w:type="dxa"/>
            <w:vAlign w:val="center"/>
          </w:tcPr>
          <w:p w14:paraId="4CFBA86B">
            <w:pPr>
              <w:rPr>
                <w:rFonts w:ascii="仿宋" w:hAnsi="仿宋" w:eastAsia="仿宋" w:cs="仿宋"/>
                <w:color w:val="auto"/>
                <w:szCs w:val="21"/>
                <w:highlight w:val="none"/>
              </w:rPr>
            </w:pPr>
            <w:r>
              <w:rPr>
                <w:rFonts w:hint="eastAsia" w:ascii="仿宋" w:hAnsi="仿宋" w:eastAsia="仿宋" w:cs="仿宋"/>
                <w:color w:val="auto"/>
                <w:szCs w:val="21"/>
                <w:highlight w:val="none"/>
              </w:rPr>
              <w:t>符合第六部分“响应文件组成”的规定</w:t>
            </w:r>
          </w:p>
        </w:tc>
      </w:tr>
      <w:tr w14:paraId="2AD7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2E62332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响应文件份数</w:t>
            </w:r>
          </w:p>
        </w:tc>
        <w:tc>
          <w:tcPr>
            <w:tcW w:w="6661" w:type="dxa"/>
            <w:vAlign w:val="center"/>
          </w:tcPr>
          <w:p w14:paraId="68530E3F">
            <w:pPr>
              <w:rPr>
                <w:rFonts w:ascii="仿宋" w:hAnsi="仿宋" w:eastAsia="仿宋" w:cs="仿宋"/>
                <w:color w:val="auto"/>
                <w:szCs w:val="21"/>
                <w:highlight w:val="none"/>
              </w:rPr>
            </w:pPr>
            <w:r>
              <w:rPr>
                <w:rFonts w:hint="eastAsia" w:ascii="仿宋" w:hAnsi="仿宋" w:eastAsia="仿宋" w:cs="仿宋"/>
                <w:color w:val="auto"/>
                <w:szCs w:val="21"/>
                <w:highlight w:val="none"/>
              </w:rPr>
              <w:t>正本一份，副本四份，</w:t>
            </w:r>
            <w:r>
              <w:rPr>
                <w:rFonts w:hint="eastAsia" w:ascii="仿宋" w:hAnsi="仿宋" w:eastAsia="仿宋" w:cs="仿宋"/>
                <w:color w:val="auto"/>
                <w:kern w:val="0"/>
                <w:szCs w:val="21"/>
                <w:highlight w:val="none"/>
              </w:rPr>
              <w:t>电子版本一份（响应文件正本扫描件，U盘形式）</w:t>
            </w:r>
          </w:p>
        </w:tc>
      </w:tr>
      <w:tr w14:paraId="2413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3C5ABC4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采购预算</w:t>
            </w:r>
          </w:p>
        </w:tc>
        <w:tc>
          <w:tcPr>
            <w:tcW w:w="6661" w:type="dxa"/>
            <w:vAlign w:val="center"/>
          </w:tcPr>
          <w:p w14:paraId="42912F7D">
            <w:pPr>
              <w:rPr>
                <w:rFonts w:ascii="仿宋" w:hAnsi="仿宋" w:eastAsia="仿宋" w:cs="仿宋"/>
                <w:color w:val="auto"/>
                <w:szCs w:val="21"/>
                <w:highlight w:val="none"/>
              </w:rPr>
            </w:pPr>
            <w:r>
              <w:rPr>
                <w:rFonts w:hint="eastAsia" w:ascii="仿宋" w:hAnsi="仿宋" w:eastAsia="仿宋" w:cs="仿宋"/>
                <w:b/>
                <w:bCs/>
                <w:color w:val="auto"/>
                <w:szCs w:val="21"/>
                <w:highlight w:val="none"/>
              </w:rPr>
              <w:t>12</w:t>
            </w:r>
            <w:r>
              <w:rPr>
                <w:rFonts w:hint="eastAsia" w:ascii="仿宋" w:hAnsi="仿宋" w:eastAsia="仿宋" w:cs="仿宋"/>
                <w:color w:val="auto"/>
                <w:szCs w:val="21"/>
                <w:highlight w:val="none"/>
              </w:rPr>
              <w:t>万元人民币，供应商的报价不得超过采购预算</w:t>
            </w:r>
          </w:p>
          <w:p w14:paraId="311A8D81">
            <w:pPr>
              <w:rPr>
                <w:rFonts w:ascii="仿宋" w:hAnsi="仿宋" w:eastAsia="仿宋" w:cs="仿宋"/>
                <w:color w:val="auto"/>
                <w:szCs w:val="21"/>
                <w:highlight w:val="none"/>
              </w:rPr>
            </w:pPr>
            <w:r>
              <w:rPr>
                <w:rFonts w:hint="eastAsia" w:ascii="仿宋" w:hAnsi="仿宋" w:eastAsia="仿宋" w:cs="仿宋"/>
                <w:color w:val="auto"/>
                <w:szCs w:val="21"/>
                <w:highlight w:val="none"/>
              </w:rPr>
              <w:t>门诊检验：结算价格不超过采购人实际收费的40%</w:t>
            </w:r>
          </w:p>
          <w:p w14:paraId="7FEE60F8">
            <w:pPr>
              <w:rPr>
                <w:rFonts w:ascii="仿宋" w:hAnsi="仿宋" w:eastAsia="仿宋" w:cs="仿宋"/>
                <w:color w:val="auto"/>
                <w:szCs w:val="21"/>
                <w:highlight w:val="none"/>
              </w:rPr>
            </w:pPr>
            <w:r>
              <w:rPr>
                <w:rFonts w:hint="eastAsia" w:ascii="仿宋" w:hAnsi="仿宋" w:eastAsia="仿宋" w:cs="仿宋"/>
                <w:color w:val="auto"/>
                <w:szCs w:val="21"/>
                <w:highlight w:val="none"/>
              </w:rPr>
              <w:t>体检检验（即贴体检条码者）：妇科HPV全套及TCT检测结算价格不超过采购人实际收费的1</w:t>
            </w:r>
            <w:r>
              <w:rPr>
                <w:rFonts w:ascii="仿宋" w:hAnsi="仿宋" w:eastAsia="仿宋" w:cs="仿宋"/>
                <w:color w:val="auto"/>
                <w:szCs w:val="21"/>
                <w:highlight w:val="none"/>
              </w:rPr>
              <w:t>0</w:t>
            </w:r>
            <w:r>
              <w:rPr>
                <w:rFonts w:hint="eastAsia" w:ascii="仿宋" w:hAnsi="仿宋" w:eastAsia="仿宋" w:cs="仿宋"/>
                <w:color w:val="auto"/>
                <w:szCs w:val="21"/>
                <w:highlight w:val="none"/>
              </w:rPr>
              <w:t>%</w:t>
            </w:r>
          </w:p>
        </w:tc>
      </w:tr>
      <w:tr w14:paraId="694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21434A1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信用南京</w:t>
            </w:r>
          </w:p>
        </w:tc>
        <w:tc>
          <w:tcPr>
            <w:tcW w:w="6661" w:type="dxa"/>
            <w:vAlign w:val="center"/>
          </w:tcPr>
          <w:p w14:paraId="58C12EDA">
            <w:pPr>
              <w:rPr>
                <w:rFonts w:ascii="仿宋" w:hAnsi="仿宋" w:eastAsia="仿宋" w:cs="仿宋"/>
                <w:color w:val="auto"/>
                <w:szCs w:val="21"/>
                <w:highlight w:val="none"/>
              </w:rPr>
            </w:pPr>
            <w:r>
              <w:rPr>
                <w:rFonts w:hint="eastAsia" w:ascii="仿宋" w:hAnsi="仿宋" w:eastAsia="仿宋" w:cs="仿宋"/>
                <w:bCs/>
                <w:color w:val="auto"/>
                <w:szCs w:val="21"/>
                <w:highlight w:val="none"/>
              </w:rPr>
              <w:t>《南京市政府采购供应商信用记录表暨信用承诺书》（</w:t>
            </w:r>
            <w:r>
              <w:rPr>
                <w:rFonts w:hint="eastAsia" w:ascii="仿宋" w:hAnsi="仿宋" w:eastAsia="仿宋" w:cs="仿宋"/>
                <w:b/>
                <w:color w:val="auto"/>
                <w:szCs w:val="21"/>
                <w:highlight w:val="none"/>
              </w:rPr>
              <w:t>按格式七</w:t>
            </w:r>
            <w:r>
              <w:rPr>
                <w:rFonts w:hint="eastAsia" w:ascii="仿宋" w:hAnsi="仿宋" w:eastAsia="仿宋" w:cs="仿宋"/>
                <w:bCs/>
                <w:color w:val="auto"/>
                <w:szCs w:val="21"/>
                <w:highlight w:val="none"/>
              </w:rPr>
              <w:t>的要求）</w:t>
            </w:r>
          </w:p>
        </w:tc>
      </w:tr>
      <w:tr w14:paraId="06A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5EEA4976">
            <w:pPr>
              <w:jc w:val="center"/>
              <w:rPr>
                <w:rFonts w:ascii="仿宋" w:hAnsi="仿宋" w:eastAsia="仿宋" w:cs="仿宋"/>
                <w:b/>
                <w:color w:val="auto"/>
                <w:szCs w:val="21"/>
                <w:highlight w:val="none"/>
              </w:rPr>
            </w:pPr>
            <w:r>
              <w:rPr>
                <w:rFonts w:hint="eastAsia" w:ascii="仿宋" w:hAnsi="仿宋" w:eastAsia="仿宋" w:cs="仿宋"/>
                <w:color w:val="auto"/>
                <w:szCs w:val="21"/>
                <w:highlight w:val="none"/>
              </w:rPr>
              <w:t>联合体供应商</w:t>
            </w:r>
          </w:p>
        </w:tc>
        <w:tc>
          <w:tcPr>
            <w:tcW w:w="6661" w:type="dxa"/>
            <w:vAlign w:val="center"/>
          </w:tcPr>
          <w:p w14:paraId="64B61DE3">
            <w:pPr>
              <w:rPr>
                <w:rFonts w:ascii="仿宋" w:hAnsi="仿宋" w:eastAsia="仿宋" w:cs="仿宋"/>
                <w:color w:val="auto"/>
                <w:szCs w:val="21"/>
                <w:highlight w:val="none"/>
              </w:rPr>
            </w:pPr>
            <w:r>
              <w:rPr>
                <w:rFonts w:hint="eastAsia" w:ascii="仿宋" w:hAnsi="仿宋" w:eastAsia="仿宋" w:cs="仿宋"/>
                <w:color w:val="auto"/>
                <w:szCs w:val="21"/>
                <w:highlight w:val="none"/>
              </w:rPr>
              <w:t>不接受</w:t>
            </w:r>
          </w:p>
        </w:tc>
      </w:tr>
      <w:tr w14:paraId="63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2D74DC8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备选响应方案</w:t>
            </w:r>
          </w:p>
        </w:tc>
        <w:tc>
          <w:tcPr>
            <w:tcW w:w="6661" w:type="dxa"/>
            <w:vAlign w:val="center"/>
          </w:tcPr>
          <w:p w14:paraId="40639D82">
            <w:pPr>
              <w:rPr>
                <w:rFonts w:ascii="仿宋" w:hAnsi="仿宋" w:eastAsia="仿宋" w:cs="仿宋"/>
                <w:color w:val="auto"/>
                <w:szCs w:val="21"/>
                <w:highlight w:val="none"/>
              </w:rPr>
            </w:pPr>
            <w:r>
              <w:rPr>
                <w:rFonts w:hint="eastAsia" w:ascii="仿宋" w:hAnsi="仿宋" w:eastAsia="仿宋" w:cs="仿宋"/>
                <w:color w:val="auto"/>
                <w:szCs w:val="21"/>
                <w:highlight w:val="none"/>
              </w:rPr>
              <w:t>不接受</w:t>
            </w:r>
          </w:p>
        </w:tc>
      </w:tr>
      <w:tr w14:paraId="1905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485F69F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附加条件</w:t>
            </w:r>
          </w:p>
        </w:tc>
        <w:tc>
          <w:tcPr>
            <w:tcW w:w="6661" w:type="dxa"/>
            <w:vAlign w:val="center"/>
          </w:tcPr>
          <w:p w14:paraId="61064932">
            <w:pPr>
              <w:rPr>
                <w:rFonts w:ascii="仿宋" w:hAnsi="仿宋" w:eastAsia="仿宋" w:cs="仿宋"/>
                <w:color w:val="auto"/>
                <w:szCs w:val="21"/>
                <w:highlight w:val="none"/>
              </w:rPr>
            </w:pPr>
            <w:r>
              <w:rPr>
                <w:rFonts w:hint="eastAsia" w:ascii="仿宋" w:hAnsi="仿宋" w:eastAsia="仿宋" w:cs="仿宋"/>
                <w:color w:val="auto"/>
                <w:szCs w:val="21"/>
                <w:highlight w:val="none"/>
              </w:rPr>
              <w:t>响应文件没有采购人不能接受的附加条件</w:t>
            </w:r>
          </w:p>
        </w:tc>
      </w:tr>
      <w:tr w14:paraId="306F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1A7F827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串通投标</w:t>
            </w:r>
          </w:p>
        </w:tc>
        <w:tc>
          <w:tcPr>
            <w:tcW w:w="6661" w:type="dxa"/>
            <w:vAlign w:val="center"/>
          </w:tcPr>
          <w:p w14:paraId="448A8F4E">
            <w:pPr>
              <w:rPr>
                <w:rFonts w:ascii="仿宋" w:hAnsi="仿宋" w:eastAsia="仿宋" w:cs="仿宋"/>
                <w:color w:val="auto"/>
                <w:szCs w:val="21"/>
                <w:highlight w:val="none"/>
              </w:rPr>
            </w:pPr>
            <w:r>
              <w:rPr>
                <w:rFonts w:hint="eastAsia" w:ascii="仿宋" w:hAnsi="仿宋" w:eastAsia="仿宋" w:cs="仿宋"/>
                <w:color w:val="auto"/>
                <w:szCs w:val="21"/>
                <w:highlight w:val="none"/>
              </w:rPr>
              <w:t>响应文件没有竞争性磋商文件《第二部分：供应商须知》4.2条串通投标的情形</w:t>
            </w:r>
          </w:p>
        </w:tc>
      </w:tr>
      <w:tr w14:paraId="1E81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6" w:type="dxa"/>
            <w:vAlign w:val="center"/>
          </w:tcPr>
          <w:p w14:paraId="678DC46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其他无效情形</w:t>
            </w:r>
          </w:p>
        </w:tc>
        <w:tc>
          <w:tcPr>
            <w:tcW w:w="6661" w:type="dxa"/>
            <w:vAlign w:val="center"/>
          </w:tcPr>
          <w:p w14:paraId="497359A1">
            <w:pPr>
              <w:rPr>
                <w:rFonts w:ascii="仿宋" w:hAnsi="仿宋" w:eastAsia="仿宋" w:cs="仿宋"/>
                <w:color w:val="auto"/>
                <w:szCs w:val="21"/>
                <w:highlight w:val="none"/>
              </w:rPr>
            </w:pPr>
            <w:r>
              <w:rPr>
                <w:rFonts w:hint="eastAsia" w:ascii="仿宋" w:hAnsi="仿宋" w:eastAsia="仿宋" w:cs="仿宋"/>
                <w:color w:val="auto"/>
                <w:szCs w:val="21"/>
                <w:highlight w:val="none"/>
              </w:rPr>
              <w:t>响应文件没有法律、法规和竞争性磋商文件规定的其他无效情形</w:t>
            </w:r>
          </w:p>
        </w:tc>
      </w:tr>
    </w:tbl>
    <w:p w14:paraId="62FB8FE6">
      <w:pPr>
        <w:ind w:firstLine="361" w:firstLineChars="150"/>
        <w:rPr>
          <w:rFonts w:ascii="仿宋" w:hAnsi="仿宋" w:eastAsia="仿宋" w:cs="仿宋"/>
          <w:b/>
          <w:color w:val="auto"/>
          <w:sz w:val="24"/>
          <w:szCs w:val="24"/>
          <w:highlight w:val="none"/>
        </w:rPr>
      </w:pPr>
    </w:p>
    <w:p w14:paraId="6BD2CDCE">
      <w:pPr>
        <w:ind w:firstLine="361" w:firstLineChars="1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三、综合评分标准</w:t>
      </w:r>
    </w:p>
    <w:tbl>
      <w:tblPr>
        <w:tblStyle w:val="2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050"/>
        <w:gridCol w:w="10"/>
        <w:gridCol w:w="5193"/>
      </w:tblGrid>
      <w:tr w14:paraId="65AF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F24C7AC">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项目</w:t>
            </w:r>
          </w:p>
        </w:tc>
        <w:tc>
          <w:tcPr>
            <w:tcW w:w="7253" w:type="dxa"/>
            <w:gridSpan w:val="3"/>
            <w:vAlign w:val="center"/>
          </w:tcPr>
          <w:p w14:paraId="3B9792E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评分细则</w:t>
            </w:r>
          </w:p>
        </w:tc>
      </w:tr>
      <w:tr w14:paraId="6FCA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Merge w:val="restart"/>
            <w:vAlign w:val="center"/>
          </w:tcPr>
          <w:p w14:paraId="3A4B41C8">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价格评分</w:t>
            </w:r>
          </w:p>
          <w:p w14:paraId="6556A854">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（20分）</w:t>
            </w:r>
          </w:p>
        </w:tc>
        <w:tc>
          <w:tcPr>
            <w:tcW w:w="2060" w:type="dxa"/>
            <w:gridSpan w:val="2"/>
            <w:vAlign w:val="center"/>
          </w:tcPr>
          <w:p w14:paraId="323E8106">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门诊检验（10分）</w:t>
            </w:r>
          </w:p>
          <w:p w14:paraId="527C7EFB">
            <w:pPr>
              <w:rPr>
                <w:rFonts w:ascii="仿宋" w:hAnsi="仿宋" w:eastAsia="仿宋" w:cs="仿宋"/>
                <w:color w:val="auto"/>
                <w:szCs w:val="21"/>
                <w:highlight w:val="none"/>
              </w:rPr>
            </w:pPr>
          </w:p>
        </w:tc>
        <w:tc>
          <w:tcPr>
            <w:tcW w:w="5193" w:type="dxa"/>
            <w:vAlign w:val="center"/>
          </w:tcPr>
          <w:p w14:paraId="22E888DD">
            <w:pPr>
              <w:rPr>
                <w:rFonts w:ascii="仿宋" w:hAnsi="仿宋" w:eastAsia="仿宋" w:cs="仿宋"/>
                <w:color w:val="auto"/>
                <w:szCs w:val="21"/>
                <w:highlight w:val="none"/>
              </w:rPr>
            </w:pPr>
            <w:r>
              <w:rPr>
                <w:rFonts w:hint="eastAsia" w:ascii="仿宋" w:hAnsi="仿宋" w:eastAsia="仿宋" w:cs="仿宋"/>
                <w:color w:val="auto"/>
                <w:szCs w:val="21"/>
                <w:highlight w:val="none"/>
              </w:rPr>
              <w:t>采用低价优先法计算，即满足竞争性磋商文件要求且最后报价的最低价为评审基准价，其价格分为满分10分。其他供应商的价格分统一按照下列公式计算：</w:t>
            </w:r>
          </w:p>
          <w:p w14:paraId="00900F55">
            <w:pPr>
              <w:rPr>
                <w:rFonts w:ascii="仿宋" w:hAnsi="仿宋" w:eastAsia="仿宋" w:cs="仿宋"/>
                <w:color w:val="auto"/>
                <w:szCs w:val="21"/>
                <w:highlight w:val="none"/>
              </w:rPr>
            </w:pPr>
            <w:r>
              <w:rPr>
                <w:rFonts w:hint="eastAsia" w:ascii="仿宋" w:hAnsi="仿宋" w:eastAsia="仿宋" w:cs="仿宋"/>
                <w:color w:val="auto"/>
                <w:szCs w:val="21"/>
                <w:highlight w:val="none"/>
              </w:rPr>
              <w:t>最后报价得分=评审基准价/最后报价×10（小数点保留两位）</w:t>
            </w:r>
          </w:p>
        </w:tc>
      </w:tr>
      <w:tr w14:paraId="10BF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Merge w:val="continue"/>
            <w:vAlign w:val="center"/>
          </w:tcPr>
          <w:p w14:paraId="76301D59">
            <w:pPr>
              <w:jc w:val="center"/>
              <w:rPr>
                <w:rFonts w:ascii="仿宋" w:hAnsi="仿宋" w:eastAsia="仿宋" w:cs="仿宋"/>
                <w:b/>
                <w:color w:val="auto"/>
                <w:szCs w:val="21"/>
                <w:highlight w:val="none"/>
              </w:rPr>
            </w:pPr>
          </w:p>
        </w:tc>
        <w:tc>
          <w:tcPr>
            <w:tcW w:w="2060" w:type="dxa"/>
            <w:gridSpan w:val="2"/>
            <w:vAlign w:val="center"/>
          </w:tcPr>
          <w:p w14:paraId="00504727">
            <w:pPr>
              <w:rPr>
                <w:rFonts w:ascii="仿宋" w:hAnsi="仿宋" w:eastAsia="仿宋" w:cs="仿宋"/>
                <w:color w:val="auto"/>
                <w:szCs w:val="21"/>
                <w:highlight w:val="none"/>
              </w:rPr>
            </w:pPr>
            <w:r>
              <w:rPr>
                <w:rFonts w:hint="eastAsia" w:ascii="仿宋" w:hAnsi="仿宋" w:eastAsia="仿宋" w:cs="仿宋"/>
                <w:b/>
                <w:color w:val="auto"/>
                <w:szCs w:val="21"/>
                <w:highlight w:val="none"/>
              </w:rPr>
              <w:t>体检检验（10分）</w:t>
            </w:r>
          </w:p>
        </w:tc>
        <w:tc>
          <w:tcPr>
            <w:tcW w:w="5193" w:type="dxa"/>
            <w:vAlign w:val="center"/>
          </w:tcPr>
          <w:p w14:paraId="6F52EE27">
            <w:pPr>
              <w:rPr>
                <w:rFonts w:ascii="仿宋" w:hAnsi="仿宋" w:eastAsia="仿宋" w:cs="仿宋"/>
                <w:color w:val="auto"/>
                <w:szCs w:val="21"/>
                <w:highlight w:val="none"/>
              </w:rPr>
            </w:pPr>
            <w:r>
              <w:rPr>
                <w:rFonts w:hint="eastAsia" w:ascii="仿宋" w:hAnsi="仿宋" w:eastAsia="仿宋" w:cs="仿宋"/>
                <w:color w:val="auto"/>
                <w:szCs w:val="21"/>
                <w:highlight w:val="none"/>
              </w:rPr>
              <w:t>采用低价优先法计算，即满足竞争性磋商文件要求且最后报价的最低价为评审基准价，其价格分为满分10分。其他供应商的价格分统一按照下列公式计算：</w:t>
            </w:r>
          </w:p>
          <w:p w14:paraId="2C38061F">
            <w:pPr>
              <w:rPr>
                <w:rFonts w:ascii="仿宋" w:hAnsi="仿宋" w:eastAsia="仿宋" w:cs="仿宋"/>
                <w:color w:val="auto"/>
                <w:szCs w:val="21"/>
                <w:highlight w:val="none"/>
              </w:rPr>
            </w:pPr>
            <w:r>
              <w:rPr>
                <w:rFonts w:hint="eastAsia" w:ascii="仿宋" w:hAnsi="仿宋" w:eastAsia="仿宋" w:cs="仿宋"/>
                <w:color w:val="auto"/>
                <w:szCs w:val="21"/>
                <w:highlight w:val="none"/>
              </w:rPr>
              <w:t>最后报价得分=评审基准价/最后报价×10（小数点保留两位）</w:t>
            </w:r>
          </w:p>
        </w:tc>
      </w:tr>
      <w:tr w14:paraId="170D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restart"/>
            <w:shd w:val="clear" w:color="auto" w:fill="auto"/>
            <w:vAlign w:val="center"/>
          </w:tcPr>
          <w:p w14:paraId="55CAAB5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商务</w:t>
            </w:r>
          </w:p>
          <w:p w14:paraId="2F8D3520">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（50）分</w:t>
            </w:r>
          </w:p>
        </w:tc>
        <w:tc>
          <w:tcPr>
            <w:tcW w:w="2050" w:type="dxa"/>
            <w:shd w:val="clear" w:color="auto" w:fill="auto"/>
            <w:vAlign w:val="center"/>
          </w:tcPr>
          <w:p w14:paraId="4F30D75F">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实验室资质</w:t>
            </w:r>
          </w:p>
          <w:p w14:paraId="4E156FA1">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w:t>
            </w:r>
            <w:r>
              <w:rPr>
                <w:rFonts w:ascii="仿宋" w:hAnsi="仿宋" w:eastAsia="仿宋" w:cs="仿宋"/>
                <w:b/>
                <w:color w:val="auto"/>
                <w:szCs w:val="21"/>
                <w:highlight w:val="none"/>
              </w:rPr>
              <w:t>3</w:t>
            </w:r>
            <w:r>
              <w:rPr>
                <w:rFonts w:hint="eastAsia" w:ascii="仿宋" w:hAnsi="仿宋" w:eastAsia="仿宋" w:cs="仿宋"/>
                <w:b/>
                <w:color w:val="auto"/>
                <w:szCs w:val="21"/>
                <w:highlight w:val="none"/>
              </w:rPr>
              <w:t>）分</w:t>
            </w:r>
          </w:p>
        </w:tc>
        <w:tc>
          <w:tcPr>
            <w:tcW w:w="5203" w:type="dxa"/>
            <w:gridSpan w:val="2"/>
            <w:vAlign w:val="center"/>
          </w:tcPr>
          <w:p w14:paraId="34C175D0">
            <w:pPr>
              <w:rPr>
                <w:rFonts w:ascii="仿宋" w:hAnsi="仿宋" w:eastAsia="仿宋" w:cs="仿宋"/>
                <w:color w:val="auto"/>
                <w:szCs w:val="21"/>
                <w:highlight w:val="none"/>
              </w:rPr>
            </w:pPr>
            <w:r>
              <w:rPr>
                <w:rFonts w:hint="eastAsia" w:ascii="仿宋" w:hAnsi="仿宋" w:eastAsia="仿宋" w:cs="仿宋"/>
                <w:color w:val="auto"/>
                <w:szCs w:val="21"/>
                <w:highlight w:val="none"/>
              </w:rPr>
              <w:t>1、投标人提供有效期内ISO 15189实验室认可证书（2分）。</w:t>
            </w:r>
          </w:p>
          <w:p w14:paraId="297C0DB3">
            <w:pPr>
              <w:rPr>
                <w:rFonts w:ascii="仿宋" w:hAnsi="仿宋" w:eastAsia="仿宋" w:cs="仿宋"/>
                <w:color w:val="auto"/>
                <w:szCs w:val="21"/>
                <w:highlight w:val="none"/>
              </w:rPr>
            </w:pPr>
            <w:r>
              <w:rPr>
                <w:rFonts w:hint="eastAsia" w:ascii="仿宋" w:hAnsi="仿宋" w:eastAsia="仿宋" w:cs="仿宋"/>
                <w:color w:val="auto"/>
                <w:szCs w:val="21"/>
                <w:highlight w:val="none"/>
              </w:rPr>
              <w:t>2、投标人通过ISO15189实验室体系认可临床检验项目领域包括血液（AA）、体液（AB）、生化（AC）、免疫（AD）、微生物（AE）、分子诊断（XA）。领域数量≥6项，得4分；6项&gt;领域数量≥3项，得2分。领域数量&lt;3项，得1分。不提供不得分。</w:t>
            </w:r>
          </w:p>
          <w:p w14:paraId="45E2BB34">
            <w:pPr>
              <w:rPr>
                <w:rFonts w:ascii="仿宋" w:hAnsi="仿宋" w:eastAsia="仿宋" w:cs="仿宋"/>
                <w:color w:val="auto"/>
                <w:szCs w:val="21"/>
                <w:highlight w:val="none"/>
              </w:rPr>
            </w:pPr>
            <w:r>
              <w:rPr>
                <w:rFonts w:hint="eastAsia" w:ascii="仿宋" w:hAnsi="仿宋" w:eastAsia="仿宋" w:cs="仿宋"/>
                <w:color w:val="auto"/>
                <w:szCs w:val="21"/>
                <w:highlight w:val="none"/>
              </w:rPr>
              <w:t>3、具有省级或以上临床检验中心颁发PCR临床基因扩增检验实验室技术审核验收合格证书类别包括感染、代谢的得1分，少一项扣1分。本项最高得1分，不提供不得分。</w:t>
            </w:r>
          </w:p>
          <w:p w14:paraId="2B663743">
            <w:pPr>
              <w:rPr>
                <w:rFonts w:ascii="仿宋" w:hAnsi="仿宋" w:eastAsia="仿宋" w:cs="仿宋"/>
                <w:color w:val="auto"/>
                <w:szCs w:val="21"/>
                <w:highlight w:val="none"/>
              </w:rPr>
            </w:pPr>
            <w:r>
              <w:rPr>
                <w:rFonts w:hint="eastAsia" w:ascii="仿宋" w:hAnsi="仿宋" w:eastAsia="仿宋" w:cs="仿宋"/>
                <w:color w:val="auto"/>
                <w:szCs w:val="21"/>
                <w:highlight w:val="none"/>
              </w:rPr>
              <w:t>4、投标人提供2023年江苏省合格室间质评证书，提供一张证书得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分，最高得</w:t>
            </w:r>
            <w:r>
              <w:rPr>
                <w:rFonts w:ascii="仿宋" w:hAnsi="仿宋" w:eastAsia="仿宋" w:cs="仿宋"/>
                <w:color w:val="auto"/>
                <w:szCs w:val="21"/>
                <w:highlight w:val="none"/>
              </w:rPr>
              <w:t>6</w:t>
            </w:r>
            <w:r>
              <w:rPr>
                <w:rFonts w:hint="eastAsia" w:ascii="仿宋" w:hAnsi="仿宋" w:eastAsia="仿宋" w:cs="仿宋"/>
                <w:color w:val="auto"/>
                <w:szCs w:val="21"/>
                <w:highlight w:val="none"/>
              </w:rPr>
              <w:t>分。（投标人提供合格证书复印件并加盖供应商公章放入标书内，不提供或提供不符合要求不得分）。</w:t>
            </w:r>
          </w:p>
          <w:p w14:paraId="3E8FF60F">
            <w:pPr>
              <w:rPr>
                <w:rFonts w:ascii="仿宋" w:hAnsi="仿宋" w:eastAsia="仿宋" w:cs="仿宋"/>
                <w:color w:val="auto"/>
                <w:szCs w:val="21"/>
                <w:highlight w:val="none"/>
              </w:rPr>
            </w:pPr>
            <w:r>
              <w:rPr>
                <w:rFonts w:hint="eastAsia" w:ascii="仿宋" w:hAnsi="仿宋" w:eastAsia="仿宋" w:cs="仿宋"/>
                <w:color w:val="auto"/>
                <w:szCs w:val="21"/>
                <w:highlight w:val="none"/>
              </w:rPr>
              <w:t>注：以上证明材料需提供复印件并加盖公章放入标书。</w:t>
            </w:r>
          </w:p>
        </w:tc>
      </w:tr>
      <w:tr w14:paraId="71C8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534B03B4">
            <w:pPr>
              <w:jc w:val="center"/>
              <w:rPr>
                <w:rFonts w:ascii="仿宋" w:hAnsi="仿宋" w:eastAsia="仿宋" w:cs="仿宋"/>
                <w:b/>
                <w:color w:val="auto"/>
                <w:szCs w:val="21"/>
                <w:highlight w:val="none"/>
              </w:rPr>
            </w:pPr>
          </w:p>
        </w:tc>
        <w:tc>
          <w:tcPr>
            <w:tcW w:w="2050" w:type="dxa"/>
            <w:shd w:val="clear" w:color="auto" w:fill="auto"/>
            <w:vAlign w:val="center"/>
          </w:tcPr>
          <w:p w14:paraId="7BA8950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质量认证</w:t>
            </w:r>
          </w:p>
          <w:p w14:paraId="0C46BD6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（3）分</w:t>
            </w:r>
          </w:p>
        </w:tc>
        <w:tc>
          <w:tcPr>
            <w:tcW w:w="5203" w:type="dxa"/>
            <w:gridSpan w:val="2"/>
            <w:vAlign w:val="center"/>
          </w:tcPr>
          <w:p w14:paraId="443BC743">
            <w:pPr>
              <w:rPr>
                <w:rFonts w:ascii="仿宋" w:hAnsi="仿宋" w:eastAsia="仿宋" w:cs="仿宋"/>
                <w:color w:val="auto"/>
                <w:szCs w:val="21"/>
                <w:highlight w:val="none"/>
              </w:rPr>
            </w:pPr>
            <w:r>
              <w:rPr>
                <w:rFonts w:hint="eastAsia" w:ascii="仿宋" w:hAnsi="仿宋" w:eastAsia="仿宋" w:cs="仿宋"/>
                <w:color w:val="auto"/>
                <w:szCs w:val="21"/>
                <w:highlight w:val="none"/>
              </w:rPr>
              <w:t>投标人通过ISO 9001质量管理体系认证、通过ISO 14001环境管理体系认证、供应商通过ISO45001职业健康安全管理体系认证，每提供一个得1分，本项最高得3分。提供有效期内证书及国家认证认可监督管理委员会官网查询截图复印件并加盖公章，否则不得分。</w:t>
            </w:r>
          </w:p>
        </w:tc>
      </w:tr>
      <w:tr w14:paraId="44FB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0B273635">
            <w:pPr>
              <w:jc w:val="center"/>
              <w:rPr>
                <w:rFonts w:ascii="仿宋" w:hAnsi="仿宋" w:eastAsia="仿宋" w:cs="仿宋"/>
                <w:b/>
                <w:color w:val="auto"/>
                <w:szCs w:val="21"/>
                <w:highlight w:val="none"/>
              </w:rPr>
            </w:pPr>
          </w:p>
        </w:tc>
        <w:tc>
          <w:tcPr>
            <w:tcW w:w="2050" w:type="dxa"/>
            <w:shd w:val="clear" w:color="auto" w:fill="auto"/>
            <w:vAlign w:val="center"/>
          </w:tcPr>
          <w:p w14:paraId="58193227">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省级临床检验结果互认</w:t>
            </w:r>
          </w:p>
          <w:p w14:paraId="3AF4EBA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w:t>
            </w:r>
            <w:r>
              <w:rPr>
                <w:rFonts w:ascii="仿宋" w:hAnsi="仿宋" w:eastAsia="仿宋" w:cs="仿宋"/>
                <w:b/>
                <w:color w:val="auto"/>
                <w:szCs w:val="21"/>
                <w:highlight w:val="none"/>
              </w:rPr>
              <w:t>7</w:t>
            </w:r>
            <w:r>
              <w:rPr>
                <w:rFonts w:hint="eastAsia" w:ascii="仿宋" w:hAnsi="仿宋" w:eastAsia="仿宋" w:cs="仿宋"/>
                <w:b/>
                <w:color w:val="auto"/>
                <w:szCs w:val="21"/>
                <w:highlight w:val="none"/>
              </w:rPr>
              <w:t>分）</w:t>
            </w:r>
          </w:p>
        </w:tc>
        <w:tc>
          <w:tcPr>
            <w:tcW w:w="5203" w:type="dxa"/>
            <w:gridSpan w:val="2"/>
            <w:vAlign w:val="center"/>
          </w:tcPr>
          <w:p w14:paraId="5BCBB88F">
            <w:pPr>
              <w:rPr>
                <w:rFonts w:ascii="仿宋" w:hAnsi="仿宋" w:eastAsia="仿宋" w:cs="仿宋"/>
                <w:color w:val="auto"/>
                <w:szCs w:val="21"/>
                <w:highlight w:val="none"/>
              </w:rPr>
            </w:pPr>
            <w:r>
              <w:rPr>
                <w:rFonts w:hint="eastAsia" w:ascii="仿宋" w:hAnsi="仿宋" w:eastAsia="仿宋" w:cs="仿宋"/>
                <w:color w:val="auto"/>
                <w:szCs w:val="21"/>
                <w:highlight w:val="none"/>
              </w:rPr>
              <w:t>2024年度《江苏省临床检验互认机构及项目名单（50项）》情况，互认项目全部满足者得</w:t>
            </w:r>
            <w:r>
              <w:rPr>
                <w:rFonts w:ascii="仿宋" w:hAnsi="仿宋" w:eastAsia="仿宋" w:cs="仿宋"/>
                <w:color w:val="auto"/>
                <w:szCs w:val="21"/>
                <w:highlight w:val="none"/>
              </w:rPr>
              <w:t>7</w:t>
            </w:r>
            <w:r>
              <w:rPr>
                <w:rFonts w:hint="eastAsia" w:ascii="仿宋" w:hAnsi="仿宋" w:eastAsia="仿宋" w:cs="仿宋"/>
                <w:color w:val="auto"/>
                <w:szCs w:val="21"/>
                <w:highlight w:val="none"/>
              </w:rPr>
              <w:t>分，每缺少一个项目扣1分。不在名单内或不符合要求不得分。</w:t>
            </w:r>
          </w:p>
        </w:tc>
      </w:tr>
      <w:tr w14:paraId="3FD8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0F47AC02">
            <w:pPr>
              <w:jc w:val="center"/>
              <w:rPr>
                <w:rFonts w:ascii="仿宋" w:hAnsi="仿宋" w:eastAsia="仿宋" w:cs="仿宋"/>
                <w:b/>
                <w:color w:val="auto"/>
                <w:szCs w:val="21"/>
                <w:highlight w:val="none"/>
              </w:rPr>
            </w:pPr>
          </w:p>
        </w:tc>
        <w:tc>
          <w:tcPr>
            <w:tcW w:w="2050" w:type="dxa"/>
            <w:shd w:val="clear" w:color="auto" w:fill="auto"/>
            <w:vAlign w:val="center"/>
          </w:tcPr>
          <w:p w14:paraId="6CAA0664">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冷链物流</w:t>
            </w:r>
          </w:p>
          <w:p w14:paraId="0E634C58">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（7）分</w:t>
            </w:r>
          </w:p>
        </w:tc>
        <w:tc>
          <w:tcPr>
            <w:tcW w:w="5203" w:type="dxa"/>
            <w:gridSpan w:val="2"/>
            <w:vAlign w:val="center"/>
          </w:tcPr>
          <w:p w14:paraId="1324D900">
            <w:pPr>
              <w:rPr>
                <w:rFonts w:ascii="仿宋" w:hAnsi="仿宋" w:eastAsia="仿宋" w:cs="仿宋"/>
                <w:color w:val="auto"/>
                <w:szCs w:val="21"/>
                <w:highlight w:val="none"/>
              </w:rPr>
            </w:pPr>
            <w:r>
              <w:rPr>
                <w:rFonts w:hint="eastAsia" w:ascii="仿宋" w:hAnsi="仿宋" w:eastAsia="仿宋" w:cs="仿宋"/>
                <w:color w:val="auto"/>
                <w:szCs w:val="21"/>
                <w:highlight w:val="none"/>
              </w:rPr>
              <w:t>1.具有《道路运输经营许可证》的得2分；（提供相关证书复印件，未提供不得分） 注：证书需与营业执照名称一致，并加盖公章。</w:t>
            </w:r>
          </w:p>
          <w:p w14:paraId="43DE0518">
            <w:pPr>
              <w:rPr>
                <w:rFonts w:ascii="仿宋" w:hAnsi="仿宋" w:eastAsia="仿宋" w:cs="仿宋"/>
                <w:color w:val="auto"/>
                <w:szCs w:val="21"/>
                <w:highlight w:val="none"/>
              </w:rPr>
            </w:pPr>
            <w:r>
              <w:rPr>
                <w:rFonts w:hint="eastAsia" w:ascii="仿宋" w:hAnsi="仿宋" w:eastAsia="仿宋" w:cs="仿宋"/>
                <w:color w:val="auto"/>
                <w:szCs w:val="21"/>
                <w:highlight w:val="none"/>
              </w:rPr>
              <w:t>2.投标人从样本接收到检测实验室的物流时间小于2小时（含）的，得3分；时间大于2小时但小于4小时（含），得2分；时间大于4小时但小于6小时（含），得1分。以百度地图或高德地图显示，妇幼保健所到实验室导航距离时效为准，未提供不得分。</w:t>
            </w:r>
          </w:p>
          <w:p w14:paraId="58444F03">
            <w:pPr>
              <w:rPr>
                <w:rFonts w:ascii="仿宋" w:hAnsi="仿宋" w:eastAsia="仿宋" w:cs="仿宋"/>
                <w:color w:val="auto"/>
                <w:szCs w:val="21"/>
                <w:highlight w:val="none"/>
              </w:rPr>
            </w:pPr>
            <w:r>
              <w:rPr>
                <w:rFonts w:hint="eastAsia" w:ascii="仿宋" w:hAnsi="仿宋" w:eastAsia="仿宋" w:cs="仿宋"/>
                <w:color w:val="auto"/>
                <w:szCs w:val="21"/>
                <w:highlight w:val="none"/>
              </w:rPr>
              <w:t>3.供应商具备完善的冷链运输体系及服务说明，确保运输过程的样品质量和环境安全的得2分；（提供物流服务方案及至少1辆车辆行驶证、车辆照片及采购发票或采购合同、租赁合同复印件。）</w:t>
            </w:r>
          </w:p>
        </w:tc>
      </w:tr>
      <w:tr w14:paraId="2776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24ABE602">
            <w:pPr>
              <w:jc w:val="center"/>
              <w:rPr>
                <w:rFonts w:ascii="仿宋" w:hAnsi="仿宋" w:eastAsia="仿宋" w:cs="仿宋"/>
                <w:b/>
                <w:color w:val="auto"/>
                <w:szCs w:val="21"/>
                <w:highlight w:val="none"/>
              </w:rPr>
            </w:pPr>
          </w:p>
        </w:tc>
        <w:tc>
          <w:tcPr>
            <w:tcW w:w="2050" w:type="dxa"/>
            <w:shd w:val="clear" w:color="auto" w:fill="auto"/>
            <w:vAlign w:val="center"/>
          </w:tcPr>
          <w:p w14:paraId="2FE3918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业绩</w:t>
            </w:r>
          </w:p>
          <w:p w14:paraId="70F0855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（9）分</w:t>
            </w:r>
          </w:p>
        </w:tc>
        <w:tc>
          <w:tcPr>
            <w:tcW w:w="5203" w:type="dxa"/>
            <w:gridSpan w:val="2"/>
            <w:vAlign w:val="center"/>
          </w:tcPr>
          <w:p w14:paraId="22EBB2ED">
            <w:pPr>
              <w:rPr>
                <w:rFonts w:ascii="仿宋" w:hAnsi="仿宋" w:eastAsia="仿宋" w:cs="仿宋"/>
                <w:color w:val="auto"/>
                <w:szCs w:val="21"/>
                <w:highlight w:val="none"/>
              </w:rPr>
            </w:pPr>
            <w:r>
              <w:rPr>
                <w:rFonts w:hint="eastAsia" w:ascii="仿宋" w:hAnsi="仿宋" w:eastAsia="仿宋" w:cs="仿宋"/>
                <w:color w:val="auto"/>
                <w:szCs w:val="21"/>
                <w:highlight w:val="none"/>
              </w:rPr>
              <w:t>提供自2021年1月1日至今公立三级以上项目案例，每提供合同1个得3分，该项最高得9分（提供合同原件扫描件并加盖公章，时间以合同签订时间为准）。</w:t>
            </w:r>
          </w:p>
        </w:tc>
      </w:tr>
      <w:tr w14:paraId="3AA5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5C529E95">
            <w:pPr>
              <w:jc w:val="center"/>
              <w:rPr>
                <w:rFonts w:ascii="仿宋" w:hAnsi="仿宋" w:eastAsia="仿宋" w:cs="仿宋"/>
                <w:b/>
                <w:color w:val="auto"/>
                <w:szCs w:val="21"/>
                <w:highlight w:val="none"/>
              </w:rPr>
            </w:pPr>
          </w:p>
        </w:tc>
        <w:tc>
          <w:tcPr>
            <w:tcW w:w="2050" w:type="dxa"/>
            <w:shd w:val="clear" w:color="auto" w:fill="auto"/>
            <w:vAlign w:val="center"/>
          </w:tcPr>
          <w:p w14:paraId="3D9C0CA4">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人员资质情况</w:t>
            </w:r>
          </w:p>
          <w:p w14:paraId="46C93907">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（5分）</w:t>
            </w:r>
          </w:p>
        </w:tc>
        <w:tc>
          <w:tcPr>
            <w:tcW w:w="5203" w:type="dxa"/>
            <w:gridSpan w:val="2"/>
            <w:vAlign w:val="center"/>
          </w:tcPr>
          <w:p w14:paraId="79AB3B9D">
            <w:pPr>
              <w:rPr>
                <w:rFonts w:ascii="仿宋" w:hAnsi="仿宋" w:eastAsia="仿宋" w:cs="仿宋"/>
                <w:color w:val="auto"/>
                <w:szCs w:val="21"/>
                <w:highlight w:val="none"/>
              </w:rPr>
            </w:pPr>
            <w:r>
              <w:rPr>
                <w:rFonts w:hint="eastAsia" w:ascii="仿宋" w:hAnsi="仿宋" w:eastAsia="仿宋" w:cs="仿宋"/>
                <w:color w:val="auto"/>
                <w:szCs w:val="21"/>
                <w:highlight w:val="none"/>
              </w:rPr>
              <w:t>1.具有中级及以上相关专业技术职称人员的，每有一人得1分，本项最高得3分。</w:t>
            </w:r>
          </w:p>
          <w:p w14:paraId="16691610">
            <w:pPr>
              <w:rPr>
                <w:rFonts w:ascii="仿宋" w:hAnsi="仿宋" w:eastAsia="仿宋" w:cs="仿宋"/>
                <w:color w:val="auto"/>
                <w:szCs w:val="21"/>
                <w:highlight w:val="none"/>
              </w:rPr>
            </w:pPr>
            <w:r>
              <w:rPr>
                <w:rFonts w:hint="eastAsia" w:ascii="仿宋" w:hAnsi="仿宋" w:eastAsia="仿宋" w:cs="仿宋"/>
                <w:color w:val="auto"/>
                <w:szCs w:val="21"/>
                <w:highlight w:val="none"/>
              </w:rPr>
              <w:t>2.提供至少一位具有ISO15189评审工作经验的专家协助服务，提供相关工作证明，得2分。</w:t>
            </w:r>
          </w:p>
          <w:p w14:paraId="2D8E3180">
            <w:pPr>
              <w:rPr>
                <w:rFonts w:ascii="仿宋" w:hAnsi="仿宋" w:eastAsia="仿宋" w:cs="仿宋"/>
                <w:color w:val="auto"/>
                <w:szCs w:val="21"/>
                <w:highlight w:val="none"/>
              </w:rPr>
            </w:pPr>
            <w:r>
              <w:rPr>
                <w:rFonts w:hint="eastAsia" w:ascii="仿宋" w:hAnsi="仿宋" w:eastAsia="仿宋" w:cs="仿宋"/>
                <w:color w:val="auto"/>
                <w:szCs w:val="21"/>
                <w:highlight w:val="none"/>
              </w:rPr>
              <w:t>提供人员职称证书复印件并加盖公章以及供应商为上述人员缴纳的近三个月中任意一个月的社保证明复印件（如所聘人员为退休返聘人员，须提供退休返聘员工劳动合同）</w:t>
            </w:r>
          </w:p>
        </w:tc>
      </w:tr>
      <w:tr w14:paraId="6036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630" w:type="dxa"/>
            <w:vMerge w:val="continue"/>
            <w:shd w:val="clear" w:color="auto" w:fill="auto"/>
            <w:vAlign w:val="center"/>
          </w:tcPr>
          <w:p w14:paraId="31F1B030">
            <w:pPr>
              <w:jc w:val="center"/>
              <w:rPr>
                <w:rFonts w:ascii="仿宋" w:hAnsi="仿宋" w:eastAsia="仿宋" w:cs="仿宋"/>
                <w:b/>
                <w:color w:val="auto"/>
                <w:szCs w:val="21"/>
                <w:highlight w:val="none"/>
              </w:rPr>
            </w:pPr>
          </w:p>
        </w:tc>
        <w:tc>
          <w:tcPr>
            <w:tcW w:w="2050" w:type="dxa"/>
            <w:shd w:val="clear" w:color="auto" w:fill="auto"/>
            <w:vAlign w:val="center"/>
          </w:tcPr>
          <w:p w14:paraId="3131614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信息安全</w:t>
            </w:r>
          </w:p>
          <w:p w14:paraId="42140798">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w:t>
            </w:r>
            <w:r>
              <w:rPr>
                <w:rFonts w:ascii="仿宋" w:hAnsi="仿宋" w:eastAsia="仿宋" w:cs="仿宋"/>
                <w:b/>
                <w:color w:val="auto"/>
                <w:szCs w:val="21"/>
                <w:highlight w:val="none"/>
              </w:rPr>
              <w:t>6</w:t>
            </w:r>
            <w:r>
              <w:rPr>
                <w:rFonts w:hint="eastAsia" w:ascii="仿宋" w:hAnsi="仿宋" w:eastAsia="仿宋" w:cs="仿宋"/>
                <w:b/>
                <w:color w:val="auto"/>
                <w:szCs w:val="21"/>
                <w:highlight w:val="none"/>
              </w:rPr>
              <w:t>分）</w:t>
            </w:r>
          </w:p>
        </w:tc>
        <w:tc>
          <w:tcPr>
            <w:tcW w:w="5203" w:type="dxa"/>
            <w:gridSpan w:val="2"/>
            <w:vAlign w:val="center"/>
          </w:tcPr>
          <w:p w14:paraId="66F4F26C">
            <w:pPr>
              <w:rPr>
                <w:rFonts w:ascii="仿宋" w:hAnsi="仿宋" w:eastAsia="仿宋" w:cs="仿宋"/>
                <w:color w:val="auto"/>
                <w:szCs w:val="21"/>
                <w:highlight w:val="none"/>
              </w:rPr>
            </w:pPr>
            <w:r>
              <w:rPr>
                <w:rFonts w:hint="eastAsia" w:ascii="仿宋" w:hAnsi="仿宋" w:eastAsia="仿宋" w:cs="仿宋"/>
                <w:color w:val="auto"/>
                <w:szCs w:val="21"/>
                <w:highlight w:val="none"/>
              </w:rPr>
              <w:t>投标人需具备信息安全管理的能力，取得信息系统安全等级保护（三级）备案有效认证得</w:t>
            </w:r>
            <w:r>
              <w:rPr>
                <w:rFonts w:ascii="仿宋" w:hAnsi="仿宋" w:eastAsia="仿宋" w:cs="仿宋"/>
                <w:color w:val="auto"/>
                <w:szCs w:val="21"/>
                <w:highlight w:val="none"/>
              </w:rPr>
              <w:t>6</w:t>
            </w:r>
            <w:r>
              <w:rPr>
                <w:rFonts w:hint="eastAsia" w:ascii="仿宋" w:hAnsi="仿宋" w:eastAsia="仿宋" w:cs="仿宋"/>
                <w:color w:val="auto"/>
                <w:szCs w:val="21"/>
                <w:highlight w:val="none"/>
              </w:rPr>
              <w:t>分，不满足不得分。注：证书需与投标人营业执照名称一致，并加盖公章。</w:t>
            </w:r>
          </w:p>
        </w:tc>
      </w:tr>
      <w:tr w14:paraId="2482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630" w:type="dxa"/>
            <w:vMerge w:val="restart"/>
            <w:vAlign w:val="center"/>
          </w:tcPr>
          <w:p w14:paraId="4A4123C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技术</w:t>
            </w:r>
          </w:p>
          <w:p w14:paraId="506A68E6">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（30）分</w:t>
            </w:r>
          </w:p>
        </w:tc>
        <w:tc>
          <w:tcPr>
            <w:tcW w:w="2050" w:type="dxa"/>
            <w:vAlign w:val="center"/>
          </w:tcPr>
          <w:p w14:paraId="054638A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技术服务方案</w:t>
            </w:r>
          </w:p>
          <w:p w14:paraId="793CED39">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（10分）</w:t>
            </w:r>
          </w:p>
        </w:tc>
        <w:tc>
          <w:tcPr>
            <w:tcW w:w="5203" w:type="dxa"/>
            <w:gridSpan w:val="2"/>
            <w:vAlign w:val="center"/>
          </w:tcPr>
          <w:p w14:paraId="2EF1D2DE">
            <w:pPr>
              <w:rPr>
                <w:rFonts w:ascii="仿宋" w:hAnsi="仿宋" w:eastAsia="仿宋" w:cs="仿宋"/>
                <w:color w:val="auto"/>
                <w:szCs w:val="21"/>
                <w:highlight w:val="none"/>
              </w:rPr>
            </w:pPr>
            <w:r>
              <w:rPr>
                <w:rFonts w:hint="eastAsia" w:ascii="仿宋" w:hAnsi="仿宋" w:eastAsia="仿宋" w:cs="仿宋"/>
                <w:color w:val="auto"/>
                <w:szCs w:val="21"/>
                <w:highlight w:val="none"/>
              </w:rPr>
              <w:t>投标人为本项目提供服务方案：</w:t>
            </w:r>
          </w:p>
          <w:p w14:paraId="58F4C57A">
            <w:pPr>
              <w:rPr>
                <w:rFonts w:ascii="仿宋" w:hAnsi="仿宋" w:eastAsia="仿宋" w:cs="仿宋"/>
                <w:color w:val="auto"/>
                <w:szCs w:val="21"/>
                <w:highlight w:val="none"/>
              </w:rPr>
            </w:pPr>
            <w:r>
              <w:rPr>
                <w:rFonts w:hint="eastAsia" w:ascii="仿宋" w:hAnsi="仿宋" w:eastAsia="仿宋" w:cs="仿宋"/>
                <w:color w:val="auto"/>
                <w:szCs w:val="21"/>
                <w:highlight w:val="none"/>
              </w:rPr>
              <w:t>服务方案合理、可靠、完善、针对性好，完全满足本项目需求的得8-10分；</w:t>
            </w:r>
          </w:p>
          <w:p w14:paraId="6314A1A9">
            <w:pPr>
              <w:rPr>
                <w:rFonts w:ascii="仿宋" w:hAnsi="仿宋" w:eastAsia="仿宋" w:cs="仿宋"/>
                <w:color w:val="auto"/>
                <w:szCs w:val="21"/>
                <w:highlight w:val="none"/>
              </w:rPr>
            </w:pPr>
            <w:r>
              <w:rPr>
                <w:rFonts w:hint="eastAsia" w:ascii="仿宋" w:hAnsi="仿宋" w:eastAsia="仿宋" w:cs="仿宋"/>
                <w:color w:val="auto"/>
                <w:szCs w:val="21"/>
                <w:highlight w:val="none"/>
              </w:rPr>
              <w:t>服务方案较为合理，基本满足本项目需求的打4-7分；</w:t>
            </w:r>
          </w:p>
          <w:p w14:paraId="0E390BCB">
            <w:pPr>
              <w:rPr>
                <w:rFonts w:ascii="仿宋" w:hAnsi="仿宋" w:eastAsia="仿宋" w:cs="仿宋"/>
                <w:color w:val="auto"/>
                <w:szCs w:val="21"/>
                <w:highlight w:val="none"/>
              </w:rPr>
            </w:pPr>
            <w:r>
              <w:rPr>
                <w:rFonts w:hint="eastAsia" w:ascii="仿宋" w:hAnsi="仿宋" w:eastAsia="仿宋" w:cs="仿宋"/>
                <w:color w:val="auto"/>
                <w:szCs w:val="21"/>
                <w:highlight w:val="none"/>
              </w:rPr>
              <w:t>服务方案差的得1-3分；</w:t>
            </w:r>
          </w:p>
          <w:p w14:paraId="55B131E8">
            <w:pPr>
              <w:rPr>
                <w:rFonts w:ascii="仿宋" w:hAnsi="仿宋" w:eastAsia="仿宋" w:cs="仿宋"/>
                <w:color w:val="auto"/>
                <w:szCs w:val="21"/>
                <w:highlight w:val="none"/>
              </w:rPr>
            </w:pPr>
            <w:r>
              <w:rPr>
                <w:rFonts w:hint="eastAsia" w:ascii="仿宋" w:hAnsi="仿宋" w:eastAsia="仿宋" w:cs="仿宋"/>
                <w:color w:val="auto"/>
                <w:szCs w:val="21"/>
                <w:highlight w:val="none"/>
              </w:rPr>
              <w:t>不提供不得分。</w:t>
            </w:r>
          </w:p>
        </w:tc>
      </w:tr>
      <w:tr w14:paraId="542E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630" w:type="dxa"/>
            <w:vMerge w:val="continue"/>
            <w:vAlign w:val="center"/>
          </w:tcPr>
          <w:p w14:paraId="3315998C">
            <w:pPr>
              <w:jc w:val="center"/>
              <w:rPr>
                <w:rFonts w:ascii="仿宋" w:hAnsi="仿宋" w:eastAsia="仿宋" w:cs="仿宋"/>
                <w:b/>
                <w:color w:val="auto"/>
                <w:szCs w:val="21"/>
                <w:highlight w:val="none"/>
              </w:rPr>
            </w:pPr>
          </w:p>
        </w:tc>
        <w:tc>
          <w:tcPr>
            <w:tcW w:w="2050" w:type="dxa"/>
            <w:vAlign w:val="center"/>
          </w:tcPr>
          <w:p w14:paraId="0C0D12A3">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质量控制方案</w:t>
            </w:r>
          </w:p>
          <w:p w14:paraId="32A7944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（10分）</w:t>
            </w:r>
          </w:p>
        </w:tc>
        <w:tc>
          <w:tcPr>
            <w:tcW w:w="5203" w:type="dxa"/>
            <w:gridSpan w:val="2"/>
            <w:vAlign w:val="center"/>
          </w:tcPr>
          <w:p w14:paraId="2D9AD633">
            <w:pPr>
              <w:rPr>
                <w:rFonts w:ascii="仿宋" w:hAnsi="仿宋" w:eastAsia="仿宋" w:cs="仿宋"/>
                <w:color w:val="auto"/>
                <w:szCs w:val="21"/>
                <w:highlight w:val="none"/>
              </w:rPr>
            </w:pPr>
            <w:r>
              <w:rPr>
                <w:rFonts w:hint="eastAsia" w:ascii="仿宋" w:hAnsi="仿宋" w:eastAsia="仿宋" w:cs="仿宋"/>
                <w:color w:val="auto"/>
                <w:szCs w:val="21"/>
                <w:highlight w:val="none"/>
              </w:rPr>
              <w:t>质量控制体系完善、具体、合理完全满足需求的得8-10分，</w:t>
            </w:r>
          </w:p>
          <w:p w14:paraId="31CDF690">
            <w:pPr>
              <w:rPr>
                <w:rFonts w:ascii="仿宋" w:hAnsi="仿宋" w:eastAsia="仿宋" w:cs="仿宋"/>
                <w:color w:val="auto"/>
                <w:szCs w:val="21"/>
                <w:highlight w:val="none"/>
              </w:rPr>
            </w:pPr>
            <w:r>
              <w:rPr>
                <w:rFonts w:hint="eastAsia" w:ascii="仿宋" w:hAnsi="仿宋" w:eastAsia="仿宋" w:cs="仿宋"/>
                <w:color w:val="auto"/>
                <w:szCs w:val="21"/>
                <w:highlight w:val="none"/>
              </w:rPr>
              <w:t>质量控制体系较为合理，基本满足需求的得4-7分；</w:t>
            </w:r>
          </w:p>
          <w:p w14:paraId="016DCF51">
            <w:pPr>
              <w:rPr>
                <w:rFonts w:ascii="仿宋" w:hAnsi="仿宋" w:eastAsia="仿宋" w:cs="仿宋"/>
                <w:color w:val="auto"/>
                <w:szCs w:val="21"/>
                <w:highlight w:val="none"/>
              </w:rPr>
            </w:pPr>
            <w:r>
              <w:rPr>
                <w:rFonts w:hint="eastAsia" w:ascii="仿宋" w:hAnsi="仿宋" w:eastAsia="仿宋" w:cs="仿宋"/>
                <w:color w:val="auto"/>
                <w:szCs w:val="21"/>
                <w:highlight w:val="none"/>
              </w:rPr>
              <w:t>质量控制体系差的得1-3分；</w:t>
            </w:r>
          </w:p>
          <w:p w14:paraId="7F30149A">
            <w:pPr>
              <w:rPr>
                <w:rFonts w:ascii="仿宋" w:hAnsi="仿宋" w:eastAsia="仿宋" w:cs="仿宋"/>
                <w:color w:val="auto"/>
                <w:szCs w:val="21"/>
                <w:highlight w:val="none"/>
              </w:rPr>
            </w:pPr>
            <w:r>
              <w:rPr>
                <w:rFonts w:hint="eastAsia" w:ascii="仿宋" w:hAnsi="仿宋" w:eastAsia="仿宋" w:cs="仿宋"/>
                <w:color w:val="auto"/>
                <w:szCs w:val="21"/>
                <w:highlight w:val="none"/>
              </w:rPr>
              <w:t>不提供不得分。</w:t>
            </w:r>
          </w:p>
        </w:tc>
      </w:tr>
      <w:tr w14:paraId="224E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630" w:type="dxa"/>
            <w:vMerge w:val="continue"/>
            <w:vAlign w:val="center"/>
          </w:tcPr>
          <w:p w14:paraId="63A1A097">
            <w:pPr>
              <w:jc w:val="center"/>
              <w:rPr>
                <w:rFonts w:ascii="仿宋" w:hAnsi="仿宋" w:eastAsia="仿宋" w:cs="仿宋"/>
                <w:b/>
                <w:color w:val="auto"/>
                <w:szCs w:val="21"/>
                <w:highlight w:val="none"/>
              </w:rPr>
            </w:pPr>
          </w:p>
        </w:tc>
        <w:tc>
          <w:tcPr>
            <w:tcW w:w="2050" w:type="dxa"/>
            <w:vAlign w:val="center"/>
          </w:tcPr>
          <w:p w14:paraId="0C3B1A6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检测方案</w:t>
            </w:r>
          </w:p>
          <w:p w14:paraId="15CD5AEF">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（10分）</w:t>
            </w:r>
          </w:p>
        </w:tc>
        <w:tc>
          <w:tcPr>
            <w:tcW w:w="5203" w:type="dxa"/>
            <w:gridSpan w:val="2"/>
            <w:vAlign w:val="center"/>
          </w:tcPr>
          <w:p w14:paraId="40B676B0">
            <w:pPr>
              <w:rPr>
                <w:rFonts w:ascii="仿宋" w:hAnsi="仿宋" w:eastAsia="仿宋" w:cs="仿宋"/>
                <w:color w:val="auto"/>
                <w:szCs w:val="21"/>
                <w:highlight w:val="none"/>
              </w:rPr>
            </w:pPr>
            <w:r>
              <w:rPr>
                <w:rFonts w:hint="eastAsia" w:ascii="仿宋" w:hAnsi="仿宋" w:eastAsia="仿宋" w:cs="仿宋"/>
                <w:color w:val="auto"/>
                <w:szCs w:val="21"/>
                <w:highlight w:val="none"/>
              </w:rPr>
              <w:t>检测方案具体、包含各类项目检验流程完全满足需求的得7-10分；</w:t>
            </w:r>
          </w:p>
          <w:p w14:paraId="774AAA3E">
            <w:pPr>
              <w:rPr>
                <w:rFonts w:ascii="仿宋" w:hAnsi="仿宋" w:eastAsia="仿宋" w:cs="仿宋"/>
                <w:color w:val="auto"/>
                <w:szCs w:val="21"/>
                <w:highlight w:val="none"/>
              </w:rPr>
            </w:pPr>
            <w:r>
              <w:rPr>
                <w:rFonts w:hint="eastAsia" w:ascii="仿宋" w:hAnsi="仿宋" w:eastAsia="仿宋" w:cs="仿宋"/>
                <w:color w:val="auto"/>
                <w:szCs w:val="21"/>
                <w:highlight w:val="none"/>
              </w:rPr>
              <w:t>检测方案较为合理，基本满足需求的得4-6分；</w:t>
            </w:r>
          </w:p>
          <w:p w14:paraId="3576390D">
            <w:pPr>
              <w:rPr>
                <w:rFonts w:ascii="仿宋" w:hAnsi="仿宋" w:eastAsia="仿宋" w:cs="仿宋"/>
                <w:color w:val="auto"/>
                <w:szCs w:val="21"/>
                <w:highlight w:val="none"/>
              </w:rPr>
            </w:pPr>
            <w:r>
              <w:rPr>
                <w:rFonts w:hint="eastAsia" w:ascii="仿宋" w:hAnsi="仿宋" w:eastAsia="仿宋" w:cs="仿宋"/>
                <w:color w:val="auto"/>
                <w:szCs w:val="21"/>
                <w:highlight w:val="none"/>
              </w:rPr>
              <w:t>检测方案差的得1-3分；</w:t>
            </w:r>
          </w:p>
          <w:p w14:paraId="345F33C3">
            <w:pPr>
              <w:rPr>
                <w:rFonts w:ascii="仿宋" w:hAnsi="仿宋" w:eastAsia="仿宋" w:cs="仿宋"/>
                <w:color w:val="auto"/>
                <w:szCs w:val="21"/>
                <w:highlight w:val="none"/>
              </w:rPr>
            </w:pPr>
            <w:r>
              <w:rPr>
                <w:rFonts w:hint="eastAsia" w:ascii="仿宋" w:hAnsi="仿宋" w:eastAsia="仿宋" w:cs="仿宋"/>
                <w:color w:val="auto"/>
                <w:szCs w:val="21"/>
                <w:highlight w:val="none"/>
              </w:rPr>
              <w:t>不提供不得分。</w:t>
            </w:r>
          </w:p>
        </w:tc>
      </w:tr>
    </w:tbl>
    <w:p w14:paraId="04F845B3">
      <w:pPr>
        <w:spacing w:line="360" w:lineRule="auto"/>
        <w:rPr>
          <w:rFonts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zh-CN" w:bidi="zh-CN"/>
        </w:rPr>
        <w:t>说明：</w:t>
      </w:r>
    </w:p>
    <w:p w14:paraId="54478D63">
      <w:pPr>
        <w:pStyle w:val="47"/>
        <w:spacing w:line="360" w:lineRule="auto"/>
        <w:ind w:left="0" w:firstLine="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1.对国家认定的节能产品和环保产品分别给予投标价的 5%、5%价格扣除，用扣除后的价格参与评审（特别说明：节能、环保产品必须提供有效的节能产品、环境标志产品认证证书复印件）。</w:t>
      </w:r>
    </w:p>
    <w:p w14:paraId="1F8265C5">
      <w:pPr>
        <w:pStyle w:val="47"/>
        <w:spacing w:line="360" w:lineRule="auto"/>
        <w:ind w:left="0" w:firstLine="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2.小微企业的价格扣除</w:t>
      </w:r>
    </w:p>
    <w:p w14:paraId="5794C1B5">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小型和微型企业提供的服务给予10%的扣除，用扣除后的价格参与评审。参加投标的中小企业，应当按照《政府采购促进中小企业发展管理办法》（财库〔2020〕46号）的规定提供《中小企业声明函》（服务）（中小企业划型标准详见《关于印发中小企业划型标准规定的通知》工信部联企业〔2011〕300号）。</w:t>
      </w:r>
    </w:p>
    <w:p w14:paraId="5AC5C5D9">
      <w:pPr>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3.监狱和戒毒企业的价格扣除</w:t>
      </w:r>
    </w:p>
    <w:p w14:paraId="23E09F4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本项目对监狱和戒毒企业（简称监狱企业），给予10%的价格扣除，用扣除后的价格参与评审。</w:t>
      </w:r>
    </w:p>
    <w:p w14:paraId="5E34204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监狱企业需提供由省级以上监狱管理局、戒毒管理局（含新疆生产建设兵团）出具的属于监狱企业的证明文件。</w:t>
      </w:r>
    </w:p>
    <w:p w14:paraId="3F712785">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监狱企业标准请参照《关于政府采购支持监狱企业发展有关问题的通知》（财库〔2014〕68号）。</w:t>
      </w:r>
    </w:p>
    <w:p w14:paraId="6AF22CD2">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4.残疾人福利性单位的价格扣除</w:t>
      </w:r>
    </w:p>
    <w:p w14:paraId="4C0E4AC8">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本项目对残疾人福利性单位，给予10%的价格扣除，用扣除后的价格参与评审。</w:t>
      </w:r>
    </w:p>
    <w:p w14:paraId="00823033">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残疾人福利单位需按照采购文件的要求提供《残疾人福利性单位声明函》。</w:t>
      </w:r>
    </w:p>
    <w:p w14:paraId="10A962A3">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 残疾人福利单位标准请参照《关于促进残疾人就业政府采购政策的通知》（财库〔2017〕141号）。</w:t>
      </w:r>
    </w:p>
    <w:p w14:paraId="489BB7BE">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5.监狱企业、残疾人福利单位属于小型、微型企业的，不重复享受政策。</w:t>
      </w:r>
    </w:p>
    <w:p w14:paraId="62786057">
      <w:pPr>
        <w:pStyle w:val="37"/>
        <w:spacing w:line="360" w:lineRule="auto"/>
        <w:ind w:firstLine="0"/>
        <w:rPr>
          <w:rFonts w:ascii="仿宋" w:hAnsi="仿宋" w:eastAsia="仿宋" w:cs="仿宋"/>
          <w:b/>
          <w:bCs/>
          <w:color w:val="auto"/>
          <w:sz w:val="28"/>
          <w:szCs w:val="32"/>
          <w:highlight w:val="none"/>
        </w:rPr>
      </w:pPr>
      <w:r>
        <w:rPr>
          <w:rFonts w:hint="eastAsia" w:ascii="仿宋" w:hAnsi="仿宋" w:eastAsia="仿宋" w:cs="仿宋"/>
          <w:b/>
          <w:bCs/>
          <w:color w:val="auto"/>
          <w:sz w:val="24"/>
          <w:szCs w:val="24"/>
          <w:highlight w:val="none"/>
        </w:rPr>
        <w:t>6.</w:t>
      </w:r>
      <w:r>
        <w:rPr>
          <w:rFonts w:hint="eastAsia" w:ascii="仿宋" w:hAnsi="仿宋" w:eastAsia="仿宋" w:cs="仿宋"/>
          <w:b/>
          <w:color w:val="auto"/>
          <w:sz w:val="24"/>
          <w:highlight w:val="none"/>
        </w:rPr>
        <w:t>评分标准中提到</w:t>
      </w:r>
      <w:r>
        <w:rPr>
          <w:rFonts w:hint="eastAsia" w:ascii="仿宋" w:hAnsi="仿宋" w:eastAsia="仿宋" w:cs="仿宋"/>
          <w:b/>
          <w:bCs/>
          <w:color w:val="auto"/>
          <w:sz w:val="24"/>
          <w:szCs w:val="24"/>
          <w:highlight w:val="none"/>
        </w:rPr>
        <w:t>认证、证明、业绩以有效的证明文件扫描件或复印件为依据。</w:t>
      </w:r>
      <w:r>
        <w:rPr>
          <w:rFonts w:hint="eastAsia" w:ascii="仿宋" w:hAnsi="仿宋" w:eastAsia="仿宋" w:cs="仿宋"/>
          <w:b/>
          <w:color w:val="auto"/>
          <w:sz w:val="24"/>
          <w:highlight w:val="none"/>
        </w:rPr>
        <w:t>要求提供原件核查、备查的资料在磋商前与响应文件一并递交，磋商后不再接收任何原件及资料。</w:t>
      </w:r>
      <w:r>
        <w:rPr>
          <w:rFonts w:ascii="仿宋" w:hAnsi="仿宋" w:eastAsia="仿宋" w:cs="仿宋"/>
          <w:b/>
          <w:bCs/>
          <w:color w:val="auto"/>
          <w:sz w:val="28"/>
          <w:szCs w:val="32"/>
          <w:highlight w:val="none"/>
        </w:rPr>
        <w:br w:type="page"/>
      </w:r>
    </w:p>
    <w:p w14:paraId="48293DC9">
      <w:pPr>
        <w:jc w:val="center"/>
        <w:outlineLvl w:val="0"/>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第四章  竞争性磋商项目需求</w:t>
      </w:r>
      <w:bookmarkEnd w:id="62"/>
      <w:bookmarkEnd w:id="63"/>
      <w:bookmarkEnd w:id="64"/>
    </w:p>
    <w:p w14:paraId="593B891E">
      <w:pPr>
        <w:ind w:firstLine="482" w:firstLineChars="200"/>
        <w:rPr>
          <w:rFonts w:ascii="仿宋" w:hAnsi="仿宋" w:eastAsia="仿宋"/>
          <w:b/>
          <w:bCs/>
          <w:color w:val="auto"/>
          <w:sz w:val="24"/>
          <w:highlight w:val="none"/>
        </w:rPr>
      </w:pPr>
      <w:bookmarkStart w:id="65" w:name="_Toc5380"/>
      <w:bookmarkStart w:id="66" w:name="_Toc30398"/>
      <w:bookmarkStart w:id="67" w:name="_Toc2148"/>
    </w:p>
    <w:p w14:paraId="319EABE9">
      <w:pPr>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一、项目名称</w:t>
      </w:r>
    </w:p>
    <w:p w14:paraId="7A7B08BB">
      <w:pPr>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南京市雨花台区妇幼保健所2025年外送检验服务项目</w:t>
      </w:r>
    </w:p>
    <w:p w14:paraId="72A076B3">
      <w:pPr>
        <w:widowControl/>
        <w:ind w:firstLine="420" w:firstLineChars="200"/>
        <w:jc w:val="left"/>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w:t>
      </w:r>
      <w:r>
        <w:rPr>
          <w:rFonts w:hint="eastAsia" w:ascii="宋体" w:hAnsi="宋体"/>
          <w:b/>
          <w:color w:val="auto"/>
          <w:szCs w:val="21"/>
          <w:highlight w:val="none"/>
        </w:rPr>
        <w:t>服务</w:t>
      </w:r>
      <w:r>
        <w:rPr>
          <w:rFonts w:ascii="宋体" w:hAnsi="宋体"/>
          <w:b/>
          <w:color w:val="auto"/>
          <w:szCs w:val="21"/>
          <w:highlight w:val="none"/>
        </w:rPr>
        <w:t>项目</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4531"/>
        <w:gridCol w:w="2931"/>
      </w:tblGrid>
      <w:tr w14:paraId="76010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22ACA521">
            <w:pPr>
              <w:widowControl/>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品目号</w:t>
            </w:r>
          </w:p>
        </w:tc>
        <w:tc>
          <w:tcPr>
            <w:tcW w:w="4777" w:type="dxa"/>
          </w:tcPr>
          <w:p w14:paraId="1BAEA61C">
            <w:pPr>
              <w:widowControl/>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服务项目名称</w:t>
            </w:r>
          </w:p>
        </w:tc>
        <w:tc>
          <w:tcPr>
            <w:tcW w:w="3081" w:type="dxa"/>
          </w:tcPr>
          <w:p w14:paraId="1B0480E7">
            <w:pPr>
              <w:widowControl/>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r>
      <w:tr w14:paraId="70AF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00D8266">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01-1</w:t>
            </w:r>
          </w:p>
        </w:tc>
        <w:tc>
          <w:tcPr>
            <w:tcW w:w="4777" w:type="dxa"/>
          </w:tcPr>
          <w:p w14:paraId="1C8C5E48">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门诊检验</w:t>
            </w:r>
          </w:p>
        </w:tc>
        <w:tc>
          <w:tcPr>
            <w:tcW w:w="3081" w:type="dxa"/>
          </w:tcPr>
          <w:p w14:paraId="6F632167">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r>
      <w:tr w14:paraId="45C1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6251DCE5">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01-2</w:t>
            </w:r>
          </w:p>
        </w:tc>
        <w:tc>
          <w:tcPr>
            <w:tcW w:w="4777" w:type="dxa"/>
          </w:tcPr>
          <w:p w14:paraId="1F0EA5F6">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体检检验</w:t>
            </w:r>
          </w:p>
        </w:tc>
        <w:tc>
          <w:tcPr>
            <w:tcW w:w="3081" w:type="dxa"/>
          </w:tcPr>
          <w:p w14:paraId="6896B7E1">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r>
    </w:tbl>
    <w:p w14:paraId="42AF833F">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备注：1、门诊检验：结算价格不超过采购人实际收费的40%；体检检验（即贴体检条码者）：妇科HPV全套及TCT检测结算价格不超过采购人实际收费的1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w:t>
      </w:r>
    </w:p>
    <w:p w14:paraId="271A566B">
      <w:pPr>
        <w:widowControl/>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2、自2025年1月1日至2025年12月31日，按实际检测人数结算费用。</w:t>
      </w:r>
    </w:p>
    <w:p w14:paraId="27D9DDC8">
      <w:pPr>
        <w:widowControl/>
        <w:ind w:firstLine="420" w:firstLineChars="200"/>
        <w:jc w:val="left"/>
        <w:rPr>
          <w:rFonts w:ascii="宋体" w:hAnsi="宋体"/>
          <w:b/>
          <w:color w:val="auto"/>
          <w:szCs w:val="21"/>
          <w:highlight w:val="none"/>
        </w:rPr>
      </w:pPr>
      <w:r>
        <w:rPr>
          <w:rFonts w:hint="eastAsia" w:ascii="宋体" w:hAnsi="宋体"/>
          <w:b/>
          <w:color w:val="auto"/>
          <w:szCs w:val="21"/>
          <w:highlight w:val="none"/>
        </w:rPr>
        <w:t>三、投标人技术要求：</w:t>
      </w:r>
    </w:p>
    <w:p w14:paraId="31F7A2AB">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1.实验室要求：</w:t>
      </w:r>
    </w:p>
    <w:p w14:paraId="0E10E035">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1.1投标人拥有自己的医学检测实验室，实验室有完善的质量管理体系，提供IS015189认证证书作为辅证（提供证明文件复印件）。</w:t>
      </w:r>
    </w:p>
    <w:p w14:paraId="62EDCFF4">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1.2★投标人实验室必须具有临床检验中心颁发的临床基因扩增检验实验室技术审核验收合格证书（提供证明文件复印件）。</w:t>
      </w:r>
    </w:p>
    <w:p w14:paraId="6A8272F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1.3★有参加省级或以上临床检验中心组织的室间质评（提供室间质评证明文件复印件）。</w:t>
      </w:r>
    </w:p>
    <w:p w14:paraId="1C323D61">
      <w:pPr>
        <w:widowControl/>
        <w:rPr>
          <w:rFonts w:ascii="仿宋" w:hAnsi="仿宋" w:eastAsia="仿宋" w:cs="仿宋"/>
          <w:color w:val="auto"/>
          <w:sz w:val="24"/>
          <w:szCs w:val="24"/>
          <w:highlight w:val="none"/>
        </w:rPr>
      </w:pPr>
    </w:p>
    <w:p w14:paraId="758D7861">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2.技术队伍要求：</w:t>
      </w:r>
    </w:p>
    <w:p w14:paraId="01544FB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2.1投标人实验室检验人员配备应符合国家相关要求，包括但不限于检验师、病理医师，人员数量、职称、专业可满足检测需求。</w:t>
      </w:r>
    </w:p>
    <w:p w14:paraId="56129808">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投标人根据采购人需要可在指定的标本交接地点设置接收岗1个，接收岗安排1名专职接收人员，负责项目采样规范化培训，标本交接、登记、前处理、意外情况处理，报告分发，与妇幼保健所对接等工作；接收岗服务时间以采购人具体安排为准，接收人员服从科室排班，与科室现有工作人员的工作融合调度。</w:t>
      </w:r>
    </w:p>
    <w:p w14:paraId="30F2FE3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2.3有专人负责用户业务及质量、技术、培训等工作。</w:t>
      </w:r>
    </w:p>
    <w:p w14:paraId="29025232">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2.4常规设有客服人员负责采购方反馈信息的受理、传达、跟踪处理等工作，以满足售后服务。</w:t>
      </w:r>
    </w:p>
    <w:p w14:paraId="1246B780">
      <w:pPr>
        <w:widowControl/>
        <w:rPr>
          <w:rFonts w:ascii="仿宋" w:hAnsi="仿宋" w:eastAsia="仿宋" w:cs="仿宋"/>
          <w:color w:val="auto"/>
          <w:sz w:val="24"/>
          <w:szCs w:val="24"/>
          <w:highlight w:val="none"/>
        </w:rPr>
      </w:pPr>
    </w:p>
    <w:p w14:paraId="6C31C23F">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.标本管理与物流系统</w:t>
      </w:r>
    </w:p>
    <w:p w14:paraId="689909DC">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1投标人具备完善的冷链物流运输系统，物流系统应符合《GB/T42186-2022医学检验生物标本冷链物流运作规范》,保证标本接收、送检运输过程的安全与规范，保证标本的检测前质量，确保运输过程的样品质量和环境安全。</w:t>
      </w:r>
    </w:p>
    <w:p w14:paraId="2AD16F64">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.2投标人提供工作日上门接收标本的服务，时间为8：00至17：00。遇特殊标本可机动收取。</w:t>
      </w:r>
    </w:p>
    <w:p w14:paraId="4CF8EC27">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.3投标人具有规范标本接收、登记和包装流程，保证标本质量和安全，确保标本顺利交接，方便查核。</w:t>
      </w:r>
    </w:p>
    <w:p w14:paraId="14944D5D">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.4投标人标本接收人员要通过严格培训，负责标本质量的初检、标识的核对，标本的接收登记及包装储存。</w:t>
      </w:r>
    </w:p>
    <w:p w14:paraId="21BD18C8">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.5投标人必须确保及时接收、送检标本和及时检验。标本不符合检验要求时，应及时通知采购人重新取样。</w:t>
      </w:r>
    </w:p>
    <w:p w14:paraId="1541507C">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.6★标本在送检过程中出现延迟、遗漏、丢失等情况，投标人应有完善的应急预案予以妥善解决，否则投标人应承担相应责任。</w:t>
      </w:r>
    </w:p>
    <w:p w14:paraId="39726052">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.7部分特殊检查项目需要的采样器、知情同意书、专用的患者资料登记申请单等由投标人免费提供。</w:t>
      </w:r>
    </w:p>
    <w:p w14:paraId="06E4A366">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.8能够按用户要求妥善保存及销毁检验后样本。</w:t>
      </w:r>
    </w:p>
    <w:p w14:paraId="092BE8EC">
      <w:pPr>
        <w:widowControl/>
        <w:rPr>
          <w:rFonts w:ascii="仿宋" w:hAnsi="仿宋" w:eastAsia="仿宋" w:cs="仿宋"/>
          <w:color w:val="auto"/>
          <w:sz w:val="24"/>
          <w:szCs w:val="24"/>
          <w:highlight w:val="none"/>
        </w:rPr>
      </w:pPr>
    </w:p>
    <w:p w14:paraId="5D52AAAE">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.其他技术服务要求：</w:t>
      </w:r>
    </w:p>
    <w:p w14:paraId="3A8A9AAA">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.1★投标人按国家检验规范进行操作，并对标本的检验报告承担相应的责任；并保证检验结果的公正性，不受任何诱使或压力的干扰。</w:t>
      </w:r>
    </w:p>
    <w:p w14:paraId="6AE1D866">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2投标人按卫生部临检中心质量要求进行操作，按照规范流程进行标本保存、运输与检查诊断，并对标本的检验报告承担相应的责任。投标人有为采购人保密的义务，在未经采购人同意或授权下，不得向采购人以外的任何单位或个人泄露采购人委托检测的任何信息。</w:t>
      </w:r>
    </w:p>
    <w:p w14:paraId="652A1D5C">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3投标人按日或检测批次对采购人委托项目进行室内质控，按季度提供室内质量控制报表，其内容包括质控检测数据、控制标准、质控分析、失控报告，可以随时接受并妥善安排采购人查阅项目检测、质量控制等情况。投标人需向采购人提供委托检测需求中所涉及的检测项目原始数据以便采购人作质控检查。</w:t>
      </w:r>
    </w:p>
    <w:p w14:paraId="7D7D5643">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4投标人实验室检测后的剩余标本（如有），由投标人依法处置，投标人按照国家法律法规及相关行业规定的保存期限保存剩余标本（如有），定期返样（如有）。检测样本、检测数据的所有权、使用权为采购人所有，未经许可不得挪作它用。</w:t>
      </w:r>
    </w:p>
    <w:p w14:paraId="4E228581">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.5提供电话查询服务，危急值专人电话跟进，确保患者检测信息与临床医生的畅通对接。</w:t>
      </w:r>
    </w:p>
    <w:p w14:paraId="39023F0A">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6投标人应建立快速的客户服务反应机制，如有针对投标人或采购人的投诉或需处理的情况，投标人应派代表在半日内到达妇幼保健所及时沟通处理；若主要针对采购人的投诉或需处理的情况，投标人有义务协助采购人及时沟通处理。</w:t>
      </w:r>
    </w:p>
    <w:p w14:paraId="5D09FC07">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.7投标人按照检测项目常规报告时间提供检测结果，并能满足采购人急诊项目的优先检测。</w:t>
      </w:r>
    </w:p>
    <w:p w14:paraId="25A026B8">
      <w:pPr>
        <w:widowControl/>
        <w:rPr>
          <w:rFonts w:ascii="仿宋" w:hAnsi="仿宋" w:eastAsia="仿宋" w:cs="仿宋"/>
          <w:color w:val="auto"/>
          <w:sz w:val="24"/>
          <w:szCs w:val="24"/>
          <w:highlight w:val="none"/>
        </w:rPr>
      </w:pPr>
    </w:p>
    <w:p w14:paraId="6B2BA347">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.售后服务需求</w:t>
      </w:r>
    </w:p>
    <w:p w14:paraId="3F8DFCC6">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需提供免费服务电话、网络查询、微信查询等多种渠道供采购人相关临床部门进行业务咨询、报告查询、账单查询统计功能。制定完善制定和流程保障上门服务，并派驻具有医学检验背景的专业人员提供上门售后服务。</w:t>
      </w:r>
    </w:p>
    <w:p w14:paraId="7E1627E6">
      <w:pPr>
        <w:widowControl/>
        <w:rPr>
          <w:rFonts w:ascii="仿宋" w:hAnsi="仿宋" w:eastAsia="仿宋" w:cs="仿宋"/>
          <w:color w:val="auto"/>
          <w:sz w:val="24"/>
          <w:szCs w:val="24"/>
          <w:highlight w:val="none"/>
        </w:rPr>
      </w:pPr>
    </w:p>
    <w:p w14:paraId="4F49B34F">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.质量要求：</w:t>
      </w:r>
    </w:p>
    <w:p w14:paraId="34C9B53B">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实验室具有完善的质量管理体系，每次检测都有严格的室内质控，每年参加省级及以上质量控制和室间质量评估工作，以控制诊断结果的质量，通过ISO15189医学实验室质量认可，定期参与质量评审。因投标实验室质量因素导致的医疗纠纷、事故等不良后果的，由此产生的赔偿责任由中标人承担。</w:t>
      </w:r>
    </w:p>
    <w:p w14:paraId="2B94E334">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（1）标本合格率≥99%；</w:t>
      </w:r>
    </w:p>
    <w:p w14:paraId="66F7A36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（2）报告正确率≥99%；</w:t>
      </w:r>
    </w:p>
    <w:p w14:paraId="1CA5A2C4">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（3）报告及时率≥98%；</w:t>
      </w:r>
    </w:p>
    <w:p w14:paraId="7BDE6147">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（4）不符合改进率≥98%；</w:t>
      </w:r>
    </w:p>
    <w:p w14:paraId="660C9D9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（5）满意度≥95%；</w:t>
      </w:r>
    </w:p>
    <w:p w14:paraId="72C6AA87">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（6）危急值报告率和及时率达到100%。</w:t>
      </w:r>
    </w:p>
    <w:p w14:paraId="2F4A7C98">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 采购人每半年对中标人的服务质量进行季度考核并根据考核结果扣罚中标人的服务费，考核标准由采购人在签订合同时与中标人协商确定。中标人每季度对中标项目各个环节进行自查，并向采购人提供自查报告。</w:t>
      </w:r>
    </w:p>
    <w:p w14:paraId="60AC5C36">
      <w:pPr>
        <w:widowControl/>
        <w:rPr>
          <w:rFonts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.项目违约责任</w:t>
      </w:r>
    </w:p>
    <w:p w14:paraId="59A78EC1">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（1）导致医疗事故的误差，由中标人承担相应的法律责任，并赔偿采购人的损失,采购人有权单方终止合同。</w:t>
      </w:r>
    </w:p>
    <w:p w14:paraId="60FC8283">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（2）中标人对采购人送检的合格样本结果负责，对于按照中标人要求取材的合格样本，若因中标人原因导致检测结果存在质量问题，由中标人承担相应责任。</w:t>
      </w:r>
    </w:p>
    <w:p w14:paraId="79B9C926">
      <w:pPr>
        <w:widowControl/>
        <w:ind w:firstLine="420" w:firstLineChars="200"/>
        <w:jc w:val="left"/>
        <w:rPr>
          <w:rFonts w:ascii="宋体" w:hAnsi="宋体"/>
          <w:b/>
          <w:color w:val="auto"/>
          <w:szCs w:val="21"/>
          <w:highlight w:val="none"/>
        </w:rPr>
      </w:pPr>
      <w:r>
        <w:rPr>
          <w:rFonts w:hint="eastAsia" w:ascii="宋体" w:hAnsi="宋体"/>
          <w:b/>
          <w:color w:val="auto"/>
          <w:szCs w:val="21"/>
          <w:highlight w:val="none"/>
        </w:rPr>
        <w:t>四、商务要求</w:t>
      </w:r>
    </w:p>
    <w:p w14:paraId="7BA16AB7">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1、本次项目服务期为2025-01-01至2025-12-31。</w:t>
      </w:r>
    </w:p>
    <w:p w14:paraId="24963F8A">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2、报价与付款</w:t>
      </w:r>
    </w:p>
    <w:p w14:paraId="6400ED05">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折扣率报价不能为负数或零。投标报价包括但不限于：完成本次招标所有服务内容的费用，包括人工费、检验费、材料费、设备使用费、各种税务费、必须的辅助材料费及合同实施过程中不可预见费用等全部费用。</w:t>
      </w:r>
    </w:p>
    <w:p w14:paraId="258948A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31BA4C0">
      <w:pPr>
        <w:jc w:val="center"/>
        <w:outlineLvl w:val="0"/>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 xml:space="preserve">第五章  </w:t>
      </w:r>
      <w:bookmarkEnd w:id="65"/>
      <w:bookmarkEnd w:id="66"/>
      <w:bookmarkEnd w:id="67"/>
      <w:r>
        <w:rPr>
          <w:rFonts w:hint="eastAsia" w:ascii="仿宋" w:hAnsi="仿宋" w:eastAsia="仿宋" w:cs="仿宋"/>
          <w:b/>
          <w:bCs/>
          <w:color w:val="auto"/>
          <w:sz w:val="28"/>
          <w:szCs w:val="32"/>
          <w:highlight w:val="none"/>
        </w:rPr>
        <w:t>合同条款</w:t>
      </w:r>
    </w:p>
    <w:p w14:paraId="0002AAD6">
      <w:pPr>
        <w:spacing w:line="360" w:lineRule="auto"/>
        <w:jc w:val="center"/>
        <w:rPr>
          <w:rFonts w:ascii="仿宋" w:hAnsi="仿宋" w:eastAsia="仿宋" w:cs="仿宋"/>
          <w:b/>
          <w:color w:val="auto"/>
          <w:sz w:val="44"/>
          <w:szCs w:val="44"/>
          <w:highlight w:val="none"/>
        </w:rPr>
      </w:pPr>
    </w:p>
    <w:p w14:paraId="2F01C728">
      <w:pPr>
        <w:adjustRightInd w:val="0"/>
        <w:snapToGrid w:val="0"/>
        <w:spacing w:line="360" w:lineRule="exact"/>
        <w:ind w:firstLine="601"/>
        <w:rPr>
          <w:rFonts w:ascii="仿宋" w:hAnsi="仿宋" w:eastAsia="仿宋" w:cs="仿宋"/>
          <w:color w:val="auto"/>
          <w:spacing w:val="-2"/>
          <w:w w:val="110"/>
          <w:sz w:val="24"/>
          <w:szCs w:val="24"/>
          <w:highlight w:val="none"/>
          <w:u w:val="single"/>
        </w:rPr>
      </w:pPr>
      <w:bookmarkStart w:id="68" w:name="_Toc18062"/>
      <w:bookmarkStart w:id="69" w:name="_Toc21850"/>
      <w:bookmarkStart w:id="70" w:name="_Toc23415"/>
      <w:r>
        <w:rPr>
          <w:rFonts w:hint="eastAsia" w:ascii="仿宋" w:hAnsi="仿宋" w:eastAsia="仿宋" w:cs="仿宋"/>
          <w:color w:val="auto"/>
          <w:spacing w:val="-3"/>
          <w:w w:val="110"/>
          <w:sz w:val="24"/>
          <w:szCs w:val="24"/>
          <w:highlight w:val="none"/>
        </w:rPr>
        <w:t>甲方</w:t>
      </w:r>
      <w:r>
        <w:rPr>
          <w:rFonts w:hint="eastAsia" w:ascii="仿宋" w:hAnsi="仿宋" w:eastAsia="仿宋" w:cs="仿宋"/>
          <w:color w:val="auto"/>
          <w:spacing w:val="-2"/>
          <w:w w:val="110"/>
          <w:sz w:val="24"/>
          <w:szCs w:val="24"/>
          <w:highlight w:val="none"/>
        </w:rPr>
        <w:t>：</w:t>
      </w:r>
      <w:r>
        <w:rPr>
          <w:rFonts w:hint="eastAsia" w:ascii="仿宋" w:hAnsi="仿宋" w:eastAsia="仿宋" w:cs="仿宋"/>
          <w:color w:val="auto"/>
          <w:spacing w:val="-2"/>
          <w:w w:val="110"/>
          <w:sz w:val="24"/>
          <w:szCs w:val="24"/>
          <w:highlight w:val="none"/>
          <w:u w:val="single"/>
        </w:rPr>
        <w:t xml:space="preserve">            </w:t>
      </w:r>
      <w:r>
        <w:rPr>
          <w:rFonts w:hint="eastAsia" w:ascii="仿宋" w:hAnsi="仿宋" w:eastAsia="仿宋" w:cs="仿宋"/>
          <w:color w:val="auto"/>
          <w:spacing w:val="-2"/>
          <w:w w:val="110"/>
          <w:sz w:val="24"/>
          <w:szCs w:val="24"/>
          <w:highlight w:val="none"/>
        </w:rPr>
        <w:t>，统一社会信用代码：</w:t>
      </w:r>
      <w:r>
        <w:rPr>
          <w:rFonts w:hint="eastAsia" w:ascii="仿宋" w:hAnsi="仿宋" w:eastAsia="仿宋" w:cs="仿宋"/>
          <w:color w:val="auto"/>
          <w:spacing w:val="-2"/>
          <w:w w:val="110"/>
          <w:sz w:val="24"/>
          <w:szCs w:val="24"/>
          <w:highlight w:val="none"/>
          <w:u w:val="single"/>
        </w:rPr>
        <w:t xml:space="preserve">       </w:t>
      </w:r>
    </w:p>
    <w:p w14:paraId="7242047F">
      <w:pPr>
        <w:adjustRightInd w:val="0"/>
        <w:snapToGrid w:val="0"/>
        <w:spacing w:line="360" w:lineRule="exact"/>
        <w:ind w:firstLine="604"/>
        <w:rPr>
          <w:rFonts w:ascii="仿宋" w:hAnsi="仿宋" w:eastAsia="仿宋" w:cs="仿宋"/>
          <w:color w:val="auto"/>
          <w:spacing w:val="-2"/>
          <w:w w:val="110"/>
          <w:sz w:val="24"/>
          <w:szCs w:val="24"/>
          <w:highlight w:val="none"/>
          <w:u w:val="single"/>
        </w:rPr>
      </w:pPr>
      <w:r>
        <w:rPr>
          <w:rFonts w:hint="eastAsia" w:ascii="仿宋" w:hAnsi="仿宋" w:eastAsia="仿宋" w:cs="仿宋"/>
          <w:color w:val="auto"/>
          <w:spacing w:val="-2"/>
          <w:w w:val="110"/>
          <w:sz w:val="24"/>
          <w:szCs w:val="24"/>
          <w:highlight w:val="none"/>
        </w:rPr>
        <w:t>通讯地址：</w:t>
      </w:r>
      <w:r>
        <w:rPr>
          <w:rFonts w:hint="eastAsia" w:ascii="仿宋" w:hAnsi="仿宋" w:eastAsia="仿宋" w:cs="仿宋"/>
          <w:color w:val="auto"/>
          <w:spacing w:val="-2"/>
          <w:w w:val="110"/>
          <w:sz w:val="24"/>
          <w:szCs w:val="24"/>
          <w:highlight w:val="none"/>
          <w:u w:val="single"/>
        </w:rPr>
        <w:t xml:space="preserve">                         </w:t>
      </w:r>
    </w:p>
    <w:p w14:paraId="69B37A77">
      <w:pPr>
        <w:adjustRightInd w:val="0"/>
        <w:snapToGrid w:val="0"/>
        <w:spacing w:line="360" w:lineRule="exact"/>
        <w:ind w:firstLine="604"/>
        <w:rPr>
          <w:rFonts w:ascii="仿宋" w:hAnsi="仿宋" w:eastAsia="仿宋" w:cs="仿宋"/>
          <w:color w:val="auto"/>
          <w:spacing w:val="-2"/>
          <w:w w:val="110"/>
          <w:sz w:val="24"/>
          <w:szCs w:val="24"/>
          <w:highlight w:val="none"/>
          <w:u w:val="single"/>
        </w:rPr>
      </w:pPr>
      <w:r>
        <w:rPr>
          <w:rFonts w:hint="eastAsia" w:ascii="仿宋" w:hAnsi="仿宋" w:eastAsia="仿宋" w:cs="仿宋"/>
          <w:color w:val="auto"/>
          <w:spacing w:val="-2"/>
          <w:w w:val="110"/>
          <w:sz w:val="24"/>
          <w:szCs w:val="24"/>
          <w:highlight w:val="none"/>
        </w:rPr>
        <w:t>乙方</w:t>
      </w:r>
      <w:r>
        <w:rPr>
          <w:rFonts w:hint="eastAsia" w:ascii="仿宋" w:hAnsi="仿宋" w:eastAsia="仿宋" w:cs="仿宋"/>
          <w:color w:val="auto"/>
          <w:spacing w:val="-1"/>
          <w:w w:val="110"/>
          <w:sz w:val="24"/>
          <w:szCs w:val="24"/>
          <w:highlight w:val="none"/>
        </w:rPr>
        <w:t>：</w:t>
      </w:r>
      <w:r>
        <w:rPr>
          <w:rFonts w:hint="eastAsia" w:ascii="仿宋" w:hAnsi="仿宋" w:eastAsia="仿宋" w:cs="仿宋"/>
          <w:color w:val="auto"/>
          <w:spacing w:val="-1"/>
          <w:w w:val="110"/>
          <w:sz w:val="24"/>
          <w:szCs w:val="24"/>
          <w:highlight w:val="none"/>
          <w:u w:val="single"/>
        </w:rPr>
        <w:t xml:space="preserve">            </w:t>
      </w:r>
      <w:r>
        <w:rPr>
          <w:rFonts w:hint="eastAsia" w:ascii="仿宋" w:hAnsi="仿宋" w:eastAsia="仿宋" w:cs="仿宋"/>
          <w:color w:val="auto"/>
          <w:spacing w:val="-2"/>
          <w:w w:val="110"/>
          <w:sz w:val="24"/>
          <w:szCs w:val="24"/>
          <w:highlight w:val="none"/>
        </w:rPr>
        <w:t>，统一社会信用代码：</w:t>
      </w:r>
      <w:r>
        <w:rPr>
          <w:rFonts w:hint="eastAsia" w:ascii="仿宋" w:hAnsi="仿宋" w:eastAsia="仿宋" w:cs="仿宋"/>
          <w:color w:val="auto"/>
          <w:spacing w:val="-2"/>
          <w:w w:val="110"/>
          <w:sz w:val="24"/>
          <w:szCs w:val="24"/>
          <w:highlight w:val="none"/>
          <w:u w:val="single"/>
        </w:rPr>
        <w:t xml:space="preserve">       </w:t>
      </w:r>
    </w:p>
    <w:p w14:paraId="256E0AAA">
      <w:pPr>
        <w:adjustRightInd w:val="0"/>
        <w:snapToGrid w:val="0"/>
        <w:spacing w:line="360" w:lineRule="exact"/>
        <w:ind w:firstLine="608"/>
        <w:rPr>
          <w:rFonts w:ascii="仿宋" w:hAnsi="仿宋" w:eastAsia="仿宋" w:cs="仿宋"/>
          <w:color w:val="auto"/>
          <w:spacing w:val="-1"/>
          <w:w w:val="110"/>
          <w:sz w:val="24"/>
          <w:szCs w:val="24"/>
          <w:highlight w:val="none"/>
          <w:u w:val="single"/>
        </w:rPr>
      </w:pPr>
      <w:r>
        <w:rPr>
          <w:rFonts w:hint="eastAsia" w:ascii="仿宋" w:hAnsi="仿宋" w:eastAsia="仿宋" w:cs="仿宋"/>
          <w:color w:val="auto"/>
          <w:spacing w:val="-1"/>
          <w:w w:val="110"/>
          <w:sz w:val="24"/>
          <w:szCs w:val="24"/>
          <w:highlight w:val="none"/>
        </w:rPr>
        <w:t>通讯地址：</w:t>
      </w:r>
      <w:r>
        <w:rPr>
          <w:rFonts w:hint="eastAsia" w:ascii="仿宋" w:hAnsi="仿宋" w:eastAsia="仿宋" w:cs="仿宋"/>
          <w:color w:val="auto"/>
          <w:spacing w:val="-1"/>
          <w:w w:val="110"/>
          <w:sz w:val="24"/>
          <w:szCs w:val="24"/>
          <w:highlight w:val="none"/>
          <w:u w:val="single"/>
        </w:rPr>
        <w:t xml:space="preserve">                        </w:t>
      </w:r>
    </w:p>
    <w:p w14:paraId="099BD0A9">
      <w:pPr>
        <w:adjustRightInd w:val="0"/>
        <w:snapToGrid w:val="0"/>
        <w:spacing w:line="360" w:lineRule="exact"/>
        <w:ind w:firstLine="560"/>
        <w:rPr>
          <w:rFonts w:ascii="仿宋" w:hAnsi="仿宋" w:eastAsia="仿宋" w:cs="仿宋"/>
          <w:color w:val="auto"/>
          <w:sz w:val="24"/>
          <w:szCs w:val="24"/>
          <w:highlight w:val="none"/>
        </w:rPr>
      </w:pPr>
    </w:p>
    <w:p w14:paraId="39A0A003">
      <w:pPr>
        <w:adjustRightInd w:val="0"/>
        <w:snapToGrid w:val="0"/>
        <w:spacing w:line="360" w:lineRule="exact"/>
        <w:ind w:firstLine="560"/>
        <w:rPr>
          <w:rFonts w:ascii="仿宋" w:hAnsi="仿宋" w:eastAsia="仿宋" w:cs="仿宋"/>
          <w:color w:val="auto"/>
          <w:w w:val="105"/>
          <w:sz w:val="24"/>
          <w:szCs w:val="24"/>
          <w:highlight w:val="none"/>
        </w:rPr>
      </w:pPr>
      <w:r>
        <w:rPr>
          <w:rFonts w:hint="eastAsia" w:ascii="仿宋" w:hAnsi="仿宋" w:eastAsia="仿宋" w:cs="仿宋"/>
          <w:color w:val="auto"/>
          <w:sz w:val="24"/>
          <w:szCs w:val="24"/>
          <w:highlight w:val="none"/>
        </w:rPr>
        <w:t>鉴于乙方具备提供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检测技术服务的资格、技术条件和能力，</w:t>
      </w:r>
      <w:r>
        <w:rPr>
          <w:rFonts w:hint="eastAsia" w:ascii="仿宋" w:hAnsi="仿宋" w:eastAsia="仿宋" w:cs="仿宋"/>
          <w:color w:val="auto"/>
          <w:spacing w:val="-7"/>
          <w:w w:val="105"/>
          <w:sz w:val="24"/>
          <w:szCs w:val="24"/>
          <w:highlight w:val="none"/>
        </w:rPr>
        <w:t>甲</w:t>
      </w:r>
      <w:r>
        <w:rPr>
          <w:rFonts w:hint="eastAsia" w:ascii="仿宋" w:hAnsi="仿宋" w:eastAsia="仿宋" w:cs="仿宋"/>
          <w:color w:val="auto"/>
          <w:spacing w:val="-38"/>
          <w:w w:val="105"/>
          <w:sz w:val="24"/>
          <w:szCs w:val="24"/>
          <w:highlight w:val="none"/>
        </w:rPr>
        <w:t>、</w:t>
      </w:r>
      <w:r>
        <w:rPr>
          <w:rFonts w:hint="eastAsia" w:ascii="仿宋" w:hAnsi="仿宋" w:eastAsia="仿宋" w:cs="仿宋"/>
          <w:color w:val="auto"/>
          <w:w w:val="105"/>
          <w:sz w:val="24"/>
          <w:szCs w:val="24"/>
          <w:highlight w:val="none"/>
        </w:rPr>
        <w:t>乙双方经友好协</w:t>
      </w:r>
      <w:r>
        <w:rPr>
          <w:rFonts w:hint="eastAsia" w:ascii="仿宋" w:hAnsi="仿宋" w:eastAsia="仿宋" w:cs="仿宋"/>
          <w:color w:val="auto"/>
          <w:spacing w:val="9"/>
          <w:w w:val="105"/>
          <w:sz w:val="24"/>
          <w:szCs w:val="24"/>
          <w:highlight w:val="none"/>
        </w:rPr>
        <w:t>商</w:t>
      </w:r>
      <w:r>
        <w:rPr>
          <w:rFonts w:hint="eastAsia" w:ascii="仿宋" w:hAnsi="仿宋" w:eastAsia="仿宋" w:cs="仿宋"/>
          <w:color w:val="auto"/>
          <w:w w:val="105"/>
          <w:sz w:val="24"/>
          <w:szCs w:val="24"/>
          <w:highlight w:val="none"/>
        </w:rPr>
        <w:t>，在真实</w:t>
      </w:r>
      <w:r>
        <w:rPr>
          <w:rFonts w:hint="eastAsia" w:ascii="仿宋" w:hAnsi="仿宋" w:eastAsia="仿宋" w:cs="仿宋"/>
          <w:color w:val="auto"/>
          <w:spacing w:val="-72"/>
          <w:w w:val="105"/>
          <w:sz w:val="24"/>
          <w:szCs w:val="24"/>
          <w:highlight w:val="none"/>
        </w:rPr>
        <w:t xml:space="preserve"> </w:t>
      </w:r>
      <w:r>
        <w:rPr>
          <w:rFonts w:hint="eastAsia" w:ascii="仿宋" w:hAnsi="仿宋" w:eastAsia="仿宋" w:cs="仿宋"/>
          <w:color w:val="auto"/>
          <w:spacing w:val="-73"/>
          <w:w w:val="105"/>
          <w:sz w:val="24"/>
          <w:szCs w:val="24"/>
          <w:highlight w:val="none"/>
        </w:rPr>
        <w:t>、</w:t>
      </w:r>
      <w:r>
        <w:rPr>
          <w:rFonts w:hint="eastAsia" w:ascii="仿宋" w:hAnsi="仿宋" w:eastAsia="仿宋" w:cs="仿宋"/>
          <w:color w:val="auto"/>
          <w:w w:val="105"/>
          <w:sz w:val="24"/>
          <w:szCs w:val="24"/>
          <w:highlight w:val="none"/>
        </w:rPr>
        <w:t>充分地表达各自意愿的基础上</w:t>
      </w:r>
      <w:r>
        <w:rPr>
          <w:rFonts w:hint="eastAsia" w:ascii="仿宋" w:hAnsi="仿宋" w:eastAsia="仿宋" w:cs="仿宋"/>
          <w:color w:val="auto"/>
          <w:spacing w:val="-98"/>
          <w:w w:val="105"/>
          <w:sz w:val="24"/>
          <w:szCs w:val="24"/>
          <w:highlight w:val="none"/>
        </w:rPr>
        <w:t>，</w:t>
      </w:r>
      <w:r>
        <w:rPr>
          <w:rFonts w:hint="eastAsia" w:ascii="仿宋" w:hAnsi="仿宋" w:eastAsia="仿宋" w:cs="仿宋"/>
          <w:color w:val="auto"/>
          <w:w w:val="105"/>
          <w:sz w:val="24"/>
          <w:szCs w:val="24"/>
          <w:highlight w:val="none"/>
        </w:rPr>
        <w:t>就乙方为甲方提供检测服务等相关事宜达成一致</w:t>
      </w:r>
      <w:r>
        <w:rPr>
          <w:rFonts w:hint="eastAsia" w:ascii="仿宋" w:hAnsi="仿宋" w:eastAsia="仿宋" w:cs="仿宋"/>
          <w:color w:val="auto"/>
          <w:spacing w:val="-76"/>
          <w:w w:val="105"/>
          <w:sz w:val="24"/>
          <w:szCs w:val="24"/>
          <w:highlight w:val="none"/>
        </w:rPr>
        <w:t>，</w:t>
      </w:r>
      <w:r>
        <w:rPr>
          <w:rFonts w:hint="eastAsia" w:ascii="仿宋" w:hAnsi="仿宋" w:eastAsia="仿宋" w:cs="仿宋"/>
          <w:color w:val="auto"/>
          <w:w w:val="105"/>
          <w:sz w:val="24"/>
          <w:szCs w:val="24"/>
          <w:highlight w:val="none"/>
        </w:rPr>
        <w:t>以资共同遵</w:t>
      </w:r>
      <w:r>
        <w:rPr>
          <w:rFonts w:hint="eastAsia" w:ascii="仿宋" w:hAnsi="仿宋" w:eastAsia="仿宋" w:cs="仿宋"/>
          <w:color w:val="auto"/>
          <w:spacing w:val="13"/>
          <w:w w:val="105"/>
          <w:sz w:val="24"/>
          <w:szCs w:val="24"/>
          <w:highlight w:val="none"/>
        </w:rPr>
        <w:t>守</w:t>
      </w:r>
      <w:r>
        <w:rPr>
          <w:rFonts w:hint="eastAsia" w:ascii="仿宋" w:hAnsi="仿宋" w:eastAsia="仿宋" w:cs="仿宋"/>
          <w:color w:val="auto"/>
          <w:w w:val="105"/>
          <w:sz w:val="24"/>
          <w:szCs w:val="24"/>
          <w:highlight w:val="none"/>
        </w:rPr>
        <w:t>。</w:t>
      </w:r>
    </w:p>
    <w:p w14:paraId="62276AE7">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一、委托内容</w:t>
      </w:r>
    </w:p>
    <w:p w14:paraId="1D3D1BA1">
      <w:pPr>
        <w:adjustRightInd w:val="0"/>
        <w:snapToGrid w:val="0"/>
        <w:spacing w:line="360" w:lineRule="exact"/>
        <w:ind w:firstLine="586"/>
        <w:rPr>
          <w:rFonts w:ascii="仿宋" w:hAnsi="仿宋" w:eastAsia="仿宋" w:cs="仿宋"/>
          <w:color w:val="auto"/>
          <w:w w:val="105"/>
          <w:sz w:val="24"/>
          <w:szCs w:val="24"/>
          <w:highlight w:val="none"/>
        </w:rPr>
      </w:pPr>
      <w:r>
        <w:rPr>
          <w:rFonts w:hint="eastAsia" w:ascii="仿宋" w:hAnsi="仿宋" w:eastAsia="仿宋" w:cs="仿宋"/>
          <w:color w:val="auto"/>
          <w:w w:val="105"/>
          <w:sz w:val="24"/>
          <w:szCs w:val="24"/>
          <w:highlight w:val="none"/>
        </w:rPr>
        <w:t>甲、乙双方经友好协商，乙方向甲方提供以下检测服务：</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0EA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C599EB1">
            <w:pPr>
              <w:adjustRightInd w:val="0"/>
              <w:snapToGrid w:val="0"/>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检测项目</w:t>
            </w:r>
          </w:p>
        </w:tc>
        <w:tc>
          <w:tcPr>
            <w:tcW w:w="2074" w:type="dxa"/>
            <w:vAlign w:val="center"/>
          </w:tcPr>
          <w:p w14:paraId="2529D6C7">
            <w:pPr>
              <w:adjustRightInd w:val="0"/>
              <w:snapToGrid w:val="0"/>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收费标准</w:t>
            </w:r>
          </w:p>
        </w:tc>
        <w:tc>
          <w:tcPr>
            <w:tcW w:w="2074" w:type="dxa"/>
            <w:vAlign w:val="center"/>
          </w:tcPr>
          <w:p w14:paraId="5121480A">
            <w:pPr>
              <w:adjustRightInd w:val="0"/>
              <w:snapToGrid w:val="0"/>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结算价格</w:t>
            </w:r>
          </w:p>
        </w:tc>
        <w:tc>
          <w:tcPr>
            <w:tcW w:w="2074" w:type="dxa"/>
            <w:vAlign w:val="center"/>
          </w:tcPr>
          <w:p w14:paraId="04D586DF">
            <w:pPr>
              <w:adjustRightInd w:val="0"/>
              <w:snapToGrid w:val="0"/>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检测周期</w:t>
            </w:r>
          </w:p>
        </w:tc>
      </w:tr>
      <w:tr w14:paraId="6B92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C225202">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0BB0D991">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1A97440E">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381A7F4A">
            <w:pPr>
              <w:adjustRightInd w:val="0"/>
              <w:snapToGrid w:val="0"/>
              <w:spacing w:line="360" w:lineRule="exact"/>
              <w:ind w:firstLine="560"/>
              <w:rPr>
                <w:rFonts w:ascii="仿宋" w:hAnsi="仿宋" w:eastAsia="仿宋" w:cs="仿宋"/>
                <w:color w:val="auto"/>
                <w:kern w:val="0"/>
                <w:sz w:val="24"/>
                <w:szCs w:val="24"/>
                <w:highlight w:val="none"/>
              </w:rPr>
            </w:pPr>
          </w:p>
        </w:tc>
      </w:tr>
      <w:tr w14:paraId="0D4D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C50C5CB">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21C0EAF8">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0102E6FE">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676448E8">
            <w:pPr>
              <w:adjustRightInd w:val="0"/>
              <w:snapToGrid w:val="0"/>
              <w:spacing w:line="360" w:lineRule="exact"/>
              <w:ind w:firstLine="560"/>
              <w:rPr>
                <w:rFonts w:ascii="仿宋" w:hAnsi="仿宋" w:eastAsia="仿宋" w:cs="仿宋"/>
                <w:color w:val="auto"/>
                <w:kern w:val="0"/>
                <w:sz w:val="24"/>
                <w:szCs w:val="24"/>
                <w:highlight w:val="none"/>
              </w:rPr>
            </w:pPr>
          </w:p>
        </w:tc>
      </w:tr>
      <w:tr w14:paraId="68A1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DBEB8FC">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18CBA8A4">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58115040">
            <w:pPr>
              <w:adjustRightInd w:val="0"/>
              <w:snapToGrid w:val="0"/>
              <w:spacing w:line="360" w:lineRule="exact"/>
              <w:ind w:firstLine="560"/>
              <w:rPr>
                <w:rFonts w:ascii="仿宋" w:hAnsi="仿宋" w:eastAsia="仿宋" w:cs="仿宋"/>
                <w:color w:val="auto"/>
                <w:kern w:val="0"/>
                <w:sz w:val="24"/>
                <w:szCs w:val="24"/>
                <w:highlight w:val="none"/>
              </w:rPr>
            </w:pPr>
          </w:p>
        </w:tc>
        <w:tc>
          <w:tcPr>
            <w:tcW w:w="2074" w:type="dxa"/>
          </w:tcPr>
          <w:p w14:paraId="2B409BB1">
            <w:pPr>
              <w:adjustRightInd w:val="0"/>
              <w:snapToGrid w:val="0"/>
              <w:spacing w:line="360" w:lineRule="exact"/>
              <w:ind w:firstLine="560"/>
              <w:rPr>
                <w:rFonts w:ascii="仿宋" w:hAnsi="仿宋" w:eastAsia="仿宋" w:cs="仿宋"/>
                <w:color w:val="auto"/>
                <w:kern w:val="0"/>
                <w:sz w:val="24"/>
                <w:szCs w:val="24"/>
                <w:highlight w:val="none"/>
              </w:rPr>
            </w:pPr>
          </w:p>
        </w:tc>
      </w:tr>
    </w:tbl>
    <w:p w14:paraId="1995BA1F">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011F109">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1、检测周期是自乙方接收到合格样本至出具检测报告的时间。</w:t>
      </w:r>
    </w:p>
    <w:p w14:paraId="6B589B77">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2、在合同期内如遇到政策性收费价格下调，结算价格等比例下调。</w:t>
      </w:r>
    </w:p>
    <w:p w14:paraId="41512316">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二、双方权利与义务</w:t>
      </w:r>
    </w:p>
    <w:p w14:paraId="60BBCA66">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（一）甲方权利和义务</w:t>
      </w:r>
    </w:p>
    <w:p w14:paraId="1F5088DE">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1.受检者咨询：甲方负责告知受检者及家属关于检测项目的相关必要信息及各种检测技术的局限性，并对受检者给予咨询解答工作，安排和指导受检者在接受检测前签署相关的知情同意书。</w:t>
      </w:r>
    </w:p>
    <w:p w14:paraId="6F9F700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2.样本采集和前期处理：甲方负责样本采集并保证样本的合法性、合格性。甲方应当在约定的检测项目要求的规定时间内，按照规定的方式对其所采集的标本进行符合规范的前期处理和存储。</w:t>
      </w:r>
    </w:p>
    <w:p w14:paraId="5298E1E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样本递送：甲方负责向乙方提供样本及每份样本的检测申请单、知情同意书，并确保样本、申请单、知情同意书中受检者信息一致，受检者和送检医生均需签字。甲方根据双方约定的方式将上述资料和样本递送至乙方，同时提供签字确认的交接单。</w:t>
      </w:r>
    </w:p>
    <w:p w14:paraId="4E1E56F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4.报告接收与发放：甲方应及时接收乙方所发放的检测报告单，根据检测结果及解释向受检者提供合理的医学建议。</w:t>
      </w:r>
    </w:p>
    <w:p w14:paraId="7CFB46F3">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5.样本重采：由于受检者个体差异及不可控因素导致样本不符合检测要求需要重新采样的，甲方需根据乙方的反馈信息及时与受检者沟通并安排重新采样，重新采样检测不收取费用。</w:t>
      </w:r>
    </w:p>
    <w:p w14:paraId="4EDDD6D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6.检测收费：甲方每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（定期）统计一次，并及时和乙方提供的对账单核对，准时结算检测费用。</w:t>
      </w:r>
    </w:p>
    <w:p w14:paraId="2F877B47">
      <w:pPr>
        <w:tabs>
          <w:tab w:val="left" w:pos="4115"/>
        </w:tabs>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7.甲方对乙方有监管权利，对乙方实验室以及提供的检测服务内容、质量进行定期或不定期质控监督。</w:t>
      </w:r>
    </w:p>
    <w:p w14:paraId="7B911AB9">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BB1370">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（二）乙方权利和义务</w:t>
      </w:r>
    </w:p>
    <w:p w14:paraId="0BE55647">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1.临床培训和资料提供：乙方负责提供分析前样本的质量控制等相关内容的培训服务。乙方负责提供标本采集、运送所需的技术方法、递送所需的相应文本和材料。</w:t>
      </w:r>
    </w:p>
    <w:p w14:paraId="782BAA2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样本接收：乙方安排专人负责接收甲方递送的样本，并将签字确认后的交接单交还甲方。乙方接收到样本后核对样本、检测申请单和知情同意书信息；若发现信息不一致、样本破损或外观异常、无受检者和送检医生签字等现象，则该样本视为不合格样本，乙方应及时通知甲方确认送检信息或重采样本、补签字等。</w:t>
      </w:r>
    </w:p>
    <w:p w14:paraId="3E2C45A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3.样本检测：乙方负责在接收到合格的样本、相关知情同意书及临床申请单后，安排样本的检测。所有经过检测后的剩余样本，均由乙方按相关法规负责处理或长期保管，并保证不提供给甲方之外的第三人。</w:t>
      </w:r>
    </w:p>
    <w:p w14:paraId="4379189F">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（1）乙方严格按照相关标准开展本合同委托检测工作，不得转包、分包，保证工作全过程的公正性、科学性、准确性、可追溯性，并严格保障受检者个人隐私及数据安全，所涉及检测内容及结果不外泄。</w:t>
      </w:r>
    </w:p>
    <w:p w14:paraId="17B2566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（2）乙方检测时使用的设备必须在检定合格有效期内，环境符合标准检测要求。</w:t>
      </w:r>
    </w:p>
    <w:p w14:paraId="2FA910DF">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（3）乙方对标本的全程管理符合检测需求和生物安全的要求。</w:t>
      </w:r>
    </w:p>
    <w:p w14:paraId="03F90CFD">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（4）乙方保证检验过程中的质量控制。</w:t>
      </w:r>
    </w:p>
    <w:p w14:paraId="0473EE73">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（5）乙方根据行业标准保留检测后的标本以备复检。由于标本量不够导致无法复检的，乙方不负责复检。检测后的标本保存期按行业标准要求，检测报告保存期同病历保管要求。</w:t>
      </w:r>
    </w:p>
    <w:p w14:paraId="6E8F6F8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（6）乙方仅对来样负责。乙方必须按照甲方委托书要求内容进行测试，出具检测报告。报告内容必须真实、准确，保证与所测试的原始数据一致。</w:t>
      </w:r>
    </w:p>
    <w:p w14:paraId="0FB60E9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（7）乙方对甲方提供的相关检测信息确认无误后，应在承诺的检测周期内出具准确可靠的检测报告，乙方对出具的检测报告负全部责任。如有特殊情况不能在周期内出具报告，应及时告知甲方。</w:t>
      </w:r>
    </w:p>
    <w:p w14:paraId="5659B50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（8）检验结果的信息化，乙方应根据甲方的需求具体落实并承担因此而发生的费用。</w:t>
      </w:r>
    </w:p>
    <w:p w14:paraId="4A81C98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（9）乙方专业的技术人员负责向甲方解释各项检测方法、质控标准、结果。</w:t>
      </w:r>
    </w:p>
    <w:p w14:paraId="701CCB3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（10）配合甲方不定期对样本运输、检测流程、检验结果及检验质量的监督检查。</w:t>
      </w:r>
    </w:p>
    <w:p w14:paraId="1BAC8C9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报告发放：乙方应根据约定的各检测项目的检测周期将检测报告单以纸质报告和电子报告两种形式发给甲方，乙方自收到标本后，按照不同的检测项目所需周期完成相关检测。若由于样本自身或其他原因而导致的无法出具检测报告的情况，乙方需第一时间通知甲方。若出现检测项目危急值或双方约定的其他异常结果报告，乙方应立即电话通知甲方，并及时出具相应的纸质和电子报告。</w:t>
      </w:r>
    </w:p>
    <w:p w14:paraId="4599681F">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5.实验数据及样本回收：乙方应按检测周期将所有检测项目的原始实验数据（包括但不限于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等）返还甲方，血液或DNA样本需返回甲方或按国家有关要求保存。</w:t>
      </w:r>
    </w:p>
    <w:p w14:paraId="59B37E37">
      <w:pPr>
        <w:tabs>
          <w:tab w:val="left" w:pos="4115"/>
        </w:tabs>
        <w:adjustRightInd w:val="0"/>
        <w:snapToGrid w:val="0"/>
        <w:spacing w:line="360" w:lineRule="exact"/>
        <w:ind w:firstLine="560"/>
        <w:rPr>
          <w:rFonts w:ascii="仿宋" w:hAnsi="仿宋" w:eastAsia="仿宋" w:cs="仿宋"/>
          <w:color w:val="auto"/>
          <w:sz w:val="22"/>
          <w:highlight w:val="none"/>
        </w:rPr>
      </w:pPr>
      <w:r>
        <w:rPr>
          <w:rFonts w:hint="eastAsia" w:ascii="仿宋" w:hAnsi="仿宋" w:eastAsia="仿宋" w:cs="仿宋"/>
          <w:color w:val="auto"/>
          <w:sz w:val="22"/>
          <w:highlight w:val="none"/>
        </w:rPr>
        <w:t>6.乙方定期向甲方提供相关检测项目室内质控及室间质评资料。</w:t>
      </w:r>
    </w:p>
    <w:p w14:paraId="293C581C">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三、受检样本的交接</w:t>
      </w:r>
    </w:p>
    <w:p w14:paraId="3D6862E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（一）乙方应按照《可感染人类的高致病性病原微生物菌（毒）种或样本运输管理规定》办理相关准运证。</w:t>
      </w:r>
    </w:p>
    <w:p w14:paraId="0B0D04C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（二）交接时间：乙方在工作日均需到甲方收取样本和资料。</w:t>
      </w:r>
    </w:p>
    <w:p w14:paraId="0D7C7779">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（三）交接地点：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B000D2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（四）交接时甲方应保证包装符合运输和保存的要求；乙方接收或者在甲方通知后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小时，视为乙方已接收。</w:t>
      </w:r>
    </w:p>
    <w:p w14:paraId="4C04C9B0">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（五）乙方应当在交接时应对样本及以下资料进行核对：</w:t>
      </w:r>
    </w:p>
    <w:p w14:paraId="6EBA33F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693C96">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（六）受检样本由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方自行或者指定的具有样本运输条件和资质的物流进行运输，并由该方承担相关费用。</w:t>
      </w:r>
    </w:p>
    <w:p w14:paraId="78463203">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四、费用结算</w:t>
      </w:r>
    </w:p>
    <w:p w14:paraId="37F9901B">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（一）结算规则：乙方每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（周期）以甲方收费凭证与乙方收到的样本数量作为统计业务量的依据，乙方将统计量同时发送至甲方。双方核对无误后，甲方在收到乙方开具的相应税务发票后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工作日内，按“业务量×结算价格”向乙方结算该周期内的检测费用。</w:t>
      </w:r>
    </w:p>
    <w:p w14:paraId="7C1A2EC0">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（二）乙方收款信息：</w:t>
      </w:r>
    </w:p>
    <w:p w14:paraId="13807EE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户名：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3902C6B">
      <w:pPr>
        <w:adjustRightInd w:val="0"/>
        <w:snapToGrid w:val="0"/>
        <w:spacing w:line="360" w:lineRule="exact"/>
        <w:ind w:firstLine="56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税号：</w:t>
      </w:r>
      <w:r>
        <w:rPr>
          <w:rFonts w:hint="eastAsia" w:ascii="仿宋" w:hAnsi="仿宋" w:eastAsia="仿宋" w:cs="仿宋"/>
          <w:color w:val="auto"/>
          <w:sz w:val="24"/>
          <w:szCs w:val="24"/>
          <w:highlight w:val="none"/>
          <w:u w:val="single"/>
        </w:rPr>
        <w:t xml:space="preserve">                         </w:t>
      </w:r>
    </w:p>
    <w:p w14:paraId="0D04E4EF">
      <w:pPr>
        <w:adjustRightInd w:val="0"/>
        <w:snapToGrid w:val="0"/>
        <w:spacing w:line="360" w:lineRule="exact"/>
        <w:ind w:firstLine="56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p>
    <w:p w14:paraId="0FCF530F">
      <w:pPr>
        <w:adjustRightInd w:val="0"/>
        <w:snapToGrid w:val="0"/>
        <w:spacing w:line="360" w:lineRule="exact"/>
        <w:ind w:firstLine="56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u w:val="single"/>
        </w:rPr>
        <w:t xml:space="preserve">                         </w:t>
      </w:r>
    </w:p>
    <w:p w14:paraId="1FB21CB3">
      <w:pPr>
        <w:adjustRightInd w:val="0"/>
        <w:snapToGrid w:val="0"/>
        <w:spacing w:line="360" w:lineRule="exact"/>
        <w:ind w:firstLine="56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single"/>
        </w:rPr>
        <w:t xml:space="preserve">                        </w:t>
      </w:r>
    </w:p>
    <w:p w14:paraId="0F03C5FD">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（三）禁止现金交易，甲方将款项打入上述账号，即视为完成付款。</w:t>
      </w:r>
    </w:p>
    <w:p w14:paraId="1ECF2EEA">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五、保密义务</w:t>
      </w:r>
    </w:p>
    <w:p w14:paraId="0D477CB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在合作期内及以后，协议内容及双方相关资料（包括但不限于各类数据、受检者信息、检测报告、样本、价格、商业信息）均为保密资料。除非保密资料已通过正当途径为公众所知，或除非由拥有资料一方事先书面授权透露，双方均应各自对保密资料保密，不得向除对方以外的任何第三人透露，也不得将保密资料用于与本协议条款和条件不相符合的任何目的。</w:t>
      </w:r>
    </w:p>
    <w:p w14:paraId="0A88F4D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（二）双方只能向因职责所需而需要了解上述保密资料的工作人员透露保密资料，且该工作人员经双方协商授权确定，并应与授权的工作人员签订《保密合同》以防止未经授权向第三人披露。</w:t>
      </w:r>
    </w:p>
    <w:p w14:paraId="4325ACF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（三）双方保证对受检者所有信息保密，除非该信息已经由受检者主动公开。</w:t>
      </w:r>
    </w:p>
    <w:p w14:paraId="1768E61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（四）除征得甲方事先书面同意外，乙方不得将检测信息用于科研、宣传。</w:t>
      </w:r>
    </w:p>
    <w:p w14:paraId="2E506F0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（五）本协议规定的保密义务不因本协议的终止、中止而失效，除非相关资料依法成为公开信息。</w:t>
      </w:r>
    </w:p>
    <w:p w14:paraId="5EBF40FE">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6A2D42FD">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（一）延期责任</w:t>
      </w:r>
    </w:p>
    <w:p w14:paraId="656FC14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1.如因甲方提供的样本及相关临床资料不合格或未能按时提供等原因导致的检测延误，由甲方自行承担责任，因乙方未尽临床培训等相应义务造成上述结果的情形除外。</w:t>
      </w:r>
    </w:p>
    <w:p w14:paraId="0B565A59">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2.如因乙方原因（包括实验室内样本丢失、检测、出具报告等环节）不能按时提供检测结果导致的出具检测报告延误，由乙方按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元/份承担违约责任。</w:t>
      </w:r>
    </w:p>
    <w:p w14:paraId="0AD4B97D">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检测或数据处理过程中因样本活性低、个体差异、结果疑难复杂需进一步验证性检测等原因而出现培养或检测困难，检测报告出具时间将相应延长，在该情况下乙方应在检测周期届满前及时通知甲方，由甲乙双方积极协商解决。非因乙方过错且乙方尽通知义务造成的延期的情形，不属于乙方的违约情况。</w:t>
      </w:r>
    </w:p>
    <w:p w14:paraId="1DDCA9E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可抗拒的客观因素导致项目延误或协议不能继续履行时，双方均不承担责任。受到不可抗力影响的一方应当及时书面通知另一方，并出具证明材料。不可抗拒力包括地震、洪水、战争、军事行动、法律或政府政策等相关因素。</w:t>
      </w:r>
    </w:p>
    <w:p w14:paraId="356E02CB">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5.特殊情况下，需要重新取样进行重新检测的，取样和检测均不重复收费。如遇无法出具报告的案例，由甲方负责退回受检者相应的检测费用，这种情形下甲方无需就该样本向乙方支付检测费用。</w:t>
      </w:r>
    </w:p>
    <w:p w14:paraId="586DE85B">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（二）检测结果的争议</w:t>
      </w:r>
    </w:p>
    <w:p w14:paraId="0B77D74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1.乙方保证对甲方送检的合格样本收费（包括完整的临床申请单及受检者知情同意书）按照甲方申请的检测方法进行检测并对检测结果的质量承担责任。</w:t>
      </w:r>
    </w:p>
    <w:p w14:paraId="0F89BD8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2.乙方保证在技术检测范围内完成全部检测内容。但是乙方在相应知情同意书上已标注的所用检测技术仍然不能全面覆盖生物复杂性的具体情形，乙方不承担责任。</w:t>
      </w:r>
    </w:p>
    <w:p w14:paraId="32394AA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除上述情形之外，若甲乙双方对收费的样本检测结果的准确性有异议，可以在甲乙双方一致同意的前提下，通过中华医学会医疗事故技术鉴定办公室指定的单位用相应技术方法进行验证并组织专家论证，若确定为乙方检测结果不准确而造成的临床诊断失误，乙方承担相应责任。</w:t>
      </w:r>
    </w:p>
    <w:p w14:paraId="5AF285C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对乙方提交的检测结果有异议的应当在接收报告后3个工作日内提出。若甲方在上述期限内没有提出异议，乙方将视同甲方完全接受检测结果。如因乙方检测结果有误经认定为乙方责任的，因此造成的医疗纠纷由乙方负责（不因甲方接受检测结果而免除乙方责任），如因乙方提供的知情同意书不全面并由此造成的医疗纠纷由乙方自行承担。</w:t>
      </w:r>
    </w:p>
    <w:p w14:paraId="2502B5E1">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（三）违反保密义务</w:t>
      </w:r>
    </w:p>
    <w:p w14:paraId="74082E0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甲乙双方如有违反本协议第五条保密义务的任何规定，则违约方须及时采取措施防止守约方损失扩大，赔偿守约方相关损失并支付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万元作为违约金。因违反保密条款引发侵权责任诉讼或赔偿事项的由违约方承担侵权法律责任。</w:t>
      </w:r>
    </w:p>
    <w:p w14:paraId="78DA088C">
      <w:pPr>
        <w:adjustRightInd w:val="0"/>
        <w:snapToGrid w:val="0"/>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（四）禁止转包、分包</w:t>
      </w:r>
    </w:p>
    <w:p w14:paraId="5F86CC9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乙方应亲自履行合同义务，不得将检测项目转包、分包给第三方进行检测。如乙方未经甲方同意，将样本送至第三方检测的，每发现一次计算一次违约责任并按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万元／次承担违约责任。</w:t>
      </w:r>
    </w:p>
    <w:p w14:paraId="5163555B">
      <w:pPr>
        <w:spacing w:line="360" w:lineRule="exact"/>
        <w:ind w:firstLine="56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（五）检测不准确、不真实的责任承担</w:t>
      </w:r>
    </w:p>
    <w:p w14:paraId="6ACE6D1B">
      <w:pPr>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如乙方出具的检测报告不准确或不真实，导致甲方对外承担包括但不限于民事赔偿、行政处罚等责任，应由乙方承担甲方经济损失等全部责任，并按最终经济损失的</w:t>
      </w:r>
      <w:r>
        <w:rPr>
          <w:rFonts w:hint="eastAsia" w:ascii="仿宋" w:hAnsi="仿宋" w:eastAsia="仿宋" w:cs="仿宋"/>
          <w:color w:val="auto"/>
          <w:sz w:val="24"/>
          <w:szCs w:val="24"/>
          <w:highlight w:val="none"/>
          <w:u w:val="single"/>
        </w:rPr>
        <w:t xml:space="preserve">  （比例）   </w:t>
      </w:r>
      <w:r>
        <w:rPr>
          <w:rFonts w:hint="eastAsia" w:ascii="仿宋" w:hAnsi="仿宋" w:eastAsia="仿宋" w:cs="仿宋"/>
          <w:color w:val="auto"/>
          <w:sz w:val="24"/>
          <w:szCs w:val="24"/>
          <w:highlight w:val="none"/>
        </w:rPr>
        <w:t>向甲方支付违约金。</w:t>
      </w:r>
    </w:p>
    <w:p w14:paraId="0C3C97FA">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七、协议履行</w:t>
      </w:r>
    </w:p>
    <w:p w14:paraId="0B9F0C5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确保协议的全面履行，在整个项目执行的过程中，甲、乙双方应在遵守本协议的基础上，积极沟通，协调一致，保证该项目顺利进行。为保证沟通及时有效，合作双方确定在本协议有效期内，双方分别指定各方项目联系人。</w:t>
      </w:r>
    </w:p>
    <w:p w14:paraId="6FA93A1F">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甲方指定</w:t>
      </w:r>
      <w:r>
        <w:rPr>
          <w:rFonts w:hint="eastAsia" w:ascii="仿宋" w:hAnsi="仿宋" w:eastAsia="仿宋" w:cs="仿宋"/>
          <w:color w:val="auto"/>
          <w:sz w:val="24"/>
          <w:szCs w:val="24"/>
          <w:highlight w:val="none"/>
          <w:u w:val="single"/>
        </w:rPr>
        <w:t>（科室、职务、姓名、联系电话、电子邮箱等）</w:t>
      </w:r>
      <w:r>
        <w:rPr>
          <w:rFonts w:hint="eastAsia" w:ascii="仿宋" w:hAnsi="仿宋" w:eastAsia="仿宋" w:cs="仿宋"/>
          <w:color w:val="auto"/>
          <w:sz w:val="24"/>
          <w:szCs w:val="24"/>
          <w:highlight w:val="none"/>
        </w:rPr>
        <w:t>为甲方项目联系人。</w:t>
      </w:r>
    </w:p>
    <w:p w14:paraId="4A27B34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乙方指定</w:t>
      </w:r>
      <w:r>
        <w:rPr>
          <w:rFonts w:hint="eastAsia" w:ascii="仿宋" w:hAnsi="仿宋" w:eastAsia="仿宋" w:cs="仿宋"/>
          <w:color w:val="auto"/>
          <w:sz w:val="24"/>
          <w:szCs w:val="24"/>
          <w:highlight w:val="none"/>
          <w:u w:val="single"/>
        </w:rPr>
        <w:t>（科室、职务、姓名、联系电话、电子邮箱等）</w:t>
      </w:r>
      <w:r>
        <w:rPr>
          <w:rFonts w:hint="eastAsia" w:ascii="仿宋" w:hAnsi="仿宋" w:eastAsia="仿宋" w:cs="仿宋"/>
          <w:color w:val="auto"/>
          <w:sz w:val="24"/>
          <w:szCs w:val="24"/>
          <w:highlight w:val="none"/>
        </w:rPr>
        <w:t>为乙方项目联系人。</w:t>
      </w:r>
    </w:p>
    <w:p w14:paraId="7015293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一方变更项目联系人的，应当及时并以书面形式通知对方。未及时通知并影响本协议履行或造成损失的，未及时通知一方应承担相应的责任。</w:t>
      </w:r>
    </w:p>
    <w:p w14:paraId="76DB2A4C">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八、协议终止</w:t>
      </w:r>
    </w:p>
    <w:p w14:paraId="50F2A79C">
      <w:pPr>
        <w:tabs>
          <w:tab w:val="left" w:pos="4115"/>
        </w:tabs>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如乙方在检测过程中出现以下情形，甲方有权终止合作：</w:t>
      </w:r>
    </w:p>
    <w:p w14:paraId="0814EB36">
      <w:pPr>
        <w:tabs>
          <w:tab w:val="left" w:pos="4115"/>
        </w:tabs>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1.因包括但不限于操作不规范或不符合技术规范等原因，导致检测结果不准确，达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w:t>
      </w:r>
      <w:bookmarkStart w:id="71" w:name="_Hlk170207309"/>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bookmarkEnd w:id="71"/>
      <w:r>
        <w:rPr>
          <w:rFonts w:hint="eastAsia" w:ascii="仿宋" w:hAnsi="仿宋" w:eastAsia="仿宋" w:cs="仿宋"/>
          <w:color w:val="auto"/>
          <w:sz w:val="24"/>
          <w:szCs w:val="24"/>
          <w:highlight w:val="none"/>
        </w:rPr>
        <w:t>。</w:t>
      </w:r>
    </w:p>
    <w:p w14:paraId="25901A6F">
      <w:pPr>
        <w:tabs>
          <w:tab w:val="left" w:pos="4115"/>
        </w:tabs>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2.未能按照合同约定的时间和质量要求完成检测，不能及时提供检测结果达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份，不可抗力除外。</w:t>
      </w:r>
    </w:p>
    <w:p w14:paraId="2452E76C">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3.实验室不诚信，出现欺诈行为，包括但不限于篡改室内质控数据、受检者检验数据等。</w:t>
      </w:r>
    </w:p>
    <w:p w14:paraId="1B84DE9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4.实验室管理不善，出现生物安全隐患。</w:t>
      </w:r>
    </w:p>
    <w:p w14:paraId="535B53B1">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5.泄露受检者信息造成不良后果或者泄露信息达到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人次。</w:t>
      </w:r>
    </w:p>
    <w:p w14:paraId="71A6802B">
      <w:pPr>
        <w:adjustRightInd w:val="0"/>
        <w:snapToGrid w:val="0"/>
        <w:spacing w:line="360" w:lineRule="exact"/>
        <w:ind w:firstLine="56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B8FEDC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7.发生其他违反有关法律法规规定的情形。</w:t>
      </w:r>
    </w:p>
    <w:p w14:paraId="7BA1C461">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九、廉洁条款</w:t>
      </w:r>
    </w:p>
    <w:p w14:paraId="07F7BC5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为进一步加强医疗卫生行风建设，规范医疗卫生机构购销行为，有效防范商业贿赂行为，营造公平交易、诚实守信的购销环境，特约定以下廉洁条款，以资合同各方共同遵守：</w:t>
      </w:r>
    </w:p>
    <w:p w14:paraId="46004BAA">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1.合同各方按照《民法典》及廉洁条款约定履行。</w:t>
      </w:r>
    </w:p>
    <w:p w14:paraId="48AE83C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6A01D06A">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3.甲方严禁利用任何途径和方式，为乙方统计医师个人及临床科室有关产品用量信息，或为乙方统计提供便利。</w:t>
      </w:r>
    </w:p>
    <w:p w14:paraId="62A56705">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4.乙方不得以回扣、宴请等方式影响甲方工作人员采购或使用产品的选择权，不得在学术活动中提供旅游、超标准支付食宿费用。</w:t>
      </w:r>
    </w:p>
    <w:p w14:paraId="7E6E15F6">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5.乙方指定销售代表必须在工作时间到甲方指定地点联系商谈，不得到住院部、门诊部、医技科室等推销，不得借故到甲方相关领导、部门负责人及相关工作人员非办公场所访谈并提供任何好处费等。</w:t>
      </w:r>
    </w:p>
    <w:p w14:paraId="604D74D4">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6.乙方承诺其公司法定代表人、实际控制人或者股东中无甲方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级以上干部，且无医院</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级以上干部配偶、子女、子女配偶、子女配偶的父母，或者与其同城生活来往密切、有借贷关系或照护关系的亲属等。</w:t>
      </w:r>
    </w:p>
    <w:p w14:paraId="1687C99A">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7乙方如违反本廉洁条款，一经发现，甲方有权终止本合同，并向上级主管部门报告。如乙方被列入商业贿赂不良记录，则严格按照国家相关规定处理。</w:t>
      </w:r>
    </w:p>
    <w:p w14:paraId="724DD197">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8.本廉洁条款在合同履行过程中，合同各方均需严格遵守。</w:t>
      </w:r>
    </w:p>
    <w:p w14:paraId="2E6E73FC">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十、争议解决与文件送达</w:t>
      </w:r>
    </w:p>
    <w:p w14:paraId="5E645433">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（一）双方因履行本合同发生争议，应首先通过友好协商解决；协商不成时，可以选择以下第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种途径解决：</w:t>
      </w:r>
    </w:p>
    <w:p w14:paraId="49FF1792">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方住所地人民法院裁决。</w:t>
      </w:r>
    </w:p>
    <w:p w14:paraId="5A381D38">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仲裁委员会裁决。</w:t>
      </w:r>
    </w:p>
    <w:p w14:paraId="35C5DDBD">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双方确认本合同载明的通讯地址可作为合同履行过程中相关文书、诉讼文书的送达地址，因载明的地址有误或未及时告知变更后的地址，导致相关文书及诉讼文书没能实际送达的，相关文书及诉讼文书退回之日即视为送达之日；因一方拒收的，相关文书及诉讼文书退回之日即视为送达之日。</w:t>
      </w:r>
    </w:p>
    <w:p w14:paraId="02D860D3">
      <w:pPr>
        <w:adjustRightInd w:val="0"/>
        <w:snapToGrid w:val="0"/>
        <w:spacing w:line="360" w:lineRule="exact"/>
        <w:ind w:firstLine="56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十一、其他</w:t>
      </w:r>
    </w:p>
    <w:p w14:paraId="420724DE">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（一）本协议经双方签字盖章后生效，合作期限自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日始至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日止，合作期限为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年。合作期满，本协议自动失效。</w:t>
      </w:r>
    </w:p>
    <w:p w14:paraId="271E248E">
      <w:pPr>
        <w:adjustRightInd w:val="0"/>
        <w:snapToGrid w:val="0"/>
        <w:spacing w:line="3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（二）本协议一式肆份，甲乙双方各持贰份，具有同等法律效力。未尽事宜，另行签订补充协议，补充协议与本协议不一致的，以补充协议为准。</w:t>
      </w:r>
    </w:p>
    <w:p w14:paraId="4A6D2624">
      <w:pPr>
        <w:adjustRightInd w:val="0"/>
        <w:snapToGrid w:val="0"/>
        <w:spacing w:line="360" w:lineRule="exact"/>
        <w:ind w:firstLine="560"/>
        <w:rPr>
          <w:rFonts w:ascii="仿宋" w:hAnsi="仿宋" w:eastAsia="仿宋" w:cs="仿宋"/>
          <w:color w:val="auto"/>
          <w:sz w:val="24"/>
          <w:szCs w:val="24"/>
          <w:highlight w:val="none"/>
        </w:rPr>
      </w:pPr>
    </w:p>
    <w:p w14:paraId="30A607E7">
      <w:pPr>
        <w:spacing w:after="120" w:line="360" w:lineRule="exact"/>
        <w:ind w:right="1470" w:rightChars="700"/>
        <w:rPr>
          <w:rFonts w:ascii="仿宋" w:hAnsi="仿宋" w:eastAsia="仿宋" w:cs="仿宋"/>
          <w:color w:val="auto"/>
          <w:sz w:val="24"/>
          <w:szCs w:val="24"/>
          <w:highlight w:val="none"/>
        </w:rPr>
      </w:pPr>
    </w:p>
    <w:p w14:paraId="033B96C4">
      <w:pPr>
        <w:adjustRightInd w:val="0"/>
        <w:snapToGrid w:val="0"/>
        <w:spacing w:line="360" w:lineRule="exact"/>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乙方（盖章）：</w:t>
      </w:r>
      <w:r>
        <w:rPr>
          <w:rFonts w:hint="eastAsia" w:ascii="仿宋" w:hAnsi="仿宋" w:eastAsia="仿宋" w:cs="仿宋"/>
          <w:color w:val="auto"/>
          <w:sz w:val="24"/>
          <w:szCs w:val="24"/>
          <w:highlight w:val="none"/>
          <w:u w:val="single"/>
        </w:rPr>
        <w:t xml:space="preserve">          </w:t>
      </w:r>
    </w:p>
    <w:p w14:paraId="2013855E">
      <w:pPr>
        <w:adjustRightInd w:val="0"/>
        <w:snapToGrid w:val="0"/>
        <w:spacing w:line="360" w:lineRule="exact"/>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法人代表（委托人）：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法人代表（委托人）：</w:t>
      </w:r>
      <w:r>
        <w:rPr>
          <w:rFonts w:hint="eastAsia" w:ascii="仿宋" w:hAnsi="仿宋" w:eastAsia="仿宋" w:cs="仿宋"/>
          <w:color w:val="auto"/>
          <w:sz w:val="24"/>
          <w:szCs w:val="24"/>
          <w:highlight w:val="none"/>
          <w:u w:val="single"/>
        </w:rPr>
        <w:t xml:space="preserve">              </w:t>
      </w:r>
    </w:p>
    <w:p w14:paraId="27F0286A">
      <w:pPr>
        <w:adjustRightInd w:val="0"/>
        <w:snapToGrid w:val="0"/>
        <w:spacing w:line="3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经办人：</w:t>
      </w:r>
      <w:r>
        <w:rPr>
          <w:rFonts w:hint="eastAsia" w:ascii="仿宋" w:hAnsi="仿宋" w:eastAsia="仿宋" w:cs="仿宋"/>
          <w:color w:val="auto"/>
          <w:sz w:val="24"/>
          <w:szCs w:val="24"/>
          <w:highlight w:val="none"/>
          <w:u w:val="single"/>
        </w:rPr>
        <w:t xml:space="preserve">            </w:t>
      </w:r>
    </w:p>
    <w:p w14:paraId="788389B0">
      <w:pPr>
        <w:adjustRightInd w:val="0"/>
        <w:snapToGrid w:val="0"/>
        <w:spacing w:line="3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签订日期：</w:t>
      </w:r>
      <w:r>
        <w:rPr>
          <w:rFonts w:hint="eastAsia" w:ascii="仿宋" w:hAnsi="仿宋" w:eastAsia="仿宋" w:cs="仿宋"/>
          <w:color w:val="auto"/>
          <w:sz w:val="24"/>
          <w:szCs w:val="24"/>
          <w:highlight w:val="none"/>
          <w:u w:val="single"/>
        </w:rPr>
        <w:t xml:space="preserve">          </w:t>
      </w:r>
    </w:p>
    <w:p w14:paraId="0834E21D">
      <w:pPr>
        <w:ind w:firstLine="480" w:firstLineChars="200"/>
        <w:rPr>
          <w:rFonts w:ascii="仿宋" w:hAnsi="仿宋" w:eastAsia="仿宋" w:cs="仿宋"/>
          <w:color w:val="auto"/>
          <w:sz w:val="24"/>
          <w:szCs w:val="24"/>
          <w:highlight w:val="none"/>
        </w:rPr>
      </w:pPr>
    </w:p>
    <w:p w14:paraId="5086E578">
      <w:pPr>
        <w:ind w:firstLine="480" w:firstLineChars="200"/>
        <w:rPr>
          <w:rFonts w:ascii="仿宋" w:hAnsi="仿宋" w:eastAsia="仿宋" w:cs="仿宋"/>
          <w:color w:val="auto"/>
          <w:sz w:val="24"/>
          <w:szCs w:val="24"/>
          <w:highlight w:val="none"/>
        </w:rPr>
      </w:pPr>
    </w:p>
    <w:p w14:paraId="04149493">
      <w:pPr>
        <w:widowControl/>
        <w:jc w:val="left"/>
        <w:rPr>
          <w:rFonts w:ascii="宋体" w:hAnsi="宋体" w:eastAsia="宋体" w:cs="Times New Roman"/>
          <w:b/>
          <w:color w:val="auto"/>
          <w:szCs w:val="24"/>
          <w:highlight w:val="none"/>
        </w:rPr>
      </w:pPr>
    </w:p>
    <w:p w14:paraId="7148D102">
      <w:pPr>
        <w:widowControl/>
        <w:jc w:val="left"/>
        <w:rPr>
          <w:rFonts w:ascii="宋体" w:hAnsi="宋体" w:eastAsia="宋体" w:cs="Times New Roman"/>
          <w:b/>
          <w:color w:val="auto"/>
          <w:szCs w:val="24"/>
          <w:highlight w:val="none"/>
        </w:rPr>
      </w:pPr>
      <w:r>
        <w:rPr>
          <w:rFonts w:ascii="宋体" w:hAnsi="宋体" w:eastAsia="宋体" w:cs="Times New Roman"/>
          <w:b/>
          <w:color w:val="auto"/>
          <w:szCs w:val="24"/>
          <w:highlight w:val="none"/>
        </w:rPr>
        <w:br w:type="page"/>
      </w:r>
    </w:p>
    <w:p w14:paraId="32E354CC">
      <w:pPr>
        <w:jc w:val="center"/>
        <w:outlineLvl w:val="0"/>
        <w:rPr>
          <w:rFonts w:ascii="仿宋" w:hAnsi="仿宋" w:eastAsia="仿宋" w:cs="仿宋"/>
          <w:b/>
          <w:bCs/>
          <w:color w:val="auto"/>
          <w:sz w:val="28"/>
          <w:szCs w:val="32"/>
          <w:highlight w:val="none"/>
        </w:rPr>
      </w:pPr>
    </w:p>
    <w:p w14:paraId="463D8AAC">
      <w:pPr>
        <w:jc w:val="center"/>
        <w:outlineLvl w:val="0"/>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第六章  响应文件格式</w:t>
      </w:r>
      <w:bookmarkEnd w:id="68"/>
      <w:bookmarkEnd w:id="69"/>
      <w:bookmarkEnd w:id="70"/>
    </w:p>
    <w:p w14:paraId="742C856B">
      <w:pPr>
        <w:spacing w:line="360" w:lineRule="auto"/>
        <w:rPr>
          <w:rFonts w:ascii="仿宋" w:hAnsi="仿宋" w:eastAsia="仿宋" w:cs="仿宋"/>
          <w:color w:val="auto"/>
          <w:sz w:val="24"/>
          <w:szCs w:val="28"/>
          <w:highlight w:val="none"/>
        </w:rPr>
      </w:pPr>
    </w:p>
    <w:p w14:paraId="377ACE1D">
      <w:pPr>
        <w:spacing w:line="360" w:lineRule="auto"/>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封面样式：</w:t>
      </w:r>
    </w:p>
    <w:p w14:paraId="27B0631A">
      <w:pPr>
        <w:pStyle w:val="13"/>
        <w:ind w:firstLine="880"/>
        <w:rPr>
          <w:rFonts w:ascii="仿宋" w:hAnsi="仿宋" w:eastAsia="仿宋" w:cs="仿宋"/>
          <w:color w:val="auto"/>
          <w:highlight w:val="none"/>
          <w:lang w:val="en-US"/>
        </w:rPr>
      </w:pPr>
    </w:p>
    <w:p w14:paraId="3C764747">
      <w:pPr>
        <w:spacing w:before="55"/>
        <w:ind w:right="616"/>
        <w:jc w:val="right"/>
        <w:rPr>
          <w:rFonts w:ascii="仿宋" w:hAnsi="仿宋" w:eastAsia="仿宋" w:cs="仿宋"/>
          <w:color w:val="auto"/>
          <w:w w:val="95"/>
          <w:sz w:val="32"/>
          <w:highlight w:val="none"/>
        </w:rPr>
      </w:pPr>
    </w:p>
    <w:p w14:paraId="6D9FF8CD">
      <w:pPr>
        <w:spacing w:before="55"/>
        <w:ind w:right="616"/>
        <w:jc w:val="right"/>
        <w:rPr>
          <w:rFonts w:ascii="仿宋" w:hAnsi="仿宋" w:eastAsia="仿宋" w:cs="仿宋"/>
          <w:color w:val="auto"/>
          <w:sz w:val="32"/>
          <w:highlight w:val="none"/>
        </w:rPr>
      </w:pPr>
      <w:r>
        <w:rPr>
          <w:rFonts w:hint="eastAsia" w:ascii="仿宋" w:hAnsi="仿宋" w:eastAsia="仿宋" w:cs="仿宋"/>
          <w:color w:val="auto"/>
          <w:w w:val="95"/>
          <w:sz w:val="32"/>
          <w:highlight w:val="none"/>
        </w:rPr>
        <w:t>正本（副本）</w:t>
      </w:r>
    </w:p>
    <w:p w14:paraId="53FCBB22">
      <w:pPr>
        <w:pStyle w:val="11"/>
        <w:rPr>
          <w:rFonts w:ascii="仿宋" w:hAnsi="仿宋" w:eastAsia="仿宋" w:cs="仿宋"/>
          <w:color w:val="auto"/>
          <w:sz w:val="32"/>
          <w:highlight w:val="none"/>
        </w:rPr>
      </w:pPr>
    </w:p>
    <w:p w14:paraId="39436F4C">
      <w:pPr>
        <w:pStyle w:val="11"/>
        <w:rPr>
          <w:rFonts w:ascii="仿宋" w:hAnsi="仿宋" w:eastAsia="仿宋" w:cs="仿宋"/>
          <w:color w:val="auto"/>
          <w:sz w:val="33"/>
          <w:highlight w:val="none"/>
        </w:rPr>
      </w:pPr>
    </w:p>
    <w:p w14:paraId="1BC980EE">
      <w:pPr>
        <w:spacing w:line="480" w:lineRule="auto"/>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竞争性磋商响应文件</w:t>
      </w:r>
    </w:p>
    <w:p w14:paraId="45B5BD1C">
      <w:pPr>
        <w:pStyle w:val="37"/>
        <w:rPr>
          <w:rFonts w:ascii="仿宋" w:hAnsi="仿宋" w:eastAsia="仿宋" w:cs="仿宋"/>
          <w:color w:val="auto"/>
          <w:highlight w:val="none"/>
        </w:rPr>
      </w:pPr>
    </w:p>
    <w:p w14:paraId="52853620">
      <w:pPr>
        <w:spacing w:line="480" w:lineRule="auto"/>
        <w:ind w:left="1600" w:hanging="1600" w:hangingChars="5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项目名称：南京市雨花台区妇幼保健所2025年外送检验服务项目</w:t>
      </w:r>
    </w:p>
    <w:p w14:paraId="1223B8C5">
      <w:pPr>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项目编号：NJXN-24077-FW</w:t>
      </w:r>
    </w:p>
    <w:p w14:paraId="4AFAE4A1">
      <w:pPr>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供 应 商：                  （单位公章）            </w:t>
      </w:r>
    </w:p>
    <w:p w14:paraId="468E3DEF">
      <w:pPr>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联系方式：                  </w:t>
      </w:r>
    </w:p>
    <w:p w14:paraId="7A0B4CBD">
      <w:pPr>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联系地址：                  </w:t>
      </w:r>
    </w:p>
    <w:p w14:paraId="44E5FDF4">
      <w:pPr>
        <w:spacing w:line="480" w:lineRule="auto"/>
        <w:jc w:val="center"/>
        <w:rPr>
          <w:rFonts w:ascii="仿宋" w:hAnsi="仿宋" w:eastAsia="仿宋" w:cs="仿宋"/>
          <w:color w:val="auto"/>
          <w:sz w:val="32"/>
          <w:szCs w:val="32"/>
          <w:highlight w:val="none"/>
        </w:rPr>
      </w:pPr>
    </w:p>
    <w:p w14:paraId="293056BF">
      <w:pPr>
        <w:spacing w:line="48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061E4CD0">
      <w:pPr>
        <w:widowControl/>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3AC14ECC">
      <w:pPr>
        <w:rPr>
          <w:rFonts w:ascii="仿宋" w:hAnsi="仿宋" w:eastAsia="仿宋" w:cs="仿宋"/>
          <w:b/>
          <w:bCs/>
          <w:color w:val="auto"/>
          <w:sz w:val="22"/>
          <w:highlight w:val="none"/>
        </w:rPr>
      </w:pPr>
      <w:r>
        <w:rPr>
          <w:rFonts w:hint="eastAsia" w:ascii="仿宋" w:hAnsi="仿宋" w:eastAsia="仿宋" w:cs="仿宋"/>
          <w:b/>
          <w:bCs/>
          <w:color w:val="auto"/>
          <w:sz w:val="22"/>
          <w:highlight w:val="none"/>
        </w:rPr>
        <w:t>目录样式（请根据实际情况定制目录）：</w:t>
      </w:r>
    </w:p>
    <w:p w14:paraId="3C534FDA">
      <w:pPr>
        <w:rPr>
          <w:rFonts w:ascii="仿宋" w:hAnsi="仿宋" w:eastAsia="仿宋" w:cs="仿宋"/>
          <w:color w:val="auto"/>
          <w:sz w:val="22"/>
          <w:highlight w:val="none"/>
        </w:rPr>
      </w:pPr>
    </w:p>
    <w:p w14:paraId="791DC3C5">
      <w:pPr>
        <w:tabs>
          <w:tab w:val="left" w:pos="640"/>
        </w:tabs>
        <w:spacing w:before="55"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14:paraId="3F31E53C">
      <w:pPr>
        <w:pStyle w:val="28"/>
        <w:ind w:left="0" w:leftChars="0" w:firstLine="0" w:firstLineChars="0"/>
        <w:jc w:val="center"/>
        <w:rPr>
          <w:rStyle w:val="67"/>
          <w:rFonts w:ascii="仿宋" w:hAnsi="仿宋" w:eastAsia="仿宋" w:cs="仿宋"/>
          <w:color w:val="auto"/>
          <w:sz w:val="24"/>
          <w:szCs w:val="24"/>
          <w:highlight w:val="none"/>
        </w:rPr>
      </w:pPr>
    </w:p>
    <w:p w14:paraId="17ADAA93">
      <w:pPr>
        <w:pStyle w:val="28"/>
        <w:ind w:left="0" w:leftChars="0" w:firstLine="0" w:firstLineChars="0"/>
        <w:jc w:val="center"/>
        <w:rPr>
          <w:rStyle w:val="67"/>
          <w:rFonts w:ascii="仿宋" w:hAnsi="仿宋" w:eastAsia="仿宋" w:cs="仿宋"/>
          <w:color w:val="auto"/>
          <w:sz w:val="24"/>
          <w:szCs w:val="24"/>
          <w:highlight w:val="none"/>
        </w:rPr>
        <w:sectPr>
          <w:footerReference r:id="rId3" w:type="default"/>
          <w:endnotePr>
            <w:numFmt w:val="decimal"/>
          </w:endnotePr>
          <w:pgSz w:w="11906" w:h="16838"/>
          <w:pgMar w:top="1417" w:right="1558" w:bottom="1417" w:left="1757" w:header="850" w:footer="1020" w:gutter="0"/>
          <w:cols w:space="720" w:num="1"/>
          <w:docGrid w:linePitch="286" w:charSpace="0"/>
        </w:sectPr>
      </w:pPr>
      <w:r>
        <w:rPr>
          <w:rStyle w:val="67"/>
          <w:rFonts w:hint="eastAsia" w:ascii="仿宋" w:hAnsi="仿宋" w:eastAsia="仿宋" w:cs="仿宋"/>
          <w:color w:val="auto"/>
          <w:sz w:val="24"/>
          <w:szCs w:val="24"/>
          <w:highlight w:val="none"/>
        </w:rPr>
        <w:t>（注：供应商根据目录顺序编制投标文件并制作目录（须生成页码））</w:t>
      </w:r>
    </w:p>
    <w:p w14:paraId="583014C6">
      <w:pPr>
        <w:spacing w:line="48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评分索引表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2"/>
        <w:gridCol w:w="1407"/>
        <w:gridCol w:w="3616"/>
      </w:tblGrid>
      <w:tr w14:paraId="424C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vAlign w:val="center"/>
          </w:tcPr>
          <w:p w14:paraId="63D479FC">
            <w:pPr>
              <w:jc w:val="center"/>
              <w:rPr>
                <w:rFonts w:ascii="仿宋" w:hAnsi="仿宋" w:eastAsia="仿宋" w:cs="仿宋"/>
                <w:b/>
                <w:bCs/>
                <w:color w:val="auto"/>
                <w:kern w:val="0"/>
                <w:highlight w:val="none"/>
              </w:rPr>
            </w:pPr>
            <w:r>
              <w:rPr>
                <w:rFonts w:hint="eastAsia" w:ascii="仿宋" w:hAnsi="仿宋" w:eastAsia="仿宋" w:cs="仿宋"/>
                <w:b/>
                <w:bCs/>
                <w:color w:val="auto"/>
                <w:kern w:val="0"/>
                <w:highlight w:val="none"/>
              </w:rPr>
              <w:t>评分项目</w:t>
            </w:r>
          </w:p>
        </w:tc>
        <w:tc>
          <w:tcPr>
            <w:tcW w:w="1407" w:type="dxa"/>
            <w:vAlign w:val="center"/>
          </w:tcPr>
          <w:p w14:paraId="035D48BF">
            <w:pPr>
              <w:jc w:val="center"/>
              <w:rPr>
                <w:rFonts w:ascii="仿宋" w:hAnsi="仿宋" w:eastAsia="仿宋" w:cs="仿宋"/>
                <w:b/>
                <w:bCs/>
                <w:color w:val="auto"/>
                <w:kern w:val="0"/>
                <w:highlight w:val="none"/>
              </w:rPr>
            </w:pPr>
            <w:r>
              <w:rPr>
                <w:rFonts w:hint="eastAsia" w:ascii="仿宋" w:hAnsi="仿宋" w:eastAsia="仿宋" w:cs="仿宋"/>
                <w:b/>
                <w:bCs/>
                <w:color w:val="auto"/>
                <w:kern w:val="0"/>
                <w:highlight w:val="none"/>
              </w:rPr>
              <w:t>自评得分</w:t>
            </w:r>
          </w:p>
        </w:tc>
        <w:tc>
          <w:tcPr>
            <w:tcW w:w="3616" w:type="dxa"/>
            <w:vAlign w:val="center"/>
          </w:tcPr>
          <w:p w14:paraId="76833840">
            <w:pPr>
              <w:jc w:val="center"/>
              <w:rPr>
                <w:rFonts w:ascii="仿宋" w:hAnsi="仿宋" w:eastAsia="仿宋" w:cs="仿宋"/>
                <w:b/>
                <w:bCs/>
                <w:color w:val="auto"/>
                <w:kern w:val="0"/>
                <w:highlight w:val="none"/>
              </w:rPr>
            </w:pPr>
            <w:r>
              <w:rPr>
                <w:rFonts w:hint="eastAsia" w:ascii="仿宋" w:hAnsi="仿宋" w:eastAsia="仿宋" w:cs="仿宋"/>
                <w:b/>
                <w:bCs/>
                <w:color w:val="auto"/>
                <w:kern w:val="0"/>
                <w:highlight w:val="none"/>
              </w:rPr>
              <w:t>在响应文件中的页码位置</w:t>
            </w:r>
          </w:p>
        </w:tc>
      </w:tr>
      <w:tr w14:paraId="6025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052" w:type="dxa"/>
          </w:tcPr>
          <w:p w14:paraId="21108116">
            <w:pPr>
              <w:rPr>
                <w:rFonts w:ascii="仿宋" w:hAnsi="仿宋" w:eastAsia="仿宋" w:cs="仿宋"/>
                <w:b/>
                <w:bCs/>
                <w:color w:val="auto"/>
                <w:kern w:val="0"/>
                <w:highlight w:val="none"/>
              </w:rPr>
            </w:pPr>
          </w:p>
        </w:tc>
        <w:tc>
          <w:tcPr>
            <w:tcW w:w="1407" w:type="dxa"/>
          </w:tcPr>
          <w:p w14:paraId="55DCB9CE">
            <w:pPr>
              <w:rPr>
                <w:rFonts w:ascii="仿宋" w:hAnsi="仿宋" w:eastAsia="仿宋" w:cs="仿宋"/>
                <w:b/>
                <w:bCs/>
                <w:color w:val="auto"/>
                <w:kern w:val="0"/>
                <w:highlight w:val="none"/>
              </w:rPr>
            </w:pPr>
          </w:p>
        </w:tc>
        <w:tc>
          <w:tcPr>
            <w:tcW w:w="3616" w:type="dxa"/>
          </w:tcPr>
          <w:p w14:paraId="378F43D6">
            <w:pPr>
              <w:rPr>
                <w:rFonts w:ascii="仿宋" w:hAnsi="仿宋" w:eastAsia="仿宋" w:cs="仿宋"/>
                <w:b/>
                <w:bCs/>
                <w:color w:val="auto"/>
                <w:kern w:val="0"/>
                <w:highlight w:val="none"/>
              </w:rPr>
            </w:pPr>
          </w:p>
        </w:tc>
      </w:tr>
      <w:tr w14:paraId="0494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52" w:type="dxa"/>
          </w:tcPr>
          <w:p w14:paraId="28D4C0A5">
            <w:pPr>
              <w:rPr>
                <w:rFonts w:ascii="仿宋" w:hAnsi="仿宋" w:eastAsia="仿宋" w:cs="仿宋"/>
                <w:b/>
                <w:bCs/>
                <w:color w:val="auto"/>
                <w:kern w:val="0"/>
                <w:highlight w:val="none"/>
              </w:rPr>
            </w:pPr>
          </w:p>
        </w:tc>
        <w:tc>
          <w:tcPr>
            <w:tcW w:w="1407" w:type="dxa"/>
          </w:tcPr>
          <w:p w14:paraId="19350182">
            <w:pPr>
              <w:rPr>
                <w:rFonts w:ascii="仿宋" w:hAnsi="仿宋" w:eastAsia="仿宋" w:cs="仿宋"/>
                <w:b/>
                <w:bCs/>
                <w:color w:val="auto"/>
                <w:kern w:val="0"/>
                <w:highlight w:val="none"/>
              </w:rPr>
            </w:pPr>
          </w:p>
        </w:tc>
        <w:tc>
          <w:tcPr>
            <w:tcW w:w="3616" w:type="dxa"/>
          </w:tcPr>
          <w:p w14:paraId="4838487E">
            <w:pPr>
              <w:rPr>
                <w:rFonts w:ascii="仿宋" w:hAnsi="仿宋" w:eastAsia="仿宋" w:cs="仿宋"/>
                <w:b/>
                <w:bCs/>
                <w:color w:val="auto"/>
                <w:kern w:val="0"/>
                <w:highlight w:val="none"/>
              </w:rPr>
            </w:pPr>
          </w:p>
        </w:tc>
      </w:tr>
      <w:tr w14:paraId="2CFE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52" w:type="dxa"/>
          </w:tcPr>
          <w:p w14:paraId="4C14D5D4">
            <w:pPr>
              <w:rPr>
                <w:rFonts w:ascii="仿宋" w:hAnsi="仿宋" w:eastAsia="仿宋" w:cs="仿宋"/>
                <w:b/>
                <w:bCs/>
                <w:color w:val="auto"/>
                <w:kern w:val="0"/>
                <w:highlight w:val="none"/>
              </w:rPr>
            </w:pPr>
          </w:p>
        </w:tc>
        <w:tc>
          <w:tcPr>
            <w:tcW w:w="1407" w:type="dxa"/>
          </w:tcPr>
          <w:p w14:paraId="0C24BDDE">
            <w:pPr>
              <w:rPr>
                <w:rFonts w:ascii="仿宋" w:hAnsi="仿宋" w:eastAsia="仿宋" w:cs="仿宋"/>
                <w:b/>
                <w:bCs/>
                <w:color w:val="auto"/>
                <w:kern w:val="0"/>
                <w:highlight w:val="none"/>
              </w:rPr>
            </w:pPr>
          </w:p>
        </w:tc>
        <w:tc>
          <w:tcPr>
            <w:tcW w:w="3616" w:type="dxa"/>
          </w:tcPr>
          <w:p w14:paraId="3EC24484">
            <w:pPr>
              <w:rPr>
                <w:rFonts w:ascii="仿宋" w:hAnsi="仿宋" w:eastAsia="仿宋" w:cs="仿宋"/>
                <w:b/>
                <w:bCs/>
                <w:color w:val="auto"/>
                <w:kern w:val="0"/>
                <w:highlight w:val="none"/>
              </w:rPr>
            </w:pPr>
          </w:p>
        </w:tc>
      </w:tr>
      <w:tr w14:paraId="08DC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2" w:type="dxa"/>
          </w:tcPr>
          <w:p w14:paraId="6FEC201A">
            <w:pPr>
              <w:rPr>
                <w:rFonts w:ascii="仿宋" w:hAnsi="仿宋" w:eastAsia="仿宋" w:cs="仿宋"/>
                <w:b/>
                <w:bCs/>
                <w:color w:val="auto"/>
                <w:kern w:val="0"/>
                <w:highlight w:val="none"/>
              </w:rPr>
            </w:pPr>
          </w:p>
        </w:tc>
        <w:tc>
          <w:tcPr>
            <w:tcW w:w="1407" w:type="dxa"/>
          </w:tcPr>
          <w:p w14:paraId="0136CAE0">
            <w:pPr>
              <w:rPr>
                <w:rFonts w:ascii="仿宋" w:hAnsi="仿宋" w:eastAsia="仿宋" w:cs="仿宋"/>
                <w:b/>
                <w:bCs/>
                <w:color w:val="auto"/>
                <w:kern w:val="0"/>
                <w:highlight w:val="none"/>
              </w:rPr>
            </w:pPr>
          </w:p>
        </w:tc>
        <w:tc>
          <w:tcPr>
            <w:tcW w:w="3616" w:type="dxa"/>
          </w:tcPr>
          <w:p w14:paraId="5F8B0E9E">
            <w:pPr>
              <w:rPr>
                <w:rFonts w:ascii="仿宋" w:hAnsi="仿宋" w:eastAsia="仿宋" w:cs="仿宋"/>
                <w:b/>
                <w:bCs/>
                <w:color w:val="auto"/>
                <w:kern w:val="0"/>
                <w:highlight w:val="none"/>
              </w:rPr>
            </w:pPr>
          </w:p>
        </w:tc>
      </w:tr>
      <w:tr w14:paraId="2BDE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21967A35">
            <w:pPr>
              <w:rPr>
                <w:rFonts w:ascii="仿宋" w:hAnsi="仿宋" w:eastAsia="仿宋" w:cs="仿宋"/>
                <w:b/>
                <w:bCs/>
                <w:color w:val="auto"/>
                <w:kern w:val="0"/>
                <w:highlight w:val="none"/>
              </w:rPr>
            </w:pPr>
          </w:p>
        </w:tc>
        <w:tc>
          <w:tcPr>
            <w:tcW w:w="1407" w:type="dxa"/>
          </w:tcPr>
          <w:p w14:paraId="3325708E">
            <w:pPr>
              <w:rPr>
                <w:rFonts w:ascii="仿宋" w:hAnsi="仿宋" w:eastAsia="仿宋" w:cs="仿宋"/>
                <w:b/>
                <w:bCs/>
                <w:color w:val="auto"/>
                <w:kern w:val="0"/>
                <w:highlight w:val="none"/>
              </w:rPr>
            </w:pPr>
          </w:p>
        </w:tc>
        <w:tc>
          <w:tcPr>
            <w:tcW w:w="3616" w:type="dxa"/>
          </w:tcPr>
          <w:p w14:paraId="6AD7DCA9">
            <w:pPr>
              <w:rPr>
                <w:rFonts w:ascii="仿宋" w:hAnsi="仿宋" w:eastAsia="仿宋" w:cs="仿宋"/>
                <w:b/>
                <w:bCs/>
                <w:color w:val="auto"/>
                <w:kern w:val="0"/>
                <w:highlight w:val="none"/>
              </w:rPr>
            </w:pPr>
          </w:p>
        </w:tc>
      </w:tr>
      <w:tr w14:paraId="4C23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09B22FC6">
            <w:pPr>
              <w:rPr>
                <w:rFonts w:ascii="仿宋" w:hAnsi="仿宋" w:eastAsia="仿宋" w:cs="仿宋"/>
                <w:b/>
                <w:bCs/>
                <w:color w:val="auto"/>
                <w:kern w:val="0"/>
                <w:highlight w:val="none"/>
              </w:rPr>
            </w:pPr>
          </w:p>
        </w:tc>
        <w:tc>
          <w:tcPr>
            <w:tcW w:w="1407" w:type="dxa"/>
          </w:tcPr>
          <w:p w14:paraId="5EA5389C">
            <w:pPr>
              <w:rPr>
                <w:rFonts w:ascii="仿宋" w:hAnsi="仿宋" w:eastAsia="仿宋" w:cs="仿宋"/>
                <w:b/>
                <w:bCs/>
                <w:color w:val="auto"/>
                <w:kern w:val="0"/>
                <w:highlight w:val="none"/>
              </w:rPr>
            </w:pPr>
          </w:p>
        </w:tc>
        <w:tc>
          <w:tcPr>
            <w:tcW w:w="3616" w:type="dxa"/>
          </w:tcPr>
          <w:p w14:paraId="5A64B268">
            <w:pPr>
              <w:rPr>
                <w:rFonts w:ascii="仿宋" w:hAnsi="仿宋" w:eastAsia="仿宋" w:cs="仿宋"/>
                <w:b/>
                <w:bCs/>
                <w:color w:val="auto"/>
                <w:kern w:val="0"/>
                <w:highlight w:val="none"/>
              </w:rPr>
            </w:pPr>
          </w:p>
        </w:tc>
      </w:tr>
      <w:tr w14:paraId="1E9A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052" w:type="dxa"/>
          </w:tcPr>
          <w:p w14:paraId="447273CB">
            <w:pPr>
              <w:rPr>
                <w:rFonts w:ascii="仿宋" w:hAnsi="仿宋" w:eastAsia="仿宋" w:cs="仿宋"/>
                <w:b/>
                <w:bCs/>
                <w:color w:val="auto"/>
                <w:kern w:val="0"/>
                <w:highlight w:val="none"/>
              </w:rPr>
            </w:pPr>
          </w:p>
        </w:tc>
        <w:tc>
          <w:tcPr>
            <w:tcW w:w="1407" w:type="dxa"/>
          </w:tcPr>
          <w:p w14:paraId="0238AEA6">
            <w:pPr>
              <w:rPr>
                <w:rFonts w:ascii="仿宋" w:hAnsi="仿宋" w:eastAsia="仿宋" w:cs="仿宋"/>
                <w:b/>
                <w:bCs/>
                <w:color w:val="auto"/>
                <w:kern w:val="0"/>
                <w:highlight w:val="none"/>
              </w:rPr>
            </w:pPr>
          </w:p>
        </w:tc>
        <w:tc>
          <w:tcPr>
            <w:tcW w:w="3616" w:type="dxa"/>
          </w:tcPr>
          <w:p w14:paraId="35ACFB05">
            <w:pPr>
              <w:rPr>
                <w:rFonts w:ascii="仿宋" w:hAnsi="仿宋" w:eastAsia="仿宋" w:cs="仿宋"/>
                <w:b/>
                <w:bCs/>
                <w:color w:val="auto"/>
                <w:kern w:val="0"/>
                <w:highlight w:val="none"/>
              </w:rPr>
            </w:pPr>
          </w:p>
        </w:tc>
      </w:tr>
      <w:tr w14:paraId="6D47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52" w:type="dxa"/>
          </w:tcPr>
          <w:p w14:paraId="72CBC028">
            <w:pPr>
              <w:rPr>
                <w:rFonts w:ascii="仿宋" w:hAnsi="仿宋" w:eastAsia="仿宋" w:cs="仿宋"/>
                <w:b/>
                <w:bCs/>
                <w:color w:val="auto"/>
                <w:kern w:val="0"/>
                <w:highlight w:val="none"/>
              </w:rPr>
            </w:pPr>
          </w:p>
        </w:tc>
        <w:tc>
          <w:tcPr>
            <w:tcW w:w="1407" w:type="dxa"/>
          </w:tcPr>
          <w:p w14:paraId="0A2C5A06">
            <w:pPr>
              <w:rPr>
                <w:rFonts w:ascii="仿宋" w:hAnsi="仿宋" w:eastAsia="仿宋" w:cs="仿宋"/>
                <w:b/>
                <w:bCs/>
                <w:color w:val="auto"/>
                <w:kern w:val="0"/>
                <w:highlight w:val="none"/>
              </w:rPr>
            </w:pPr>
          </w:p>
        </w:tc>
        <w:tc>
          <w:tcPr>
            <w:tcW w:w="3616" w:type="dxa"/>
          </w:tcPr>
          <w:p w14:paraId="5330F285">
            <w:pPr>
              <w:rPr>
                <w:rFonts w:ascii="仿宋" w:hAnsi="仿宋" w:eastAsia="仿宋" w:cs="仿宋"/>
                <w:b/>
                <w:bCs/>
                <w:color w:val="auto"/>
                <w:kern w:val="0"/>
                <w:highlight w:val="none"/>
              </w:rPr>
            </w:pPr>
          </w:p>
        </w:tc>
      </w:tr>
      <w:tr w14:paraId="3157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52" w:type="dxa"/>
          </w:tcPr>
          <w:p w14:paraId="2DD721FE">
            <w:pPr>
              <w:rPr>
                <w:rFonts w:ascii="仿宋" w:hAnsi="仿宋" w:eastAsia="仿宋" w:cs="仿宋"/>
                <w:b/>
                <w:bCs/>
                <w:color w:val="auto"/>
                <w:kern w:val="0"/>
                <w:highlight w:val="none"/>
              </w:rPr>
            </w:pPr>
          </w:p>
        </w:tc>
        <w:tc>
          <w:tcPr>
            <w:tcW w:w="1407" w:type="dxa"/>
          </w:tcPr>
          <w:p w14:paraId="62E66B77">
            <w:pPr>
              <w:rPr>
                <w:rFonts w:ascii="仿宋" w:hAnsi="仿宋" w:eastAsia="仿宋" w:cs="仿宋"/>
                <w:b/>
                <w:bCs/>
                <w:color w:val="auto"/>
                <w:kern w:val="0"/>
                <w:highlight w:val="none"/>
              </w:rPr>
            </w:pPr>
          </w:p>
        </w:tc>
        <w:tc>
          <w:tcPr>
            <w:tcW w:w="3616" w:type="dxa"/>
          </w:tcPr>
          <w:p w14:paraId="4C60D626">
            <w:pPr>
              <w:rPr>
                <w:rFonts w:ascii="仿宋" w:hAnsi="仿宋" w:eastAsia="仿宋" w:cs="仿宋"/>
                <w:b/>
                <w:bCs/>
                <w:color w:val="auto"/>
                <w:kern w:val="0"/>
                <w:highlight w:val="none"/>
              </w:rPr>
            </w:pPr>
          </w:p>
        </w:tc>
      </w:tr>
      <w:tr w14:paraId="680C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052" w:type="dxa"/>
          </w:tcPr>
          <w:p w14:paraId="48ACC4B8">
            <w:pPr>
              <w:rPr>
                <w:rFonts w:ascii="仿宋" w:hAnsi="仿宋" w:eastAsia="仿宋" w:cs="仿宋"/>
                <w:b/>
                <w:bCs/>
                <w:color w:val="auto"/>
                <w:kern w:val="0"/>
                <w:highlight w:val="none"/>
              </w:rPr>
            </w:pPr>
          </w:p>
        </w:tc>
        <w:tc>
          <w:tcPr>
            <w:tcW w:w="1407" w:type="dxa"/>
          </w:tcPr>
          <w:p w14:paraId="28531DD3">
            <w:pPr>
              <w:rPr>
                <w:rFonts w:ascii="仿宋" w:hAnsi="仿宋" w:eastAsia="仿宋" w:cs="仿宋"/>
                <w:b/>
                <w:bCs/>
                <w:color w:val="auto"/>
                <w:kern w:val="0"/>
                <w:highlight w:val="none"/>
              </w:rPr>
            </w:pPr>
          </w:p>
        </w:tc>
        <w:tc>
          <w:tcPr>
            <w:tcW w:w="3616" w:type="dxa"/>
          </w:tcPr>
          <w:p w14:paraId="1EC2F288">
            <w:pPr>
              <w:rPr>
                <w:rFonts w:ascii="仿宋" w:hAnsi="仿宋" w:eastAsia="仿宋" w:cs="仿宋"/>
                <w:b/>
                <w:bCs/>
                <w:color w:val="auto"/>
                <w:kern w:val="0"/>
                <w:highlight w:val="none"/>
              </w:rPr>
            </w:pPr>
          </w:p>
        </w:tc>
      </w:tr>
      <w:tr w14:paraId="3157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2" w:type="dxa"/>
          </w:tcPr>
          <w:p w14:paraId="0B12E30B">
            <w:pPr>
              <w:rPr>
                <w:rFonts w:ascii="仿宋" w:hAnsi="仿宋" w:eastAsia="仿宋" w:cs="仿宋"/>
                <w:b/>
                <w:bCs/>
                <w:color w:val="auto"/>
                <w:kern w:val="0"/>
                <w:highlight w:val="none"/>
              </w:rPr>
            </w:pPr>
          </w:p>
        </w:tc>
        <w:tc>
          <w:tcPr>
            <w:tcW w:w="1407" w:type="dxa"/>
          </w:tcPr>
          <w:p w14:paraId="654970DB">
            <w:pPr>
              <w:rPr>
                <w:rFonts w:ascii="仿宋" w:hAnsi="仿宋" w:eastAsia="仿宋" w:cs="仿宋"/>
                <w:b/>
                <w:bCs/>
                <w:color w:val="auto"/>
                <w:kern w:val="0"/>
                <w:highlight w:val="none"/>
              </w:rPr>
            </w:pPr>
          </w:p>
        </w:tc>
        <w:tc>
          <w:tcPr>
            <w:tcW w:w="3616" w:type="dxa"/>
          </w:tcPr>
          <w:p w14:paraId="7DABD219">
            <w:pPr>
              <w:rPr>
                <w:rFonts w:ascii="仿宋" w:hAnsi="仿宋" w:eastAsia="仿宋" w:cs="仿宋"/>
                <w:b/>
                <w:bCs/>
                <w:color w:val="auto"/>
                <w:kern w:val="0"/>
                <w:highlight w:val="none"/>
              </w:rPr>
            </w:pPr>
          </w:p>
        </w:tc>
      </w:tr>
      <w:tr w14:paraId="6051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316E9C10">
            <w:pPr>
              <w:rPr>
                <w:rFonts w:ascii="仿宋" w:hAnsi="仿宋" w:eastAsia="仿宋" w:cs="仿宋"/>
                <w:b/>
                <w:bCs/>
                <w:color w:val="auto"/>
                <w:kern w:val="0"/>
                <w:highlight w:val="none"/>
              </w:rPr>
            </w:pPr>
          </w:p>
        </w:tc>
        <w:tc>
          <w:tcPr>
            <w:tcW w:w="1407" w:type="dxa"/>
          </w:tcPr>
          <w:p w14:paraId="407FE59A">
            <w:pPr>
              <w:rPr>
                <w:rFonts w:ascii="仿宋" w:hAnsi="仿宋" w:eastAsia="仿宋" w:cs="仿宋"/>
                <w:b/>
                <w:bCs/>
                <w:color w:val="auto"/>
                <w:kern w:val="0"/>
                <w:highlight w:val="none"/>
              </w:rPr>
            </w:pPr>
          </w:p>
        </w:tc>
        <w:tc>
          <w:tcPr>
            <w:tcW w:w="3616" w:type="dxa"/>
          </w:tcPr>
          <w:p w14:paraId="1B63C0CE">
            <w:pPr>
              <w:rPr>
                <w:rFonts w:ascii="仿宋" w:hAnsi="仿宋" w:eastAsia="仿宋" w:cs="仿宋"/>
                <w:b/>
                <w:bCs/>
                <w:color w:val="auto"/>
                <w:kern w:val="0"/>
                <w:highlight w:val="none"/>
              </w:rPr>
            </w:pPr>
          </w:p>
        </w:tc>
      </w:tr>
      <w:tr w14:paraId="3D51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52" w:type="dxa"/>
          </w:tcPr>
          <w:p w14:paraId="098310C3">
            <w:pPr>
              <w:rPr>
                <w:rFonts w:ascii="仿宋" w:hAnsi="仿宋" w:eastAsia="仿宋" w:cs="仿宋"/>
                <w:b/>
                <w:bCs/>
                <w:color w:val="auto"/>
                <w:kern w:val="0"/>
                <w:highlight w:val="none"/>
              </w:rPr>
            </w:pPr>
          </w:p>
        </w:tc>
        <w:tc>
          <w:tcPr>
            <w:tcW w:w="1407" w:type="dxa"/>
          </w:tcPr>
          <w:p w14:paraId="2543B8AB">
            <w:pPr>
              <w:rPr>
                <w:rFonts w:ascii="仿宋" w:hAnsi="仿宋" w:eastAsia="仿宋" w:cs="仿宋"/>
                <w:b/>
                <w:bCs/>
                <w:color w:val="auto"/>
                <w:kern w:val="0"/>
                <w:highlight w:val="none"/>
              </w:rPr>
            </w:pPr>
          </w:p>
        </w:tc>
        <w:tc>
          <w:tcPr>
            <w:tcW w:w="3616" w:type="dxa"/>
          </w:tcPr>
          <w:p w14:paraId="09F8AE21">
            <w:pPr>
              <w:rPr>
                <w:rFonts w:ascii="仿宋" w:hAnsi="仿宋" w:eastAsia="仿宋" w:cs="仿宋"/>
                <w:b/>
                <w:bCs/>
                <w:color w:val="auto"/>
                <w:kern w:val="0"/>
                <w:highlight w:val="none"/>
              </w:rPr>
            </w:pPr>
          </w:p>
        </w:tc>
      </w:tr>
      <w:tr w14:paraId="05EC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2" w:type="dxa"/>
          </w:tcPr>
          <w:p w14:paraId="25F9AC80">
            <w:pPr>
              <w:rPr>
                <w:rFonts w:ascii="仿宋" w:hAnsi="仿宋" w:eastAsia="仿宋" w:cs="仿宋"/>
                <w:b/>
                <w:bCs/>
                <w:color w:val="auto"/>
                <w:kern w:val="0"/>
                <w:highlight w:val="none"/>
              </w:rPr>
            </w:pPr>
          </w:p>
        </w:tc>
        <w:tc>
          <w:tcPr>
            <w:tcW w:w="1407" w:type="dxa"/>
          </w:tcPr>
          <w:p w14:paraId="52698ACD">
            <w:pPr>
              <w:rPr>
                <w:rFonts w:ascii="仿宋" w:hAnsi="仿宋" w:eastAsia="仿宋" w:cs="仿宋"/>
                <w:b/>
                <w:bCs/>
                <w:color w:val="auto"/>
                <w:kern w:val="0"/>
                <w:highlight w:val="none"/>
              </w:rPr>
            </w:pPr>
          </w:p>
        </w:tc>
        <w:tc>
          <w:tcPr>
            <w:tcW w:w="3616" w:type="dxa"/>
          </w:tcPr>
          <w:p w14:paraId="152278C8">
            <w:pPr>
              <w:rPr>
                <w:rFonts w:ascii="仿宋" w:hAnsi="仿宋" w:eastAsia="仿宋" w:cs="仿宋"/>
                <w:b/>
                <w:bCs/>
                <w:color w:val="auto"/>
                <w:kern w:val="0"/>
                <w:highlight w:val="none"/>
              </w:rPr>
            </w:pPr>
          </w:p>
        </w:tc>
      </w:tr>
      <w:tr w14:paraId="5F9D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052" w:type="dxa"/>
          </w:tcPr>
          <w:p w14:paraId="64E25015">
            <w:pPr>
              <w:rPr>
                <w:rFonts w:ascii="仿宋" w:hAnsi="仿宋" w:eastAsia="仿宋" w:cs="仿宋"/>
                <w:b/>
                <w:bCs/>
                <w:color w:val="auto"/>
                <w:kern w:val="0"/>
                <w:highlight w:val="none"/>
              </w:rPr>
            </w:pPr>
          </w:p>
        </w:tc>
        <w:tc>
          <w:tcPr>
            <w:tcW w:w="1407" w:type="dxa"/>
          </w:tcPr>
          <w:p w14:paraId="34FB28BB">
            <w:pPr>
              <w:rPr>
                <w:rFonts w:ascii="仿宋" w:hAnsi="仿宋" w:eastAsia="仿宋" w:cs="仿宋"/>
                <w:b/>
                <w:bCs/>
                <w:color w:val="auto"/>
                <w:kern w:val="0"/>
                <w:highlight w:val="none"/>
              </w:rPr>
            </w:pPr>
          </w:p>
        </w:tc>
        <w:tc>
          <w:tcPr>
            <w:tcW w:w="3616" w:type="dxa"/>
          </w:tcPr>
          <w:p w14:paraId="12111065">
            <w:pPr>
              <w:rPr>
                <w:rFonts w:ascii="仿宋" w:hAnsi="仿宋" w:eastAsia="仿宋" w:cs="仿宋"/>
                <w:b/>
                <w:bCs/>
                <w:color w:val="auto"/>
                <w:kern w:val="0"/>
                <w:highlight w:val="none"/>
              </w:rPr>
            </w:pPr>
          </w:p>
        </w:tc>
      </w:tr>
      <w:tr w14:paraId="68DD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2" w:type="dxa"/>
          </w:tcPr>
          <w:p w14:paraId="774C9C5F">
            <w:pPr>
              <w:rPr>
                <w:rFonts w:ascii="仿宋" w:hAnsi="仿宋" w:eastAsia="仿宋" w:cs="仿宋"/>
                <w:b/>
                <w:bCs/>
                <w:color w:val="auto"/>
                <w:kern w:val="0"/>
                <w:highlight w:val="none"/>
              </w:rPr>
            </w:pPr>
          </w:p>
        </w:tc>
        <w:tc>
          <w:tcPr>
            <w:tcW w:w="1407" w:type="dxa"/>
          </w:tcPr>
          <w:p w14:paraId="06373D5E">
            <w:pPr>
              <w:rPr>
                <w:rFonts w:ascii="仿宋" w:hAnsi="仿宋" w:eastAsia="仿宋" w:cs="仿宋"/>
                <w:b/>
                <w:bCs/>
                <w:color w:val="auto"/>
                <w:kern w:val="0"/>
                <w:highlight w:val="none"/>
              </w:rPr>
            </w:pPr>
          </w:p>
        </w:tc>
        <w:tc>
          <w:tcPr>
            <w:tcW w:w="3616" w:type="dxa"/>
          </w:tcPr>
          <w:p w14:paraId="1E8E27D5">
            <w:pPr>
              <w:rPr>
                <w:rFonts w:ascii="仿宋" w:hAnsi="仿宋" w:eastAsia="仿宋" w:cs="仿宋"/>
                <w:b/>
                <w:bCs/>
                <w:color w:val="auto"/>
                <w:kern w:val="0"/>
                <w:highlight w:val="none"/>
              </w:rPr>
            </w:pPr>
          </w:p>
        </w:tc>
      </w:tr>
      <w:tr w14:paraId="3DFF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52" w:type="dxa"/>
          </w:tcPr>
          <w:p w14:paraId="0B0A942E">
            <w:pPr>
              <w:rPr>
                <w:rFonts w:ascii="仿宋" w:hAnsi="仿宋" w:eastAsia="仿宋" w:cs="仿宋"/>
                <w:b/>
                <w:bCs/>
                <w:color w:val="auto"/>
                <w:kern w:val="0"/>
                <w:highlight w:val="none"/>
              </w:rPr>
            </w:pPr>
          </w:p>
        </w:tc>
        <w:tc>
          <w:tcPr>
            <w:tcW w:w="1407" w:type="dxa"/>
          </w:tcPr>
          <w:p w14:paraId="31ED4DA6">
            <w:pPr>
              <w:rPr>
                <w:rFonts w:ascii="仿宋" w:hAnsi="仿宋" w:eastAsia="仿宋" w:cs="仿宋"/>
                <w:b/>
                <w:bCs/>
                <w:color w:val="auto"/>
                <w:kern w:val="0"/>
                <w:highlight w:val="none"/>
              </w:rPr>
            </w:pPr>
          </w:p>
        </w:tc>
        <w:tc>
          <w:tcPr>
            <w:tcW w:w="3616" w:type="dxa"/>
          </w:tcPr>
          <w:p w14:paraId="7E4B8564">
            <w:pPr>
              <w:rPr>
                <w:rFonts w:ascii="仿宋" w:hAnsi="仿宋" w:eastAsia="仿宋" w:cs="仿宋"/>
                <w:b/>
                <w:bCs/>
                <w:color w:val="auto"/>
                <w:kern w:val="0"/>
                <w:highlight w:val="none"/>
              </w:rPr>
            </w:pPr>
          </w:p>
        </w:tc>
      </w:tr>
      <w:tr w14:paraId="525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52" w:type="dxa"/>
          </w:tcPr>
          <w:p w14:paraId="494B1515">
            <w:pPr>
              <w:rPr>
                <w:rFonts w:ascii="仿宋" w:hAnsi="仿宋" w:eastAsia="仿宋" w:cs="仿宋"/>
                <w:b/>
                <w:bCs/>
                <w:color w:val="auto"/>
                <w:kern w:val="0"/>
                <w:highlight w:val="none"/>
              </w:rPr>
            </w:pPr>
          </w:p>
        </w:tc>
        <w:tc>
          <w:tcPr>
            <w:tcW w:w="1407" w:type="dxa"/>
          </w:tcPr>
          <w:p w14:paraId="1555E95B">
            <w:pPr>
              <w:rPr>
                <w:rFonts w:ascii="仿宋" w:hAnsi="仿宋" w:eastAsia="仿宋" w:cs="仿宋"/>
                <w:b/>
                <w:bCs/>
                <w:color w:val="auto"/>
                <w:kern w:val="0"/>
                <w:highlight w:val="none"/>
              </w:rPr>
            </w:pPr>
          </w:p>
        </w:tc>
        <w:tc>
          <w:tcPr>
            <w:tcW w:w="3616" w:type="dxa"/>
          </w:tcPr>
          <w:p w14:paraId="4BE247EE">
            <w:pPr>
              <w:rPr>
                <w:rFonts w:ascii="仿宋" w:hAnsi="仿宋" w:eastAsia="仿宋" w:cs="仿宋"/>
                <w:b/>
                <w:bCs/>
                <w:color w:val="auto"/>
                <w:kern w:val="0"/>
                <w:highlight w:val="none"/>
              </w:rPr>
            </w:pPr>
          </w:p>
        </w:tc>
      </w:tr>
      <w:tr w14:paraId="2D6D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052" w:type="dxa"/>
          </w:tcPr>
          <w:p w14:paraId="3848A424">
            <w:pPr>
              <w:rPr>
                <w:rFonts w:ascii="仿宋" w:hAnsi="仿宋" w:eastAsia="仿宋" w:cs="仿宋"/>
                <w:b/>
                <w:bCs/>
                <w:color w:val="auto"/>
                <w:kern w:val="0"/>
                <w:highlight w:val="none"/>
              </w:rPr>
            </w:pPr>
          </w:p>
        </w:tc>
        <w:tc>
          <w:tcPr>
            <w:tcW w:w="1407" w:type="dxa"/>
          </w:tcPr>
          <w:p w14:paraId="7214530B">
            <w:pPr>
              <w:rPr>
                <w:rFonts w:ascii="仿宋" w:hAnsi="仿宋" w:eastAsia="仿宋" w:cs="仿宋"/>
                <w:b/>
                <w:bCs/>
                <w:color w:val="auto"/>
                <w:kern w:val="0"/>
                <w:highlight w:val="none"/>
              </w:rPr>
            </w:pPr>
          </w:p>
        </w:tc>
        <w:tc>
          <w:tcPr>
            <w:tcW w:w="3616" w:type="dxa"/>
          </w:tcPr>
          <w:p w14:paraId="56798D88">
            <w:pPr>
              <w:rPr>
                <w:rFonts w:ascii="仿宋" w:hAnsi="仿宋" w:eastAsia="仿宋" w:cs="仿宋"/>
                <w:b/>
                <w:bCs/>
                <w:color w:val="auto"/>
                <w:kern w:val="0"/>
                <w:highlight w:val="none"/>
              </w:rPr>
            </w:pPr>
          </w:p>
        </w:tc>
      </w:tr>
      <w:tr w14:paraId="7B71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54A68F13">
            <w:pPr>
              <w:rPr>
                <w:rFonts w:ascii="仿宋" w:hAnsi="仿宋" w:eastAsia="仿宋" w:cs="仿宋"/>
                <w:b/>
                <w:bCs/>
                <w:color w:val="auto"/>
                <w:kern w:val="0"/>
                <w:highlight w:val="none"/>
              </w:rPr>
            </w:pPr>
          </w:p>
        </w:tc>
        <w:tc>
          <w:tcPr>
            <w:tcW w:w="1407" w:type="dxa"/>
          </w:tcPr>
          <w:p w14:paraId="363C8EDD">
            <w:pPr>
              <w:rPr>
                <w:rFonts w:ascii="仿宋" w:hAnsi="仿宋" w:eastAsia="仿宋" w:cs="仿宋"/>
                <w:b/>
                <w:bCs/>
                <w:color w:val="auto"/>
                <w:kern w:val="0"/>
                <w:highlight w:val="none"/>
              </w:rPr>
            </w:pPr>
          </w:p>
        </w:tc>
        <w:tc>
          <w:tcPr>
            <w:tcW w:w="3616" w:type="dxa"/>
          </w:tcPr>
          <w:p w14:paraId="35FB41D0">
            <w:pPr>
              <w:rPr>
                <w:rFonts w:ascii="仿宋" w:hAnsi="仿宋" w:eastAsia="仿宋" w:cs="仿宋"/>
                <w:b/>
                <w:bCs/>
                <w:color w:val="auto"/>
                <w:kern w:val="0"/>
                <w:highlight w:val="none"/>
              </w:rPr>
            </w:pPr>
          </w:p>
        </w:tc>
      </w:tr>
    </w:tbl>
    <w:p w14:paraId="2AB3362D">
      <w:pPr>
        <w:rPr>
          <w:rFonts w:ascii="仿宋" w:hAnsi="仿宋" w:eastAsia="仿宋" w:cs="仿宋"/>
          <w:color w:val="auto"/>
          <w:highlight w:val="none"/>
        </w:rPr>
      </w:pPr>
    </w:p>
    <w:p w14:paraId="4DC78617">
      <w:pPr>
        <w:pStyle w:val="21"/>
        <w:tabs>
          <w:tab w:val="right" w:leader="dot" w:pos="8302"/>
        </w:tabs>
        <w:rPr>
          <w:rFonts w:ascii="仿宋" w:hAnsi="仿宋" w:eastAsia="仿宋" w:cs="仿宋"/>
          <w:color w:val="auto"/>
          <w:highlight w:val="none"/>
        </w:rPr>
      </w:pPr>
      <w:bookmarkStart w:id="72" w:name="_Toc489655320"/>
    </w:p>
    <w:p w14:paraId="573629EB">
      <w:pPr>
        <w:rPr>
          <w:rFonts w:ascii="仿宋" w:hAnsi="仿宋" w:eastAsia="仿宋" w:cs="仿宋"/>
          <w:color w:val="auto"/>
          <w:highlight w:val="none"/>
        </w:rPr>
      </w:pPr>
    </w:p>
    <w:p w14:paraId="564E4FEC">
      <w:pPr>
        <w:pStyle w:val="37"/>
        <w:rPr>
          <w:rFonts w:ascii="仿宋" w:hAnsi="仿宋" w:eastAsia="仿宋" w:cs="仿宋"/>
          <w:color w:val="auto"/>
          <w:highlight w:val="none"/>
        </w:rPr>
      </w:pPr>
    </w:p>
    <w:p w14:paraId="59531EBB">
      <w:pPr>
        <w:pStyle w:val="37"/>
        <w:rPr>
          <w:rFonts w:ascii="仿宋" w:hAnsi="仿宋" w:eastAsia="仿宋" w:cs="仿宋"/>
          <w:color w:val="auto"/>
          <w:highlight w:val="none"/>
        </w:rPr>
      </w:pPr>
    </w:p>
    <w:p w14:paraId="06993D97">
      <w:pPr>
        <w:pStyle w:val="37"/>
        <w:rPr>
          <w:rFonts w:ascii="仿宋" w:hAnsi="仿宋" w:eastAsia="仿宋" w:cs="仿宋"/>
          <w:color w:val="auto"/>
          <w:highlight w:val="none"/>
        </w:rPr>
      </w:pPr>
    </w:p>
    <w:p w14:paraId="6C11FF18">
      <w:pPr>
        <w:pStyle w:val="37"/>
        <w:rPr>
          <w:rFonts w:ascii="仿宋" w:hAnsi="仿宋" w:eastAsia="仿宋" w:cs="仿宋"/>
          <w:color w:val="auto"/>
          <w:highlight w:val="none"/>
        </w:rPr>
      </w:pPr>
    </w:p>
    <w:p w14:paraId="188A83A1">
      <w:pPr>
        <w:pStyle w:val="37"/>
        <w:rPr>
          <w:rFonts w:ascii="仿宋" w:hAnsi="仿宋" w:eastAsia="仿宋" w:cs="仿宋"/>
          <w:color w:val="auto"/>
          <w:highlight w:val="none"/>
        </w:rPr>
      </w:pPr>
    </w:p>
    <w:p w14:paraId="16F240EC">
      <w:pPr>
        <w:pStyle w:val="37"/>
        <w:rPr>
          <w:rFonts w:ascii="仿宋" w:hAnsi="仿宋" w:eastAsia="仿宋" w:cs="仿宋"/>
          <w:color w:val="auto"/>
          <w:highlight w:val="none"/>
        </w:rPr>
      </w:pPr>
    </w:p>
    <w:p w14:paraId="32A99ABD">
      <w:pPr>
        <w:pStyle w:val="37"/>
        <w:rPr>
          <w:rFonts w:ascii="仿宋" w:hAnsi="仿宋" w:eastAsia="仿宋" w:cs="仿宋"/>
          <w:color w:val="auto"/>
          <w:highlight w:val="none"/>
        </w:rPr>
      </w:pPr>
    </w:p>
    <w:p w14:paraId="7BE4F4A8">
      <w:pPr>
        <w:pStyle w:val="37"/>
        <w:rPr>
          <w:rFonts w:ascii="仿宋" w:hAnsi="仿宋" w:eastAsia="仿宋" w:cs="仿宋"/>
          <w:color w:val="auto"/>
          <w:highlight w:val="none"/>
        </w:rPr>
      </w:pPr>
    </w:p>
    <w:p w14:paraId="0977607F">
      <w:pPr>
        <w:spacing w:line="480" w:lineRule="auto"/>
        <w:jc w:val="center"/>
        <w:rPr>
          <w:rFonts w:ascii="仿宋" w:hAnsi="仿宋" w:eastAsia="仿宋" w:cs="仿宋"/>
          <w:color w:val="auto"/>
          <w:highlight w:val="none"/>
        </w:rPr>
      </w:pPr>
      <w:r>
        <w:rPr>
          <w:rFonts w:hint="eastAsia" w:ascii="仿宋" w:hAnsi="仿宋" w:eastAsia="仿宋" w:cs="仿宋"/>
          <w:b/>
          <w:bCs/>
          <w:color w:val="auto"/>
          <w:sz w:val="32"/>
          <w:szCs w:val="32"/>
          <w:highlight w:val="none"/>
        </w:rPr>
        <w:t>响应文件主要目录及相关证明材料格式、附件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TOC \o "1-3" \h \z \u </w:instrText>
      </w:r>
      <w:r>
        <w:rPr>
          <w:rFonts w:hint="eastAsia" w:ascii="仿宋" w:hAnsi="仿宋" w:eastAsia="仿宋" w:cs="仿宋"/>
          <w:color w:val="auto"/>
          <w:highlight w:val="none"/>
        </w:rPr>
        <w:fldChar w:fldCharType="separate"/>
      </w:r>
    </w:p>
    <w:p w14:paraId="32D7C934">
      <w:pPr>
        <w:pStyle w:val="21"/>
        <w:tabs>
          <w:tab w:val="right" w:leader="dot" w:pos="8392"/>
        </w:tabs>
        <w:rPr>
          <w:rFonts w:ascii="仿宋" w:hAnsi="仿宋" w:eastAsia="仿宋" w:cs="仿宋"/>
          <w:color w:val="auto"/>
          <w:highlight w:val="none"/>
        </w:rPr>
      </w:pPr>
    </w:p>
    <w:p w14:paraId="07091265">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"_Toc9501" </w:instrText>
      </w:r>
      <w:r>
        <w:rPr>
          <w:color w:val="auto"/>
          <w:highlight w:val="none"/>
        </w:rPr>
        <w:fldChar w:fldCharType="separate"/>
      </w:r>
      <w:r>
        <w:rPr>
          <w:rFonts w:hint="eastAsia" w:ascii="仿宋" w:hAnsi="仿宋" w:eastAsia="仿宋" w:cs="仿宋"/>
          <w:bCs/>
          <w:color w:val="auto"/>
          <w:sz w:val="24"/>
          <w:szCs w:val="24"/>
          <w:highlight w:val="none"/>
        </w:rPr>
        <w:t>目录一、磋商申请及声明格式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_Toc9501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8EC0E3D">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"_Toc4540" </w:instrText>
      </w:r>
      <w:r>
        <w:rPr>
          <w:color w:val="auto"/>
          <w:highlight w:val="none"/>
        </w:rPr>
        <w:fldChar w:fldCharType="separate"/>
      </w:r>
      <w:r>
        <w:rPr>
          <w:rFonts w:hint="eastAsia" w:ascii="仿宋" w:hAnsi="仿宋" w:eastAsia="仿宋" w:cs="仿宋"/>
          <w:bCs/>
          <w:color w:val="auto"/>
          <w:sz w:val="24"/>
          <w:szCs w:val="24"/>
          <w:highlight w:val="none"/>
        </w:rPr>
        <w:t>目录二、法定代表人授权委托书格式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_Toc4540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C5263D6">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"_Toc7190" </w:instrText>
      </w:r>
      <w:r>
        <w:rPr>
          <w:color w:val="auto"/>
          <w:highlight w:val="none"/>
        </w:rPr>
        <w:fldChar w:fldCharType="separate"/>
      </w:r>
      <w:r>
        <w:rPr>
          <w:rFonts w:hint="eastAsia" w:ascii="仿宋" w:hAnsi="仿宋" w:eastAsia="仿宋" w:cs="仿宋"/>
          <w:bCs/>
          <w:color w:val="auto"/>
          <w:sz w:val="24"/>
          <w:szCs w:val="24"/>
          <w:highlight w:val="none"/>
        </w:rPr>
        <w:t>目录三、报价表格式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_Toc7190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001C6F">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"_Toc8339" </w:instrText>
      </w:r>
      <w:r>
        <w:rPr>
          <w:color w:val="auto"/>
          <w:highlight w:val="none"/>
        </w:rPr>
        <w:fldChar w:fldCharType="separate"/>
      </w:r>
      <w:r>
        <w:rPr>
          <w:rFonts w:hint="eastAsia" w:ascii="仿宋" w:hAnsi="仿宋" w:eastAsia="仿宋" w:cs="仿宋"/>
          <w:bCs/>
          <w:color w:val="auto"/>
          <w:sz w:val="24"/>
          <w:szCs w:val="24"/>
          <w:highlight w:val="none"/>
        </w:rPr>
        <w:t>目录四、分项报价表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B2E4C3">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"_Toc11246" </w:instrText>
      </w:r>
      <w:r>
        <w:rPr>
          <w:color w:val="auto"/>
          <w:highlight w:val="none"/>
        </w:rPr>
        <w:fldChar w:fldCharType="separate"/>
      </w:r>
      <w:r>
        <w:rPr>
          <w:rFonts w:hint="eastAsia" w:ascii="仿宋" w:hAnsi="仿宋" w:eastAsia="仿宋" w:cs="仿宋"/>
          <w:bCs/>
          <w:color w:val="auto"/>
          <w:sz w:val="24"/>
          <w:szCs w:val="24"/>
          <w:highlight w:val="none"/>
        </w:rPr>
        <w:t>目录五、资格性和符合性审查响应对照表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_Toc11246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F07CCE6">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"_Toc29975" </w:instrText>
      </w:r>
      <w:r>
        <w:rPr>
          <w:color w:val="auto"/>
          <w:highlight w:val="none"/>
        </w:rPr>
        <w:fldChar w:fldCharType="separate"/>
      </w:r>
      <w:r>
        <w:rPr>
          <w:rFonts w:hint="eastAsia" w:ascii="仿宋" w:hAnsi="仿宋" w:eastAsia="仿宋" w:cs="仿宋"/>
          <w:bCs/>
          <w:color w:val="auto"/>
          <w:sz w:val="24"/>
          <w:szCs w:val="24"/>
          <w:highlight w:val="none"/>
        </w:rPr>
        <w:t>目录六、资格证明文件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_Toc29975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3EC81D">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"_Toc30427" </w:instrText>
      </w:r>
      <w:r>
        <w:rPr>
          <w:color w:val="auto"/>
          <w:highlight w:val="none"/>
        </w:rPr>
        <w:fldChar w:fldCharType="separate"/>
      </w:r>
      <w:r>
        <w:rPr>
          <w:rFonts w:hint="eastAsia" w:ascii="仿宋" w:hAnsi="仿宋" w:eastAsia="仿宋" w:cs="仿宋"/>
          <w:bCs/>
          <w:color w:val="auto"/>
          <w:sz w:val="24"/>
          <w:szCs w:val="24"/>
          <w:highlight w:val="none"/>
        </w:rPr>
        <w:t>目录七、技术条款偏离表格式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_Toc30427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DAB9510">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"_Toc15620" </w:instrText>
      </w:r>
      <w:r>
        <w:rPr>
          <w:color w:val="auto"/>
          <w:highlight w:val="none"/>
        </w:rPr>
        <w:fldChar w:fldCharType="separate"/>
      </w:r>
      <w:r>
        <w:rPr>
          <w:rFonts w:hint="eastAsia" w:ascii="仿宋" w:hAnsi="仿宋" w:eastAsia="仿宋" w:cs="仿宋"/>
          <w:bCs/>
          <w:color w:val="auto"/>
          <w:sz w:val="24"/>
          <w:szCs w:val="24"/>
          <w:highlight w:val="none"/>
        </w:rPr>
        <w:t>目录八、商务条款偏离表格式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_Toc15620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60F794C">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"_Toc7839" </w:instrText>
      </w:r>
      <w:r>
        <w:rPr>
          <w:color w:val="auto"/>
          <w:highlight w:val="none"/>
        </w:rPr>
        <w:fldChar w:fldCharType="separate"/>
      </w:r>
      <w:r>
        <w:rPr>
          <w:rFonts w:hint="eastAsia" w:ascii="仿宋" w:hAnsi="仿宋" w:eastAsia="仿宋" w:cs="仿宋"/>
          <w:bCs/>
          <w:color w:val="auto"/>
          <w:sz w:val="24"/>
          <w:szCs w:val="24"/>
          <w:highlight w:val="none"/>
        </w:rPr>
        <w:t>目录九、技术方案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_Toc7839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8184055">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"_Toc23095" </w:instrText>
      </w:r>
      <w:r>
        <w:rPr>
          <w:color w:val="auto"/>
          <w:highlight w:val="none"/>
        </w:rPr>
        <w:fldChar w:fldCharType="separate"/>
      </w:r>
      <w:r>
        <w:rPr>
          <w:rFonts w:hint="eastAsia" w:ascii="仿宋" w:hAnsi="仿宋" w:eastAsia="仿宋" w:cs="仿宋"/>
          <w:bCs/>
          <w:color w:val="auto"/>
          <w:sz w:val="24"/>
          <w:szCs w:val="24"/>
          <w:highlight w:val="none"/>
        </w:rPr>
        <w:t>目录十、服务与承诺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_Toc23095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4ECF65A">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"_Toc20514" </w:instrText>
      </w:r>
      <w:r>
        <w:rPr>
          <w:color w:val="auto"/>
          <w:highlight w:val="none"/>
        </w:rPr>
        <w:fldChar w:fldCharType="separate"/>
      </w:r>
      <w:r>
        <w:rPr>
          <w:rFonts w:hint="eastAsia" w:ascii="仿宋" w:hAnsi="仿宋" w:eastAsia="仿宋" w:cs="仿宋"/>
          <w:bCs/>
          <w:color w:val="auto"/>
          <w:sz w:val="24"/>
          <w:szCs w:val="24"/>
          <w:highlight w:val="none"/>
        </w:rPr>
        <w:t>目录十一、供应商拟投入本项目团队人员一览表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_Toc20514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D7E0A8">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"_Toc22138" </w:instrText>
      </w:r>
      <w:r>
        <w:rPr>
          <w:color w:val="auto"/>
          <w:highlight w:val="none"/>
        </w:rPr>
        <w:fldChar w:fldCharType="separate"/>
      </w:r>
      <w:r>
        <w:rPr>
          <w:rFonts w:hint="eastAsia" w:ascii="仿宋" w:hAnsi="仿宋" w:eastAsia="仿宋" w:cs="仿宋"/>
          <w:bCs/>
          <w:color w:val="auto"/>
          <w:sz w:val="24"/>
          <w:szCs w:val="24"/>
          <w:highlight w:val="none"/>
        </w:rPr>
        <w:t>目录十二、供应商类似业绩情况表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_Toc22138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7BFD86">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"_Toc9371" </w:instrText>
      </w:r>
      <w:r>
        <w:rPr>
          <w:color w:val="auto"/>
          <w:highlight w:val="none"/>
        </w:rPr>
        <w:fldChar w:fldCharType="separate"/>
      </w:r>
      <w:r>
        <w:rPr>
          <w:rFonts w:hint="eastAsia" w:ascii="仿宋" w:hAnsi="仿宋" w:eastAsia="仿宋" w:cs="仿宋"/>
          <w:bCs/>
          <w:color w:val="auto"/>
          <w:sz w:val="24"/>
          <w:szCs w:val="24"/>
          <w:highlight w:val="none"/>
        </w:rPr>
        <w:t>目录十三、投标需要的其他证明文件及材料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_Toc9371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8B365E2">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"_Toc2668" </w:instrText>
      </w:r>
      <w:r>
        <w:rPr>
          <w:color w:val="auto"/>
          <w:highlight w:val="none"/>
        </w:rPr>
        <w:fldChar w:fldCharType="separate"/>
      </w:r>
      <w:r>
        <w:rPr>
          <w:rFonts w:hint="eastAsia" w:ascii="仿宋" w:hAnsi="仿宋" w:eastAsia="仿宋" w:cs="仿宋"/>
          <w:bCs/>
          <w:color w:val="auto"/>
          <w:sz w:val="24"/>
          <w:szCs w:val="24"/>
          <w:highlight w:val="none"/>
        </w:rPr>
        <w:t>附件一、政府采购政策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6B3CBC9">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"_Toc19788" </w:instrText>
      </w:r>
      <w:r>
        <w:rPr>
          <w:color w:val="auto"/>
          <w:highlight w:val="none"/>
        </w:rPr>
        <w:fldChar w:fldCharType="separate"/>
      </w:r>
      <w:r>
        <w:rPr>
          <w:rFonts w:hint="eastAsia" w:ascii="仿宋" w:hAnsi="仿宋" w:eastAsia="仿宋" w:cs="仿宋"/>
          <w:color w:val="auto"/>
          <w:sz w:val="24"/>
          <w:szCs w:val="24"/>
          <w:highlight w:val="none"/>
        </w:rPr>
        <w:t>附件二、无重大违法记录声明格式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_Toc19788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48E26EC">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"_Toc14565" </w:instrText>
      </w:r>
      <w:r>
        <w:rPr>
          <w:color w:val="auto"/>
          <w:highlight w:val="none"/>
        </w:rPr>
        <w:fldChar w:fldCharType="separate"/>
      </w:r>
      <w:r>
        <w:rPr>
          <w:rFonts w:hint="eastAsia" w:ascii="仿宋" w:hAnsi="仿宋" w:eastAsia="仿宋" w:cs="仿宋"/>
          <w:color w:val="auto"/>
          <w:sz w:val="24"/>
          <w:szCs w:val="24"/>
          <w:highlight w:val="none"/>
        </w:rPr>
        <w:t>附件三、具备履行合同所必需的设备和专业技术能力的声明格式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_Toc14565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B5252F0">
      <w:pPr>
        <w:pStyle w:val="14"/>
        <w:tabs>
          <w:tab w:val="right" w:leader="dot" w:pos="8392"/>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"_Toc26079" </w:instrText>
      </w:r>
      <w:r>
        <w:rPr>
          <w:color w:val="auto"/>
          <w:highlight w:val="none"/>
        </w:rPr>
        <w:fldChar w:fldCharType="separate"/>
      </w:r>
      <w:r>
        <w:rPr>
          <w:rFonts w:hint="eastAsia" w:ascii="仿宋" w:hAnsi="仿宋" w:eastAsia="仿宋" w:cs="仿宋"/>
          <w:color w:val="auto"/>
          <w:kern w:val="0"/>
          <w:sz w:val="24"/>
          <w:szCs w:val="24"/>
          <w:highlight w:val="none"/>
          <w:lang w:val="zh-CN"/>
        </w:rPr>
        <w:t>附件</w:t>
      </w:r>
      <w:r>
        <w:rPr>
          <w:rFonts w:hint="eastAsia" w:ascii="仿宋" w:hAnsi="仿宋" w:eastAsia="仿宋" w:cs="仿宋"/>
          <w:color w:val="auto"/>
          <w:kern w:val="0"/>
          <w:sz w:val="24"/>
          <w:szCs w:val="24"/>
          <w:highlight w:val="none"/>
        </w:rPr>
        <w:t>四</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南京市政府采购供应商信用记录表暨信用承诺书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_Toc26079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21740D5">
      <w:pPr>
        <w:spacing w:line="480" w:lineRule="auto"/>
        <w:jc w:val="center"/>
        <w:rPr>
          <w:rFonts w:ascii="仿宋" w:hAnsi="仿宋" w:eastAsia="仿宋" w:cs="仿宋"/>
          <w:color w:val="auto"/>
          <w:sz w:val="32"/>
          <w:szCs w:val="32"/>
          <w:highlight w:val="none"/>
        </w:rPr>
      </w:pPr>
      <w:r>
        <w:rPr>
          <w:rFonts w:hint="eastAsia" w:ascii="仿宋" w:hAnsi="仿宋" w:eastAsia="仿宋" w:cs="仿宋"/>
          <w:color w:val="auto"/>
          <w:highlight w:val="none"/>
        </w:rPr>
        <w:fldChar w:fldCharType="end"/>
      </w:r>
      <w:bookmarkEnd w:id="72"/>
    </w:p>
    <w:p w14:paraId="169BC0A7">
      <w:pPr>
        <w:rPr>
          <w:rFonts w:ascii="仿宋" w:hAnsi="仿宋" w:eastAsia="仿宋" w:cs="仿宋"/>
          <w:b/>
          <w:bCs/>
          <w:color w:val="auto"/>
          <w:sz w:val="22"/>
          <w:szCs w:val="24"/>
          <w:highlight w:val="none"/>
        </w:rPr>
      </w:pPr>
      <w:r>
        <w:rPr>
          <w:rFonts w:hint="eastAsia" w:ascii="仿宋" w:hAnsi="仿宋" w:eastAsia="仿宋" w:cs="仿宋"/>
          <w:b/>
          <w:bCs/>
          <w:color w:val="auto"/>
          <w:sz w:val="22"/>
          <w:szCs w:val="24"/>
          <w:highlight w:val="none"/>
        </w:rPr>
        <w:br w:type="page"/>
      </w:r>
    </w:p>
    <w:p w14:paraId="32072CAC">
      <w:pPr>
        <w:spacing w:line="360" w:lineRule="auto"/>
        <w:outlineLvl w:val="2"/>
        <w:rPr>
          <w:rFonts w:ascii="仿宋" w:hAnsi="仿宋" w:eastAsia="仿宋" w:cs="仿宋"/>
          <w:b/>
          <w:bCs/>
          <w:color w:val="auto"/>
          <w:sz w:val="22"/>
          <w:highlight w:val="none"/>
        </w:rPr>
      </w:pPr>
      <w:bookmarkStart w:id="73" w:name="_Toc9501"/>
      <w:r>
        <w:rPr>
          <w:rFonts w:hint="eastAsia" w:ascii="仿宋" w:hAnsi="仿宋" w:eastAsia="仿宋" w:cs="仿宋"/>
          <w:b/>
          <w:bCs/>
          <w:color w:val="auto"/>
          <w:sz w:val="22"/>
          <w:highlight w:val="none"/>
        </w:rPr>
        <w:t>目录一、磋商申请及声明格式</w:t>
      </w:r>
      <w:bookmarkEnd w:id="73"/>
    </w:p>
    <w:p w14:paraId="74926A39">
      <w:pPr>
        <w:pStyle w:val="11"/>
        <w:spacing w:line="360" w:lineRule="auto"/>
        <w:ind w:left="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磋商申请及声明</w:t>
      </w:r>
    </w:p>
    <w:p w14:paraId="1C7C8971">
      <w:pPr>
        <w:widowControl/>
        <w:shd w:val="clear" w:color="auto" w:fill="FFFFFF"/>
        <w:spacing w:line="360" w:lineRule="auto"/>
        <w:ind w:firstLine="480" w:firstLineChars="200"/>
        <w:rPr>
          <w:rFonts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zh-CN" w:bidi="zh-CN"/>
        </w:rPr>
        <w:t>致：南京市雨花台区妇幼保健所(采购人)</w:t>
      </w:r>
    </w:p>
    <w:p w14:paraId="68DD35F2">
      <w:pPr>
        <w:pStyle w:val="13"/>
        <w:ind w:firstLine="9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南京信诺工程造价咨询有限责任公司</w:t>
      </w:r>
    </w:p>
    <w:p w14:paraId="019E5717">
      <w:pPr>
        <w:pStyle w:val="11"/>
        <w:tabs>
          <w:tab w:val="left" w:pos="5401"/>
          <w:tab w:val="left" w:pos="7458"/>
          <w:tab w:val="left" w:pos="8727"/>
        </w:tabs>
        <w:spacing w:line="360" w:lineRule="auto"/>
        <w:ind w:left="0" w:firstLine="720" w:firstLineChars="300"/>
        <w:rPr>
          <w:rFonts w:ascii="仿宋" w:hAnsi="仿宋" w:eastAsia="仿宋" w:cs="仿宋"/>
          <w:color w:val="auto"/>
          <w:highlight w:val="none"/>
        </w:rPr>
      </w:pPr>
      <w:r>
        <w:rPr>
          <w:rFonts w:hint="eastAsia" w:ascii="仿宋" w:hAnsi="仿宋" w:eastAsia="仿宋" w:cs="仿宋"/>
          <w:color w:val="auto"/>
          <w:highlight w:val="none"/>
        </w:rPr>
        <w:t>根据贵方</w:t>
      </w:r>
      <w:r>
        <w:rPr>
          <w:rFonts w:hint="eastAsia" w:ascii="仿宋" w:hAnsi="仿宋" w:eastAsia="仿宋" w:cs="仿宋"/>
          <w:color w:val="auto"/>
          <w:highlight w:val="none"/>
          <w:u w:val="single"/>
        </w:rPr>
        <w:t>南京市雨花台区妇幼保健所2025年外送检验服务项目</w:t>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lang w:val="en-US"/>
        </w:rPr>
        <w:t>NJXN-24077-FW</w:t>
      </w:r>
      <w:r>
        <w:rPr>
          <w:rFonts w:hint="eastAsia" w:ascii="仿宋" w:hAnsi="仿宋" w:eastAsia="仿宋" w:cs="仿宋"/>
          <w:color w:val="auto"/>
          <w:highlight w:val="none"/>
        </w:rPr>
        <w:t xml:space="preserve"> （项目编号）磋商公告，我方</w:t>
      </w:r>
      <w:r>
        <w:rPr>
          <w:rFonts w:hint="eastAsia" w:ascii="仿宋" w:hAnsi="仿宋" w:eastAsia="仿宋" w:cs="仿宋"/>
          <w:color w:val="auto"/>
          <w:highlight w:val="none"/>
          <w:lang w:val="en-US"/>
        </w:rPr>
        <w:t>(供应商名称)</w:t>
      </w:r>
      <w:r>
        <w:rPr>
          <w:rFonts w:hint="eastAsia" w:ascii="仿宋" w:hAnsi="仿宋" w:eastAsia="仿宋" w:cs="仿宋"/>
          <w:color w:val="auto"/>
          <w:highlight w:val="none"/>
        </w:rPr>
        <w:t>决定参与本次采购活动，提交响应文件并参加磋商。</w:t>
      </w:r>
    </w:p>
    <w:p w14:paraId="09393480">
      <w:pPr>
        <w:pStyle w:val="11"/>
        <w:tabs>
          <w:tab w:val="left" w:pos="5401"/>
          <w:tab w:val="left" w:pos="7458"/>
          <w:tab w:val="left" w:pos="8727"/>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rPr>
        <w:t>据此函，</w:t>
      </w:r>
      <w:r>
        <w:rPr>
          <w:rFonts w:hint="eastAsia" w:ascii="仿宋" w:hAnsi="仿宋" w:eastAsia="仿宋" w:cs="仿宋"/>
          <w:color w:val="auto"/>
          <w:highlight w:val="none"/>
          <w:lang w:val="en-US"/>
        </w:rPr>
        <w:t>声明</w:t>
      </w:r>
      <w:r>
        <w:rPr>
          <w:rFonts w:hint="eastAsia" w:ascii="仿宋" w:hAnsi="仿宋" w:eastAsia="仿宋" w:cs="仿宋"/>
          <w:color w:val="auto"/>
          <w:highlight w:val="none"/>
        </w:rPr>
        <w:t>如下：</w:t>
      </w:r>
    </w:p>
    <w:p w14:paraId="5923F73B">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1.我方的资格条件符合政府采购法和本次采购要求。</w:t>
      </w:r>
    </w:p>
    <w:p w14:paraId="3050D80B">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2.我方参加政府采购活动前三年内，在经营活动中没有重大违法记录。</w:t>
      </w:r>
    </w:p>
    <w:p w14:paraId="5529B4A9">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3.参加本次采购活动前，我方没有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w:t>
      </w:r>
    </w:p>
    <w:p w14:paraId="4847EF5F">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 xml:space="preserve">4.我方在全国范围内未受过财政部门禁止参加政府采购活动的处罚期限，或在全国范围内受过财政部门禁止参加政府采购活动的处罚期限已满。 </w:t>
      </w:r>
    </w:p>
    <w:p w14:paraId="7B260886">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5.我方与参与本次采购活动的其他供应商的负责人不是同一人，也不存在直接控股、管理关系。</w:t>
      </w:r>
    </w:p>
    <w:p w14:paraId="0CB6964B">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6.我方同意并向贵方提供了与投标有关的所有证据和资料。</w:t>
      </w:r>
    </w:p>
    <w:p w14:paraId="1D7B73E6">
      <w:pPr>
        <w:pStyle w:val="11"/>
        <w:tabs>
          <w:tab w:val="left" w:pos="6623"/>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7.</w:t>
      </w:r>
      <w:r>
        <w:rPr>
          <w:rFonts w:hint="eastAsia" w:ascii="仿宋" w:hAnsi="仿宋" w:eastAsia="仿宋" w:cs="仿宋"/>
          <w:color w:val="auto"/>
          <w:highlight w:val="none"/>
        </w:rPr>
        <w:t>我们的首次磋商报价为（大写）元。</w:t>
      </w:r>
    </w:p>
    <w:p w14:paraId="3C5B2A01">
      <w:pPr>
        <w:pStyle w:val="11"/>
        <w:tabs>
          <w:tab w:val="left" w:pos="6623"/>
        </w:tabs>
        <w:spacing w:line="360" w:lineRule="auto"/>
        <w:ind w:left="0" w:firstLine="480" w:firstLineChars="200"/>
        <w:rPr>
          <w:rFonts w:ascii="仿宋" w:hAnsi="仿宋" w:eastAsia="仿宋" w:cs="仿宋"/>
          <w:color w:val="auto"/>
          <w:highlight w:val="none"/>
          <w:u w:val="single"/>
          <w:lang w:val="en-US"/>
        </w:rPr>
      </w:pPr>
      <w:r>
        <w:rPr>
          <w:rFonts w:hint="eastAsia" w:ascii="仿宋" w:hAnsi="仿宋" w:eastAsia="仿宋" w:cs="仿宋"/>
          <w:color w:val="auto"/>
          <w:highlight w:val="none"/>
          <w:lang w:val="en-US"/>
        </w:rPr>
        <w:t>8.项目负责人（姓名）。联系方式（移动电话）</w:t>
      </w:r>
      <w:r>
        <w:rPr>
          <w:rFonts w:hint="eastAsia" w:ascii="仿宋" w:hAnsi="仿宋" w:eastAsia="仿宋" w:cs="仿宋"/>
          <w:color w:val="auto"/>
          <w:highlight w:val="none"/>
          <w:u w:val="single"/>
          <w:lang w:val="en-US"/>
        </w:rPr>
        <w:t xml:space="preserve">                  。</w:t>
      </w:r>
    </w:p>
    <w:p w14:paraId="15174B63">
      <w:pPr>
        <w:pStyle w:val="11"/>
        <w:spacing w:line="360" w:lineRule="auto"/>
        <w:ind w:left="0" w:firstLine="480" w:firstLineChars="200"/>
        <w:jc w:val="both"/>
        <w:rPr>
          <w:rFonts w:ascii="仿宋" w:hAnsi="仿宋" w:eastAsia="仿宋" w:cs="仿宋"/>
          <w:color w:val="auto"/>
          <w:highlight w:val="none"/>
        </w:rPr>
      </w:pPr>
      <w:r>
        <w:rPr>
          <w:rFonts w:hint="eastAsia" w:ascii="仿宋" w:hAnsi="仿宋" w:eastAsia="仿宋" w:cs="仿宋"/>
          <w:color w:val="auto"/>
          <w:highlight w:val="none"/>
          <w:lang w:val="en-US"/>
        </w:rPr>
        <w:t>9.</w:t>
      </w:r>
      <w:r>
        <w:rPr>
          <w:rFonts w:hint="eastAsia" w:ascii="仿宋" w:hAnsi="仿宋" w:eastAsia="仿宋" w:cs="仿宋"/>
          <w:color w:val="auto"/>
          <w:highlight w:val="none"/>
        </w:rPr>
        <w:t>我们已详细审核全部磋商文件及其有效补充文件，我们放弃对磋商文件任何误解的权利，提交响应文件后，不对磋商文件本身提出质疑。否则，属于不诚信和故意扰乱政府采购活动行为，我们将无条件接受处罚。</w:t>
      </w:r>
    </w:p>
    <w:p w14:paraId="3626BDA6">
      <w:pPr>
        <w:pStyle w:val="11"/>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10.</w:t>
      </w:r>
      <w:r>
        <w:rPr>
          <w:rFonts w:hint="eastAsia" w:ascii="仿宋" w:hAnsi="仿宋" w:eastAsia="仿宋" w:cs="仿宋"/>
          <w:color w:val="auto"/>
          <w:highlight w:val="none"/>
        </w:rPr>
        <w:t>一旦我方成交，我方将根据磋商文件的规定，严格履行合同，并保证于承诺的时间完成货物的安装/集成、调试等工作，交付采购人验收、使用。</w:t>
      </w:r>
    </w:p>
    <w:p w14:paraId="2233E532">
      <w:pPr>
        <w:pStyle w:val="11"/>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11.</w:t>
      </w:r>
      <w:r>
        <w:rPr>
          <w:rFonts w:hint="eastAsia" w:ascii="仿宋" w:hAnsi="仿宋" w:eastAsia="仿宋" w:cs="仿宋"/>
          <w:color w:val="auto"/>
          <w:highlight w:val="none"/>
        </w:rPr>
        <w:t>我方决不提供虚假材料谋取成交、决不采取不正当手段诋毁、排挤其他供应商、决不与采购人、其它供应商或者</w:t>
      </w:r>
      <w:r>
        <w:rPr>
          <w:rFonts w:hint="eastAsia" w:ascii="仿宋" w:hAnsi="仿宋" w:eastAsia="仿宋" w:cs="仿宋"/>
          <w:color w:val="auto"/>
          <w:highlight w:val="none"/>
          <w:lang w:val="en-US"/>
        </w:rPr>
        <w:t>采购代理机构</w:t>
      </w:r>
      <w:r>
        <w:rPr>
          <w:rFonts w:hint="eastAsia" w:ascii="仿宋" w:hAnsi="仿宋" w:eastAsia="仿宋" w:cs="仿宋"/>
          <w:color w:val="auto"/>
          <w:highlight w:val="none"/>
        </w:rPr>
        <w:t>恶意串通、决不向采购人、</w:t>
      </w:r>
      <w:r>
        <w:rPr>
          <w:rFonts w:hint="eastAsia" w:ascii="仿宋" w:hAnsi="仿宋" w:eastAsia="仿宋" w:cs="仿宋"/>
          <w:color w:val="auto"/>
          <w:highlight w:val="none"/>
          <w:lang w:val="en-US"/>
        </w:rPr>
        <w:t>采购代理机构</w:t>
      </w:r>
      <w:r>
        <w:rPr>
          <w:rFonts w:hint="eastAsia" w:ascii="仿宋" w:hAnsi="仿宋" w:eastAsia="仿宋" w:cs="仿宋"/>
          <w:color w:val="auto"/>
          <w:highlight w:val="none"/>
        </w:rPr>
        <w:t>工作人员和磋商小组进行商业贿赂、决不拒绝有关部门监督检查或提供虚假情况，如有违反，无条件接受贵方及相关管理部门的处罚。</w:t>
      </w:r>
    </w:p>
    <w:p w14:paraId="65B885AD">
      <w:pPr>
        <w:pStyle w:val="11"/>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12.</w:t>
      </w:r>
      <w:r>
        <w:rPr>
          <w:rFonts w:hint="eastAsia" w:ascii="仿宋" w:hAnsi="仿宋" w:eastAsia="仿宋" w:cs="仿宋"/>
          <w:color w:val="auto"/>
          <w:highlight w:val="none"/>
        </w:rPr>
        <w:t>我方正式通讯方式为：</w:t>
      </w:r>
    </w:p>
    <w:p w14:paraId="5B7985CE">
      <w:pPr>
        <w:pStyle w:val="11"/>
        <w:tabs>
          <w:tab w:val="left" w:pos="5077"/>
        </w:tabs>
        <w:spacing w:line="360" w:lineRule="auto"/>
        <w:ind w:left="0" w:firstLine="480" w:firstLineChars="200"/>
        <w:jc w:val="both"/>
        <w:rPr>
          <w:rFonts w:ascii="仿宋" w:hAnsi="仿宋" w:eastAsia="仿宋" w:cs="仿宋"/>
          <w:color w:val="auto"/>
          <w:highlight w:val="none"/>
          <w:u w:val="singl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ab/>
      </w:r>
    </w:p>
    <w:p w14:paraId="459C1AEE">
      <w:pPr>
        <w:pStyle w:val="11"/>
        <w:tabs>
          <w:tab w:val="left" w:pos="5077"/>
        </w:tabs>
        <w:spacing w:line="360" w:lineRule="auto"/>
        <w:ind w:left="0" w:firstLine="480" w:firstLineChars="200"/>
        <w:jc w:val="both"/>
        <w:rPr>
          <w:rFonts w:ascii="仿宋" w:hAnsi="仿宋" w:eastAsia="仿宋" w:cs="仿宋"/>
          <w:color w:val="auto"/>
          <w:highlight w:val="none"/>
          <w:u w:val="singl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ab/>
      </w:r>
    </w:p>
    <w:p w14:paraId="64CE11B7">
      <w:pPr>
        <w:pStyle w:val="11"/>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lang w:val="en-US"/>
        </w:rPr>
        <w:t>13</w:t>
      </w:r>
      <w:r>
        <w:rPr>
          <w:rFonts w:hint="eastAsia" w:ascii="仿宋" w:hAnsi="仿宋" w:eastAsia="仿宋" w:cs="仿宋"/>
          <w:color w:val="auto"/>
          <w:highlight w:val="none"/>
        </w:rPr>
        <w:t>、我方正式开户银行和帐号为：</w:t>
      </w:r>
    </w:p>
    <w:p w14:paraId="42AFE38F">
      <w:pPr>
        <w:pStyle w:val="11"/>
        <w:tabs>
          <w:tab w:val="left" w:pos="5198"/>
        </w:tabs>
        <w:spacing w:line="360" w:lineRule="auto"/>
        <w:ind w:left="0" w:firstLine="476" w:firstLineChars="200"/>
        <w:rPr>
          <w:rFonts w:ascii="仿宋" w:hAnsi="仿宋" w:eastAsia="仿宋" w:cs="仿宋"/>
          <w:color w:val="auto"/>
          <w:highlight w:val="none"/>
        </w:rPr>
      </w:pPr>
      <w:r>
        <w:rPr>
          <w:rFonts w:hint="eastAsia" w:ascii="仿宋" w:hAnsi="仿宋" w:eastAsia="仿宋" w:cs="仿宋"/>
          <w:color w:val="auto"/>
          <w:spacing w:val="-1"/>
          <w:highlight w:val="none"/>
        </w:rPr>
        <w:t>开</w:t>
      </w:r>
      <w:r>
        <w:rPr>
          <w:rFonts w:hint="eastAsia" w:ascii="仿宋" w:hAnsi="仿宋" w:eastAsia="仿宋" w:cs="仿宋"/>
          <w:color w:val="auto"/>
          <w:highlight w:val="none"/>
        </w:rPr>
        <w:t>户银行：</w:t>
      </w:r>
      <w:r>
        <w:rPr>
          <w:rFonts w:hint="eastAsia" w:ascii="仿宋" w:hAnsi="仿宋" w:eastAsia="仿宋" w:cs="仿宋"/>
          <w:color w:val="auto"/>
          <w:highlight w:val="none"/>
          <w:u w:val="single"/>
        </w:rPr>
        <w:tab/>
      </w:r>
    </w:p>
    <w:p w14:paraId="27075EAF">
      <w:pPr>
        <w:pStyle w:val="11"/>
        <w:tabs>
          <w:tab w:val="left" w:pos="1270"/>
          <w:tab w:val="left" w:pos="5197"/>
        </w:tabs>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rPr>
        <w:t>帐</w:t>
      </w:r>
      <w:r>
        <w:rPr>
          <w:rFonts w:hint="eastAsia" w:ascii="仿宋" w:hAnsi="仿宋" w:eastAsia="仿宋" w:cs="仿宋"/>
          <w:color w:val="auto"/>
          <w:highlight w:val="none"/>
        </w:rPr>
        <w:tab/>
      </w:r>
      <w:r>
        <w:rPr>
          <w:rFonts w:hint="eastAsia" w:ascii="仿宋" w:hAnsi="仿宋" w:eastAsia="仿宋" w:cs="仿宋"/>
          <w:color w:val="auto"/>
          <w:spacing w:val="-1"/>
          <w:highlight w:val="none"/>
        </w:rPr>
        <w:t>号</w:t>
      </w:r>
      <w:r>
        <w:rPr>
          <w:rFonts w:hint="eastAsia" w:ascii="仿宋" w:hAnsi="仿宋" w:eastAsia="仿宋" w:cs="仿宋"/>
          <w:color w:val="auto"/>
          <w:highlight w:val="none"/>
        </w:rPr>
        <w:t>：</w:t>
      </w:r>
      <w:r>
        <w:rPr>
          <w:rFonts w:hint="eastAsia" w:ascii="仿宋" w:hAnsi="仿宋" w:eastAsia="仿宋" w:cs="仿宋"/>
          <w:color w:val="auto"/>
          <w:highlight w:val="none"/>
          <w:u w:val="single"/>
        </w:rPr>
        <w:tab/>
      </w:r>
    </w:p>
    <w:p w14:paraId="7AA54961">
      <w:pPr>
        <w:pStyle w:val="11"/>
        <w:tabs>
          <w:tab w:val="left" w:pos="5112"/>
          <w:tab w:val="left" w:pos="5677"/>
        </w:tabs>
        <w:spacing w:line="360" w:lineRule="auto"/>
        <w:ind w:left="0" w:firstLine="476" w:firstLineChars="200"/>
        <w:jc w:val="both"/>
        <w:rPr>
          <w:rFonts w:ascii="仿宋" w:hAnsi="仿宋" w:eastAsia="仿宋" w:cs="仿宋"/>
          <w:color w:val="auto"/>
          <w:highlight w:val="none"/>
          <w:u w:val="single"/>
          <w:lang w:val="en-US"/>
        </w:rPr>
      </w:pPr>
      <w:r>
        <w:rPr>
          <w:rFonts w:hint="eastAsia" w:ascii="仿宋" w:hAnsi="仿宋" w:eastAsia="仿宋" w:cs="仿宋"/>
          <w:color w:val="auto"/>
          <w:spacing w:val="-1"/>
          <w:highlight w:val="none"/>
        </w:rPr>
        <w:t>供</w:t>
      </w:r>
      <w:r>
        <w:rPr>
          <w:rFonts w:hint="eastAsia" w:ascii="仿宋" w:hAnsi="仿宋" w:eastAsia="仿宋" w:cs="仿宋"/>
          <w:color w:val="auto"/>
          <w:highlight w:val="none"/>
        </w:rPr>
        <w:t>应商名称（公章）：</w:t>
      </w:r>
      <w:r>
        <w:rPr>
          <w:rFonts w:hint="eastAsia" w:ascii="仿宋" w:hAnsi="仿宋" w:eastAsia="仿宋" w:cs="仿宋"/>
          <w:color w:val="auto"/>
          <w:highlight w:val="none"/>
          <w:u w:val="single"/>
        </w:rPr>
        <w:tab/>
      </w:r>
    </w:p>
    <w:p w14:paraId="45AA460E">
      <w:pPr>
        <w:pStyle w:val="11"/>
        <w:tabs>
          <w:tab w:val="left" w:pos="1330"/>
          <w:tab w:val="left" w:pos="5677"/>
        </w:tabs>
        <w:spacing w:line="360" w:lineRule="auto"/>
        <w:ind w:left="0"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日</w:t>
      </w:r>
      <w:r>
        <w:rPr>
          <w:rFonts w:hint="eastAsia" w:ascii="仿宋" w:hAnsi="仿宋" w:eastAsia="仿宋" w:cs="仿宋"/>
          <w:color w:val="auto"/>
          <w:highlight w:val="none"/>
        </w:rPr>
        <w:tab/>
      </w:r>
      <w:r>
        <w:rPr>
          <w:rFonts w:hint="eastAsia" w:ascii="仿宋" w:hAnsi="仿宋" w:eastAsia="仿宋" w:cs="仿宋"/>
          <w:color w:val="auto"/>
          <w:highlight w:val="none"/>
        </w:rPr>
        <w:t>期：年月日</w:t>
      </w:r>
    </w:p>
    <w:p w14:paraId="1B7D3188">
      <w:pPr>
        <w:pStyle w:val="11"/>
        <w:spacing w:before="11" w:line="360" w:lineRule="auto"/>
        <w:ind w:left="0"/>
        <w:rPr>
          <w:rFonts w:ascii="仿宋" w:hAnsi="仿宋" w:eastAsia="仿宋" w:cs="仿宋"/>
          <w:color w:val="auto"/>
          <w:highlight w:val="none"/>
          <w:lang w:val="en-US"/>
        </w:rPr>
      </w:pPr>
    </w:p>
    <w:p w14:paraId="52AA19B6">
      <w:pPr>
        <w:rPr>
          <w:rFonts w:ascii="仿宋" w:hAnsi="仿宋" w:eastAsia="仿宋" w:cs="仿宋"/>
          <w:b/>
          <w:bCs/>
          <w:color w:val="auto"/>
          <w:sz w:val="22"/>
          <w:highlight w:val="none"/>
        </w:rPr>
      </w:pPr>
      <w:r>
        <w:rPr>
          <w:rFonts w:hint="eastAsia" w:ascii="仿宋" w:hAnsi="仿宋" w:eastAsia="仿宋" w:cs="仿宋"/>
          <w:b/>
          <w:bCs/>
          <w:color w:val="auto"/>
          <w:sz w:val="22"/>
          <w:highlight w:val="none"/>
        </w:rPr>
        <w:br w:type="page"/>
      </w:r>
    </w:p>
    <w:p w14:paraId="05CAB6CD">
      <w:pPr>
        <w:spacing w:line="360" w:lineRule="auto"/>
        <w:outlineLvl w:val="2"/>
        <w:rPr>
          <w:rFonts w:ascii="仿宋" w:hAnsi="仿宋" w:eastAsia="仿宋" w:cs="仿宋"/>
          <w:b/>
          <w:bCs/>
          <w:color w:val="auto"/>
          <w:sz w:val="22"/>
          <w:highlight w:val="none"/>
        </w:rPr>
      </w:pPr>
      <w:bookmarkStart w:id="74" w:name="_Toc4540"/>
      <w:r>
        <w:rPr>
          <w:rFonts w:hint="eastAsia" w:ascii="仿宋" w:hAnsi="仿宋" w:eastAsia="仿宋" w:cs="仿宋"/>
          <w:b/>
          <w:bCs/>
          <w:color w:val="auto"/>
          <w:sz w:val="22"/>
          <w:highlight w:val="none"/>
        </w:rPr>
        <w:t>目录二、法定代表人授权委托书格式</w:t>
      </w:r>
      <w:bookmarkEnd w:id="74"/>
    </w:p>
    <w:p w14:paraId="7224DF3A">
      <w:pPr>
        <w:pStyle w:val="11"/>
        <w:spacing w:line="360" w:lineRule="auto"/>
        <w:ind w:left="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法定代表人授权委托书</w:t>
      </w:r>
    </w:p>
    <w:p w14:paraId="6E7BE2A8">
      <w:pPr>
        <w:pStyle w:val="11"/>
        <w:spacing w:before="11" w:line="360" w:lineRule="auto"/>
        <w:ind w:left="0"/>
        <w:rPr>
          <w:rFonts w:ascii="仿宋" w:hAnsi="仿宋" w:eastAsia="仿宋" w:cs="仿宋"/>
          <w:b/>
          <w:color w:val="auto"/>
          <w:sz w:val="22"/>
          <w:szCs w:val="22"/>
          <w:highlight w:val="none"/>
        </w:rPr>
      </w:pPr>
    </w:p>
    <w:p w14:paraId="028E5D02">
      <w:pPr>
        <w:widowControl/>
        <w:shd w:val="clear" w:color="auto" w:fill="FFFFFF"/>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致：南京市雨花台区妇幼保健所(采购人)</w:t>
      </w:r>
    </w:p>
    <w:p w14:paraId="43D92286">
      <w:pPr>
        <w:pStyle w:val="13"/>
        <w:ind w:firstLine="9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南京信诺工程造价咨询有限责任公司</w:t>
      </w:r>
    </w:p>
    <w:p w14:paraId="11409A7B">
      <w:pPr>
        <w:rPr>
          <w:rFonts w:ascii="仿宋" w:hAnsi="仿宋" w:eastAsia="仿宋" w:cs="仿宋"/>
          <w:color w:val="auto"/>
          <w:sz w:val="22"/>
          <w:highlight w:val="none"/>
        </w:rPr>
      </w:pPr>
    </w:p>
    <w:p w14:paraId="0AF1DD24">
      <w:pPr>
        <w:pStyle w:val="11"/>
        <w:tabs>
          <w:tab w:val="left" w:pos="2987"/>
          <w:tab w:val="left" w:pos="3618"/>
          <w:tab w:val="left" w:pos="7647"/>
          <w:tab w:val="left" w:pos="8670"/>
          <w:tab w:val="left" w:pos="8898"/>
        </w:tabs>
        <w:adjustRightInd w:val="0"/>
        <w:snapToGrid w:val="0"/>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rPr>
        <w:t>本授权书声明：注册于</w:t>
      </w:r>
      <w:r>
        <w:rPr>
          <w:rFonts w:hint="eastAsia" w:ascii="仿宋" w:hAnsi="仿宋" w:eastAsia="仿宋" w:cs="仿宋"/>
          <w:color w:val="auto"/>
          <w:highlight w:val="none"/>
          <w:lang w:val="en-US"/>
        </w:rPr>
        <w:t>(</w:t>
      </w:r>
      <w:r>
        <w:rPr>
          <w:rFonts w:hint="eastAsia" w:ascii="仿宋" w:hAnsi="仿宋" w:eastAsia="仿宋" w:cs="仿宋"/>
          <w:color w:val="auto"/>
          <w:highlight w:val="none"/>
        </w:rPr>
        <w:t>供应商住址</w:t>
      </w:r>
      <w:r>
        <w:rPr>
          <w:rFonts w:hint="eastAsia" w:ascii="仿宋" w:hAnsi="仿宋" w:eastAsia="仿宋" w:cs="仿宋"/>
          <w:color w:val="auto"/>
          <w:highlight w:val="none"/>
          <w:lang w:val="en-US"/>
        </w:rPr>
        <w:t>)</w:t>
      </w:r>
      <w:r>
        <w:rPr>
          <w:rFonts w:hint="eastAsia" w:ascii="仿宋" w:hAnsi="仿宋" w:eastAsia="仿宋" w:cs="仿宋"/>
          <w:color w:val="auto"/>
          <w:highlight w:val="none"/>
        </w:rPr>
        <w:t>的</w:t>
      </w:r>
      <w:r>
        <w:rPr>
          <w:rFonts w:hint="eastAsia" w:ascii="仿宋" w:hAnsi="仿宋" w:eastAsia="仿宋" w:cs="仿宋"/>
          <w:color w:val="auto"/>
          <w:highlight w:val="none"/>
          <w:u w:val="single"/>
          <w:lang w:val="en-US"/>
        </w:rPr>
        <w:t>(</w:t>
      </w:r>
      <w:r>
        <w:rPr>
          <w:rFonts w:hint="eastAsia" w:ascii="仿宋" w:hAnsi="仿宋" w:eastAsia="仿宋" w:cs="仿宋"/>
          <w:color w:val="auto"/>
          <w:highlight w:val="none"/>
        </w:rPr>
        <w:t>供应商名称</w:t>
      </w:r>
      <w:r>
        <w:rPr>
          <w:rFonts w:hint="eastAsia" w:ascii="仿宋" w:hAnsi="仿宋" w:eastAsia="仿宋" w:cs="仿宋"/>
          <w:color w:val="auto"/>
          <w:highlight w:val="none"/>
          <w:lang w:val="en-US"/>
        </w:rPr>
        <w:t>)</w:t>
      </w:r>
      <w:r>
        <w:rPr>
          <w:rFonts w:hint="eastAsia" w:ascii="仿宋" w:hAnsi="仿宋" w:eastAsia="仿宋" w:cs="仿宋"/>
          <w:color w:val="auto"/>
          <w:highlight w:val="none"/>
        </w:rPr>
        <w:t>法定代表人</w:t>
      </w:r>
      <w:r>
        <w:rPr>
          <w:rFonts w:hint="eastAsia" w:ascii="仿宋" w:hAnsi="仿宋" w:eastAsia="仿宋" w:cs="仿宋"/>
          <w:color w:val="auto"/>
          <w:highlight w:val="none"/>
          <w:lang w:val="en-US"/>
        </w:rPr>
        <w:t>(</w:t>
      </w:r>
      <w:r>
        <w:rPr>
          <w:rFonts w:hint="eastAsia" w:ascii="仿宋" w:hAnsi="仿宋" w:eastAsia="仿宋" w:cs="仿宋"/>
          <w:color w:val="auto"/>
          <w:highlight w:val="none"/>
        </w:rPr>
        <w:t>法定代表人姓名、职务</w:t>
      </w:r>
      <w:r>
        <w:rPr>
          <w:rFonts w:hint="eastAsia" w:ascii="仿宋" w:hAnsi="仿宋" w:eastAsia="仿宋" w:cs="仿宋"/>
          <w:color w:val="auto"/>
          <w:highlight w:val="none"/>
          <w:lang w:val="en-US"/>
        </w:rPr>
        <w:t>)</w:t>
      </w:r>
      <w:r>
        <w:rPr>
          <w:rFonts w:hint="eastAsia" w:ascii="仿宋" w:hAnsi="仿宋" w:eastAsia="仿宋" w:cs="仿宋"/>
          <w:color w:val="auto"/>
          <w:highlight w:val="none"/>
        </w:rPr>
        <w:t>代表本公司授权</w:t>
      </w:r>
      <w:r>
        <w:rPr>
          <w:rFonts w:hint="eastAsia" w:ascii="仿宋" w:hAnsi="仿宋" w:eastAsia="仿宋" w:cs="仿宋"/>
          <w:color w:val="auto"/>
          <w:highlight w:val="none"/>
          <w:lang w:val="en-US"/>
        </w:rPr>
        <w:t>(</w:t>
      </w:r>
      <w:r>
        <w:rPr>
          <w:rFonts w:hint="eastAsia" w:ascii="仿宋" w:hAnsi="仿宋" w:eastAsia="仿宋" w:cs="仿宋"/>
          <w:color w:val="auto"/>
          <w:highlight w:val="none"/>
        </w:rPr>
        <w:t>供应商代表姓名、职务</w:t>
      </w:r>
      <w:r>
        <w:rPr>
          <w:rFonts w:hint="eastAsia" w:ascii="仿宋" w:hAnsi="仿宋" w:eastAsia="仿宋" w:cs="仿宋"/>
          <w:color w:val="auto"/>
          <w:highlight w:val="none"/>
          <w:lang w:val="en-US"/>
        </w:rPr>
        <w:t>)</w:t>
      </w:r>
      <w:r>
        <w:rPr>
          <w:rFonts w:hint="eastAsia" w:ascii="仿宋" w:hAnsi="仿宋" w:eastAsia="仿宋" w:cs="仿宋"/>
          <w:color w:val="auto"/>
          <w:highlight w:val="none"/>
        </w:rPr>
        <w:t>为本公司的合法代理人，就贵方组织的</w:t>
      </w:r>
      <w:r>
        <w:rPr>
          <w:rFonts w:hint="eastAsia" w:ascii="仿宋" w:hAnsi="仿宋" w:eastAsia="仿宋" w:cs="仿宋"/>
          <w:color w:val="auto"/>
          <w:highlight w:val="none"/>
          <w:u w:val="single"/>
        </w:rPr>
        <w:t>南京市雨花台区妇幼保健所2025年外送检验服务项目</w:t>
      </w:r>
      <w:r>
        <w:rPr>
          <w:rFonts w:hint="eastAsia" w:ascii="仿宋" w:hAnsi="仿宋" w:eastAsia="仿宋" w:cs="仿宋"/>
          <w:color w:val="auto"/>
          <w:highlight w:val="none"/>
          <w:lang w:val="en-US"/>
        </w:rPr>
        <w:t>(</w:t>
      </w:r>
      <w:r>
        <w:rPr>
          <w:rFonts w:hint="eastAsia" w:ascii="仿宋" w:hAnsi="仿宋" w:eastAsia="仿宋" w:cs="仿宋"/>
          <w:color w:val="auto"/>
          <w:highlight w:val="none"/>
        </w:rPr>
        <w:t>项目名称</w:t>
      </w:r>
      <w:r>
        <w:rPr>
          <w:rFonts w:hint="eastAsia" w:ascii="仿宋" w:hAnsi="仿宋" w:eastAsia="仿宋" w:cs="仿宋"/>
          <w:color w:val="auto"/>
          <w:highlight w:val="none"/>
          <w:lang w:val="en-US"/>
        </w:rPr>
        <w:t>)</w:t>
      </w:r>
      <w:r>
        <w:rPr>
          <w:rFonts w:hint="eastAsia" w:ascii="仿宋" w:hAnsi="仿宋" w:eastAsia="仿宋" w:cs="仿宋"/>
          <w:color w:val="auto"/>
          <w:highlight w:val="none"/>
          <w:u w:val="single"/>
          <w:lang w:val="en-US"/>
        </w:rPr>
        <w:t>NJXN-24077-FW</w:t>
      </w:r>
      <w:r>
        <w:rPr>
          <w:rFonts w:hint="eastAsia" w:ascii="仿宋" w:hAnsi="仿宋" w:eastAsia="仿宋" w:cs="仿宋"/>
          <w:color w:val="auto"/>
          <w:highlight w:val="none"/>
        </w:rPr>
        <w:t>（项目编号）进行磋商报价</w:t>
      </w:r>
      <w:r>
        <w:rPr>
          <w:rFonts w:hint="eastAsia" w:ascii="仿宋" w:hAnsi="仿宋" w:eastAsia="仿宋" w:cs="仿宋"/>
          <w:color w:val="auto"/>
          <w:spacing w:val="-10"/>
          <w:highlight w:val="none"/>
        </w:rPr>
        <w:t>，</w:t>
      </w:r>
      <w:r>
        <w:rPr>
          <w:rFonts w:hint="eastAsia" w:ascii="仿宋" w:hAnsi="仿宋" w:eastAsia="仿宋" w:cs="仿宋"/>
          <w:color w:val="auto"/>
          <w:highlight w:val="none"/>
        </w:rPr>
        <w:t>以本公司名义处理一切与之有关的事务。</w:t>
      </w:r>
    </w:p>
    <w:p w14:paraId="15B4DB7C">
      <w:pPr>
        <w:widowControl/>
        <w:adjustRightInd w:val="0"/>
        <w:spacing w:line="360" w:lineRule="auto"/>
        <w:ind w:firstLine="480" w:firstLineChars="2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22D18A6E">
      <w:pPr>
        <w:widowControl/>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法定代表人签字或签章：</w:t>
      </w:r>
    </w:p>
    <w:p w14:paraId="3BFB533A">
      <w:pPr>
        <w:widowControl/>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供应商名称（公章）：</w:t>
      </w:r>
    </w:p>
    <w:p w14:paraId="3EFA5E10">
      <w:pPr>
        <w:pStyle w:val="11"/>
        <w:tabs>
          <w:tab w:val="left" w:pos="2538"/>
          <w:tab w:val="left" w:pos="3978"/>
          <w:tab w:val="left" w:pos="4698"/>
          <w:tab w:val="left" w:pos="5418"/>
        </w:tabs>
        <w:adjustRightInd w:val="0"/>
        <w:snapToGrid w:val="0"/>
        <w:spacing w:line="360" w:lineRule="auto"/>
        <w:ind w:left="0" w:firstLine="480" w:firstLineChars="200"/>
        <w:rPr>
          <w:rFonts w:ascii="仿宋" w:hAnsi="仿宋" w:eastAsia="仿宋" w:cs="仿宋"/>
          <w:color w:val="auto"/>
          <w:highlight w:val="none"/>
        </w:rPr>
      </w:pPr>
      <w:r>
        <w:rPr>
          <w:rFonts w:hint="eastAsia" w:ascii="仿宋" w:hAnsi="仿宋" w:eastAsia="仿宋" w:cs="仿宋"/>
          <w:color w:val="auto"/>
          <w:highlight w:val="none"/>
        </w:rPr>
        <w:t>日      期：   年    月    日</w:t>
      </w:r>
    </w:p>
    <w:tbl>
      <w:tblPr>
        <w:tblStyle w:val="2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6C4F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7EB349E3">
            <w:pPr>
              <w:spacing w:line="300" w:lineRule="auto"/>
              <w:rPr>
                <w:rFonts w:ascii="仿宋" w:hAnsi="仿宋" w:eastAsia="仿宋" w:cs="仿宋"/>
                <w:color w:val="auto"/>
                <w:sz w:val="22"/>
                <w:highlight w:val="none"/>
              </w:rPr>
            </w:pPr>
            <w:r>
              <w:rPr>
                <w:rFonts w:hint="eastAsia" w:ascii="仿宋" w:hAnsi="仿宋" w:eastAsia="仿宋" w:cs="仿宋"/>
                <w:color w:val="auto"/>
                <w:sz w:val="22"/>
                <w:highlight w:val="none"/>
              </w:rPr>
              <w:t>法定代表人身份证正反面复印件</w:t>
            </w:r>
          </w:p>
        </w:tc>
      </w:tr>
    </w:tbl>
    <w:p w14:paraId="6F51C994">
      <w:pPr>
        <w:rPr>
          <w:rFonts w:ascii="仿宋" w:hAnsi="仿宋" w:eastAsia="仿宋" w:cs="仿宋"/>
          <w:b/>
          <w:bCs/>
          <w:color w:val="auto"/>
          <w:sz w:val="22"/>
          <w:szCs w:val="24"/>
          <w:highlight w:val="none"/>
        </w:rPr>
      </w:pPr>
    </w:p>
    <w:tbl>
      <w:tblPr>
        <w:tblStyle w:val="2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486E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58B05A5D">
            <w:pPr>
              <w:spacing w:line="300" w:lineRule="auto"/>
              <w:rPr>
                <w:rFonts w:ascii="仿宋" w:hAnsi="仿宋" w:eastAsia="仿宋" w:cs="仿宋"/>
                <w:color w:val="auto"/>
                <w:sz w:val="22"/>
                <w:highlight w:val="none"/>
              </w:rPr>
            </w:pPr>
            <w:r>
              <w:rPr>
                <w:rFonts w:hint="eastAsia" w:ascii="仿宋" w:hAnsi="仿宋" w:eastAsia="仿宋" w:cs="仿宋"/>
                <w:color w:val="auto"/>
                <w:sz w:val="22"/>
                <w:highlight w:val="none"/>
              </w:rPr>
              <w:t>委托代理人身份证正反面复印件</w:t>
            </w:r>
          </w:p>
        </w:tc>
      </w:tr>
    </w:tbl>
    <w:p w14:paraId="5D824122">
      <w:pPr>
        <w:rPr>
          <w:rFonts w:ascii="仿宋" w:hAnsi="仿宋" w:eastAsia="仿宋" w:cs="仿宋"/>
          <w:b/>
          <w:bCs/>
          <w:color w:val="auto"/>
          <w:sz w:val="22"/>
          <w:szCs w:val="24"/>
          <w:highlight w:val="none"/>
        </w:rPr>
      </w:pPr>
    </w:p>
    <w:p w14:paraId="4FA4B378">
      <w:pPr>
        <w:pStyle w:val="5"/>
        <w:rPr>
          <w:rFonts w:ascii="仿宋" w:hAnsi="仿宋" w:eastAsia="仿宋" w:cs="仿宋"/>
          <w:color w:val="auto"/>
          <w:highlight w:val="none"/>
        </w:rPr>
      </w:pPr>
    </w:p>
    <w:p w14:paraId="29404BF9">
      <w:pPr>
        <w:rPr>
          <w:rFonts w:ascii="仿宋" w:hAnsi="仿宋" w:eastAsia="仿宋" w:cs="仿宋"/>
          <w:b/>
          <w:bCs/>
          <w:color w:val="auto"/>
          <w:sz w:val="22"/>
          <w:highlight w:val="none"/>
        </w:rPr>
      </w:pPr>
      <w:bookmarkStart w:id="75" w:name="_Toc25958"/>
      <w:bookmarkStart w:id="76" w:name="_Toc12931"/>
      <w:bookmarkStart w:id="77" w:name="_Toc19933"/>
      <w:r>
        <w:rPr>
          <w:rFonts w:hint="eastAsia" w:ascii="仿宋" w:hAnsi="仿宋" w:eastAsia="仿宋" w:cs="仿宋"/>
          <w:b/>
          <w:bCs/>
          <w:color w:val="auto"/>
          <w:sz w:val="22"/>
          <w:highlight w:val="none"/>
        </w:rPr>
        <w:br w:type="page"/>
      </w:r>
    </w:p>
    <w:p w14:paraId="2375FF6A">
      <w:pPr>
        <w:spacing w:line="360" w:lineRule="auto"/>
        <w:outlineLvl w:val="2"/>
        <w:rPr>
          <w:rFonts w:ascii="仿宋" w:hAnsi="仿宋" w:eastAsia="仿宋" w:cs="仿宋"/>
          <w:b/>
          <w:bCs/>
          <w:color w:val="auto"/>
          <w:sz w:val="22"/>
          <w:highlight w:val="none"/>
        </w:rPr>
      </w:pPr>
      <w:bookmarkStart w:id="78" w:name="_Toc7190"/>
      <w:r>
        <w:rPr>
          <w:rFonts w:hint="eastAsia" w:ascii="仿宋" w:hAnsi="仿宋" w:eastAsia="仿宋" w:cs="仿宋"/>
          <w:b/>
          <w:bCs/>
          <w:color w:val="auto"/>
          <w:sz w:val="22"/>
          <w:highlight w:val="none"/>
        </w:rPr>
        <w:t>目录三、报价表格式</w:t>
      </w:r>
      <w:bookmarkEnd w:id="75"/>
      <w:bookmarkEnd w:id="76"/>
      <w:bookmarkEnd w:id="77"/>
      <w:bookmarkEnd w:id="78"/>
    </w:p>
    <w:p w14:paraId="62337701">
      <w:pPr>
        <w:keepNext/>
        <w:keepLines/>
        <w:spacing w:line="416" w:lineRule="auto"/>
        <w:jc w:val="center"/>
        <w:rPr>
          <w:rFonts w:ascii="仿宋" w:hAnsi="仿宋" w:eastAsia="仿宋" w:cs="仿宋"/>
          <w:color w:val="auto"/>
          <w:kern w:val="0"/>
          <w:sz w:val="24"/>
          <w:highlight w:val="none"/>
          <w:lang w:val="zh-CN"/>
        </w:rPr>
      </w:pPr>
      <w:r>
        <w:rPr>
          <w:rFonts w:hint="eastAsia" w:ascii="仿宋" w:hAnsi="仿宋" w:eastAsia="仿宋" w:cs="仿宋"/>
          <w:b/>
          <w:bCs/>
          <w:color w:val="auto"/>
          <w:sz w:val="32"/>
          <w:szCs w:val="32"/>
          <w:highlight w:val="none"/>
        </w:rPr>
        <w:t>报价汇总表</w:t>
      </w:r>
    </w:p>
    <w:p w14:paraId="67BDEE5B">
      <w:pPr>
        <w:widowControl/>
        <w:shd w:val="clear" w:color="auto" w:fill="FFFFFF"/>
        <w:spacing w:line="560" w:lineRule="exact"/>
        <w:rPr>
          <w:rFonts w:ascii="宋体" w:hAnsi="宋体" w:cs="Arial"/>
          <w:color w:val="auto"/>
          <w:kern w:val="0"/>
          <w:szCs w:val="21"/>
          <w:highlight w:val="none"/>
        </w:rPr>
      </w:pPr>
      <w:r>
        <w:rPr>
          <w:rFonts w:hint="eastAsia" w:ascii="宋体" w:hAnsi="宋体" w:cs="Arial"/>
          <w:color w:val="auto"/>
          <w:szCs w:val="21"/>
          <w:highlight w:val="none"/>
        </w:rPr>
        <w:t xml:space="preserve">项目名称：                                         项目编号：                </w:t>
      </w:r>
    </w:p>
    <w:tbl>
      <w:tblPr>
        <w:tblStyle w:val="29"/>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371"/>
        <w:gridCol w:w="1701"/>
      </w:tblGrid>
      <w:tr w14:paraId="27B3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844" w:type="dxa"/>
            <w:gridSpan w:val="2"/>
            <w:tcBorders>
              <w:top w:val="single" w:color="auto" w:sz="4" w:space="0"/>
              <w:left w:val="single" w:color="auto" w:sz="4" w:space="0"/>
              <w:bottom w:val="single" w:color="auto" w:sz="4" w:space="0"/>
              <w:right w:val="single" w:color="auto" w:sz="4" w:space="0"/>
            </w:tcBorders>
            <w:vAlign w:val="center"/>
          </w:tcPr>
          <w:p w14:paraId="35169B56">
            <w:pPr>
              <w:pStyle w:val="7"/>
              <w:spacing w:line="560" w:lineRule="exact"/>
              <w:ind w:firstLine="0"/>
              <w:jc w:val="center"/>
              <w:rPr>
                <w:rFonts w:ascii="宋体" w:hAnsi="宋体"/>
                <w:color w:val="auto"/>
                <w:highlight w:val="none"/>
              </w:rPr>
            </w:pPr>
            <w:r>
              <w:rPr>
                <w:rFonts w:hint="eastAsia" w:ascii="宋体" w:hAnsi="宋体"/>
                <w:color w:val="auto"/>
                <w:highlight w:val="none"/>
              </w:rPr>
              <w:t>报价情况</w:t>
            </w:r>
          </w:p>
        </w:tc>
        <w:tc>
          <w:tcPr>
            <w:tcW w:w="1701" w:type="dxa"/>
            <w:tcBorders>
              <w:top w:val="single" w:color="auto" w:sz="4" w:space="0"/>
              <w:left w:val="single" w:color="auto" w:sz="4" w:space="0"/>
              <w:bottom w:val="single" w:color="auto" w:sz="4" w:space="0"/>
              <w:right w:val="single" w:color="auto" w:sz="4" w:space="0"/>
            </w:tcBorders>
            <w:vAlign w:val="center"/>
          </w:tcPr>
          <w:p w14:paraId="4DB19D49">
            <w:pPr>
              <w:pStyle w:val="7"/>
              <w:spacing w:line="560" w:lineRule="exact"/>
              <w:ind w:firstLine="0"/>
              <w:jc w:val="center"/>
              <w:rPr>
                <w:rFonts w:ascii="宋体" w:hAnsi="宋体"/>
                <w:color w:val="auto"/>
                <w:highlight w:val="none"/>
              </w:rPr>
            </w:pPr>
            <w:r>
              <w:rPr>
                <w:rFonts w:hint="eastAsia" w:ascii="宋体" w:hAnsi="宋体"/>
                <w:color w:val="auto"/>
                <w:highlight w:val="none"/>
              </w:rPr>
              <w:t>备注</w:t>
            </w:r>
          </w:p>
        </w:tc>
      </w:tr>
      <w:tr w14:paraId="049B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278C4D09">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响应报价（结算比例）</w:t>
            </w:r>
          </w:p>
        </w:tc>
        <w:tc>
          <w:tcPr>
            <w:tcW w:w="6371" w:type="dxa"/>
            <w:tcBorders>
              <w:top w:val="single" w:color="auto" w:sz="4" w:space="0"/>
              <w:left w:val="single" w:color="auto" w:sz="4" w:space="0"/>
              <w:bottom w:val="single" w:color="auto" w:sz="4" w:space="0"/>
              <w:right w:val="single" w:color="auto" w:sz="4" w:space="0"/>
            </w:tcBorders>
            <w:vAlign w:val="center"/>
          </w:tcPr>
          <w:p w14:paraId="4C24247B">
            <w:pPr>
              <w:jc w:val="center"/>
              <w:rPr>
                <w:color w:val="auto"/>
                <w:kern w:val="0"/>
                <w:szCs w:val="21"/>
                <w:highlight w:val="none"/>
                <w:lang w:val="zh-CN"/>
              </w:rPr>
            </w:pPr>
            <w:r>
              <w:rPr>
                <w:rFonts w:hint="eastAsia"/>
                <w:color w:val="auto"/>
                <w:kern w:val="0"/>
                <w:szCs w:val="21"/>
                <w:highlight w:val="none"/>
                <w:lang w:val="zh-CN"/>
              </w:rPr>
              <w:t>门诊检验</w:t>
            </w:r>
            <w:r>
              <w:rPr>
                <w:rFonts w:hint="eastAsia"/>
                <w:color w:val="auto"/>
                <w:kern w:val="0"/>
                <w:szCs w:val="21"/>
                <w:highlight w:val="none"/>
              </w:rPr>
              <w:t>:</w:t>
            </w:r>
            <w:r>
              <w:rPr>
                <w:rFonts w:hint="eastAsia"/>
                <w:color w:val="auto"/>
                <w:kern w:val="0"/>
                <w:szCs w:val="21"/>
                <w:highlight w:val="none"/>
                <w:lang w:val="zh-CN"/>
              </w:rPr>
              <w:t>实际收费的</w:t>
            </w:r>
            <w:r>
              <w:rPr>
                <w:rFonts w:hint="eastAsia"/>
                <w:color w:val="auto"/>
                <w:kern w:val="0"/>
                <w:szCs w:val="21"/>
                <w:highlight w:val="none"/>
                <w:u w:val="single"/>
                <w:lang w:val="zh-CN"/>
              </w:rPr>
              <w:t xml:space="preserve">    </w:t>
            </w:r>
            <w:r>
              <w:rPr>
                <w:rFonts w:hint="eastAsia"/>
                <w:color w:val="auto"/>
                <w:kern w:val="0"/>
                <w:szCs w:val="21"/>
                <w:highlight w:val="none"/>
                <w:lang w:val="zh-CN"/>
              </w:rPr>
              <w:t>%</w:t>
            </w:r>
          </w:p>
          <w:p w14:paraId="034D06F6">
            <w:pPr>
              <w:jc w:val="center"/>
              <w:rPr>
                <w:color w:val="auto"/>
                <w:kern w:val="0"/>
                <w:szCs w:val="21"/>
                <w:highlight w:val="none"/>
                <w:lang w:val="zh-CN"/>
              </w:rPr>
            </w:pPr>
            <w:r>
              <w:rPr>
                <w:rFonts w:hint="eastAsia"/>
                <w:color w:val="auto"/>
                <w:kern w:val="0"/>
                <w:szCs w:val="21"/>
                <w:highlight w:val="none"/>
                <w:lang w:val="zh-CN"/>
              </w:rPr>
              <w:t>体检检验</w:t>
            </w:r>
            <w:r>
              <w:rPr>
                <w:rFonts w:hint="eastAsia"/>
                <w:color w:val="auto"/>
                <w:kern w:val="0"/>
                <w:szCs w:val="21"/>
                <w:highlight w:val="none"/>
              </w:rPr>
              <w:t>:</w:t>
            </w:r>
            <w:r>
              <w:rPr>
                <w:rFonts w:hint="eastAsia"/>
                <w:color w:val="auto"/>
                <w:kern w:val="0"/>
                <w:szCs w:val="21"/>
                <w:highlight w:val="none"/>
                <w:lang w:val="zh-CN"/>
              </w:rPr>
              <w:t>实际收费的</w:t>
            </w:r>
            <w:r>
              <w:rPr>
                <w:rFonts w:hint="eastAsia"/>
                <w:color w:val="auto"/>
                <w:kern w:val="0"/>
                <w:szCs w:val="21"/>
                <w:highlight w:val="none"/>
                <w:u w:val="single"/>
                <w:lang w:val="zh-CN"/>
              </w:rPr>
              <w:t xml:space="preserve">    </w:t>
            </w:r>
            <w:r>
              <w:rPr>
                <w:rFonts w:hint="eastAsia"/>
                <w:color w:val="auto"/>
                <w:kern w:val="0"/>
                <w:szCs w:val="21"/>
                <w:highlight w:val="none"/>
                <w:lang w:val="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14F04A0">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r w14:paraId="1759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18701F00">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服务时间/交付使用时间</w:t>
            </w:r>
          </w:p>
        </w:tc>
        <w:tc>
          <w:tcPr>
            <w:tcW w:w="6371" w:type="dxa"/>
            <w:tcBorders>
              <w:top w:val="single" w:color="auto" w:sz="4" w:space="0"/>
              <w:left w:val="single" w:color="auto" w:sz="4" w:space="0"/>
              <w:bottom w:val="single" w:color="auto" w:sz="4" w:space="0"/>
              <w:right w:val="single" w:color="auto" w:sz="4" w:space="0"/>
            </w:tcBorders>
            <w:vAlign w:val="center"/>
          </w:tcPr>
          <w:p w14:paraId="6A9F34DE">
            <w:pPr>
              <w:pStyle w:val="7"/>
              <w:tabs>
                <w:tab w:val="left" w:pos="3624"/>
              </w:tabs>
              <w:spacing w:line="560" w:lineRule="exact"/>
              <w:ind w:firstLine="472" w:firstLineChars="225"/>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u w:val="single"/>
                <w:lang w:val="zh-CN"/>
              </w:rPr>
              <w:t>满足磋商文件要求。</w:t>
            </w:r>
          </w:p>
        </w:tc>
        <w:tc>
          <w:tcPr>
            <w:tcW w:w="1701" w:type="dxa"/>
            <w:tcBorders>
              <w:top w:val="single" w:color="auto" w:sz="4" w:space="0"/>
              <w:left w:val="single" w:color="auto" w:sz="4" w:space="0"/>
              <w:bottom w:val="single" w:color="auto" w:sz="4" w:space="0"/>
              <w:right w:val="single" w:color="auto" w:sz="4" w:space="0"/>
            </w:tcBorders>
            <w:vAlign w:val="center"/>
          </w:tcPr>
          <w:p w14:paraId="6DBD4DDD">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r w14:paraId="3728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CD5BD9">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磋商标的是否全部由小微企业提供</w:t>
            </w:r>
          </w:p>
        </w:tc>
        <w:tc>
          <w:tcPr>
            <w:tcW w:w="6371" w:type="dxa"/>
            <w:tcBorders>
              <w:top w:val="single" w:color="auto" w:sz="4" w:space="0"/>
              <w:left w:val="single" w:color="auto" w:sz="4" w:space="0"/>
              <w:bottom w:val="single" w:color="auto" w:sz="4" w:space="0"/>
              <w:right w:val="single" w:color="auto" w:sz="4" w:space="0"/>
            </w:tcBorders>
            <w:vAlign w:val="center"/>
          </w:tcPr>
          <w:p w14:paraId="2C740F66">
            <w:pPr>
              <w:pStyle w:val="7"/>
              <w:spacing w:line="560" w:lineRule="exact"/>
              <w:ind w:firstLine="1942" w:firstLineChars="925"/>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u w:val="single"/>
                <w:lang w:val="zh-CN"/>
              </w:rPr>
              <w:t xml:space="preserve">                    （填写“是”或“否）</w:t>
            </w:r>
          </w:p>
        </w:tc>
        <w:tc>
          <w:tcPr>
            <w:tcW w:w="1701" w:type="dxa"/>
            <w:tcBorders>
              <w:top w:val="single" w:color="auto" w:sz="4" w:space="0"/>
              <w:left w:val="single" w:color="auto" w:sz="4" w:space="0"/>
              <w:bottom w:val="single" w:color="auto" w:sz="4" w:space="0"/>
              <w:right w:val="single" w:color="auto" w:sz="4" w:space="0"/>
            </w:tcBorders>
            <w:vAlign w:val="center"/>
          </w:tcPr>
          <w:p w14:paraId="721EB5A8">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bl>
    <w:p w14:paraId="56892541">
      <w:pPr>
        <w:spacing w:line="360" w:lineRule="auto"/>
        <w:rPr>
          <w:rFonts w:ascii="仿宋" w:hAnsi="仿宋" w:eastAsia="仿宋" w:cs="仿宋"/>
          <w:color w:val="auto"/>
          <w:kern w:val="0"/>
          <w:sz w:val="24"/>
          <w:highlight w:val="none"/>
          <w:lang w:val="zh-CN"/>
        </w:rPr>
      </w:pPr>
    </w:p>
    <w:p w14:paraId="7C50AEBA">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45423609">
      <w:pPr>
        <w:rPr>
          <w:rFonts w:ascii="仿宋" w:hAnsi="仿宋" w:eastAsia="仿宋" w:cs="仿宋"/>
          <w:color w:val="auto"/>
          <w:sz w:val="24"/>
          <w:highlight w:val="none"/>
        </w:rPr>
      </w:pPr>
    </w:p>
    <w:p w14:paraId="093E06C6">
      <w:pPr>
        <w:pStyle w:val="37"/>
        <w:rPr>
          <w:rFonts w:ascii="仿宋" w:hAnsi="仿宋" w:eastAsia="仿宋" w:cs="仿宋"/>
          <w:color w:val="auto"/>
          <w:highlight w:val="none"/>
        </w:rPr>
      </w:pPr>
    </w:p>
    <w:p w14:paraId="6D34A3D0">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说明：</w:t>
      </w:r>
    </w:p>
    <w:p w14:paraId="784FCC25">
      <w:pPr>
        <w:numPr>
          <w:ilvl w:val="0"/>
          <w:numId w:val="2"/>
        </w:numPr>
        <w:spacing w:line="360" w:lineRule="auto"/>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在“供应商是否属于小和微型企业”栏后</w:t>
      </w:r>
      <w:r>
        <w:rPr>
          <w:rFonts w:hint="eastAsia" w:ascii="仿宋" w:hAnsi="仿宋" w:eastAsia="仿宋" w:cs="仿宋"/>
          <w:color w:val="auto"/>
          <w:kern w:val="0"/>
          <w:sz w:val="24"/>
          <w:highlight w:val="none"/>
        </w:rPr>
        <w:t>填写</w:t>
      </w:r>
      <w:r>
        <w:rPr>
          <w:rFonts w:hint="eastAsia" w:ascii="仿宋" w:hAnsi="仿宋" w:eastAsia="仿宋" w:cs="仿宋"/>
          <w:color w:val="auto"/>
          <w:kern w:val="0"/>
          <w:sz w:val="24"/>
          <w:highlight w:val="none"/>
          <w:lang w:val="zh-CN"/>
        </w:rPr>
        <w:t>“是”或“否”。</w:t>
      </w:r>
      <w:r>
        <w:rPr>
          <w:rFonts w:hint="eastAsia" w:ascii="仿宋" w:hAnsi="仿宋" w:eastAsia="仿宋" w:cs="仿宋"/>
          <w:color w:val="auto"/>
          <w:sz w:val="24"/>
          <w:highlight w:val="none"/>
        </w:rPr>
        <w:t>如填写“是”，供应商需提供《中小企业声明函》、《残疾人福利性单位声明函》、《属于监狱企业的证明文件》；如为代理商投标，还需提供</w:t>
      </w:r>
      <w:r>
        <w:rPr>
          <w:rFonts w:hint="eastAsia" w:ascii="仿宋" w:hAnsi="仿宋" w:eastAsia="仿宋" w:cs="仿宋"/>
          <w:b/>
          <w:bCs/>
          <w:color w:val="auto"/>
          <w:sz w:val="24"/>
          <w:highlight w:val="none"/>
        </w:rPr>
        <w:t>投标产品制造商出具的上述文件</w:t>
      </w:r>
      <w:r>
        <w:rPr>
          <w:rFonts w:hint="eastAsia" w:ascii="仿宋" w:hAnsi="仿宋" w:eastAsia="仿宋" w:cs="仿宋"/>
          <w:color w:val="auto"/>
          <w:sz w:val="24"/>
          <w:highlight w:val="none"/>
        </w:rPr>
        <w:t>。非小微企业产品不享受价格扣除。如未按要求提供、填写，或相关内容表述不清前后矛盾的，不享受价格扣除。</w:t>
      </w:r>
    </w:p>
    <w:p w14:paraId="1BF2C756">
      <w:pPr>
        <w:rPr>
          <w:rFonts w:ascii="仿宋" w:hAnsi="仿宋" w:eastAsia="仿宋" w:cs="仿宋"/>
          <w:color w:val="auto"/>
          <w:sz w:val="24"/>
          <w:highlight w:val="none"/>
        </w:rPr>
      </w:pPr>
    </w:p>
    <w:p w14:paraId="78A046F8">
      <w:pPr>
        <w:pStyle w:val="85"/>
        <w:rPr>
          <w:rFonts w:ascii="仿宋" w:hAnsi="仿宋" w:eastAsia="仿宋" w:cs="仿宋"/>
          <w:color w:val="auto"/>
          <w:sz w:val="24"/>
          <w:highlight w:val="none"/>
        </w:rPr>
      </w:pPr>
    </w:p>
    <w:p w14:paraId="22207EE0">
      <w:pPr>
        <w:rPr>
          <w:rFonts w:ascii="仿宋" w:hAnsi="仿宋" w:eastAsia="仿宋" w:cs="仿宋"/>
          <w:color w:val="auto"/>
          <w:sz w:val="24"/>
          <w:highlight w:val="none"/>
        </w:rPr>
      </w:pPr>
    </w:p>
    <w:p w14:paraId="0EE90E0D">
      <w:pPr>
        <w:pStyle w:val="37"/>
        <w:rPr>
          <w:color w:val="auto"/>
          <w:highlight w:val="none"/>
        </w:rPr>
      </w:pPr>
    </w:p>
    <w:p w14:paraId="1FB46193">
      <w:pPr>
        <w:rPr>
          <w:color w:val="auto"/>
          <w:highlight w:val="none"/>
        </w:rPr>
      </w:pPr>
    </w:p>
    <w:p w14:paraId="5F858F86">
      <w:pPr>
        <w:pStyle w:val="85"/>
        <w:rPr>
          <w:rFonts w:ascii="仿宋" w:hAnsi="仿宋" w:eastAsia="仿宋" w:cs="仿宋"/>
          <w:color w:val="auto"/>
          <w:sz w:val="24"/>
          <w:highlight w:val="none"/>
        </w:rPr>
      </w:pPr>
    </w:p>
    <w:p w14:paraId="41AE4650">
      <w:pPr>
        <w:rPr>
          <w:rFonts w:ascii="仿宋" w:hAnsi="仿宋" w:eastAsia="仿宋" w:cs="仿宋"/>
          <w:color w:val="auto"/>
          <w:sz w:val="24"/>
          <w:highlight w:val="none"/>
        </w:rPr>
      </w:pPr>
    </w:p>
    <w:p w14:paraId="2D9BD78E">
      <w:pP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22A3EAC7">
      <w:pPr>
        <w:widowControl/>
        <w:adjustRightIn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二次报价表</w:t>
      </w:r>
    </w:p>
    <w:tbl>
      <w:tblPr>
        <w:tblStyle w:val="2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79"/>
        <w:gridCol w:w="2315"/>
        <w:gridCol w:w="2222"/>
        <w:gridCol w:w="840"/>
        <w:gridCol w:w="2278"/>
      </w:tblGrid>
      <w:tr w14:paraId="5F57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17" w:type="dxa"/>
            <w:gridSpan w:val="2"/>
            <w:tcBorders>
              <w:top w:val="single" w:color="auto" w:sz="12" w:space="0"/>
              <w:left w:val="single" w:color="auto" w:sz="12" w:space="0"/>
            </w:tcBorders>
            <w:vAlign w:val="center"/>
          </w:tcPr>
          <w:p w14:paraId="2837B09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537" w:type="dxa"/>
            <w:gridSpan w:val="2"/>
            <w:tcBorders>
              <w:top w:val="single" w:color="auto" w:sz="12" w:space="0"/>
            </w:tcBorders>
            <w:vAlign w:val="center"/>
          </w:tcPr>
          <w:p w14:paraId="58752767">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南京市雨花台区妇幼保健所2025年外送检验服务项目</w:t>
            </w:r>
          </w:p>
        </w:tc>
        <w:tc>
          <w:tcPr>
            <w:tcW w:w="840" w:type="dxa"/>
            <w:tcBorders>
              <w:top w:val="single" w:color="auto" w:sz="12" w:space="0"/>
            </w:tcBorders>
            <w:vAlign w:val="center"/>
          </w:tcPr>
          <w:p w14:paraId="155E40B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2278" w:type="dxa"/>
            <w:tcBorders>
              <w:top w:val="single" w:color="auto" w:sz="12" w:space="0"/>
              <w:right w:val="single" w:color="auto" w:sz="12" w:space="0"/>
            </w:tcBorders>
            <w:vAlign w:val="center"/>
          </w:tcPr>
          <w:p w14:paraId="130BE2AF">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NJXN-24077-FW</w:t>
            </w:r>
          </w:p>
        </w:tc>
      </w:tr>
      <w:tr w14:paraId="50D2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6604B52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w:t>
            </w:r>
          </w:p>
        </w:tc>
        <w:tc>
          <w:tcPr>
            <w:tcW w:w="7655" w:type="dxa"/>
            <w:gridSpan w:val="4"/>
            <w:tcBorders>
              <w:right w:val="single" w:color="auto" w:sz="12" w:space="0"/>
            </w:tcBorders>
            <w:vAlign w:val="center"/>
          </w:tcPr>
          <w:p w14:paraId="6483E741">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南京市雨花台区妇幼保健所</w:t>
            </w:r>
          </w:p>
        </w:tc>
      </w:tr>
      <w:tr w14:paraId="6EAA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357A633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p w14:paraId="28BC110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655" w:type="dxa"/>
            <w:gridSpan w:val="4"/>
            <w:tcBorders>
              <w:right w:val="single" w:color="auto" w:sz="12" w:space="0"/>
            </w:tcBorders>
            <w:vAlign w:val="center"/>
          </w:tcPr>
          <w:p w14:paraId="50DB7D1F">
            <w:pPr>
              <w:rPr>
                <w:rFonts w:ascii="仿宋" w:hAnsi="仿宋" w:eastAsia="仿宋" w:cs="仿宋"/>
                <w:color w:val="auto"/>
                <w:sz w:val="24"/>
                <w:szCs w:val="24"/>
                <w:highlight w:val="none"/>
              </w:rPr>
            </w:pPr>
          </w:p>
        </w:tc>
      </w:tr>
      <w:tr w14:paraId="7DCB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17" w:type="dxa"/>
            <w:gridSpan w:val="2"/>
            <w:tcBorders>
              <w:left w:val="single" w:color="auto" w:sz="12" w:space="0"/>
            </w:tcBorders>
            <w:vAlign w:val="center"/>
          </w:tcPr>
          <w:p w14:paraId="77E38E5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磋商日期</w:t>
            </w:r>
          </w:p>
        </w:tc>
        <w:tc>
          <w:tcPr>
            <w:tcW w:w="2315" w:type="dxa"/>
            <w:vAlign w:val="center"/>
          </w:tcPr>
          <w:p w14:paraId="0BEBD1D7">
            <w:pPr>
              <w:ind w:firstLine="720"/>
              <w:jc w:val="center"/>
              <w:rPr>
                <w:rFonts w:ascii="仿宋" w:hAnsi="仿宋" w:eastAsia="仿宋" w:cs="仿宋"/>
                <w:color w:val="auto"/>
                <w:sz w:val="24"/>
                <w:szCs w:val="24"/>
                <w:highlight w:val="none"/>
              </w:rPr>
            </w:pPr>
          </w:p>
        </w:tc>
        <w:tc>
          <w:tcPr>
            <w:tcW w:w="2222" w:type="dxa"/>
            <w:vAlign w:val="center"/>
          </w:tcPr>
          <w:p w14:paraId="5FDA308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磋商地点</w:t>
            </w:r>
          </w:p>
        </w:tc>
        <w:tc>
          <w:tcPr>
            <w:tcW w:w="3118" w:type="dxa"/>
            <w:gridSpan w:val="2"/>
            <w:tcBorders>
              <w:right w:val="single" w:color="auto" w:sz="12" w:space="0"/>
            </w:tcBorders>
            <w:vAlign w:val="center"/>
          </w:tcPr>
          <w:p w14:paraId="73B446D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南京市江北新区浦滨路150号中科创新广场23栋8楼</w:t>
            </w:r>
          </w:p>
        </w:tc>
      </w:tr>
      <w:tr w14:paraId="7258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9072" w:type="dxa"/>
            <w:gridSpan w:val="6"/>
            <w:tcBorders>
              <w:left w:val="single" w:color="auto" w:sz="12" w:space="0"/>
              <w:right w:val="single" w:color="auto" w:sz="12" w:space="0"/>
            </w:tcBorders>
            <w:vAlign w:val="center"/>
          </w:tcPr>
          <w:p w14:paraId="0EF14FB2">
            <w:pPr>
              <w:pStyle w:val="37"/>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二次报价</w:t>
            </w:r>
          </w:p>
          <w:p w14:paraId="7CAF4DE8">
            <w:pPr>
              <w:spacing w:line="360" w:lineRule="auto"/>
              <w:ind w:firstLine="2640" w:firstLineChars="1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门诊检验:</w:t>
            </w:r>
            <w:r>
              <w:rPr>
                <w:rFonts w:hint="eastAsia" w:ascii="仿宋" w:hAnsi="仿宋" w:eastAsia="仿宋" w:cs="仿宋"/>
                <w:color w:val="auto"/>
                <w:sz w:val="24"/>
                <w:szCs w:val="24"/>
                <w:highlight w:val="none"/>
                <w:lang w:val="zh-CN"/>
              </w:rPr>
              <w:t>实际收费的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w:t>
            </w:r>
          </w:p>
          <w:p w14:paraId="554865F1">
            <w:pPr>
              <w:pStyle w:val="37"/>
              <w:ind w:firstLine="2640" w:firstLineChars="1100"/>
              <w:rPr>
                <w:rFonts w:ascii="仿宋" w:hAnsi="仿宋" w:eastAsia="仿宋" w:cs="仿宋"/>
                <w:color w:val="auto"/>
                <w:highlight w:val="none"/>
              </w:rPr>
            </w:pPr>
            <w:r>
              <w:rPr>
                <w:rFonts w:hint="eastAsia" w:ascii="仿宋" w:hAnsi="仿宋" w:eastAsia="仿宋" w:cs="仿宋"/>
                <w:color w:val="auto"/>
                <w:sz w:val="24"/>
                <w:szCs w:val="24"/>
                <w:highlight w:val="none"/>
              </w:rPr>
              <w:t>体检检验:</w:t>
            </w:r>
            <w:r>
              <w:rPr>
                <w:rFonts w:hint="eastAsia" w:ascii="仿宋" w:hAnsi="仿宋" w:eastAsia="仿宋" w:cs="仿宋"/>
                <w:color w:val="auto"/>
                <w:sz w:val="24"/>
                <w:szCs w:val="24"/>
                <w:highlight w:val="none"/>
                <w:lang w:val="zh-CN"/>
              </w:rPr>
              <w:t xml:space="preserve">实际收费的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tc>
      </w:tr>
      <w:tr w14:paraId="2B52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9072" w:type="dxa"/>
            <w:gridSpan w:val="6"/>
            <w:tcBorders>
              <w:left w:val="single" w:color="auto" w:sz="12" w:space="0"/>
              <w:right w:val="single" w:color="auto" w:sz="12" w:space="0"/>
            </w:tcBorders>
          </w:tcPr>
          <w:p w14:paraId="21C26513">
            <w:pPr>
              <w:rPr>
                <w:rFonts w:ascii="仿宋" w:hAnsi="仿宋" w:eastAsia="仿宋" w:cs="仿宋"/>
                <w:color w:val="auto"/>
                <w:sz w:val="24"/>
                <w:szCs w:val="24"/>
                <w:highlight w:val="none"/>
              </w:rPr>
            </w:pPr>
          </w:p>
          <w:p w14:paraId="33B268DB">
            <w:pPr>
              <w:autoSpaceDE w:val="0"/>
              <w:autoSpaceDN w:val="0"/>
              <w:adjustRightInd w:val="0"/>
              <w:jc w:val="center"/>
              <w:rPr>
                <w:rFonts w:ascii="仿宋" w:hAnsi="仿宋" w:eastAsia="仿宋" w:cs="仿宋"/>
                <w:color w:val="auto"/>
                <w:sz w:val="24"/>
                <w:szCs w:val="24"/>
                <w:highlight w:val="none"/>
              </w:rPr>
            </w:pPr>
          </w:p>
          <w:p w14:paraId="096FB1F2">
            <w:pPr>
              <w:autoSpaceDE w:val="0"/>
              <w:autoSpaceDN w:val="0"/>
              <w:adjustRightInd w:val="0"/>
              <w:jc w:val="center"/>
              <w:rPr>
                <w:rFonts w:ascii="仿宋" w:hAnsi="仿宋" w:eastAsia="仿宋" w:cs="仿宋"/>
                <w:color w:val="auto"/>
                <w:sz w:val="24"/>
                <w:szCs w:val="24"/>
                <w:highlight w:val="none"/>
              </w:rPr>
            </w:pPr>
          </w:p>
          <w:p w14:paraId="00BEF53A">
            <w:pPr>
              <w:autoSpaceDE w:val="0"/>
              <w:autoSpaceDN w:val="0"/>
              <w:adjustRightIn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被授权代理人（签字）</w:t>
            </w:r>
          </w:p>
          <w:p w14:paraId="1D7F8F68">
            <w:pPr>
              <w:autoSpaceDE w:val="0"/>
              <w:autoSpaceDN w:val="0"/>
              <w:adjustRightInd w:val="0"/>
              <w:rPr>
                <w:rFonts w:ascii="仿宋" w:hAnsi="仿宋" w:eastAsia="仿宋" w:cs="仿宋"/>
                <w:color w:val="auto"/>
                <w:sz w:val="24"/>
                <w:szCs w:val="24"/>
                <w:highlight w:val="none"/>
              </w:rPr>
            </w:pPr>
          </w:p>
          <w:p w14:paraId="7498544C">
            <w:pPr>
              <w:autoSpaceDE w:val="0"/>
              <w:autoSpaceDN w:val="0"/>
              <w:adjustRightInd w:val="0"/>
              <w:rPr>
                <w:rFonts w:ascii="仿宋" w:hAnsi="仿宋" w:eastAsia="仿宋" w:cs="仿宋"/>
                <w:color w:val="auto"/>
                <w:sz w:val="24"/>
                <w:szCs w:val="24"/>
                <w:highlight w:val="none"/>
              </w:rPr>
            </w:pPr>
          </w:p>
          <w:p w14:paraId="780FE26D">
            <w:pPr>
              <w:autoSpaceDE w:val="0"/>
              <w:autoSpaceDN w:val="0"/>
              <w:adjustRightInd w:val="0"/>
              <w:rPr>
                <w:rFonts w:ascii="仿宋" w:hAnsi="仿宋" w:eastAsia="仿宋" w:cs="仿宋"/>
                <w:color w:val="auto"/>
                <w:sz w:val="24"/>
                <w:szCs w:val="24"/>
                <w:highlight w:val="none"/>
              </w:rPr>
            </w:pPr>
          </w:p>
          <w:p w14:paraId="37C7232C">
            <w:pPr>
              <w:autoSpaceDE w:val="0"/>
              <w:autoSpaceDN w:val="0"/>
              <w:adjustRightIn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磋商报价单位（公</w:t>
            </w:r>
            <w:r>
              <w:rPr>
                <w:rFonts w:hint="eastAsia" w:ascii="仿宋" w:hAnsi="仿宋" w:eastAsia="仿宋" w:cs="仿宋"/>
                <w:color w:val="auto"/>
                <w:kern w:val="0"/>
                <w:sz w:val="24"/>
                <w:highlight w:val="none"/>
                <w:lang w:val="zh-CN"/>
              </w:rPr>
              <w:t>章</w:t>
            </w:r>
            <w:r>
              <w:rPr>
                <w:rFonts w:hint="eastAsia" w:ascii="仿宋" w:hAnsi="仿宋" w:eastAsia="仿宋" w:cs="仿宋"/>
                <w:color w:val="auto"/>
                <w:sz w:val="24"/>
                <w:szCs w:val="24"/>
                <w:highlight w:val="none"/>
              </w:rPr>
              <w:t>）</w:t>
            </w:r>
          </w:p>
          <w:p w14:paraId="6CE1C15D">
            <w:pPr>
              <w:autoSpaceDE w:val="0"/>
              <w:autoSpaceDN w:val="0"/>
              <w:adjustRightInd w:val="0"/>
              <w:jc w:val="center"/>
              <w:rPr>
                <w:rFonts w:ascii="仿宋" w:hAnsi="仿宋" w:eastAsia="仿宋" w:cs="仿宋"/>
                <w:color w:val="auto"/>
                <w:sz w:val="24"/>
                <w:szCs w:val="24"/>
                <w:highlight w:val="none"/>
              </w:rPr>
            </w:pPr>
          </w:p>
          <w:p w14:paraId="1EAB48C7">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时    分</w:t>
            </w:r>
          </w:p>
        </w:tc>
      </w:tr>
      <w:tr w14:paraId="0A1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38" w:type="dxa"/>
            <w:tcBorders>
              <w:left w:val="single" w:color="auto" w:sz="12" w:space="0"/>
              <w:bottom w:val="single" w:color="auto" w:sz="12" w:space="0"/>
            </w:tcBorders>
            <w:vAlign w:val="center"/>
          </w:tcPr>
          <w:p w14:paraId="678311B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8434" w:type="dxa"/>
            <w:gridSpan w:val="5"/>
            <w:tcBorders>
              <w:bottom w:val="single" w:color="auto" w:sz="12" w:space="0"/>
              <w:right w:val="single" w:color="auto" w:sz="12" w:space="0"/>
            </w:tcBorders>
          </w:tcPr>
          <w:p w14:paraId="3B525256">
            <w:pPr>
              <w:jc w:val="center"/>
              <w:rPr>
                <w:rFonts w:ascii="仿宋" w:hAnsi="仿宋" w:eastAsia="仿宋" w:cs="仿宋"/>
                <w:color w:val="auto"/>
                <w:sz w:val="24"/>
                <w:szCs w:val="24"/>
                <w:highlight w:val="none"/>
              </w:rPr>
            </w:pPr>
          </w:p>
        </w:tc>
      </w:tr>
    </w:tbl>
    <w:p w14:paraId="2B20ACD8">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b/>
          <w:bCs/>
          <w:color w:val="auto"/>
          <w:sz w:val="24"/>
          <w:szCs w:val="24"/>
          <w:highlight w:val="none"/>
        </w:rPr>
        <w:t>此表单独打印</w:t>
      </w:r>
      <w:r>
        <w:rPr>
          <w:rFonts w:hint="eastAsia" w:ascii="仿宋" w:hAnsi="仿宋" w:eastAsia="仿宋" w:cs="仿宋"/>
          <w:color w:val="auto"/>
          <w:sz w:val="24"/>
          <w:szCs w:val="24"/>
          <w:highlight w:val="none"/>
        </w:rPr>
        <w:t>，在竞争性磋商现场填写，在竞争性磋商截止时间前，磋商报价单位无需填写此表，但须加盖单位公章后与磋商响应性文件一并密封提交。</w:t>
      </w:r>
    </w:p>
    <w:p w14:paraId="7FDCC723">
      <w:pPr>
        <w:rPr>
          <w:rFonts w:ascii="仿宋" w:hAnsi="仿宋" w:eastAsia="仿宋" w:cs="仿宋"/>
          <w:b/>
          <w:bCs/>
          <w:color w:val="auto"/>
          <w:sz w:val="22"/>
          <w:szCs w:val="24"/>
          <w:highlight w:val="none"/>
        </w:rPr>
      </w:pPr>
      <w:r>
        <w:rPr>
          <w:rFonts w:hint="eastAsia" w:ascii="仿宋" w:hAnsi="仿宋" w:eastAsia="仿宋" w:cs="仿宋"/>
          <w:b/>
          <w:bCs/>
          <w:color w:val="auto"/>
          <w:sz w:val="22"/>
          <w:szCs w:val="24"/>
          <w:highlight w:val="none"/>
        </w:rPr>
        <w:br w:type="page"/>
      </w:r>
    </w:p>
    <w:p w14:paraId="3C22CEF3">
      <w:pPr>
        <w:spacing w:line="360" w:lineRule="auto"/>
        <w:outlineLvl w:val="2"/>
        <w:rPr>
          <w:rFonts w:ascii="仿宋" w:hAnsi="仿宋" w:eastAsia="仿宋" w:cs="仿宋"/>
          <w:b/>
          <w:bCs/>
          <w:color w:val="auto"/>
          <w:sz w:val="22"/>
          <w:highlight w:val="none"/>
        </w:rPr>
      </w:pPr>
      <w:bookmarkStart w:id="79" w:name="_Toc8339"/>
      <w:r>
        <w:rPr>
          <w:rFonts w:hint="eastAsia" w:ascii="仿宋" w:hAnsi="仿宋" w:eastAsia="仿宋" w:cs="仿宋"/>
          <w:b/>
          <w:bCs/>
          <w:color w:val="auto"/>
          <w:sz w:val="22"/>
          <w:highlight w:val="none"/>
        </w:rPr>
        <w:t>目录四、分项报价表</w:t>
      </w:r>
      <w:bookmarkEnd w:id="79"/>
    </w:p>
    <w:p w14:paraId="574CF9EF">
      <w:pPr>
        <w:pStyle w:val="37"/>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分项报价表（参考，格式自拟）</w:t>
      </w:r>
    </w:p>
    <w:p w14:paraId="040D6F26">
      <w:pP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项目名称：</w:t>
      </w:r>
      <w:r>
        <w:rPr>
          <w:rFonts w:hint="eastAsia" w:ascii="仿宋" w:hAnsi="仿宋" w:eastAsia="仿宋" w:cs="仿宋"/>
          <w:color w:val="auto"/>
          <w:sz w:val="24"/>
          <w:szCs w:val="24"/>
          <w:highlight w:val="none"/>
        </w:rPr>
        <w:t>南京市雨花台区妇幼保健所2025年外送检验服务项目</w:t>
      </w:r>
    </w:p>
    <w:p w14:paraId="4B56AA8D">
      <w:pP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项目编号：</w:t>
      </w:r>
      <w:r>
        <w:rPr>
          <w:rFonts w:hint="eastAsia" w:ascii="仿宋" w:hAnsi="仿宋" w:eastAsia="仿宋" w:cs="仿宋"/>
          <w:color w:val="auto"/>
          <w:sz w:val="24"/>
          <w:szCs w:val="24"/>
          <w:highlight w:val="none"/>
        </w:rPr>
        <w:t>NJXN-24077-FW</w:t>
      </w:r>
    </w:p>
    <w:tbl>
      <w:tblPr>
        <w:tblStyle w:val="29"/>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371"/>
        <w:gridCol w:w="1701"/>
      </w:tblGrid>
      <w:tr w14:paraId="1B9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844" w:type="dxa"/>
            <w:gridSpan w:val="2"/>
            <w:tcBorders>
              <w:top w:val="single" w:color="auto" w:sz="4" w:space="0"/>
              <w:left w:val="single" w:color="auto" w:sz="4" w:space="0"/>
              <w:bottom w:val="single" w:color="auto" w:sz="4" w:space="0"/>
              <w:right w:val="single" w:color="auto" w:sz="4" w:space="0"/>
            </w:tcBorders>
            <w:vAlign w:val="center"/>
          </w:tcPr>
          <w:p w14:paraId="191F87C8">
            <w:pPr>
              <w:pStyle w:val="7"/>
              <w:spacing w:line="560" w:lineRule="exact"/>
              <w:ind w:firstLine="0"/>
              <w:jc w:val="center"/>
              <w:rPr>
                <w:rFonts w:ascii="宋体" w:hAnsi="宋体"/>
                <w:color w:val="auto"/>
                <w:highlight w:val="none"/>
              </w:rPr>
            </w:pPr>
            <w:r>
              <w:rPr>
                <w:rFonts w:hint="eastAsia" w:ascii="宋体" w:hAnsi="宋体"/>
                <w:color w:val="auto"/>
                <w:highlight w:val="none"/>
              </w:rPr>
              <w:t>报价情况</w:t>
            </w:r>
          </w:p>
        </w:tc>
        <w:tc>
          <w:tcPr>
            <w:tcW w:w="1701" w:type="dxa"/>
            <w:tcBorders>
              <w:top w:val="single" w:color="auto" w:sz="4" w:space="0"/>
              <w:left w:val="single" w:color="auto" w:sz="4" w:space="0"/>
              <w:bottom w:val="single" w:color="auto" w:sz="4" w:space="0"/>
              <w:right w:val="single" w:color="auto" w:sz="4" w:space="0"/>
            </w:tcBorders>
            <w:vAlign w:val="center"/>
          </w:tcPr>
          <w:p w14:paraId="61E95734">
            <w:pPr>
              <w:pStyle w:val="7"/>
              <w:spacing w:line="560" w:lineRule="exact"/>
              <w:ind w:firstLine="0"/>
              <w:jc w:val="center"/>
              <w:rPr>
                <w:rFonts w:ascii="宋体" w:hAnsi="宋体"/>
                <w:color w:val="auto"/>
                <w:highlight w:val="none"/>
              </w:rPr>
            </w:pPr>
            <w:r>
              <w:rPr>
                <w:rFonts w:hint="eastAsia" w:ascii="宋体" w:hAnsi="宋体"/>
                <w:color w:val="auto"/>
                <w:highlight w:val="none"/>
              </w:rPr>
              <w:t>备注</w:t>
            </w:r>
          </w:p>
        </w:tc>
      </w:tr>
      <w:tr w14:paraId="1010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7ACA804">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响应报价（结算比例）</w:t>
            </w:r>
          </w:p>
        </w:tc>
        <w:tc>
          <w:tcPr>
            <w:tcW w:w="6371" w:type="dxa"/>
            <w:tcBorders>
              <w:top w:val="single" w:color="auto" w:sz="4" w:space="0"/>
              <w:left w:val="single" w:color="auto" w:sz="4" w:space="0"/>
              <w:bottom w:val="single" w:color="auto" w:sz="4" w:space="0"/>
              <w:right w:val="single" w:color="auto" w:sz="4" w:space="0"/>
            </w:tcBorders>
            <w:vAlign w:val="center"/>
          </w:tcPr>
          <w:p w14:paraId="421D1CF3">
            <w:pPr>
              <w:jc w:val="center"/>
              <w:rPr>
                <w:color w:val="auto"/>
                <w:kern w:val="0"/>
                <w:szCs w:val="21"/>
                <w:highlight w:val="none"/>
                <w:lang w:val="zh-CN"/>
              </w:rPr>
            </w:pPr>
            <w:r>
              <w:rPr>
                <w:rFonts w:hint="eastAsia"/>
                <w:color w:val="auto"/>
                <w:kern w:val="0"/>
                <w:szCs w:val="21"/>
                <w:highlight w:val="none"/>
                <w:lang w:val="zh-CN"/>
              </w:rPr>
              <w:t>门诊检验</w:t>
            </w:r>
            <w:r>
              <w:rPr>
                <w:rFonts w:hint="eastAsia"/>
                <w:color w:val="auto"/>
                <w:kern w:val="0"/>
                <w:szCs w:val="21"/>
                <w:highlight w:val="none"/>
              </w:rPr>
              <w:t>:</w:t>
            </w:r>
            <w:r>
              <w:rPr>
                <w:rFonts w:hint="eastAsia"/>
                <w:color w:val="auto"/>
                <w:kern w:val="0"/>
                <w:szCs w:val="21"/>
                <w:highlight w:val="none"/>
                <w:lang w:val="zh-CN"/>
              </w:rPr>
              <w:t>实际收费的</w:t>
            </w:r>
            <w:r>
              <w:rPr>
                <w:rFonts w:hint="eastAsia"/>
                <w:color w:val="auto"/>
                <w:kern w:val="0"/>
                <w:szCs w:val="21"/>
                <w:highlight w:val="none"/>
                <w:u w:val="single"/>
                <w:lang w:val="zh-CN"/>
              </w:rPr>
              <w:t xml:space="preserve">    </w:t>
            </w:r>
            <w:r>
              <w:rPr>
                <w:rFonts w:hint="eastAsia"/>
                <w:color w:val="auto"/>
                <w:kern w:val="0"/>
                <w:szCs w:val="21"/>
                <w:highlight w:val="none"/>
                <w:lang w:val="zh-CN"/>
              </w:rPr>
              <w:t>%</w:t>
            </w:r>
          </w:p>
          <w:p w14:paraId="3A88A591">
            <w:pPr>
              <w:jc w:val="center"/>
              <w:rPr>
                <w:color w:val="auto"/>
                <w:kern w:val="0"/>
                <w:szCs w:val="21"/>
                <w:highlight w:val="none"/>
                <w:lang w:val="zh-CN"/>
              </w:rPr>
            </w:pPr>
            <w:r>
              <w:rPr>
                <w:rFonts w:hint="eastAsia"/>
                <w:color w:val="auto"/>
                <w:kern w:val="0"/>
                <w:szCs w:val="21"/>
                <w:highlight w:val="none"/>
                <w:lang w:val="zh-CN"/>
              </w:rPr>
              <w:t>体检检验</w:t>
            </w:r>
            <w:r>
              <w:rPr>
                <w:rFonts w:hint="eastAsia"/>
                <w:color w:val="auto"/>
                <w:kern w:val="0"/>
                <w:szCs w:val="21"/>
                <w:highlight w:val="none"/>
              </w:rPr>
              <w:t>:</w:t>
            </w:r>
            <w:r>
              <w:rPr>
                <w:rFonts w:hint="eastAsia"/>
                <w:color w:val="auto"/>
                <w:kern w:val="0"/>
                <w:szCs w:val="21"/>
                <w:highlight w:val="none"/>
                <w:lang w:val="zh-CN"/>
              </w:rPr>
              <w:t>实际收费的</w:t>
            </w:r>
            <w:r>
              <w:rPr>
                <w:rFonts w:hint="eastAsia"/>
                <w:color w:val="auto"/>
                <w:kern w:val="0"/>
                <w:szCs w:val="21"/>
                <w:highlight w:val="none"/>
                <w:u w:val="single"/>
                <w:lang w:val="zh-CN"/>
              </w:rPr>
              <w:t xml:space="preserve">    </w:t>
            </w:r>
            <w:r>
              <w:rPr>
                <w:rFonts w:hint="eastAsia"/>
                <w:color w:val="auto"/>
                <w:kern w:val="0"/>
                <w:szCs w:val="21"/>
                <w:highlight w:val="none"/>
                <w:lang w:val="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3B868347">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r w14:paraId="1847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4380998E">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服务时间/交付使用时间</w:t>
            </w:r>
          </w:p>
        </w:tc>
        <w:tc>
          <w:tcPr>
            <w:tcW w:w="6371" w:type="dxa"/>
            <w:tcBorders>
              <w:top w:val="single" w:color="auto" w:sz="4" w:space="0"/>
              <w:left w:val="single" w:color="auto" w:sz="4" w:space="0"/>
              <w:bottom w:val="single" w:color="auto" w:sz="4" w:space="0"/>
              <w:right w:val="single" w:color="auto" w:sz="4" w:space="0"/>
            </w:tcBorders>
            <w:vAlign w:val="center"/>
          </w:tcPr>
          <w:p w14:paraId="4A88FE46">
            <w:pPr>
              <w:pStyle w:val="7"/>
              <w:tabs>
                <w:tab w:val="left" w:pos="3624"/>
              </w:tabs>
              <w:spacing w:line="560" w:lineRule="exact"/>
              <w:ind w:firstLine="472" w:firstLineChars="225"/>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u w:val="single"/>
                <w:lang w:val="zh-CN"/>
              </w:rPr>
              <w:t>满足磋商文件要求。</w:t>
            </w:r>
          </w:p>
        </w:tc>
        <w:tc>
          <w:tcPr>
            <w:tcW w:w="1701" w:type="dxa"/>
            <w:tcBorders>
              <w:top w:val="single" w:color="auto" w:sz="4" w:space="0"/>
              <w:left w:val="single" w:color="auto" w:sz="4" w:space="0"/>
              <w:bottom w:val="single" w:color="auto" w:sz="4" w:space="0"/>
              <w:right w:val="single" w:color="auto" w:sz="4" w:space="0"/>
            </w:tcBorders>
            <w:vAlign w:val="center"/>
          </w:tcPr>
          <w:p w14:paraId="68197361">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r w14:paraId="3753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E48EAC7">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lang w:val="zh-CN"/>
              </w:rPr>
              <w:t>磋商标的是否全部由小微企业提供</w:t>
            </w:r>
          </w:p>
        </w:tc>
        <w:tc>
          <w:tcPr>
            <w:tcW w:w="6371" w:type="dxa"/>
            <w:tcBorders>
              <w:top w:val="single" w:color="auto" w:sz="4" w:space="0"/>
              <w:left w:val="single" w:color="auto" w:sz="4" w:space="0"/>
              <w:bottom w:val="single" w:color="auto" w:sz="4" w:space="0"/>
              <w:right w:val="single" w:color="auto" w:sz="4" w:space="0"/>
            </w:tcBorders>
            <w:vAlign w:val="center"/>
          </w:tcPr>
          <w:p w14:paraId="7CE3C923">
            <w:pPr>
              <w:pStyle w:val="7"/>
              <w:spacing w:line="560" w:lineRule="exact"/>
              <w:ind w:firstLine="1942" w:firstLineChars="925"/>
              <w:rPr>
                <w:rFonts w:asciiTheme="minorHAnsi" w:hAnsiTheme="minorHAnsi" w:eastAsiaTheme="minorEastAsia" w:cstheme="minorBidi"/>
                <w:b w:val="0"/>
                <w:color w:val="auto"/>
                <w:kern w:val="0"/>
                <w:sz w:val="21"/>
                <w:szCs w:val="21"/>
                <w:highlight w:val="none"/>
                <w:lang w:val="zh-CN"/>
              </w:rPr>
            </w:pPr>
            <w:r>
              <w:rPr>
                <w:rFonts w:hint="eastAsia" w:asciiTheme="minorHAnsi" w:hAnsiTheme="minorHAnsi" w:eastAsiaTheme="minorEastAsia" w:cstheme="minorBidi"/>
                <w:b w:val="0"/>
                <w:color w:val="auto"/>
                <w:kern w:val="0"/>
                <w:sz w:val="21"/>
                <w:szCs w:val="21"/>
                <w:highlight w:val="none"/>
                <w:u w:val="single"/>
                <w:lang w:val="zh-CN"/>
              </w:rPr>
              <w:t xml:space="preserve">                    （填写“是”或“否）</w:t>
            </w:r>
          </w:p>
        </w:tc>
        <w:tc>
          <w:tcPr>
            <w:tcW w:w="1701" w:type="dxa"/>
            <w:tcBorders>
              <w:top w:val="single" w:color="auto" w:sz="4" w:space="0"/>
              <w:left w:val="single" w:color="auto" w:sz="4" w:space="0"/>
              <w:bottom w:val="single" w:color="auto" w:sz="4" w:space="0"/>
              <w:right w:val="single" w:color="auto" w:sz="4" w:space="0"/>
            </w:tcBorders>
            <w:vAlign w:val="center"/>
          </w:tcPr>
          <w:p w14:paraId="208F6744">
            <w:pPr>
              <w:pStyle w:val="7"/>
              <w:spacing w:line="560" w:lineRule="exact"/>
              <w:ind w:firstLine="0"/>
              <w:jc w:val="center"/>
              <w:rPr>
                <w:rFonts w:asciiTheme="minorHAnsi" w:hAnsiTheme="minorHAnsi" w:eastAsiaTheme="minorEastAsia" w:cstheme="minorBidi"/>
                <w:b w:val="0"/>
                <w:color w:val="auto"/>
                <w:kern w:val="0"/>
                <w:sz w:val="21"/>
                <w:szCs w:val="21"/>
                <w:highlight w:val="none"/>
                <w:lang w:val="zh-CN"/>
              </w:rPr>
            </w:pPr>
          </w:p>
        </w:tc>
      </w:tr>
    </w:tbl>
    <w:p w14:paraId="3E626421">
      <w:pPr>
        <w:pStyle w:val="37"/>
        <w:rPr>
          <w:rStyle w:val="67"/>
          <w:rFonts w:ascii="仿宋" w:hAnsi="仿宋" w:eastAsia="仿宋" w:cs="仿宋"/>
          <w:color w:val="auto"/>
          <w:kern w:val="0"/>
          <w:sz w:val="24"/>
          <w:highlight w:val="none"/>
          <w:lang w:val="zh-CN"/>
        </w:rPr>
      </w:pPr>
    </w:p>
    <w:p w14:paraId="24F8280E">
      <w:pPr>
        <w:rPr>
          <w:rStyle w:val="67"/>
          <w:rFonts w:ascii="仿宋" w:hAnsi="仿宋" w:eastAsia="仿宋" w:cs="仿宋"/>
          <w:color w:val="auto"/>
          <w:kern w:val="0"/>
          <w:sz w:val="24"/>
          <w:highlight w:val="none"/>
          <w:lang w:val="zh-CN"/>
        </w:rPr>
      </w:pPr>
    </w:p>
    <w:p w14:paraId="6EB08DA6">
      <w:pPr>
        <w:spacing w:line="360" w:lineRule="auto"/>
        <w:jc w:val="right"/>
        <w:rPr>
          <w:rFonts w:ascii="仿宋" w:hAnsi="仿宋" w:eastAsia="仿宋" w:cs="仿宋"/>
          <w:color w:val="auto"/>
          <w:kern w:val="0"/>
          <w:sz w:val="24"/>
          <w:highlight w:val="none"/>
          <w:lang w:val="zh-CN"/>
        </w:rPr>
      </w:pPr>
      <w:r>
        <w:rPr>
          <w:rStyle w:val="67"/>
          <w:rFonts w:hint="eastAsia" w:ascii="仿宋" w:hAnsi="仿宋" w:eastAsia="仿宋" w:cs="仿宋"/>
          <w:color w:val="auto"/>
          <w:kern w:val="0"/>
          <w:sz w:val="24"/>
          <w:highlight w:val="none"/>
          <w:lang w:val="zh-CN"/>
        </w:rPr>
        <w:t>供应商名称：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41476696">
      <w:pPr>
        <w:pStyle w:val="37"/>
        <w:rPr>
          <w:rStyle w:val="67"/>
          <w:rFonts w:ascii="仿宋" w:hAnsi="仿宋" w:eastAsia="仿宋" w:cs="仿宋"/>
          <w:color w:val="auto"/>
          <w:kern w:val="0"/>
          <w:sz w:val="24"/>
          <w:highlight w:val="none"/>
          <w:lang w:val="zh-CN"/>
        </w:rPr>
      </w:pPr>
    </w:p>
    <w:p w14:paraId="4EC5A8B5">
      <w:pPr>
        <w:rPr>
          <w:rStyle w:val="67"/>
          <w:rFonts w:ascii="仿宋" w:hAnsi="仿宋" w:eastAsia="仿宋" w:cs="仿宋"/>
          <w:color w:val="auto"/>
          <w:kern w:val="0"/>
          <w:sz w:val="24"/>
          <w:highlight w:val="none"/>
          <w:lang w:val="zh-CN"/>
        </w:rPr>
      </w:pPr>
    </w:p>
    <w:p w14:paraId="384C59B2">
      <w:pPr>
        <w:pStyle w:val="37"/>
        <w:rPr>
          <w:rStyle w:val="67"/>
          <w:rFonts w:ascii="仿宋" w:hAnsi="仿宋" w:eastAsia="仿宋" w:cs="仿宋"/>
          <w:color w:val="auto"/>
          <w:kern w:val="0"/>
          <w:sz w:val="24"/>
          <w:highlight w:val="none"/>
          <w:lang w:val="zh-CN"/>
        </w:rPr>
      </w:pPr>
    </w:p>
    <w:p w14:paraId="6C81655B">
      <w:pPr>
        <w:rPr>
          <w:rStyle w:val="67"/>
          <w:rFonts w:ascii="仿宋" w:hAnsi="仿宋" w:eastAsia="仿宋" w:cs="仿宋"/>
          <w:color w:val="auto"/>
          <w:kern w:val="0"/>
          <w:sz w:val="24"/>
          <w:highlight w:val="none"/>
          <w:lang w:val="zh-CN"/>
        </w:rPr>
      </w:pPr>
    </w:p>
    <w:p w14:paraId="2A201130">
      <w:pPr>
        <w:pStyle w:val="37"/>
        <w:rPr>
          <w:rStyle w:val="67"/>
          <w:rFonts w:ascii="仿宋" w:hAnsi="仿宋" w:eastAsia="仿宋" w:cs="仿宋"/>
          <w:color w:val="auto"/>
          <w:kern w:val="0"/>
          <w:sz w:val="24"/>
          <w:highlight w:val="none"/>
          <w:lang w:val="zh-CN"/>
        </w:rPr>
      </w:pPr>
    </w:p>
    <w:p w14:paraId="5C33D8DB">
      <w:pPr>
        <w:rPr>
          <w:rStyle w:val="67"/>
          <w:rFonts w:ascii="仿宋" w:hAnsi="仿宋" w:eastAsia="仿宋" w:cs="仿宋"/>
          <w:color w:val="auto"/>
          <w:kern w:val="0"/>
          <w:sz w:val="24"/>
          <w:highlight w:val="none"/>
          <w:lang w:val="zh-CN"/>
        </w:rPr>
      </w:pPr>
    </w:p>
    <w:p w14:paraId="7C444E79">
      <w:pPr>
        <w:pStyle w:val="37"/>
        <w:rPr>
          <w:rStyle w:val="67"/>
          <w:rFonts w:ascii="仿宋" w:hAnsi="仿宋" w:eastAsia="仿宋" w:cs="仿宋"/>
          <w:color w:val="auto"/>
          <w:kern w:val="0"/>
          <w:sz w:val="24"/>
          <w:highlight w:val="none"/>
          <w:lang w:val="zh-CN"/>
        </w:rPr>
      </w:pPr>
    </w:p>
    <w:p w14:paraId="1949BC49">
      <w:pPr>
        <w:rPr>
          <w:rStyle w:val="67"/>
          <w:rFonts w:ascii="仿宋" w:hAnsi="仿宋" w:eastAsia="仿宋" w:cs="仿宋"/>
          <w:color w:val="auto"/>
          <w:kern w:val="0"/>
          <w:sz w:val="24"/>
          <w:highlight w:val="none"/>
          <w:lang w:val="zh-CN"/>
        </w:rPr>
      </w:pPr>
    </w:p>
    <w:p w14:paraId="2ECDF78E">
      <w:pPr>
        <w:pStyle w:val="37"/>
        <w:rPr>
          <w:rStyle w:val="67"/>
          <w:rFonts w:ascii="仿宋" w:hAnsi="仿宋" w:eastAsia="仿宋" w:cs="仿宋"/>
          <w:color w:val="auto"/>
          <w:kern w:val="0"/>
          <w:sz w:val="24"/>
          <w:highlight w:val="none"/>
          <w:lang w:val="zh-CN"/>
        </w:rPr>
      </w:pPr>
    </w:p>
    <w:p w14:paraId="534383C5">
      <w:pPr>
        <w:rPr>
          <w:rStyle w:val="67"/>
          <w:rFonts w:ascii="仿宋" w:hAnsi="仿宋" w:eastAsia="仿宋" w:cs="仿宋"/>
          <w:color w:val="auto"/>
          <w:kern w:val="0"/>
          <w:sz w:val="24"/>
          <w:highlight w:val="none"/>
          <w:lang w:val="zh-CN"/>
        </w:rPr>
      </w:pPr>
    </w:p>
    <w:p w14:paraId="0FDCFE28">
      <w:pPr>
        <w:pStyle w:val="37"/>
        <w:rPr>
          <w:rStyle w:val="67"/>
          <w:rFonts w:ascii="仿宋" w:hAnsi="仿宋" w:eastAsia="仿宋" w:cs="仿宋"/>
          <w:color w:val="auto"/>
          <w:kern w:val="0"/>
          <w:sz w:val="24"/>
          <w:highlight w:val="none"/>
          <w:lang w:val="zh-CN"/>
        </w:rPr>
      </w:pPr>
    </w:p>
    <w:p w14:paraId="6664E01B">
      <w:pPr>
        <w:rPr>
          <w:rStyle w:val="67"/>
          <w:rFonts w:ascii="仿宋" w:hAnsi="仿宋" w:eastAsia="仿宋" w:cs="仿宋"/>
          <w:color w:val="auto"/>
          <w:kern w:val="0"/>
          <w:sz w:val="24"/>
          <w:highlight w:val="none"/>
          <w:lang w:val="zh-CN"/>
        </w:rPr>
      </w:pPr>
    </w:p>
    <w:p w14:paraId="383228A5">
      <w:pPr>
        <w:pStyle w:val="37"/>
        <w:rPr>
          <w:rStyle w:val="67"/>
          <w:rFonts w:ascii="仿宋" w:hAnsi="仿宋" w:eastAsia="仿宋" w:cs="仿宋"/>
          <w:color w:val="auto"/>
          <w:kern w:val="0"/>
          <w:sz w:val="24"/>
          <w:highlight w:val="none"/>
          <w:lang w:val="zh-CN"/>
        </w:rPr>
      </w:pPr>
    </w:p>
    <w:p w14:paraId="5014EA15">
      <w:pPr>
        <w:rPr>
          <w:rStyle w:val="67"/>
          <w:rFonts w:ascii="仿宋" w:hAnsi="仿宋" w:eastAsia="仿宋" w:cs="仿宋"/>
          <w:color w:val="auto"/>
          <w:kern w:val="0"/>
          <w:sz w:val="24"/>
          <w:highlight w:val="none"/>
          <w:lang w:val="zh-CN"/>
        </w:rPr>
      </w:pPr>
    </w:p>
    <w:p w14:paraId="76E9B2B7">
      <w:pPr>
        <w:pStyle w:val="37"/>
        <w:rPr>
          <w:rStyle w:val="67"/>
          <w:rFonts w:ascii="仿宋" w:hAnsi="仿宋" w:eastAsia="仿宋" w:cs="仿宋"/>
          <w:color w:val="auto"/>
          <w:kern w:val="0"/>
          <w:sz w:val="24"/>
          <w:highlight w:val="none"/>
          <w:lang w:val="zh-CN"/>
        </w:rPr>
      </w:pPr>
    </w:p>
    <w:p w14:paraId="79551720">
      <w:pPr>
        <w:rPr>
          <w:rStyle w:val="67"/>
          <w:rFonts w:ascii="仿宋" w:hAnsi="仿宋" w:eastAsia="仿宋" w:cs="仿宋"/>
          <w:color w:val="auto"/>
          <w:kern w:val="0"/>
          <w:sz w:val="24"/>
          <w:highlight w:val="none"/>
          <w:lang w:val="zh-CN"/>
        </w:rPr>
      </w:pPr>
    </w:p>
    <w:p w14:paraId="15952F90">
      <w:pPr>
        <w:pStyle w:val="37"/>
        <w:rPr>
          <w:rStyle w:val="67"/>
          <w:rFonts w:ascii="仿宋" w:hAnsi="仿宋" w:eastAsia="仿宋" w:cs="仿宋"/>
          <w:color w:val="auto"/>
          <w:kern w:val="0"/>
          <w:sz w:val="24"/>
          <w:highlight w:val="none"/>
          <w:lang w:val="zh-CN"/>
        </w:rPr>
      </w:pPr>
    </w:p>
    <w:p w14:paraId="090161CA">
      <w:pPr>
        <w:rPr>
          <w:rStyle w:val="67"/>
          <w:rFonts w:ascii="仿宋" w:hAnsi="仿宋" w:eastAsia="仿宋" w:cs="仿宋"/>
          <w:color w:val="auto"/>
          <w:kern w:val="0"/>
          <w:sz w:val="24"/>
          <w:highlight w:val="none"/>
          <w:lang w:val="zh-CN"/>
        </w:rPr>
      </w:pPr>
    </w:p>
    <w:p w14:paraId="7E5D362C">
      <w:pPr>
        <w:pStyle w:val="37"/>
        <w:rPr>
          <w:rStyle w:val="67"/>
          <w:rFonts w:ascii="仿宋" w:hAnsi="仿宋" w:eastAsia="仿宋" w:cs="仿宋"/>
          <w:color w:val="auto"/>
          <w:kern w:val="0"/>
          <w:sz w:val="24"/>
          <w:highlight w:val="none"/>
          <w:lang w:val="zh-CN"/>
        </w:rPr>
      </w:pPr>
    </w:p>
    <w:p w14:paraId="755E9502">
      <w:pPr>
        <w:rPr>
          <w:rStyle w:val="67"/>
          <w:rFonts w:ascii="仿宋" w:hAnsi="仿宋" w:eastAsia="仿宋" w:cs="仿宋"/>
          <w:color w:val="auto"/>
          <w:kern w:val="0"/>
          <w:sz w:val="24"/>
          <w:highlight w:val="none"/>
          <w:lang w:val="zh-CN"/>
        </w:rPr>
      </w:pPr>
    </w:p>
    <w:p w14:paraId="50A30CC4">
      <w:pPr>
        <w:pStyle w:val="37"/>
        <w:rPr>
          <w:rStyle w:val="67"/>
          <w:rFonts w:ascii="仿宋" w:hAnsi="仿宋" w:eastAsia="仿宋" w:cs="仿宋"/>
          <w:color w:val="auto"/>
          <w:kern w:val="0"/>
          <w:sz w:val="24"/>
          <w:highlight w:val="none"/>
          <w:lang w:val="zh-CN"/>
        </w:rPr>
      </w:pPr>
    </w:p>
    <w:p w14:paraId="0826A79A">
      <w:pPr>
        <w:rPr>
          <w:rStyle w:val="67"/>
          <w:rFonts w:ascii="仿宋" w:hAnsi="仿宋" w:eastAsia="仿宋" w:cs="仿宋"/>
          <w:color w:val="auto"/>
          <w:kern w:val="0"/>
          <w:sz w:val="24"/>
          <w:highlight w:val="none"/>
          <w:lang w:val="zh-CN"/>
        </w:rPr>
      </w:pPr>
    </w:p>
    <w:p w14:paraId="7ED735BF">
      <w:pPr>
        <w:pStyle w:val="37"/>
        <w:rPr>
          <w:rStyle w:val="67"/>
          <w:rFonts w:ascii="仿宋" w:hAnsi="仿宋" w:eastAsia="仿宋" w:cs="仿宋"/>
          <w:color w:val="auto"/>
          <w:kern w:val="0"/>
          <w:sz w:val="24"/>
          <w:highlight w:val="none"/>
          <w:lang w:val="zh-CN"/>
        </w:rPr>
      </w:pPr>
    </w:p>
    <w:p w14:paraId="7E735CC0">
      <w:pPr>
        <w:rPr>
          <w:rStyle w:val="67"/>
          <w:rFonts w:ascii="仿宋" w:hAnsi="仿宋" w:eastAsia="仿宋" w:cs="仿宋"/>
          <w:color w:val="auto"/>
          <w:kern w:val="0"/>
          <w:sz w:val="24"/>
          <w:highlight w:val="none"/>
          <w:lang w:val="zh-CN"/>
        </w:rPr>
      </w:pPr>
    </w:p>
    <w:p w14:paraId="7B8CF3A6">
      <w:pPr>
        <w:pStyle w:val="37"/>
        <w:rPr>
          <w:rStyle w:val="67"/>
          <w:rFonts w:ascii="仿宋" w:hAnsi="仿宋" w:eastAsia="仿宋" w:cs="仿宋"/>
          <w:color w:val="auto"/>
          <w:kern w:val="0"/>
          <w:sz w:val="24"/>
          <w:highlight w:val="none"/>
          <w:lang w:val="zh-CN"/>
        </w:rPr>
      </w:pPr>
    </w:p>
    <w:p w14:paraId="3B067B9D">
      <w:pPr>
        <w:rPr>
          <w:rStyle w:val="67"/>
          <w:rFonts w:ascii="仿宋" w:hAnsi="仿宋" w:eastAsia="仿宋" w:cs="仿宋"/>
          <w:color w:val="auto"/>
          <w:kern w:val="0"/>
          <w:sz w:val="24"/>
          <w:highlight w:val="none"/>
          <w:lang w:val="zh-CN"/>
        </w:rPr>
      </w:pPr>
    </w:p>
    <w:p w14:paraId="1887C509">
      <w:pPr>
        <w:pStyle w:val="37"/>
        <w:rPr>
          <w:rStyle w:val="67"/>
          <w:rFonts w:ascii="仿宋" w:hAnsi="仿宋" w:eastAsia="仿宋" w:cs="仿宋"/>
          <w:color w:val="auto"/>
          <w:kern w:val="0"/>
          <w:sz w:val="24"/>
          <w:highlight w:val="none"/>
          <w:lang w:val="zh-CN"/>
        </w:rPr>
      </w:pPr>
    </w:p>
    <w:p w14:paraId="7841EE80">
      <w:pPr>
        <w:pStyle w:val="37"/>
        <w:rPr>
          <w:color w:val="auto"/>
          <w:highlight w:val="none"/>
          <w:lang w:val="zh-CN"/>
        </w:rPr>
      </w:pPr>
    </w:p>
    <w:p w14:paraId="2E801E09">
      <w:pPr>
        <w:spacing w:line="360" w:lineRule="auto"/>
        <w:outlineLvl w:val="2"/>
        <w:rPr>
          <w:rFonts w:ascii="仿宋" w:hAnsi="仿宋" w:eastAsia="仿宋" w:cs="仿宋"/>
          <w:b/>
          <w:bCs/>
          <w:color w:val="auto"/>
          <w:sz w:val="22"/>
          <w:highlight w:val="none"/>
        </w:rPr>
      </w:pPr>
      <w:bookmarkStart w:id="80" w:name="_Toc728"/>
      <w:bookmarkStart w:id="81" w:name="_Toc11246"/>
      <w:bookmarkStart w:id="82" w:name="_Toc13828"/>
      <w:bookmarkStart w:id="83" w:name="_Toc2399"/>
      <w:r>
        <w:rPr>
          <w:rFonts w:hint="eastAsia" w:ascii="仿宋" w:hAnsi="仿宋" w:eastAsia="仿宋" w:cs="仿宋"/>
          <w:b/>
          <w:bCs/>
          <w:color w:val="auto"/>
          <w:sz w:val="22"/>
          <w:highlight w:val="none"/>
        </w:rPr>
        <w:t>目录五、资格性和符合性审查响应对照表</w:t>
      </w:r>
      <w:bookmarkEnd w:id="80"/>
      <w:bookmarkEnd w:id="81"/>
      <w:bookmarkEnd w:id="82"/>
      <w:bookmarkEnd w:id="83"/>
    </w:p>
    <w:p w14:paraId="6EBBE10D">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资格性和符合性审查响应对照表</w:t>
      </w:r>
    </w:p>
    <w:p w14:paraId="23FE0892">
      <w:pPr>
        <w:jc w:val="left"/>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szCs w:val="24"/>
          <w:highlight w:val="none"/>
        </w:rPr>
        <w:t>南京市雨花台区妇幼保健所2025年外送检验服务项目</w:t>
      </w:r>
    </w:p>
    <w:p w14:paraId="0C674452">
      <w:pPr>
        <w:pStyle w:val="37"/>
        <w:ind w:firstLine="0"/>
        <w:rPr>
          <w:rFonts w:eastAsia="仿宋"/>
          <w:color w:val="auto"/>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rPr>
        <w:t>NJXN-24077-FW</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3446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7FA7617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063" w:type="dxa"/>
            <w:vAlign w:val="center"/>
          </w:tcPr>
          <w:p w14:paraId="7737B10F">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资格性审查响应内容</w:t>
            </w:r>
          </w:p>
        </w:tc>
        <w:tc>
          <w:tcPr>
            <w:tcW w:w="1842" w:type="dxa"/>
            <w:vAlign w:val="center"/>
          </w:tcPr>
          <w:p w14:paraId="1652BE1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是否响应</w:t>
            </w:r>
          </w:p>
          <w:p w14:paraId="5B73BDE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（填是或者否）</w:t>
            </w:r>
          </w:p>
        </w:tc>
        <w:tc>
          <w:tcPr>
            <w:tcW w:w="1888" w:type="dxa"/>
            <w:vAlign w:val="center"/>
          </w:tcPr>
          <w:p w14:paraId="598CF35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响应文件中的</w:t>
            </w:r>
          </w:p>
          <w:p w14:paraId="1C431E8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页码位置</w:t>
            </w:r>
          </w:p>
        </w:tc>
      </w:tr>
      <w:tr w14:paraId="0327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22DF11E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063" w:type="dxa"/>
            <w:vAlign w:val="center"/>
          </w:tcPr>
          <w:p w14:paraId="2A06D077">
            <w:pPr>
              <w:rPr>
                <w:rFonts w:ascii="仿宋" w:hAnsi="仿宋" w:eastAsia="仿宋" w:cs="仿宋"/>
                <w:color w:val="auto"/>
                <w:sz w:val="24"/>
                <w:szCs w:val="24"/>
                <w:highlight w:val="none"/>
              </w:rPr>
            </w:pPr>
          </w:p>
        </w:tc>
        <w:tc>
          <w:tcPr>
            <w:tcW w:w="1842" w:type="dxa"/>
            <w:vAlign w:val="center"/>
          </w:tcPr>
          <w:p w14:paraId="0E8F228C">
            <w:pPr>
              <w:jc w:val="center"/>
              <w:rPr>
                <w:rFonts w:ascii="仿宋" w:hAnsi="仿宋" w:eastAsia="仿宋" w:cs="仿宋"/>
                <w:color w:val="auto"/>
                <w:sz w:val="24"/>
                <w:szCs w:val="24"/>
                <w:highlight w:val="none"/>
              </w:rPr>
            </w:pPr>
          </w:p>
        </w:tc>
        <w:tc>
          <w:tcPr>
            <w:tcW w:w="1888" w:type="dxa"/>
            <w:vAlign w:val="center"/>
          </w:tcPr>
          <w:p w14:paraId="578AD963">
            <w:pPr>
              <w:jc w:val="center"/>
              <w:rPr>
                <w:rFonts w:ascii="仿宋" w:hAnsi="仿宋" w:eastAsia="仿宋" w:cs="仿宋"/>
                <w:color w:val="auto"/>
                <w:sz w:val="24"/>
                <w:szCs w:val="24"/>
                <w:highlight w:val="none"/>
              </w:rPr>
            </w:pPr>
          </w:p>
        </w:tc>
      </w:tr>
      <w:tr w14:paraId="6667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35FFB8C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063" w:type="dxa"/>
            <w:vAlign w:val="center"/>
          </w:tcPr>
          <w:p w14:paraId="5BA26455">
            <w:pPr>
              <w:rPr>
                <w:rFonts w:ascii="仿宋" w:hAnsi="仿宋" w:eastAsia="仿宋" w:cs="仿宋"/>
                <w:color w:val="auto"/>
                <w:sz w:val="24"/>
                <w:szCs w:val="24"/>
                <w:highlight w:val="none"/>
              </w:rPr>
            </w:pPr>
          </w:p>
        </w:tc>
        <w:tc>
          <w:tcPr>
            <w:tcW w:w="1842" w:type="dxa"/>
            <w:vAlign w:val="center"/>
          </w:tcPr>
          <w:p w14:paraId="215A72B4">
            <w:pPr>
              <w:jc w:val="center"/>
              <w:rPr>
                <w:rFonts w:ascii="仿宋" w:hAnsi="仿宋" w:eastAsia="仿宋" w:cs="仿宋"/>
                <w:color w:val="auto"/>
                <w:sz w:val="24"/>
                <w:szCs w:val="24"/>
                <w:highlight w:val="none"/>
              </w:rPr>
            </w:pPr>
          </w:p>
        </w:tc>
        <w:tc>
          <w:tcPr>
            <w:tcW w:w="1888" w:type="dxa"/>
            <w:vAlign w:val="center"/>
          </w:tcPr>
          <w:p w14:paraId="3C91325C">
            <w:pPr>
              <w:jc w:val="center"/>
              <w:rPr>
                <w:rFonts w:ascii="仿宋" w:hAnsi="仿宋" w:eastAsia="仿宋" w:cs="仿宋"/>
                <w:color w:val="auto"/>
                <w:sz w:val="24"/>
                <w:szCs w:val="24"/>
                <w:highlight w:val="none"/>
              </w:rPr>
            </w:pPr>
          </w:p>
        </w:tc>
      </w:tr>
      <w:tr w14:paraId="0A8E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6F3A594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063" w:type="dxa"/>
            <w:vAlign w:val="center"/>
          </w:tcPr>
          <w:p w14:paraId="0498A158">
            <w:pPr>
              <w:rPr>
                <w:rFonts w:ascii="仿宋" w:hAnsi="仿宋" w:eastAsia="仿宋" w:cs="仿宋"/>
                <w:color w:val="auto"/>
                <w:sz w:val="24"/>
                <w:szCs w:val="24"/>
                <w:highlight w:val="none"/>
              </w:rPr>
            </w:pPr>
          </w:p>
        </w:tc>
        <w:tc>
          <w:tcPr>
            <w:tcW w:w="1842" w:type="dxa"/>
            <w:vAlign w:val="center"/>
          </w:tcPr>
          <w:p w14:paraId="7FB95180">
            <w:pPr>
              <w:jc w:val="center"/>
              <w:rPr>
                <w:rFonts w:ascii="仿宋" w:hAnsi="仿宋" w:eastAsia="仿宋" w:cs="仿宋"/>
                <w:color w:val="auto"/>
                <w:sz w:val="24"/>
                <w:szCs w:val="24"/>
                <w:highlight w:val="none"/>
              </w:rPr>
            </w:pPr>
          </w:p>
        </w:tc>
        <w:tc>
          <w:tcPr>
            <w:tcW w:w="1888" w:type="dxa"/>
            <w:vAlign w:val="center"/>
          </w:tcPr>
          <w:p w14:paraId="69984B4D">
            <w:pPr>
              <w:jc w:val="center"/>
              <w:rPr>
                <w:rFonts w:ascii="仿宋" w:hAnsi="仿宋" w:eastAsia="仿宋" w:cs="仿宋"/>
                <w:color w:val="auto"/>
                <w:sz w:val="24"/>
                <w:szCs w:val="24"/>
                <w:highlight w:val="none"/>
              </w:rPr>
            </w:pPr>
          </w:p>
        </w:tc>
      </w:tr>
      <w:tr w14:paraId="6505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31F9DC5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6CA845FD">
            <w:pPr>
              <w:rPr>
                <w:rFonts w:ascii="仿宋" w:hAnsi="仿宋" w:eastAsia="仿宋" w:cs="仿宋"/>
                <w:color w:val="auto"/>
                <w:sz w:val="24"/>
                <w:szCs w:val="24"/>
                <w:highlight w:val="none"/>
              </w:rPr>
            </w:pPr>
          </w:p>
        </w:tc>
        <w:tc>
          <w:tcPr>
            <w:tcW w:w="1842" w:type="dxa"/>
            <w:vAlign w:val="center"/>
          </w:tcPr>
          <w:p w14:paraId="4921234D">
            <w:pPr>
              <w:jc w:val="center"/>
              <w:rPr>
                <w:rFonts w:ascii="仿宋" w:hAnsi="仿宋" w:eastAsia="仿宋" w:cs="仿宋"/>
                <w:color w:val="auto"/>
                <w:sz w:val="24"/>
                <w:szCs w:val="24"/>
                <w:highlight w:val="none"/>
              </w:rPr>
            </w:pPr>
          </w:p>
        </w:tc>
        <w:tc>
          <w:tcPr>
            <w:tcW w:w="1888" w:type="dxa"/>
            <w:vAlign w:val="center"/>
          </w:tcPr>
          <w:p w14:paraId="2DE93592">
            <w:pPr>
              <w:jc w:val="center"/>
              <w:rPr>
                <w:rFonts w:ascii="仿宋" w:hAnsi="仿宋" w:eastAsia="仿宋" w:cs="仿宋"/>
                <w:color w:val="auto"/>
                <w:sz w:val="24"/>
                <w:szCs w:val="24"/>
                <w:highlight w:val="none"/>
              </w:rPr>
            </w:pPr>
          </w:p>
        </w:tc>
      </w:tr>
      <w:tr w14:paraId="13AC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D8667D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1B3B6C10">
            <w:pPr>
              <w:rPr>
                <w:rFonts w:ascii="仿宋" w:hAnsi="仿宋" w:eastAsia="仿宋" w:cs="仿宋"/>
                <w:color w:val="auto"/>
                <w:sz w:val="24"/>
                <w:szCs w:val="24"/>
                <w:highlight w:val="none"/>
              </w:rPr>
            </w:pPr>
          </w:p>
        </w:tc>
        <w:tc>
          <w:tcPr>
            <w:tcW w:w="1842" w:type="dxa"/>
            <w:vAlign w:val="center"/>
          </w:tcPr>
          <w:p w14:paraId="4EFA8F87">
            <w:pPr>
              <w:jc w:val="center"/>
              <w:rPr>
                <w:rFonts w:ascii="仿宋" w:hAnsi="仿宋" w:eastAsia="仿宋" w:cs="仿宋"/>
                <w:color w:val="auto"/>
                <w:sz w:val="24"/>
                <w:szCs w:val="24"/>
                <w:highlight w:val="none"/>
              </w:rPr>
            </w:pPr>
          </w:p>
        </w:tc>
        <w:tc>
          <w:tcPr>
            <w:tcW w:w="1888" w:type="dxa"/>
            <w:vAlign w:val="center"/>
          </w:tcPr>
          <w:p w14:paraId="1DB7A5E2">
            <w:pPr>
              <w:jc w:val="center"/>
              <w:rPr>
                <w:rFonts w:ascii="仿宋" w:hAnsi="仿宋" w:eastAsia="仿宋" w:cs="仿宋"/>
                <w:color w:val="auto"/>
                <w:sz w:val="24"/>
                <w:szCs w:val="24"/>
                <w:highlight w:val="none"/>
              </w:rPr>
            </w:pPr>
          </w:p>
        </w:tc>
      </w:tr>
      <w:tr w14:paraId="17D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0E8725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063" w:type="dxa"/>
            <w:vAlign w:val="center"/>
          </w:tcPr>
          <w:p w14:paraId="6BD7BB79">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符合性审查响应内容</w:t>
            </w:r>
          </w:p>
        </w:tc>
        <w:tc>
          <w:tcPr>
            <w:tcW w:w="1842" w:type="dxa"/>
            <w:vAlign w:val="center"/>
          </w:tcPr>
          <w:p w14:paraId="5C363F0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是否响应</w:t>
            </w:r>
          </w:p>
          <w:p w14:paraId="3D61F18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（填是或者否）</w:t>
            </w:r>
          </w:p>
        </w:tc>
        <w:tc>
          <w:tcPr>
            <w:tcW w:w="1888" w:type="dxa"/>
            <w:vAlign w:val="center"/>
          </w:tcPr>
          <w:p w14:paraId="2E9BFB0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响应文件中的</w:t>
            </w:r>
          </w:p>
          <w:p w14:paraId="4D86BFA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页码位置</w:t>
            </w:r>
          </w:p>
        </w:tc>
      </w:tr>
      <w:tr w14:paraId="3646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5DC80B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4EBCB4E7">
            <w:pPr>
              <w:rPr>
                <w:rFonts w:ascii="仿宋" w:hAnsi="仿宋" w:eastAsia="仿宋" w:cs="仿宋"/>
                <w:color w:val="auto"/>
                <w:sz w:val="24"/>
                <w:szCs w:val="24"/>
                <w:highlight w:val="none"/>
              </w:rPr>
            </w:pPr>
          </w:p>
        </w:tc>
        <w:tc>
          <w:tcPr>
            <w:tcW w:w="1842" w:type="dxa"/>
            <w:vAlign w:val="center"/>
          </w:tcPr>
          <w:p w14:paraId="4CF73311">
            <w:pPr>
              <w:rPr>
                <w:rFonts w:ascii="仿宋" w:hAnsi="仿宋" w:eastAsia="仿宋" w:cs="仿宋"/>
                <w:color w:val="auto"/>
                <w:sz w:val="24"/>
                <w:szCs w:val="24"/>
                <w:highlight w:val="none"/>
              </w:rPr>
            </w:pPr>
          </w:p>
        </w:tc>
        <w:tc>
          <w:tcPr>
            <w:tcW w:w="1888" w:type="dxa"/>
            <w:vAlign w:val="center"/>
          </w:tcPr>
          <w:p w14:paraId="53F1618C">
            <w:pPr>
              <w:rPr>
                <w:rFonts w:ascii="仿宋" w:hAnsi="仿宋" w:eastAsia="仿宋" w:cs="仿宋"/>
                <w:color w:val="auto"/>
                <w:sz w:val="24"/>
                <w:szCs w:val="24"/>
                <w:highlight w:val="none"/>
              </w:rPr>
            </w:pPr>
          </w:p>
        </w:tc>
      </w:tr>
      <w:tr w14:paraId="6C95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69445F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4A2C4F8D">
            <w:pPr>
              <w:rPr>
                <w:rFonts w:ascii="仿宋" w:hAnsi="仿宋" w:eastAsia="仿宋" w:cs="仿宋"/>
                <w:color w:val="auto"/>
                <w:sz w:val="24"/>
                <w:szCs w:val="24"/>
                <w:highlight w:val="none"/>
              </w:rPr>
            </w:pPr>
          </w:p>
        </w:tc>
        <w:tc>
          <w:tcPr>
            <w:tcW w:w="1842" w:type="dxa"/>
            <w:vAlign w:val="center"/>
          </w:tcPr>
          <w:p w14:paraId="6CF310E1">
            <w:pPr>
              <w:rPr>
                <w:rFonts w:ascii="仿宋" w:hAnsi="仿宋" w:eastAsia="仿宋" w:cs="仿宋"/>
                <w:color w:val="auto"/>
                <w:sz w:val="24"/>
                <w:szCs w:val="24"/>
                <w:highlight w:val="none"/>
              </w:rPr>
            </w:pPr>
          </w:p>
        </w:tc>
        <w:tc>
          <w:tcPr>
            <w:tcW w:w="1888" w:type="dxa"/>
            <w:vAlign w:val="center"/>
          </w:tcPr>
          <w:p w14:paraId="1B9AF471">
            <w:pPr>
              <w:rPr>
                <w:rFonts w:ascii="仿宋" w:hAnsi="仿宋" w:eastAsia="仿宋" w:cs="仿宋"/>
                <w:color w:val="auto"/>
                <w:sz w:val="24"/>
                <w:szCs w:val="24"/>
                <w:highlight w:val="none"/>
              </w:rPr>
            </w:pPr>
          </w:p>
        </w:tc>
      </w:tr>
      <w:tr w14:paraId="4FF6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F4A5D2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0996AF12">
            <w:pPr>
              <w:rPr>
                <w:rFonts w:ascii="仿宋" w:hAnsi="仿宋" w:eastAsia="仿宋" w:cs="仿宋"/>
                <w:color w:val="auto"/>
                <w:sz w:val="24"/>
                <w:szCs w:val="24"/>
                <w:highlight w:val="none"/>
              </w:rPr>
            </w:pPr>
          </w:p>
        </w:tc>
        <w:tc>
          <w:tcPr>
            <w:tcW w:w="1842" w:type="dxa"/>
            <w:vAlign w:val="center"/>
          </w:tcPr>
          <w:p w14:paraId="61449306">
            <w:pPr>
              <w:rPr>
                <w:rFonts w:ascii="仿宋" w:hAnsi="仿宋" w:eastAsia="仿宋" w:cs="仿宋"/>
                <w:color w:val="auto"/>
                <w:sz w:val="24"/>
                <w:szCs w:val="24"/>
                <w:highlight w:val="none"/>
              </w:rPr>
            </w:pPr>
          </w:p>
        </w:tc>
        <w:tc>
          <w:tcPr>
            <w:tcW w:w="1888" w:type="dxa"/>
            <w:vAlign w:val="center"/>
          </w:tcPr>
          <w:p w14:paraId="211C7CE8">
            <w:pPr>
              <w:rPr>
                <w:rFonts w:ascii="仿宋" w:hAnsi="仿宋" w:eastAsia="仿宋" w:cs="仿宋"/>
                <w:color w:val="auto"/>
                <w:sz w:val="24"/>
                <w:szCs w:val="24"/>
                <w:highlight w:val="none"/>
              </w:rPr>
            </w:pPr>
          </w:p>
        </w:tc>
      </w:tr>
      <w:tr w14:paraId="5C00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6AC319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4A73F995">
            <w:pPr>
              <w:rPr>
                <w:rFonts w:ascii="仿宋" w:hAnsi="仿宋" w:eastAsia="仿宋" w:cs="仿宋"/>
                <w:color w:val="auto"/>
                <w:sz w:val="24"/>
                <w:szCs w:val="24"/>
                <w:highlight w:val="none"/>
              </w:rPr>
            </w:pPr>
          </w:p>
        </w:tc>
        <w:tc>
          <w:tcPr>
            <w:tcW w:w="1842" w:type="dxa"/>
            <w:vAlign w:val="center"/>
          </w:tcPr>
          <w:p w14:paraId="0E9C4A1E">
            <w:pPr>
              <w:rPr>
                <w:rFonts w:ascii="仿宋" w:hAnsi="仿宋" w:eastAsia="仿宋" w:cs="仿宋"/>
                <w:color w:val="auto"/>
                <w:sz w:val="24"/>
                <w:szCs w:val="24"/>
                <w:highlight w:val="none"/>
              </w:rPr>
            </w:pPr>
          </w:p>
        </w:tc>
        <w:tc>
          <w:tcPr>
            <w:tcW w:w="1888" w:type="dxa"/>
            <w:vAlign w:val="center"/>
          </w:tcPr>
          <w:p w14:paraId="3582FD37">
            <w:pPr>
              <w:rPr>
                <w:rFonts w:ascii="仿宋" w:hAnsi="仿宋" w:eastAsia="仿宋" w:cs="仿宋"/>
                <w:color w:val="auto"/>
                <w:sz w:val="24"/>
                <w:szCs w:val="24"/>
                <w:highlight w:val="none"/>
              </w:rPr>
            </w:pPr>
          </w:p>
        </w:tc>
      </w:tr>
      <w:tr w14:paraId="7D23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290C869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063" w:type="dxa"/>
            <w:vAlign w:val="center"/>
          </w:tcPr>
          <w:p w14:paraId="22EA4D1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竞争性磋商文件中的其他实质性要求</w:t>
            </w:r>
          </w:p>
        </w:tc>
        <w:tc>
          <w:tcPr>
            <w:tcW w:w="1842" w:type="dxa"/>
            <w:vAlign w:val="center"/>
          </w:tcPr>
          <w:p w14:paraId="2450A7F1">
            <w:pPr>
              <w:rPr>
                <w:rFonts w:ascii="仿宋" w:hAnsi="仿宋" w:eastAsia="仿宋" w:cs="仿宋"/>
                <w:color w:val="auto"/>
                <w:sz w:val="24"/>
                <w:szCs w:val="24"/>
                <w:highlight w:val="none"/>
              </w:rPr>
            </w:pPr>
          </w:p>
        </w:tc>
        <w:tc>
          <w:tcPr>
            <w:tcW w:w="1888" w:type="dxa"/>
            <w:vAlign w:val="center"/>
          </w:tcPr>
          <w:p w14:paraId="31064289">
            <w:pPr>
              <w:rPr>
                <w:rFonts w:ascii="仿宋" w:hAnsi="仿宋" w:eastAsia="仿宋" w:cs="仿宋"/>
                <w:color w:val="auto"/>
                <w:sz w:val="24"/>
                <w:szCs w:val="24"/>
                <w:highlight w:val="none"/>
              </w:rPr>
            </w:pPr>
          </w:p>
        </w:tc>
      </w:tr>
    </w:tbl>
    <w:p w14:paraId="75C197D7">
      <w:pPr>
        <w:spacing w:line="360" w:lineRule="auto"/>
        <w:rPr>
          <w:rFonts w:ascii="仿宋" w:hAnsi="仿宋" w:eastAsia="仿宋" w:cs="仿宋"/>
          <w:color w:val="auto"/>
          <w:kern w:val="0"/>
          <w:sz w:val="24"/>
          <w:highlight w:val="none"/>
          <w:lang w:val="zh-CN"/>
        </w:rPr>
      </w:pPr>
    </w:p>
    <w:p w14:paraId="0081A426">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6AEF4A5F">
      <w:pPr>
        <w:spacing w:line="360" w:lineRule="auto"/>
        <w:rPr>
          <w:rFonts w:ascii="仿宋" w:hAnsi="仿宋" w:eastAsia="仿宋" w:cs="仿宋"/>
          <w:b/>
          <w:bCs/>
          <w:color w:val="auto"/>
          <w:kern w:val="0"/>
          <w:highlight w:val="none"/>
          <w:lang w:val="zh-CN"/>
        </w:rPr>
      </w:pPr>
      <w:r>
        <w:rPr>
          <w:rFonts w:hint="eastAsia" w:ascii="仿宋" w:hAnsi="仿宋" w:eastAsia="仿宋" w:cs="仿宋"/>
          <w:color w:val="auto"/>
          <w:kern w:val="0"/>
          <w:sz w:val="24"/>
          <w:highlight w:val="none"/>
          <w:lang w:val="zh-CN"/>
        </w:rPr>
        <w:t>说明：如果行数不够，请自行增加。</w:t>
      </w:r>
    </w:p>
    <w:p w14:paraId="61B1CDC6">
      <w:pPr>
        <w:spacing w:line="560" w:lineRule="exact"/>
        <w:rPr>
          <w:rFonts w:ascii="仿宋" w:hAnsi="仿宋" w:eastAsia="仿宋" w:cs="仿宋"/>
          <w:color w:val="auto"/>
          <w:szCs w:val="21"/>
          <w:highlight w:val="none"/>
        </w:rPr>
      </w:pPr>
      <w:r>
        <w:rPr>
          <w:rFonts w:hint="eastAsia" w:ascii="仿宋" w:hAnsi="仿宋" w:eastAsia="仿宋" w:cs="仿宋"/>
          <w:color w:val="auto"/>
          <w:kern w:val="0"/>
          <w:highlight w:val="none"/>
          <w:lang w:val="zh-CN"/>
        </w:rPr>
        <w:br w:type="page"/>
      </w:r>
    </w:p>
    <w:p w14:paraId="41871FF0">
      <w:pPr>
        <w:spacing w:line="360" w:lineRule="auto"/>
        <w:outlineLvl w:val="2"/>
        <w:rPr>
          <w:rFonts w:ascii="仿宋" w:hAnsi="仿宋" w:eastAsia="仿宋" w:cs="仿宋"/>
          <w:b/>
          <w:bCs/>
          <w:color w:val="auto"/>
          <w:sz w:val="22"/>
          <w:highlight w:val="none"/>
        </w:rPr>
      </w:pPr>
      <w:bookmarkStart w:id="84" w:name="_Toc14392"/>
      <w:bookmarkStart w:id="85" w:name="_Toc28249"/>
      <w:bookmarkStart w:id="86" w:name="_Toc28593"/>
      <w:bookmarkStart w:id="87" w:name="_Toc29975"/>
      <w:r>
        <w:rPr>
          <w:rFonts w:hint="eastAsia" w:ascii="仿宋" w:hAnsi="仿宋" w:eastAsia="仿宋" w:cs="仿宋"/>
          <w:b/>
          <w:bCs/>
          <w:color w:val="auto"/>
          <w:sz w:val="22"/>
          <w:highlight w:val="none"/>
        </w:rPr>
        <w:t>目录六、资格证明文件</w:t>
      </w:r>
      <w:bookmarkEnd w:id="84"/>
      <w:bookmarkEnd w:id="85"/>
      <w:bookmarkEnd w:id="86"/>
      <w:bookmarkEnd w:id="87"/>
    </w:p>
    <w:p w14:paraId="633EBF4D">
      <w:pPr>
        <w:spacing w:line="360" w:lineRule="auto"/>
        <w:jc w:val="center"/>
        <w:rPr>
          <w:rFonts w:ascii="仿宋" w:hAnsi="仿宋" w:eastAsia="仿宋" w:cs="仿宋"/>
          <w:b/>
          <w:bCs/>
          <w:color w:val="auto"/>
          <w:sz w:val="32"/>
          <w:szCs w:val="32"/>
          <w:highlight w:val="none"/>
        </w:rPr>
      </w:pPr>
      <w:bookmarkStart w:id="88" w:name="_Toc489655335"/>
      <w:r>
        <w:rPr>
          <w:rFonts w:hint="eastAsia" w:ascii="仿宋" w:hAnsi="仿宋" w:eastAsia="仿宋" w:cs="仿宋"/>
          <w:b/>
          <w:bCs/>
          <w:color w:val="auto"/>
          <w:sz w:val="32"/>
          <w:szCs w:val="32"/>
          <w:highlight w:val="none"/>
        </w:rPr>
        <w:t>资格证明文件</w:t>
      </w:r>
      <w:bookmarkEnd w:id="88"/>
    </w:p>
    <w:p w14:paraId="385BA270">
      <w:pPr>
        <w:spacing w:line="360" w:lineRule="auto"/>
        <w:ind w:firstLine="484" w:firstLineChars="202"/>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lang w:val="zh-CN"/>
        </w:rPr>
        <w:t>营业执照副本、相关证书等（复印件，加盖公章）；</w:t>
      </w:r>
    </w:p>
    <w:p w14:paraId="5E846D6E">
      <w:pPr>
        <w:spacing w:line="360" w:lineRule="auto"/>
        <w:ind w:firstLine="484" w:firstLineChars="202"/>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《南京市政府采购供应商信用记录表暨信用承诺书》（在线打印）；</w:t>
      </w:r>
    </w:p>
    <w:p w14:paraId="61C10793">
      <w:pPr>
        <w:spacing w:line="360" w:lineRule="auto"/>
        <w:ind w:firstLine="484" w:firstLineChars="202"/>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.法定代表人授权委托书（原件，除法定代表人以外的授权代表必须提供）；</w:t>
      </w:r>
    </w:p>
    <w:p w14:paraId="5BFF27E0">
      <w:pPr>
        <w:spacing w:line="360" w:lineRule="auto"/>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zh-CN"/>
        </w:rPr>
        <w:t>.本次采购项目实施所必</w:t>
      </w:r>
      <w:r>
        <w:rPr>
          <w:rFonts w:hint="eastAsia" w:ascii="仿宋" w:hAnsi="仿宋" w:eastAsia="仿宋" w:cs="仿宋"/>
          <w:color w:val="auto"/>
          <w:kern w:val="0"/>
          <w:sz w:val="24"/>
          <w:highlight w:val="none"/>
        </w:rPr>
        <w:t>需</w:t>
      </w:r>
      <w:r>
        <w:rPr>
          <w:rFonts w:hint="eastAsia" w:ascii="仿宋" w:hAnsi="仿宋" w:eastAsia="仿宋" w:cs="仿宋"/>
          <w:color w:val="auto"/>
          <w:kern w:val="0"/>
          <w:sz w:val="24"/>
          <w:highlight w:val="none"/>
          <w:lang w:val="zh-CN"/>
        </w:rPr>
        <w:t>的许可资质证明材料（若有）</w:t>
      </w:r>
      <w:r>
        <w:rPr>
          <w:rFonts w:hint="eastAsia" w:ascii="仿宋" w:hAnsi="仿宋" w:eastAsia="仿宋" w:cs="仿宋"/>
          <w:color w:val="auto"/>
          <w:kern w:val="0"/>
          <w:sz w:val="24"/>
          <w:highlight w:val="none"/>
        </w:rPr>
        <w:t>；</w:t>
      </w:r>
    </w:p>
    <w:p w14:paraId="16A2A125">
      <w:pPr>
        <w:spacing w:line="360" w:lineRule="auto"/>
        <w:ind w:firstLine="482" w:firstLineChars="200"/>
        <w:rPr>
          <w:rFonts w:ascii="仿宋" w:hAnsi="仿宋" w:eastAsia="仿宋" w:cs="仿宋"/>
          <w:b/>
          <w:bCs/>
          <w:color w:val="auto"/>
          <w:kern w:val="0"/>
          <w:sz w:val="24"/>
          <w:highlight w:val="none"/>
        </w:rPr>
      </w:pPr>
    </w:p>
    <w:p w14:paraId="0F03F6CC">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r>
        <w:rPr>
          <w:rFonts w:hint="eastAsia" w:ascii="仿宋" w:hAnsi="仿宋" w:eastAsia="仿宋" w:cs="仿宋"/>
          <w:b/>
          <w:bCs/>
          <w:color w:val="auto"/>
          <w:kern w:val="0"/>
          <w:sz w:val="24"/>
          <w:highlight w:val="none"/>
          <w:lang w:val="zh-CN"/>
        </w:rPr>
        <w:t>不得以信用承诺书替代</w:t>
      </w:r>
      <w:r>
        <w:rPr>
          <w:rFonts w:hint="eastAsia" w:ascii="仿宋" w:hAnsi="仿宋" w:eastAsia="仿宋" w:cs="仿宋"/>
          <w:b/>
          <w:bCs/>
          <w:color w:val="auto"/>
          <w:kern w:val="0"/>
          <w:sz w:val="24"/>
          <w:highlight w:val="none"/>
        </w:rPr>
        <w:t>的供应商资格证明文件须提供《中华人民共和国政府采购法》第二十二条规定的证明材料：</w:t>
      </w:r>
    </w:p>
    <w:p w14:paraId="4BBFC9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（1）符合国家相关规定的财务状况报告</w:t>
      </w:r>
      <w:r>
        <w:rPr>
          <w:rStyle w:val="67"/>
          <w:rFonts w:hint="eastAsia" w:ascii="仿宋" w:hAnsi="仿宋" w:eastAsia="仿宋" w:cs="仿宋"/>
          <w:bCs/>
          <w:color w:val="auto"/>
          <w:sz w:val="24"/>
          <w:highlight w:val="none"/>
          <w:lang w:val="zh-CN"/>
        </w:rPr>
        <w:t>（提供参加本次政府采购活动前的会计报表）；</w:t>
      </w:r>
    </w:p>
    <w:p w14:paraId="77F785B1">
      <w:pPr>
        <w:pStyle w:val="37"/>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（2）依法缴纳税收的证明材料</w:t>
      </w:r>
      <w:r>
        <w:rPr>
          <w:rStyle w:val="67"/>
          <w:rFonts w:hint="eastAsia" w:ascii="仿宋" w:hAnsi="仿宋" w:eastAsia="仿宋" w:cs="仿宋"/>
          <w:bCs/>
          <w:color w:val="auto"/>
          <w:sz w:val="24"/>
          <w:highlight w:val="none"/>
          <w:lang w:val="zh-CN"/>
        </w:rPr>
        <w:t>（提供参加本次政府采购活动前半年内（至少一个月）依法缴纳税收的相关材料）</w:t>
      </w:r>
      <w:r>
        <w:rPr>
          <w:rFonts w:hint="eastAsia" w:ascii="仿宋" w:hAnsi="仿宋" w:eastAsia="仿宋" w:cs="仿宋"/>
          <w:color w:val="auto"/>
          <w:sz w:val="24"/>
          <w:highlight w:val="none"/>
        </w:rPr>
        <w:t>；</w:t>
      </w:r>
    </w:p>
    <w:p w14:paraId="2F52E341">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（3）依法缴纳社会保障资金的证明材料</w:t>
      </w:r>
      <w:r>
        <w:rPr>
          <w:rStyle w:val="67"/>
          <w:rFonts w:hint="eastAsia" w:ascii="仿宋" w:hAnsi="仿宋" w:eastAsia="仿宋" w:cs="仿宋"/>
          <w:bCs/>
          <w:color w:val="auto"/>
          <w:sz w:val="24"/>
          <w:highlight w:val="none"/>
          <w:lang w:val="zh-CN"/>
        </w:rPr>
        <w:t>（提供参加本次政府采购活动前半年内（至少一个月）社会保障资金的相关材料）</w:t>
      </w:r>
      <w:r>
        <w:rPr>
          <w:rFonts w:hint="eastAsia" w:ascii="仿宋" w:hAnsi="仿宋" w:eastAsia="仿宋" w:cs="仿宋"/>
          <w:color w:val="auto"/>
          <w:sz w:val="24"/>
          <w:highlight w:val="none"/>
        </w:rPr>
        <w:t>；</w:t>
      </w:r>
    </w:p>
    <w:p w14:paraId="456263B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（4）具备履行政府采购合同所必需的设备和专业技术能力的证明材料；</w:t>
      </w:r>
    </w:p>
    <w:p w14:paraId="700700D2">
      <w:pPr>
        <w:pStyle w:val="37"/>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（5）参加政府采购活动前三年内的经营活动中没有重大违法记录的证明材料；</w:t>
      </w:r>
    </w:p>
    <w:p w14:paraId="7194BD42">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（6）未被列入失信被执行人、重大税收违法案件当事人名单、政府采购严重违法失信行为记录名单的证明材料。</w:t>
      </w:r>
    </w:p>
    <w:p w14:paraId="5E0F8CAD">
      <w:pPr>
        <w:pStyle w:val="37"/>
        <w:spacing w:line="360" w:lineRule="auto"/>
        <w:ind w:firstLine="480"/>
        <w:rPr>
          <w:rFonts w:ascii="仿宋" w:hAnsi="仿宋" w:eastAsia="仿宋" w:cs="仿宋"/>
          <w:color w:val="auto"/>
          <w:highlight w:val="none"/>
        </w:rPr>
      </w:pPr>
      <w:r>
        <w:rPr>
          <w:rFonts w:hint="eastAsia" w:ascii="仿宋" w:hAnsi="仿宋" w:eastAsia="仿宋" w:cs="仿宋"/>
          <w:color w:val="auto"/>
          <w:sz w:val="24"/>
          <w:highlight w:val="none"/>
        </w:rPr>
        <w:t>注：第（5）条重大违法记录，是指供应商因违法经营受到刑事处罚或者责令停产停业、吊销许可证或者执照、较大数额罚款等行政处罚。</w:t>
      </w:r>
    </w:p>
    <w:p w14:paraId="5FD3800A">
      <w:pPr>
        <w:spacing w:line="360" w:lineRule="auto"/>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1A56D941">
      <w:pPr>
        <w:spacing w:line="360" w:lineRule="auto"/>
        <w:outlineLvl w:val="2"/>
        <w:rPr>
          <w:rFonts w:ascii="仿宋" w:hAnsi="仿宋" w:eastAsia="仿宋" w:cs="仿宋"/>
          <w:b/>
          <w:bCs/>
          <w:color w:val="auto"/>
          <w:sz w:val="22"/>
          <w:highlight w:val="none"/>
        </w:rPr>
      </w:pPr>
      <w:bookmarkStart w:id="89" w:name="_Toc30427"/>
      <w:bookmarkStart w:id="90" w:name="_Toc19376"/>
      <w:bookmarkStart w:id="91" w:name="_Toc31238"/>
      <w:bookmarkStart w:id="92" w:name="_Toc7902"/>
      <w:r>
        <w:rPr>
          <w:rFonts w:hint="eastAsia" w:ascii="仿宋" w:hAnsi="仿宋" w:eastAsia="仿宋" w:cs="仿宋"/>
          <w:b/>
          <w:bCs/>
          <w:color w:val="auto"/>
          <w:sz w:val="22"/>
          <w:highlight w:val="none"/>
        </w:rPr>
        <w:t>目录七、技术条款偏离表格式</w:t>
      </w:r>
      <w:bookmarkEnd w:id="89"/>
      <w:bookmarkEnd w:id="90"/>
      <w:bookmarkEnd w:id="91"/>
      <w:bookmarkEnd w:id="92"/>
    </w:p>
    <w:p w14:paraId="534E5F01">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技术条款偏离表</w:t>
      </w:r>
    </w:p>
    <w:tbl>
      <w:tblPr>
        <w:tblStyle w:val="29"/>
        <w:tblW w:w="0" w:type="auto"/>
        <w:jc w:val="center"/>
        <w:tblLayout w:type="fixed"/>
        <w:tblCellMar>
          <w:top w:w="0" w:type="dxa"/>
          <w:left w:w="0" w:type="dxa"/>
          <w:bottom w:w="0" w:type="dxa"/>
          <w:right w:w="0" w:type="dxa"/>
        </w:tblCellMar>
      </w:tblPr>
      <w:tblGrid>
        <w:gridCol w:w="850"/>
        <w:gridCol w:w="2694"/>
        <w:gridCol w:w="2106"/>
        <w:gridCol w:w="20"/>
        <w:gridCol w:w="1809"/>
        <w:gridCol w:w="1110"/>
      </w:tblGrid>
      <w:tr w14:paraId="122C89E9">
        <w:tblPrEx>
          <w:tblCellMar>
            <w:top w:w="0" w:type="dxa"/>
            <w:left w:w="0" w:type="dxa"/>
            <w:bottom w:w="0" w:type="dxa"/>
            <w:right w:w="0" w:type="dxa"/>
          </w:tblCellMar>
        </w:tblPrEx>
        <w:trPr>
          <w:trHeight w:val="680" w:hRule="atLeast"/>
          <w:jc w:val="center"/>
        </w:trPr>
        <w:tc>
          <w:tcPr>
            <w:tcW w:w="5650" w:type="dxa"/>
            <w:gridSpan w:val="3"/>
            <w:tcBorders>
              <w:top w:val="nil"/>
              <w:left w:val="nil"/>
              <w:bottom w:val="single" w:color="auto" w:sz="6" w:space="0"/>
              <w:right w:val="nil"/>
            </w:tcBorders>
            <w:vAlign w:val="center"/>
          </w:tcPr>
          <w:p w14:paraId="667F6E0C">
            <w:pP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项目名称：</w:t>
            </w:r>
          </w:p>
          <w:p w14:paraId="4204910C">
            <w:pPr>
              <w:rPr>
                <w:rFonts w:ascii="仿宋" w:hAnsi="仿宋" w:eastAsia="仿宋" w:cs="仿宋"/>
                <w:color w:val="auto"/>
                <w:kern w:val="0"/>
                <w:sz w:val="24"/>
                <w:highlight w:val="none"/>
                <w:lang w:val="zh-CN"/>
              </w:rPr>
            </w:pPr>
            <w:r>
              <w:rPr>
                <w:rFonts w:hint="eastAsia" w:ascii="仿宋" w:hAnsi="仿宋" w:eastAsia="仿宋" w:cs="仿宋"/>
                <w:color w:val="auto"/>
                <w:sz w:val="24"/>
                <w:szCs w:val="24"/>
                <w:highlight w:val="none"/>
              </w:rPr>
              <w:t>南京市雨花台区妇幼保健所2025年外送检验服务项目</w:t>
            </w:r>
          </w:p>
        </w:tc>
        <w:tc>
          <w:tcPr>
            <w:tcW w:w="2939" w:type="dxa"/>
            <w:gridSpan w:val="3"/>
            <w:tcBorders>
              <w:top w:val="nil"/>
              <w:left w:val="nil"/>
              <w:bottom w:val="single" w:color="auto" w:sz="6" w:space="0"/>
              <w:right w:val="nil"/>
            </w:tcBorders>
            <w:vAlign w:val="center"/>
          </w:tcPr>
          <w:p w14:paraId="05F6B288">
            <w:pPr>
              <w:ind w:firstLine="240" w:firstLineChars="1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项目编号：</w:t>
            </w:r>
            <w:r>
              <w:rPr>
                <w:rFonts w:hint="eastAsia" w:ascii="仿宋" w:hAnsi="仿宋" w:eastAsia="仿宋" w:cs="仿宋"/>
                <w:color w:val="auto"/>
                <w:sz w:val="24"/>
                <w:szCs w:val="24"/>
                <w:highlight w:val="none"/>
              </w:rPr>
              <w:t>NJXN-24077-FW</w:t>
            </w:r>
          </w:p>
        </w:tc>
      </w:tr>
      <w:tr w14:paraId="76DFD71F">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5BB62451">
            <w:pPr>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2694" w:type="dxa"/>
            <w:tcBorders>
              <w:top w:val="single" w:color="auto" w:sz="6" w:space="0"/>
              <w:left w:val="single" w:color="auto" w:sz="6" w:space="0"/>
              <w:bottom w:val="single" w:color="auto" w:sz="6" w:space="0"/>
              <w:right w:val="single" w:color="auto" w:sz="6" w:space="0"/>
            </w:tcBorders>
            <w:vAlign w:val="center"/>
          </w:tcPr>
          <w:p w14:paraId="32B8F698">
            <w:pPr>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竞争性磋商文件条目号</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486FB8E3">
            <w:pPr>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采购</w:t>
            </w:r>
            <w:r>
              <w:rPr>
                <w:rFonts w:hint="eastAsia" w:ascii="仿宋" w:hAnsi="仿宋" w:eastAsia="仿宋" w:cs="仿宋"/>
                <w:color w:val="auto"/>
                <w:kern w:val="0"/>
                <w:sz w:val="24"/>
                <w:highlight w:val="none"/>
                <w:lang w:val="zh-CN"/>
              </w:rPr>
              <w:t>要求规格</w:t>
            </w:r>
          </w:p>
        </w:tc>
        <w:tc>
          <w:tcPr>
            <w:tcW w:w="1809" w:type="dxa"/>
            <w:tcBorders>
              <w:top w:val="single" w:color="auto" w:sz="6" w:space="0"/>
              <w:left w:val="single" w:color="auto" w:sz="6" w:space="0"/>
              <w:bottom w:val="single" w:color="auto" w:sz="6" w:space="0"/>
              <w:right w:val="single" w:color="auto" w:sz="6" w:space="0"/>
            </w:tcBorders>
            <w:vAlign w:val="center"/>
          </w:tcPr>
          <w:p w14:paraId="736A720B">
            <w:pPr>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投标响应</w:t>
            </w:r>
          </w:p>
        </w:tc>
        <w:tc>
          <w:tcPr>
            <w:tcW w:w="1110" w:type="dxa"/>
            <w:tcBorders>
              <w:top w:val="single" w:color="auto" w:sz="6" w:space="0"/>
              <w:left w:val="single" w:color="auto" w:sz="6" w:space="0"/>
              <w:bottom w:val="single" w:color="auto" w:sz="6" w:space="0"/>
              <w:right w:val="single" w:color="auto" w:sz="6" w:space="0"/>
            </w:tcBorders>
            <w:vAlign w:val="center"/>
          </w:tcPr>
          <w:p w14:paraId="3F126AD4">
            <w:pPr>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偏离</w:t>
            </w:r>
          </w:p>
        </w:tc>
      </w:tr>
      <w:tr w14:paraId="1C0053A9">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012A0FA0">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2FC3828">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594E0AF9">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1BDA38F7">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7AEE7B9">
            <w:pPr>
              <w:jc w:val="center"/>
              <w:rPr>
                <w:rFonts w:ascii="仿宋" w:hAnsi="仿宋" w:eastAsia="仿宋" w:cs="仿宋"/>
                <w:color w:val="auto"/>
                <w:kern w:val="0"/>
                <w:sz w:val="24"/>
                <w:highlight w:val="none"/>
                <w:lang w:val="zh-CN"/>
              </w:rPr>
            </w:pPr>
          </w:p>
        </w:tc>
      </w:tr>
      <w:tr w14:paraId="4AE31956">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70037AA5">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0ED6C66C">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39523CF4">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107615C2">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027999F1">
            <w:pPr>
              <w:jc w:val="center"/>
              <w:rPr>
                <w:rFonts w:ascii="仿宋" w:hAnsi="仿宋" w:eastAsia="仿宋" w:cs="仿宋"/>
                <w:color w:val="auto"/>
                <w:kern w:val="0"/>
                <w:sz w:val="24"/>
                <w:highlight w:val="none"/>
                <w:lang w:val="zh-CN"/>
              </w:rPr>
            </w:pPr>
          </w:p>
        </w:tc>
      </w:tr>
      <w:tr w14:paraId="646A60A6">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280DC879">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622B2490">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73549932">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0ECB7C23">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0EA40D1E">
            <w:pPr>
              <w:jc w:val="center"/>
              <w:rPr>
                <w:rFonts w:ascii="仿宋" w:hAnsi="仿宋" w:eastAsia="仿宋" w:cs="仿宋"/>
                <w:color w:val="auto"/>
                <w:kern w:val="0"/>
                <w:sz w:val="24"/>
                <w:highlight w:val="none"/>
                <w:lang w:val="zh-CN"/>
              </w:rPr>
            </w:pPr>
          </w:p>
        </w:tc>
      </w:tr>
      <w:tr w14:paraId="49ECA580">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2F837249">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6B63F103">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7A6C8B67">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0ADD33DB">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AE50DDF">
            <w:pPr>
              <w:jc w:val="center"/>
              <w:rPr>
                <w:rFonts w:ascii="仿宋" w:hAnsi="仿宋" w:eastAsia="仿宋" w:cs="仿宋"/>
                <w:color w:val="auto"/>
                <w:kern w:val="0"/>
                <w:sz w:val="24"/>
                <w:highlight w:val="none"/>
                <w:lang w:val="zh-CN"/>
              </w:rPr>
            </w:pPr>
          </w:p>
        </w:tc>
      </w:tr>
      <w:tr w14:paraId="12C5BA2A">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5E51024A">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4FBC3925">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1DF3B418">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4B73D0F6">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E210281">
            <w:pPr>
              <w:jc w:val="center"/>
              <w:rPr>
                <w:rFonts w:ascii="仿宋" w:hAnsi="仿宋" w:eastAsia="仿宋" w:cs="仿宋"/>
                <w:color w:val="auto"/>
                <w:kern w:val="0"/>
                <w:sz w:val="24"/>
                <w:highlight w:val="none"/>
                <w:lang w:val="zh-CN"/>
              </w:rPr>
            </w:pPr>
          </w:p>
        </w:tc>
      </w:tr>
      <w:tr w14:paraId="44AFBFE8">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5F4FF583">
            <w:pPr>
              <w:jc w:val="center"/>
              <w:rPr>
                <w:rFonts w:ascii="仿宋" w:hAnsi="仿宋" w:eastAsia="仿宋" w:cs="仿宋"/>
                <w:color w:val="auto"/>
                <w:kern w:val="0"/>
                <w:sz w:val="24"/>
                <w:highlight w:val="none"/>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904728C">
            <w:pPr>
              <w:jc w:val="center"/>
              <w:rPr>
                <w:rFonts w:ascii="仿宋" w:hAnsi="仿宋" w:eastAsia="仿宋" w:cs="仿宋"/>
                <w:color w:val="auto"/>
                <w:kern w:val="0"/>
                <w:sz w:val="24"/>
                <w:highlight w:val="none"/>
                <w:lang w:val="zh-CN"/>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559C011E">
            <w:pPr>
              <w:jc w:val="center"/>
              <w:rPr>
                <w:rFonts w:ascii="仿宋" w:hAnsi="仿宋" w:eastAsia="仿宋" w:cs="仿宋"/>
                <w:color w:val="auto"/>
                <w:kern w:val="0"/>
                <w:sz w:val="24"/>
                <w:highlight w:val="none"/>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2F6171A">
            <w:pPr>
              <w:jc w:val="center"/>
              <w:rPr>
                <w:rFonts w:ascii="仿宋" w:hAnsi="仿宋" w:eastAsia="仿宋" w:cs="仿宋"/>
                <w:color w:val="auto"/>
                <w:kern w:val="0"/>
                <w:sz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DBD001D">
            <w:pPr>
              <w:jc w:val="center"/>
              <w:rPr>
                <w:rFonts w:ascii="仿宋" w:hAnsi="仿宋" w:eastAsia="仿宋" w:cs="仿宋"/>
                <w:color w:val="auto"/>
                <w:kern w:val="0"/>
                <w:sz w:val="24"/>
                <w:highlight w:val="none"/>
                <w:lang w:val="zh-CN"/>
              </w:rPr>
            </w:pPr>
          </w:p>
        </w:tc>
      </w:tr>
    </w:tbl>
    <w:p w14:paraId="5DF0B942">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4783B79D">
      <w:pPr>
        <w:spacing w:line="360" w:lineRule="auto"/>
        <w:rPr>
          <w:rFonts w:ascii="仿宋" w:hAnsi="仿宋" w:eastAsia="仿宋" w:cs="仿宋"/>
          <w:color w:val="auto"/>
          <w:kern w:val="0"/>
          <w:sz w:val="24"/>
          <w:highlight w:val="none"/>
          <w:lang w:val="zh-CN"/>
        </w:rPr>
      </w:pPr>
    </w:p>
    <w:p w14:paraId="20B8AD6B">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说明：</w:t>
      </w:r>
    </w:p>
    <w:p w14:paraId="0532B45E">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、如果行数不够，请自行增加。</w:t>
      </w:r>
    </w:p>
    <w:p w14:paraId="0F15F708">
      <w:pPr>
        <w:spacing w:line="360" w:lineRule="auto"/>
        <w:outlineLvl w:val="2"/>
        <w:rPr>
          <w:rFonts w:ascii="仿宋" w:hAnsi="仿宋" w:eastAsia="仿宋" w:cs="仿宋"/>
          <w:b/>
          <w:bCs/>
          <w:color w:val="auto"/>
          <w:sz w:val="22"/>
          <w:highlight w:val="none"/>
        </w:rPr>
      </w:pPr>
      <w:bookmarkStart w:id="93" w:name="_Toc5578"/>
      <w:bookmarkStart w:id="94" w:name="_Toc15264"/>
      <w:bookmarkStart w:id="95" w:name="_Toc15620"/>
      <w:bookmarkStart w:id="96" w:name="_Toc784"/>
    </w:p>
    <w:p w14:paraId="20C1C0B4">
      <w:pPr>
        <w:pStyle w:val="38"/>
        <w:rPr>
          <w:rFonts w:ascii="仿宋" w:hAnsi="仿宋" w:eastAsia="仿宋" w:cs="仿宋"/>
          <w:b/>
          <w:bCs/>
          <w:color w:val="auto"/>
          <w:sz w:val="22"/>
          <w:highlight w:val="none"/>
        </w:rPr>
      </w:pPr>
    </w:p>
    <w:p w14:paraId="09E7DA07">
      <w:pPr>
        <w:pStyle w:val="38"/>
        <w:rPr>
          <w:rFonts w:ascii="仿宋" w:hAnsi="仿宋" w:eastAsia="仿宋" w:cs="仿宋"/>
          <w:b/>
          <w:bCs/>
          <w:color w:val="auto"/>
          <w:sz w:val="22"/>
          <w:highlight w:val="none"/>
        </w:rPr>
      </w:pPr>
    </w:p>
    <w:p w14:paraId="02AE96DE">
      <w:pPr>
        <w:pStyle w:val="38"/>
        <w:rPr>
          <w:rFonts w:ascii="仿宋" w:hAnsi="仿宋" w:eastAsia="仿宋" w:cs="仿宋"/>
          <w:b/>
          <w:bCs/>
          <w:color w:val="auto"/>
          <w:sz w:val="22"/>
          <w:highlight w:val="none"/>
        </w:rPr>
      </w:pPr>
    </w:p>
    <w:p w14:paraId="4D687A64">
      <w:pPr>
        <w:pStyle w:val="38"/>
        <w:rPr>
          <w:rFonts w:ascii="仿宋" w:hAnsi="仿宋" w:eastAsia="仿宋" w:cs="仿宋"/>
          <w:b/>
          <w:bCs/>
          <w:color w:val="auto"/>
          <w:sz w:val="22"/>
          <w:highlight w:val="none"/>
        </w:rPr>
      </w:pPr>
    </w:p>
    <w:p w14:paraId="5E4636B3">
      <w:pPr>
        <w:pStyle w:val="38"/>
        <w:rPr>
          <w:rFonts w:ascii="仿宋" w:hAnsi="仿宋" w:eastAsia="仿宋" w:cs="仿宋"/>
          <w:b/>
          <w:bCs/>
          <w:color w:val="auto"/>
          <w:sz w:val="22"/>
          <w:highlight w:val="none"/>
        </w:rPr>
      </w:pPr>
    </w:p>
    <w:p w14:paraId="4C39905B">
      <w:pPr>
        <w:pStyle w:val="38"/>
        <w:rPr>
          <w:rFonts w:ascii="仿宋" w:hAnsi="仿宋" w:eastAsia="仿宋" w:cs="仿宋"/>
          <w:b/>
          <w:bCs/>
          <w:color w:val="auto"/>
          <w:sz w:val="22"/>
          <w:highlight w:val="none"/>
        </w:rPr>
      </w:pPr>
    </w:p>
    <w:p w14:paraId="716B3722">
      <w:pPr>
        <w:pStyle w:val="38"/>
        <w:rPr>
          <w:rFonts w:ascii="仿宋" w:hAnsi="仿宋" w:eastAsia="仿宋" w:cs="仿宋"/>
          <w:b/>
          <w:bCs/>
          <w:color w:val="auto"/>
          <w:sz w:val="22"/>
          <w:highlight w:val="none"/>
        </w:rPr>
      </w:pPr>
    </w:p>
    <w:p w14:paraId="698237B1">
      <w:pPr>
        <w:pStyle w:val="38"/>
        <w:rPr>
          <w:rFonts w:ascii="仿宋" w:hAnsi="仿宋" w:eastAsia="仿宋" w:cs="仿宋"/>
          <w:b/>
          <w:bCs/>
          <w:color w:val="auto"/>
          <w:sz w:val="22"/>
          <w:highlight w:val="none"/>
        </w:rPr>
      </w:pPr>
    </w:p>
    <w:p w14:paraId="5958868B">
      <w:pPr>
        <w:pStyle w:val="38"/>
        <w:rPr>
          <w:rFonts w:ascii="仿宋" w:hAnsi="仿宋" w:eastAsia="仿宋" w:cs="仿宋"/>
          <w:b/>
          <w:bCs/>
          <w:color w:val="auto"/>
          <w:sz w:val="22"/>
          <w:highlight w:val="none"/>
        </w:rPr>
      </w:pPr>
    </w:p>
    <w:p w14:paraId="3EA49979">
      <w:pPr>
        <w:spacing w:line="360" w:lineRule="auto"/>
        <w:outlineLvl w:val="2"/>
        <w:rPr>
          <w:rFonts w:ascii="仿宋" w:hAnsi="仿宋" w:eastAsia="仿宋" w:cs="仿宋"/>
          <w:b/>
          <w:bCs/>
          <w:color w:val="auto"/>
          <w:sz w:val="22"/>
          <w:highlight w:val="none"/>
        </w:rPr>
      </w:pPr>
    </w:p>
    <w:p w14:paraId="5064AE1E">
      <w:pPr>
        <w:spacing w:line="360" w:lineRule="auto"/>
        <w:outlineLvl w:val="2"/>
        <w:rPr>
          <w:rFonts w:ascii="仿宋" w:hAnsi="仿宋" w:eastAsia="仿宋" w:cs="仿宋"/>
          <w:b/>
          <w:bCs/>
          <w:color w:val="auto"/>
          <w:sz w:val="22"/>
          <w:highlight w:val="none"/>
        </w:rPr>
      </w:pPr>
    </w:p>
    <w:p w14:paraId="187DFFD7">
      <w:pPr>
        <w:spacing w:line="360" w:lineRule="auto"/>
        <w:outlineLvl w:val="2"/>
        <w:rPr>
          <w:rFonts w:ascii="仿宋" w:hAnsi="仿宋" w:eastAsia="仿宋" w:cs="仿宋"/>
          <w:b/>
          <w:bCs/>
          <w:color w:val="auto"/>
          <w:sz w:val="22"/>
          <w:highlight w:val="none"/>
        </w:rPr>
      </w:pPr>
    </w:p>
    <w:p w14:paraId="47F854A0">
      <w:pPr>
        <w:spacing w:line="360" w:lineRule="auto"/>
        <w:outlineLvl w:val="2"/>
        <w:rPr>
          <w:rFonts w:ascii="仿宋" w:hAnsi="仿宋" w:eastAsia="仿宋" w:cs="仿宋"/>
          <w:b/>
          <w:bCs/>
          <w:color w:val="auto"/>
          <w:sz w:val="22"/>
          <w:highlight w:val="none"/>
        </w:rPr>
      </w:pPr>
    </w:p>
    <w:p w14:paraId="44DDD3BE">
      <w:pPr>
        <w:spacing w:line="360" w:lineRule="auto"/>
        <w:outlineLvl w:val="2"/>
        <w:rPr>
          <w:rFonts w:ascii="仿宋" w:hAnsi="仿宋" w:eastAsia="仿宋" w:cs="仿宋"/>
          <w:b/>
          <w:bCs/>
          <w:color w:val="auto"/>
          <w:sz w:val="22"/>
          <w:highlight w:val="none"/>
        </w:rPr>
      </w:pPr>
    </w:p>
    <w:p w14:paraId="5B915B78">
      <w:pPr>
        <w:spacing w:line="360" w:lineRule="auto"/>
        <w:outlineLvl w:val="2"/>
        <w:rPr>
          <w:rFonts w:ascii="仿宋" w:hAnsi="仿宋" w:eastAsia="仿宋" w:cs="仿宋"/>
          <w:b/>
          <w:bCs/>
          <w:color w:val="auto"/>
          <w:sz w:val="22"/>
          <w:highlight w:val="none"/>
        </w:rPr>
      </w:pPr>
    </w:p>
    <w:p w14:paraId="3F483F8B">
      <w:pPr>
        <w:spacing w:line="360" w:lineRule="auto"/>
        <w:outlineLvl w:val="2"/>
        <w:rPr>
          <w:rFonts w:ascii="仿宋" w:hAnsi="仿宋" w:eastAsia="仿宋" w:cs="仿宋"/>
          <w:b/>
          <w:bCs/>
          <w:color w:val="auto"/>
          <w:sz w:val="22"/>
          <w:highlight w:val="none"/>
        </w:rPr>
      </w:pPr>
    </w:p>
    <w:p w14:paraId="5A23EAFE">
      <w:pPr>
        <w:spacing w:line="360" w:lineRule="auto"/>
        <w:outlineLvl w:val="2"/>
        <w:rPr>
          <w:rFonts w:ascii="仿宋" w:hAnsi="仿宋" w:eastAsia="仿宋" w:cs="仿宋"/>
          <w:b/>
          <w:bCs/>
          <w:color w:val="auto"/>
          <w:sz w:val="22"/>
          <w:highlight w:val="none"/>
        </w:rPr>
      </w:pPr>
      <w:r>
        <w:rPr>
          <w:rFonts w:hint="eastAsia" w:ascii="仿宋" w:hAnsi="仿宋" w:eastAsia="仿宋" w:cs="仿宋"/>
          <w:b/>
          <w:bCs/>
          <w:color w:val="auto"/>
          <w:sz w:val="22"/>
          <w:highlight w:val="none"/>
        </w:rPr>
        <w:t>目录八、商务条款偏离表格式</w:t>
      </w:r>
      <w:bookmarkEnd w:id="93"/>
      <w:bookmarkEnd w:id="94"/>
      <w:bookmarkEnd w:id="95"/>
      <w:bookmarkEnd w:id="96"/>
    </w:p>
    <w:p w14:paraId="528C78A7">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商务条款偏离表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410"/>
        <w:gridCol w:w="2410"/>
        <w:gridCol w:w="733"/>
        <w:gridCol w:w="705"/>
        <w:gridCol w:w="1372"/>
      </w:tblGrid>
      <w:tr w14:paraId="56D2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6261" w:type="dxa"/>
            <w:gridSpan w:val="4"/>
            <w:tcBorders>
              <w:top w:val="nil"/>
              <w:left w:val="nil"/>
              <w:right w:val="nil"/>
            </w:tcBorders>
            <w:vAlign w:val="center"/>
          </w:tcPr>
          <w:p w14:paraId="2B998027">
            <w:pPr>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p>
          <w:p w14:paraId="71A18C26">
            <w:pPr>
              <w:jc w:val="left"/>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南京市雨花台区妇幼保健所2025年外送检验服务项目</w:t>
            </w:r>
          </w:p>
        </w:tc>
        <w:tc>
          <w:tcPr>
            <w:tcW w:w="2077" w:type="dxa"/>
            <w:gridSpan w:val="2"/>
            <w:tcBorders>
              <w:top w:val="nil"/>
              <w:left w:val="nil"/>
              <w:right w:val="nil"/>
            </w:tcBorders>
            <w:vAlign w:val="center"/>
          </w:tcPr>
          <w:p w14:paraId="48C08ED7">
            <w:pPr>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项目编号：</w:t>
            </w:r>
            <w:r>
              <w:rPr>
                <w:rFonts w:hint="eastAsia" w:ascii="仿宋" w:hAnsi="仿宋" w:eastAsia="仿宋" w:cs="仿宋"/>
                <w:color w:val="auto"/>
                <w:sz w:val="24"/>
                <w:szCs w:val="24"/>
                <w:highlight w:val="none"/>
              </w:rPr>
              <w:t>NJXN-24077-FW</w:t>
            </w:r>
          </w:p>
        </w:tc>
      </w:tr>
      <w:tr w14:paraId="3060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3774EDE7">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2410" w:type="dxa"/>
            <w:vAlign w:val="center"/>
          </w:tcPr>
          <w:p w14:paraId="2504AD5D">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竞争性磋商文件条目号</w:t>
            </w:r>
          </w:p>
        </w:tc>
        <w:tc>
          <w:tcPr>
            <w:tcW w:w="2410" w:type="dxa"/>
            <w:vAlign w:val="center"/>
          </w:tcPr>
          <w:p w14:paraId="7F0EE728">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竞争性磋商文件要求的商务条款</w:t>
            </w:r>
          </w:p>
        </w:tc>
        <w:tc>
          <w:tcPr>
            <w:tcW w:w="1438" w:type="dxa"/>
            <w:gridSpan w:val="2"/>
            <w:vAlign w:val="center"/>
          </w:tcPr>
          <w:p w14:paraId="6B152617">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投标响应</w:t>
            </w:r>
          </w:p>
        </w:tc>
        <w:tc>
          <w:tcPr>
            <w:tcW w:w="1372" w:type="dxa"/>
            <w:vAlign w:val="center"/>
          </w:tcPr>
          <w:p w14:paraId="45EA8F3F">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偏离</w:t>
            </w:r>
          </w:p>
        </w:tc>
      </w:tr>
      <w:tr w14:paraId="3EE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253280BB">
            <w:pPr>
              <w:jc w:val="center"/>
              <w:rPr>
                <w:rFonts w:ascii="仿宋" w:hAnsi="仿宋" w:eastAsia="仿宋" w:cs="仿宋"/>
                <w:color w:val="auto"/>
                <w:kern w:val="0"/>
                <w:sz w:val="24"/>
                <w:szCs w:val="24"/>
                <w:highlight w:val="none"/>
                <w:lang w:val="zh-CN"/>
              </w:rPr>
            </w:pPr>
          </w:p>
        </w:tc>
        <w:tc>
          <w:tcPr>
            <w:tcW w:w="2410" w:type="dxa"/>
            <w:vAlign w:val="center"/>
          </w:tcPr>
          <w:p w14:paraId="1E40F9BA">
            <w:pPr>
              <w:jc w:val="center"/>
              <w:rPr>
                <w:rFonts w:ascii="仿宋" w:hAnsi="仿宋" w:eastAsia="仿宋" w:cs="仿宋"/>
                <w:color w:val="auto"/>
                <w:kern w:val="0"/>
                <w:sz w:val="24"/>
                <w:szCs w:val="24"/>
                <w:highlight w:val="none"/>
                <w:lang w:val="zh-CN"/>
              </w:rPr>
            </w:pPr>
          </w:p>
        </w:tc>
        <w:tc>
          <w:tcPr>
            <w:tcW w:w="2410" w:type="dxa"/>
            <w:vAlign w:val="center"/>
          </w:tcPr>
          <w:p w14:paraId="7E0BA9DD">
            <w:pPr>
              <w:jc w:val="center"/>
              <w:rPr>
                <w:rFonts w:ascii="仿宋" w:hAnsi="仿宋" w:eastAsia="仿宋" w:cs="仿宋"/>
                <w:color w:val="auto"/>
                <w:kern w:val="0"/>
                <w:sz w:val="24"/>
                <w:szCs w:val="24"/>
                <w:highlight w:val="none"/>
                <w:lang w:val="zh-CN"/>
              </w:rPr>
            </w:pPr>
          </w:p>
        </w:tc>
        <w:tc>
          <w:tcPr>
            <w:tcW w:w="1438" w:type="dxa"/>
            <w:gridSpan w:val="2"/>
            <w:vAlign w:val="center"/>
          </w:tcPr>
          <w:p w14:paraId="0E700D05">
            <w:pPr>
              <w:jc w:val="center"/>
              <w:rPr>
                <w:rFonts w:ascii="仿宋" w:hAnsi="仿宋" w:eastAsia="仿宋" w:cs="仿宋"/>
                <w:color w:val="auto"/>
                <w:kern w:val="0"/>
                <w:sz w:val="24"/>
                <w:szCs w:val="24"/>
                <w:highlight w:val="none"/>
                <w:lang w:val="zh-CN"/>
              </w:rPr>
            </w:pPr>
          </w:p>
        </w:tc>
        <w:tc>
          <w:tcPr>
            <w:tcW w:w="1372" w:type="dxa"/>
            <w:vAlign w:val="center"/>
          </w:tcPr>
          <w:p w14:paraId="2BDAA504">
            <w:pPr>
              <w:jc w:val="center"/>
              <w:rPr>
                <w:rFonts w:ascii="仿宋" w:hAnsi="仿宋" w:eastAsia="仿宋" w:cs="仿宋"/>
                <w:color w:val="auto"/>
                <w:kern w:val="0"/>
                <w:sz w:val="24"/>
                <w:szCs w:val="24"/>
                <w:highlight w:val="none"/>
                <w:lang w:val="zh-CN"/>
              </w:rPr>
            </w:pPr>
          </w:p>
        </w:tc>
      </w:tr>
      <w:tr w14:paraId="3D8E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55DA7A7D">
            <w:pPr>
              <w:jc w:val="center"/>
              <w:rPr>
                <w:rFonts w:ascii="仿宋" w:hAnsi="仿宋" w:eastAsia="仿宋" w:cs="仿宋"/>
                <w:color w:val="auto"/>
                <w:kern w:val="0"/>
                <w:sz w:val="24"/>
                <w:szCs w:val="24"/>
                <w:highlight w:val="none"/>
                <w:lang w:val="zh-CN"/>
              </w:rPr>
            </w:pPr>
          </w:p>
        </w:tc>
        <w:tc>
          <w:tcPr>
            <w:tcW w:w="2410" w:type="dxa"/>
            <w:vAlign w:val="center"/>
          </w:tcPr>
          <w:p w14:paraId="52927F1C">
            <w:pPr>
              <w:jc w:val="center"/>
              <w:rPr>
                <w:rFonts w:ascii="仿宋" w:hAnsi="仿宋" w:eastAsia="仿宋" w:cs="仿宋"/>
                <w:color w:val="auto"/>
                <w:kern w:val="0"/>
                <w:sz w:val="24"/>
                <w:szCs w:val="24"/>
                <w:highlight w:val="none"/>
                <w:lang w:val="zh-CN"/>
              </w:rPr>
            </w:pPr>
          </w:p>
        </w:tc>
        <w:tc>
          <w:tcPr>
            <w:tcW w:w="2410" w:type="dxa"/>
            <w:vAlign w:val="center"/>
          </w:tcPr>
          <w:p w14:paraId="0902705D">
            <w:pPr>
              <w:jc w:val="center"/>
              <w:rPr>
                <w:rFonts w:ascii="仿宋" w:hAnsi="仿宋" w:eastAsia="仿宋" w:cs="仿宋"/>
                <w:color w:val="auto"/>
                <w:kern w:val="0"/>
                <w:sz w:val="24"/>
                <w:szCs w:val="24"/>
                <w:highlight w:val="none"/>
                <w:lang w:val="zh-CN"/>
              </w:rPr>
            </w:pPr>
          </w:p>
        </w:tc>
        <w:tc>
          <w:tcPr>
            <w:tcW w:w="1438" w:type="dxa"/>
            <w:gridSpan w:val="2"/>
            <w:vAlign w:val="center"/>
          </w:tcPr>
          <w:p w14:paraId="530F676A">
            <w:pPr>
              <w:jc w:val="center"/>
              <w:rPr>
                <w:rFonts w:ascii="仿宋" w:hAnsi="仿宋" w:eastAsia="仿宋" w:cs="仿宋"/>
                <w:color w:val="auto"/>
                <w:kern w:val="0"/>
                <w:sz w:val="24"/>
                <w:szCs w:val="24"/>
                <w:highlight w:val="none"/>
                <w:lang w:val="zh-CN"/>
              </w:rPr>
            </w:pPr>
          </w:p>
        </w:tc>
        <w:tc>
          <w:tcPr>
            <w:tcW w:w="1372" w:type="dxa"/>
            <w:vAlign w:val="center"/>
          </w:tcPr>
          <w:p w14:paraId="6DAB3BE4">
            <w:pPr>
              <w:jc w:val="center"/>
              <w:rPr>
                <w:rFonts w:ascii="仿宋" w:hAnsi="仿宋" w:eastAsia="仿宋" w:cs="仿宋"/>
                <w:color w:val="auto"/>
                <w:kern w:val="0"/>
                <w:sz w:val="24"/>
                <w:szCs w:val="24"/>
                <w:highlight w:val="none"/>
                <w:lang w:val="zh-CN"/>
              </w:rPr>
            </w:pPr>
          </w:p>
        </w:tc>
      </w:tr>
      <w:tr w14:paraId="77B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2E35F0C5">
            <w:pPr>
              <w:jc w:val="center"/>
              <w:rPr>
                <w:rFonts w:ascii="仿宋" w:hAnsi="仿宋" w:eastAsia="仿宋" w:cs="仿宋"/>
                <w:color w:val="auto"/>
                <w:kern w:val="0"/>
                <w:sz w:val="24"/>
                <w:szCs w:val="24"/>
                <w:highlight w:val="none"/>
                <w:lang w:val="zh-CN"/>
              </w:rPr>
            </w:pPr>
          </w:p>
        </w:tc>
        <w:tc>
          <w:tcPr>
            <w:tcW w:w="2410" w:type="dxa"/>
            <w:vAlign w:val="center"/>
          </w:tcPr>
          <w:p w14:paraId="40BC8433">
            <w:pPr>
              <w:jc w:val="center"/>
              <w:rPr>
                <w:rFonts w:ascii="仿宋" w:hAnsi="仿宋" w:eastAsia="仿宋" w:cs="仿宋"/>
                <w:color w:val="auto"/>
                <w:kern w:val="0"/>
                <w:sz w:val="24"/>
                <w:szCs w:val="24"/>
                <w:highlight w:val="none"/>
                <w:lang w:val="zh-CN"/>
              </w:rPr>
            </w:pPr>
          </w:p>
        </w:tc>
        <w:tc>
          <w:tcPr>
            <w:tcW w:w="2410" w:type="dxa"/>
            <w:vAlign w:val="center"/>
          </w:tcPr>
          <w:p w14:paraId="73AA7AC1">
            <w:pPr>
              <w:jc w:val="center"/>
              <w:rPr>
                <w:rFonts w:ascii="仿宋" w:hAnsi="仿宋" w:eastAsia="仿宋" w:cs="仿宋"/>
                <w:color w:val="auto"/>
                <w:kern w:val="0"/>
                <w:sz w:val="24"/>
                <w:szCs w:val="24"/>
                <w:highlight w:val="none"/>
                <w:lang w:val="zh-CN"/>
              </w:rPr>
            </w:pPr>
          </w:p>
        </w:tc>
        <w:tc>
          <w:tcPr>
            <w:tcW w:w="1438" w:type="dxa"/>
            <w:gridSpan w:val="2"/>
            <w:vAlign w:val="center"/>
          </w:tcPr>
          <w:p w14:paraId="6BE675CA">
            <w:pPr>
              <w:jc w:val="center"/>
              <w:rPr>
                <w:rFonts w:ascii="仿宋" w:hAnsi="仿宋" w:eastAsia="仿宋" w:cs="仿宋"/>
                <w:color w:val="auto"/>
                <w:kern w:val="0"/>
                <w:sz w:val="24"/>
                <w:szCs w:val="24"/>
                <w:highlight w:val="none"/>
                <w:lang w:val="zh-CN"/>
              </w:rPr>
            </w:pPr>
          </w:p>
        </w:tc>
        <w:tc>
          <w:tcPr>
            <w:tcW w:w="1372" w:type="dxa"/>
            <w:vAlign w:val="center"/>
          </w:tcPr>
          <w:p w14:paraId="073D633D">
            <w:pPr>
              <w:jc w:val="center"/>
              <w:rPr>
                <w:rFonts w:ascii="仿宋" w:hAnsi="仿宋" w:eastAsia="仿宋" w:cs="仿宋"/>
                <w:color w:val="auto"/>
                <w:kern w:val="0"/>
                <w:sz w:val="24"/>
                <w:szCs w:val="24"/>
                <w:highlight w:val="none"/>
                <w:lang w:val="zh-CN"/>
              </w:rPr>
            </w:pPr>
          </w:p>
        </w:tc>
      </w:tr>
      <w:tr w14:paraId="27D4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24BD9E31">
            <w:pPr>
              <w:jc w:val="center"/>
              <w:rPr>
                <w:rFonts w:ascii="仿宋" w:hAnsi="仿宋" w:eastAsia="仿宋" w:cs="仿宋"/>
                <w:color w:val="auto"/>
                <w:kern w:val="0"/>
                <w:sz w:val="24"/>
                <w:szCs w:val="24"/>
                <w:highlight w:val="none"/>
                <w:lang w:val="zh-CN"/>
              </w:rPr>
            </w:pPr>
          </w:p>
        </w:tc>
        <w:tc>
          <w:tcPr>
            <w:tcW w:w="2410" w:type="dxa"/>
            <w:vAlign w:val="center"/>
          </w:tcPr>
          <w:p w14:paraId="6093CA12">
            <w:pPr>
              <w:jc w:val="center"/>
              <w:rPr>
                <w:rFonts w:ascii="仿宋" w:hAnsi="仿宋" w:eastAsia="仿宋" w:cs="仿宋"/>
                <w:color w:val="auto"/>
                <w:kern w:val="0"/>
                <w:sz w:val="24"/>
                <w:szCs w:val="24"/>
                <w:highlight w:val="none"/>
                <w:lang w:val="zh-CN"/>
              </w:rPr>
            </w:pPr>
          </w:p>
        </w:tc>
        <w:tc>
          <w:tcPr>
            <w:tcW w:w="2410" w:type="dxa"/>
            <w:vAlign w:val="center"/>
          </w:tcPr>
          <w:p w14:paraId="48706A59">
            <w:pPr>
              <w:jc w:val="center"/>
              <w:rPr>
                <w:rFonts w:ascii="仿宋" w:hAnsi="仿宋" w:eastAsia="仿宋" w:cs="仿宋"/>
                <w:color w:val="auto"/>
                <w:kern w:val="0"/>
                <w:sz w:val="24"/>
                <w:szCs w:val="24"/>
                <w:highlight w:val="none"/>
                <w:lang w:val="zh-CN"/>
              </w:rPr>
            </w:pPr>
          </w:p>
        </w:tc>
        <w:tc>
          <w:tcPr>
            <w:tcW w:w="1438" w:type="dxa"/>
            <w:gridSpan w:val="2"/>
            <w:vAlign w:val="center"/>
          </w:tcPr>
          <w:p w14:paraId="22FB55A4">
            <w:pPr>
              <w:jc w:val="center"/>
              <w:rPr>
                <w:rFonts w:ascii="仿宋" w:hAnsi="仿宋" w:eastAsia="仿宋" w:cs="仿宋"/>
                <w:color w:val="auto"/>
                <w:kern w:val="0"/>
                <w:sz w:val="24"/>
                <w:szCs w:val="24"/>
                <w:highlight w:val="none"/>
                <w:lang w:val="zh-CN"/>
              </w:rPr>
            </w:pPr>
          </w:p>
        </w:tc>
        <w:tc>
          <w:tcPr>
            <w:tcW w:w="1372" w:type="dxa"/>
            <w:vAlign w:val="center"/>
          </w:tcPr>
          <w:p w14:paraId="4E63C3AB">
            <w:pPr>
              <w:jc w:val="center"/>
              <w:rPr>
                <w:rFonts w:ascii="仿宋" w:hAnsi="仿宋" w:eastAsia="仿宋" w:cs="仿宋"/>
                <w:color w:val="auto"/>
                <w:kern w:val="0"/>
                <w:sz w:val="24"/>
                <w:szCs w:val="24"/>
                <w:highlight w:val="none"/>
                <w:lang w:val="zh-CN"/>
              </w:rPr>
            </w:pPr>
          </w:p>
        </w:tc>
      </w:tr>
      <w:tr w14:paraId="10FF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6F499649">
            <w:pPr>
              <w:jc w:val="center"/>
              <w:rPr>
                <w:rFonts w:ascii="仿宋" w:hAnsi="仿宋" w:eastAsia="仿宋" w:cs="仿宋"/>
                <w:color w:val="auto"/>
                <w:kern w:val="0"/>
                <w:sz w:val="24"/>
                <w:szCs w:val="24"/>
                <w:highlight w:val="none"/>
                <w:lang w:val="zh-CN"/>
              </w:rPr>
            </w:pPr>
          </w:p>
        </w:tc>
        <w:tc>
          <w:tcPr>
            <w:tcW w:w="2410" w:type="dxa"/>
            <w:vAlign w:val="center"/>
          </w:tcPr>
          <w:p w14:paraId="4625883B">
            <w:pPr>
              <w:jc w:val="center"/>
              <w:rPr>
                <w:rFonts w:ascii="仿宋" w:hAnsi="仿宋" w:eastAsia="仿宋" w:cs="仿宋"/>
                <w:color w:val="auto"/>
                <w:kern w:val="0"/>
                <w:sz w:val="24"/>
                <w:szCs w:val="24"/>
                <w:highlight w:val="none"/>
                <w:lang w:val="zh-CN"/>
              </w:rPr>
            </w:pPr>
          </w:p>
        </w:tc>
        <w:tc>
          <w:tcPr>
            <w:tcW w:w="2410" w:type="dxa"/>
            <w:vAlign w:val="center"/>
          </w:tcPr>
          <w:p w14:paraId="24EBEDEB">
            <w:pPr>
              <w:jc w:val="center"/>
              <w:rPr>
                <w:rFonts w:ascii="仿宋" w:hAnsi="仿宋" w:eastAsia="仿宋" w:cs="仿宋"/>
                <w:color w:val="auto"/>
                <w:kern w:val="0"/>
                <w:sz w:val="24"/>
                <w:szCs w:val="24"/>
                <w:highlight w:val="none"/>
                <w:lang w:val="zh-CN"/>
              </w:rPr>
            </w:pPr>
          </w:p>
        </w:tc>
        <w:tc>
          <w:tcPr>
            <w:tcW w:w="1438" w:type="dxa"/>
            <w:gridSpan w:val="2"/>
            <w:vAlign w:val="center"/>
          </w:tcPr>
          <w:p w14:paraId="0E69CEE9">
            <w:pPr>
              <w:jc w:val="center"/>
              <w:rPr>
                <w:rFonts w:ascii="仿宋" w:hAnsi="仿宋" w:eastAsia="仿宋" w:cs="仿宋"/>
                <w:color w:val="auto"/>
                <w:kern w:val="0"/>
                <w:sz w:val="24"/>
                <w:szCs w:val="24"/>
                <w:highlight w:val="none"/>
                <w:lang w:val="zh-CN"/>
              </w:rPr>
            </w:pPr>
          </w:p>
        </w:tc>
        <w:tc>
          <w:tcPr>
            <w:tcW w:w="1372" w:type="dxa"/>
            <w:vAlign w:val="center"/>
          </w:tcPr>
          <w:p w14:paraId="7A704914">
            <w:pPr>
              <w:jc w:val="center"/>
              <w:rPr>
                <w:rFonts w:ascii="仿宋" w:hAnsi="仿宋" w:eastAsia="仿宋" w:cs="仿宋"/>
                <w:color w:val="auto"/>
                <w:kern w:val="0"/>
                <w:sz w:val="24"/>
                <w:szCs w:val="24"/>
                <w:highlight w:val="none"/>
                <w:lang w:val="zh-CN"/>
              </w:rPr>
            </w:pPr>
          </w:p>
        </w:tc>
      </w:tr>
      <w:tr w14:paraId="0B94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3B0C3BE4">
            <w:pPr>
              <w:jc w:val="center"/>
              <w:rPr>
                <w:rFonts w:ascii="仿宋" w:hAnsi="仿宋" w:eastAsia="仿宋" w:cs="仿宋"/>
                <w:color w:val="auto"/>
                <w:kern w:val="0"/>
                <w:sz w:val="24"/>
                <w:szCs w:val="24"/>
                <w:highlight w:val="none"/>
                <w:lang w:val="zh-CN"/>
              </w:rPr>
            </w:pPr>
          </w:p>
        </w:tc>
        <w:tc>
          <w:tcPr>
            <w:tcW w:w="2410" w:type="dxa"/>
            <w:vAlign w:val="center"/>
          </w:tcPr>
          <w:p w14:paraId="731139CC">
            <w:pPr>
              <w:jc w:val="center"/>
              <w:rPr>
                <w:rFonts w:ascii="仿宋" w:hAnsi="仿宋" w:eastAsia="仿宋" w:cs="仿宋"/>
                <w:color w:val="auto"/>
                <w:kern w:val="0"/>
                <w:sz w:val="24"/>
                <w:szCs w:val="24"/>
                <w:highlight w:val="none"/>
                <w:lang w:val="zh-CN"/>
              </w:rPr>
            </w:pPr>
          </w:p>
        </w:tc>
        <w:tc>
          <w:tcPr>
            <w:tcW w:w="2410" w:type="dxa"/>
            <w:vAlign w:val="center"/>
          </w:tcPr>
          <w:p w14:paraId="29318E56">
            <w:pPr>
              <w:jc w:val="center"/>
              <w:rPr>
                <w:rFonts w:ascii="仿宋" w:hAnsi="仿宋" w:eastAsia="仿宋" w:cs="仿宋"/>
                <w:color w:val="auto"/>
                <w:kern w:val="0"/>
                <w:sz w:val="24"/>
                <w:szCs w:val="24"/>
                <w:highlight w:val="none"/>
                <w:lang w:val="zh-CN"/>
              </w:rPr>
            </w:pPr>
          </w:p>
        </w:tc>
        <w:tc>
          <w:tcPr>
            <w:tcW w:w="1438" w:type="dxa"/>
            <w:gridSpan w:val="2"/>
            <w:vAlign w:val="center"/>
          </w:tcPr>
          <w:p w14:paraId="0FBFAE18">
            <w:pPr>
              <w:jc w:val="center"/>
              <w:rPr>
                <w:rFonts w:ascii="仿宋" w:hAnsi="仿宋" w:eastAsia="仿宋" w:cs="仿宋"/>
                <w:color w:val="auto"/>
                <w:kern w:val="0"/>
                <w:sz w:val="24"/>
                <w:szCs w:val="24"/>
                <w:highlight w:val="none"/>
                <w:lang w:val="zh-CN"/>
              </w:rPr>
            </w:pPr>
          </w:p>
        </w:tc>
        <w:tc>
          <w:tcPr>
            <w:tcW w:w="1372" w:type="dxa"/>
            <w:vAlign w:val="center"/>
          </w:tcPr>
          <w:p w14:paraId="1CD1E8DF">
            <w:pPr>
              <w:jc w:val="center"/>
              <w:rPr>
                <w:rFonts w:ascii="仿宋" w:hAnsi="仿宋" w:eastAsia="仿宋" w:cs="仿宋"/>
                <w:color w:val="auto"/>
                <w:kern w:val="0"/>
                <w:sz w:val="24"/>
                <w:szCs w:val="24"/>
                <w:highlight w:val="none"/>
                <w:lang w:val="zh-CN"/>
              </w:rPr>
            </w:pPr>
          </w:p>
        </w:tc>
      </w:tr>
      <w:tr w14:paraId="32A3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6A716DF6">
            <w:pPr>
              <w:jc w:val="center"/>
              <w:rPr>
                <w:rFonts w:ascii="仿宋" w:hAnsi="仿宋" w:eastAsia="仿宋" w:cs="仿宋"/>
                <w:color w:val="auto"/>
                <w:kern w:val="0"/>
                <w:sz w:val="24"/>
                <w:szCs w:val="24"/>
                <w:highlight w:val="none"/>
              </w:rPr>
            </w:pPr>
          </w:p>
        </w:tc>
        <w:tc>
          <w:tcPr>
            <w:tcW w:w="2410" w:type="dxa"/>
            <w:vAlign w:val="center"/>
          </w:tcPr>
          <w:p w14:paraId="5BA4F2F0">
            <w:pPr>
              <w:jc w:val="center"/>
              <w:rPr>
                <w:rFonts w:ascii="仿宋" w:hAnsi="仿宋" w:eastAsia="仿宋" w:cs="仿宋"/>
                <w:color w:val="auto"/>
                <w:kern w:val="0"/>
                <w:sz w:val="24"/>
                <w:szCs w:val="24"/>
                <w:highlight w:val="none"/>
              </w:rPr>
            </w:pPr>
          </w:p>
        </w:tc>
        <w:tc>
          <w:tcPr>
            <w:tcW w:w="2410" w:type="dxa"/>
            <w:vAlign w:val="center"/>
          </w:tcPr>
          <w:p w14:paraId="4D136042">
            <w:pPr>
              <w:jc w:val="center"/>
              <w:rPr>
                <w:rFonts w:ascii="仿宋" w:hAnsi="仿宋" w:eastAsia="仿宋" w:cs="仿宋"/>
                <w:color w:val="auto"/>
                <w:kern w:val="0"/>
                <w:sz w:val="24"/>
                <w:szCs w:val="24"/>
                <w:highlight w:val="none"/>
              </w:rPr>
            </w:pPr>
          </w:p>
        </w:tc>
        <w:tc>
          <w:tcPr>
            <w:tcW w:w="1438" w:type="dxa"/>
            <w:gridSpan w:val="2"/>
            <w:vAlign w:val="center"/>
          </w:tcPr>
          <w:p w14:paraId="71B92069">
            <w:pPr>
              <w:jc w:val="center"/>
              <w:rPr>
                <w:rFonts w:ascii="仿宋" w:hAnsi="仿宋" w:eastAsia="仿宋" w:cs="仿宋"/>
                <w:color w:val="auto"/>
                <w:kern w:val="0"/>
                <w:sz w:val="24"/>
                <w:szCs w:val="24"/>
                <w:highlight w:val="none"/>
              </w:rPr>
            </w:pPr>
          </w:p>
        </w:tc>
        <w:tc>
          <w:tcPr>
            <w:tcW w:w="1372" w:type="dxa"/>
            <w:vAlign w:val="center"/>
          </w:tcPr>
          <w:p w14:paraId="1FB4BC7E">
            <w:pPr>
              <w:jc w:val="center"/>
              <w:rPr>
                <w:rFonts w:ascii="仿宋" w:hAnsi="仿宋" w:eastAsia="仿宋" w:cs="仿宋"/>
                <w:color w:val="auto"/>
                <w:kern w:val="0"/>
                <w:sz w:val="24"/>
                <w:szCs w:val="24"/>
                <w:highlight w:val="none"/>
              </w:rPr>
            </w:pPr>
          </w:p>
        </w:tc>
      </w:tr>
    </w:tbl>
    <w:p w14:paraId="7462B637">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479B3345">
      <w:pPr>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说明：如果行数不够，请自行增加。</w:t>
      </w:r>
    </w:p>
    <w:p w14:paraId="7D73649C">
      <w:pPr>
        <w:rPr>
          <w:rFonts w:ascii="仿宋" w:hAnsi="仿宋" w:eastAsia="仿宋" w:cs="仿宋"/>
          <w:b/>
          <w:bCs/>
          <w:color w:val="auto"/>
          <w:sz w:val="22"/>
          <w:highlight w:val="none"/>
        </w:rPr>
      </w:pPr>
      <w:bookmarkStart w:id="97" w:name="_Toc13021"/>
      <w:bookmarkStart w:id="98" w:name="_Toc1933"/>
      <w:bookmarkStart w:id="99" w:name="_Toc19359"/>
      <w:r>
        <w:rPr>
          <w:rFonts w:hint="eastAsia" w:ascii="仿宋" w:hAnsi="仿宋" w:eastAsia="仿宋" w:cs="仿宋"/>
          <w:b/>
          <w:bCs/>
          <w:color w:val="auto"/>
          <w:sz w:val="22"/>
          <w:highlight w:val="none"/>
        </w:rPr>
        <w:br w:type="page"/>
      </w:r>
    </w:p>
    <w:p w14:paraId="75726363">
      <w:pPr>
        <w:spacing w:line="360" w:lineRule="auto"/>
        <w:outlineLvl w:val="2"/>
        <w:rPr>
          <w:rFonts w:ascii="仿宋" w:hAnsi="仿宋" w:eastAsia="仿宋" w:cs="仿宋"/>
          <w:b/>
          <w:bCs/>
          <w:color w:val="auto"/>
          <w:sz w:val="22"/>
          <w:highlight w:val="none"/>
        </w:rPr>
      </w:pPr>
      <w:bookmarkStart w:id="100" w:name="_Toc7839"/>
      <w:r>
        <w:rPr>
          <w:rFonts w:hint="eastAsia" w:ascii="仿宋" w:hAnsi="仿宋" w:eastAsia="仿宋" w:cs="仿宋"/>
          <w:b/>
          <w:bCs/>
          <w:color w:val="auto"/>
          <w:sz w:val="22"/>
          <w:highlight w:val="none"/>
        </w:rPr>
        <w:t>目录九、</w:t>
      </w:r>
      <w:bookmarkEnd w:id="97"/>
      <w:bookmarkEnd w:id="98"/>
      <w:r>
        <w:rPr>
          <w:rFonts w:hint="eastAsia" w:ascii="仿宋" w:hAnsi="仿宋" w:eastAsia="仿宋" w:cs="仿宋"/>
          <w:b/>
          <w:bCs/>
          <w:color w:val="auto"/>
          <w:sz w:val="22"/>
          <w:highlight w:val="none"/>
        </w:rPr>
        <w:t>技术方案</w:t>
      </w:r>
      <w:bookmarkEnd w:id="99"/>
      <w:bookmarkEnd w:id="100"/>
    </w:p>
    <w:p w14:paraId="01CBB2D0">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技术方案（自行编制）</w:t>
      </w:r>
    </w:p>
    <w:p w14:paraId="59E7A737">
      <w:pPr>
        <w:spacing w:line="360" w:lineRule="auto"/>
        <w:rPr>
          <w:rFonts w:ascii="仿宋" w:hAnsi="仿宋" w:eastAsia="仿宋" w:cs="仿宋"/>
          <w:b/>
          <w:bCs/>
          <w:color w:val="auto"/>
          <w:sz w:val="22"/>
          <w:highlight w:val="none"/>
        </w:rPr>
      </w:pPr>
      <w:bookmarkStart w:id="101" w:name="_Toc3793"/>
      <w:bookmarkStart w:id="102" w:name="_Toc21802"/>
      <w:bookmarkStart w:id="103" w:name="_Toc5164"/>
    </w:p>
    <w:p w14:paraId="6E7135E4">
      <w:pPr>
        <w:spacing w:line="360" w:lineRule="auto"/>
        <w:rPr>
          <w:rFonts w:ascii="仿宋" w:hAnsi="仿宋" w:eastAsia="仿宋" w:cs="仿宋"/>
          <w:b/>
          <w:bCs/>
          <w:color w:val="auto"/>
          <w:sz w:val="22"/>
          <w:highlight w:val="none"/>
        </w:rPr>
      </w:pPr>
    </w:p>
    <w:p w14:paraId="714C5D12">
      <w:pPr>
        <w:spacing w:line="360" w:lineRule="auto"/>
        <w:rPr>
          <w:rFonts w:ascii="仿宋" w:hAnsi="仿宋" w:eastAsia="仿宋" w:cs="仿宋"/>
          <w:b/>
          <w:bCs/>
          <w:color w:val="auto"/>
          <w:sz w:val="22"/>
          <w:highlight w:val="none"/>
        </w:rPr>
      </w:pPr>
    </w:p>
    <w:p w14:paraId="481905AE">
      <w:pPr>
        <w:spacing w:line="360" w:lineRule="auto"/>
        <w:rPr>
          <w:rFonts w:ascii="仿宋" w:hAnsi="仿宋" w:eastAsia="仿宋" w:cs="仿宋"/>
          <w:b/>
          <w:bCs/>
          <w:color w:val="auto"/>
          <w:sz w:val="22"/>
          <w:highlight w:val="none"/>
        </w:rPr>
      </w:pPr>
    </w:p>
    <w:p w14:paraId="0DD7C42E">
      <w:pPr>
        <w:spacing w:line="360" w:lineRule="auto"/>
        <w:rPr>
          <w:rFonts w:ascii="仿宋" w:hAnsi="仿宋" w:eastAsia="仿宋" w:cs="仿宋"/>
          <w:b/>
          <w:bCs/>
          <w:color w:val="auto"/>
          <w:sz w:val="22"/>
          <w:highlight w:val="none"/>
        </w:rPr>
      </w:pPr>
    </w:p>
    <w:p w14:paraId="72B874C4">
      <w:pPr>
        <w:spacing w:line="360" w:lineRule="auto"/>
        <w:rPr>
          <w:rFonts w:ascii="仿宋" w:hAnsi="仿宋" w:eastAsia="仿宋" w:cs="仿宋"/>
          <w:b/>
          <w:bCs/>
          <w:color w:val="auto"/>
          <w:sz w:val="22"/>
          <w:highlight w:val="none"/>
        </w:rPr>
      </w:pPr>
    </w:p>
    <w:p w14:paraId="655A53F0">
      <w:pPr>
        <w:spacing w:line="360" w:lineRule="auto"/>
        <w:rPr>
          <w:rFonts w:ascii="仿宋" w:hAnsi="仿宋" w:eastAsia="仿宋" w:cs="仿宋"/>
          <w:b/>
          <w:bCs/>
          <w:color w:val="auto"/>
          <w:sz w:val="22"/>
          <w:highlight w:val="none"/>
        </w:rPr>
      </w:pPr>
    </w:p>
    <w:p w14:paraId="75316DD8">
      <w:pPr>
        <w:spacing w:line="360" w:lineRule="auto"/>
        <w:rPr>
          <w:rFonts w:ascii="仿宋" w:hAnsi="仿宋" w:eastAsia="仿宋" w:cs="仿宋"/>
          <w:b/>
          <w:bCs/>
          <w:color w:val="auto"/>
          <w:sz w:val="22"/>
          <w:highlight w:val="none"/>
        </w:rPr>
      </w:pPr>
    </w:p>
    <w:p w14:paraId="37516E86">
      <w:pPr>
        <w:spacing w:line="360" w:lineRule="auto"/>
        <w:rPr>
          <w:rFonts w:ascii="仿宋" w:hAnsi="仿宋" w:eastAsia="仿宋" w:cs="仿宋"/>
          <w:b/>
          <w:bCs/>
          <w:color w:val="auto"/>
          <w:sz w:val="22"/>
          <w:highlight w:val="none"/>
        </w:rPr>
      </w:pPr>
    </w:p>
    <w:p w14:paraId="1DD5A88C">
      <w:pPr>
        <w:spacing w:line="360" w:lineRule="auto"/>
        <w:rPr>
          <w:rFonts w:ascii="仿宋" w:hAnsi="仿宋" w:eastAsia="仿宋" w:cs="仿宋"/>
          <w:b/>
          <w:bCs/>
          <w:color w:val="auto"/>
          <w:sz w:val="22"/>
          <w:highlight w:val="none"/>
        </w:rPr>
      </w:pPr>
    </w:p>
    <w:p w14:paraId="3BA23D17">
      <w:pPr>
        <w:spacing w:line="360" w:lineRule="auto"/>
        <w:outlineLvl w:val="2"/>
        <w:rPr>
          <w:rFonts w:ascii="仿宋" w:hAnsi="仿宋" w:eastAsia="仿宋" w:cs="仿宋"/>
          <w:b/>
          <w:bCs/>
          <w:color w:val="auto"/>
          <w:sz w:val="22"/>
          <w:highlight w:val="none"/>
        </w:rPr>
      </w:pPr>
      <w:bookmarkStart w:id="104" w:name="_Toc23095"/>
      <w:r>
        <w:rPr>
          <w:rFonts w:hint="eastAsia" w:ascii="仿宋" w:hAnsi="仿宋" w:eastAsia="仿宋" w:cs="仿宋"/>
          <w:b/>
          <w:bCs/>
          <w:color w:val="auto"/>
          <w:sz w:val="22"/>
          <w:highlight w:val="none"/>
        </w:rPr>
        <w:t>目录十、服务与承诺</w:t>
      </w:r>
      <w:bookmarkEnd w:id="101"/>
      <w:bookmarkEnd w:id="102"/>
      <w:bookmarkEnd w:id="103"/>
      <w:bookmarkEnd w:id="104"/>
    </w:p>
    <w:p w14:paraId="7F4FDCA6">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服务与承诺（自行编制，格式自拟）</w:t>
      </w:r>
    </w:p>
    <w:p w14:paraId="426DBF45">
      <w:pPr>
        <w:rPr>
          <w:rFonts w:ascii="仿宋" w:hAnsi="仿宋" w:eastAsia="仿宋" w:cs="仿宋"/>
          <w:b/>
          <w:bCs/>
          <w:color w:val="auto"/>
          <w:sz w:val="22"/>
          <w:highlight w:val="none"/>
        </w:rPr>
      </w:pPr>
      <w:bookmarkStart w:id="105" w:name="_Toc30560"/>
      <w:bookmarkStart w:id="106" w:name="_Toc9250"/>
      <w:bookmarkStart w:id="107" w:name="_Toc4666"/>
      <w:r>
        <w:rPr>
          <w:rFonts w:hint="eastAsia" w:ascii="仿宋" w:hAnsi="仿宋" w:eastAsia="仿宋" w:cs="仿宋"/>
          <w:b/>
          <w:bCs/>
          <w:color w:val="auto"/>
          <w:sz w:val="22"/>
          <w:highlight w:val="none"/>
        </w:rPr>
        <w:br w:type="page"/>
      </w:r>
    </w:p>
    <w:p w14:paraId="0CB461A7">
      <w:pPr>
        <w:spacing w:line="360" w:lineRule="auto"/>
        <w:outlineLvl w:val="2"/>
        <w:rPr>
          <w:rFonts w:ascii="仿宋" w:hAnsi="仿宋" w:eastAsia="仿宋" w:cs="仿宋"/>
          <w:b/>
          <w:bCs/>
          <w:color w:val="auto"/>
          <w:sz w:val="22"/>
          <w:highlight w:val="none"/>
        </w:rPr>
      </w:pPr>
      <w:bookmarkStart w:id="108" w:name="_Toc20514"/>
      <w:r>
        <w:rPr>
          <w:rFonts w:hint="eastAsia" w:ascii="仿宋" w:hAnsi="仿宋" w:eastAsia="仿宋" w:cs="仿宋"/>
          <w:b/>
          <w:bCs/>
          <w:color w:val="auto"/>
          <w:sz w:val="22"/>
          <w:highlight w:val="none"/>
        </w:rPr>
        <w:t>目录十一、供应商拟投入本项目团队人员一览表</w:t>
      </w:r>
      <w:bookmarkEnd w:id="105"/>
      <w:bookmarkEnd w:id="106"/>
      <w:bookmarkEnd w:id="107"/>
      <w:bookmarkEnd w:id="108"/>
    </w:p>
    <w:p w14:paraId="2F25D32C">
      <w:pPr>
        <w:pStyle w:val="37"/>
        <w:rPr>
          <w:rFonts w:ascii="仿宋" w:hAnsi="仿宋" w:eastAsia="仿宋" w:cs="仿宋"/>
          <w:color w:val="auto"/>
          <w:highlight w:val="none"/>
        </w:rPr>
      </w:pPr>
    </w:p>
    <w:p w14:paraId="32B24E8A">
      <w:pPr>
        <w:jc w:val="center"/>
        <w:rPr>
          <w:rFonts w:ascii="仿宋" w:hAnsi="仿宋" w:eastAsia="仿宋" w:cs="仿宋"/>
          <w:b/>
          <w:bCs/>
          <w:color w:val="auto"/>
          <w:sz w:val="32"/>
          <w:szCs w:val="32"/>
          <w:highlight w:val="none"/>
        </w:rPr>
      </w:pPr>
      <w:bookmarkStart w:id="109" w:name="_Toc22477"/>
      <w:r>
        <w:rPr>
          <w:rFonts w:hint="eastAsia" w:ascii="仿宋" w:hAnsi="仿宋" w:eastAsia="仿宋" w:cs="仿宋"/>
          <w:b/>
          <w:bCs/>
          <w:color w:val="auto"/>
          <w:sz w:val="32"/>
          <w:szCs w:val="32"/>
          <w:highlight w:val="none"/>
        </w:rPr>
        <w:t>供应商拟投入本项目团队人员一览表</w:t>
      </w:r>
      <w:bookmarkEnd w:id="109"/>
    </w:p>
    <w:p w14:paraId="5D7AA0FF">
      <w:pPr>
        <w:pStyle w:val="37"/>
        <w:rPr>
          <w:rFonts w:ascii="仿宋" w:hAnsi="仿宋" w:eastAsia="仿宋" w:cs="仿宋"/>
          <w:color w:val="auto"/>
          <w:highlight w:val="none"/>
        </w:rPr>
      </w:pPr>
    </w:p>
    <w:p w14:paraId="221FD137">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项目名称：南京市雨花台区妇幼保健所2025年外送检验服务项目</w:t>
      </w:r>
    </w:p>
    <w:p w14:paraId="40391E4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项目编号：NJXN-24077-FW</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10"/>
        <w:gridCol w:w="795"/>
        <w:gridCol w:w="645"/>
        <w:gridCol w:w="675"/>
        <w:gridCol w:w="645"/>
        <w:gridCol w:w="975"/>
        <w:gridCol w:w="750"/>
        <w:gridCol w:w="1033"/>
        <w:gridCol w:w="975"/>
        <w:gridCol w:w="846"/>
      </w:tblGrid>
      <w:tr w14:paraId="498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10" w:type="dxa"/>
            <w:vAlign w:val="center"/>
          </w:tcPr>
          <w:p w14:paraId="007220BB">
            <w:pPr>
              <w:rPr>
                <w:rFonts w:ascii="仿宋" w:hAnsi="仿宋" w:eastAsia="仿宋" w:cs="仿宋"/>
                <w:b/>
                <w:color w:val="auto"/>
                <w:highlight w:val="none"/>
              </w:rPr>
            </w:pPr>
            <w:r>
              <w:rPr>
                <w:rFonts w:hint="eastAsia" w:ascii="仿宋" w:hAnsi="仿宋" w:eastAsia="仿宋" w:cs="仿宋"/>
                <w:b/>
                <w:color w:val="auto"/>
                <w:highlight w:val="none"/>
              </w:rPr>
              <w:t>序号</w:t>
            </w:r>
          </w:p>
        </w:tc>
        <w:tc>
          <w:tcPr>
            <w:tcW w:w="810" w:type="dxa"/>
            <w:vAlign w:val="center"/>
          </w:tcPr>
          <w:p w14:paraId="1DF2598B">
            <w:pPr>
              <w:rPr>
                <w:rFonts w:ascii="仿宋" w:hAnsi="仿宋" w:eastAsia="仿宋" w:cs="仿宋"/>
                <w:b/>
                <w:color w:val="auto"/>
                <w:highlight w:val="none"/>
              </w:rPr>
            </w:pPr>
            <w:r>
              <w:rPr>
                <w:rFonts w:hint="eastAsia" w:ascii="仿宋" w:hAnsi="仿宋" w:eastAsia="仿宋" w:cs="仿宋"/>
                <w:b/>
                <w:color w:val="auto"/>
                <w:highlight w:val="none"/>
              </w:rPr>
              <w:t>姓名</w:t>
            </w:r>
          </w:p>
        </w:tc>
        <w:tc>
          <w:tcPr>
            <w:tcW w:w="795" w:type="dxa"/>
            <w:vAlign w:val="center"/>
          </w:tcPr>
          <w:p w14:paraId="3ED18E29">
            <w:pPr>
              <w:rPr>
                <w:rFonts w:ascii="仿宋" w:hAnsi="仿宋" w:eastAsia="仿宋" w:cs="仿宋"/>
                <w:b/>
                <w:color w:val="auto"/>
                <w:highlight w:val="none"/>
              </w:rPr>
            </w:pPr>
            <w:r>
              <w:rPr>
                <w:rFonts w:hint="eastAsia" w:ascii="仿宋" w:hAnsi="仿宋" w:eastAsia="仿宋" w:cs="仿宋"/>
                <w:b/>
                <w:color w:val="auto"/>
                <w:highlight w:val="none"/>
              </w:rPr>
              <w:t>性别</w:t>
            </w:r>
          </w:p>
        </w:tc>
        <w:tc>
          <w:tcPr>
            <w:tcW w:w="645" w:type="dxa"/>
            <w:vAlign w:val="center"/>
          </w:tcPr>
          <w:p w14:paraId="1C6B61B2">
            <w:pPr>
              <w:rPr>
                <w:rFonts w:ascii="仿宋" w:hAnsi="仿宋" w:eastAsia="仿宋" w:cs="仿宋"/>
                <w:b/>
                <w:color w:val="auto"/>
                <w:highlight w:val="none"/>
              </w:rPr>
            </w:pPr>
            <w:r>
              <w:rPr>
                <w:rFonts w:hint="eastAsia" w:ascii="仿宋" w:hAnsi="仿宋" w:eastAsia="仿宋" w:cs="仿宋"/>
                <w:b/>
                <w:color w:val="auto"/>
                <w:highlight w:val="none"/>
              </w:rPr>
              <w:t>年龄</w:t>
            </w:r>
          </w:p>
        </w:tc>
        <w:tc>
          <w:tcPr>
            <w:tcW w:w="675" w:type="dxa"/>
            <w:vAlign w:val="center"/>
          </w:tcPr>
          <w:p w14:paraId="104BE29B">
            <w:pPr>
              <w:rPr>
                <w:rFonts w:ascii="仿宋" w:hAnsi="仿宋" w:eastAsia="仿宋" w:cs="仿宋"/>
                <w:b/>
                <w:color w:val="auto"/>
                <w:highlight w:val="none"/>
              </w:rPr>
            </w:pPr>
            <w:r>
              <w:rPr>
                <w:rFonts w:hint="eastAsia" w:ascii="仿宋" w:hAnsi="仿宋" w:eastAsia="仿宋" w:cs="仿宋"/>
                <w:b/>
                <w:color w:val="auto"/>
                <w:highlight w:val="none"/>
              </w:rPr>
              <w:t>专业</w:t>
            </w:r>
          </w:p>
        </w:tc>
        <w:tc>
          <w:tcPr>
            <w:tcW w:w="645" w:type="dxa"/>
            <w:vAlign w:val="center"/>
          </w:tcPr>
          <w:p w14:paraId="22A07221">
            <w:pPr>
              <w:rPr>
                <w:rFonts w:ascii="仿宋" w:hAnsi="仿宋" w:eastAsia="仿宋" w:cs="仿宋"/>
                <w:b/>
                <w:color w:val="auto"/>
                <w:highlight w:val="none"/>
              </w:rPr>
            </w:pPr>
            <w:r>
              <w:rPr>
                <w:rFonts w:hint="eastAsia" w:ascii="仿宋" w:hAnsi="仿宋" w:eastAsia="仿宋" w:cs="仿宋"/>
                <w:b/>
                <w:color w:val="auto"/>
                <w:highlight w:val="none"/>
              </w:rPr>
              <w:t>学历</w:t>
            </w:r>
          </w:p>
        </w:tc>
        <w:tc>
          <w:tcPr>
            <w:tcW w:w="975" w:type="dxa"/>
            <w:vAlign w:val="center"/>
          </w:tcPr>
          <w:p w14:paraId="13255B9B">
            <w:pPr>
              <w:jc w:val="center"/>
              <w:rPr>
                <w:rFonts w:ascii="仿宋" w:hAnsi="仿宋" w:eastAsia="仿宋" w:cs="仿宋"/>
                <w:b/>
                <w:color w:val="auto"/>
                <w:highlight w:val="none"/>
              </w:rPr>
            </w:pPr>
            <w:r>
              <w:rPr>
                <w:rFonts w:hint="eastAsia" w:ascii="仿宋" w:hAnsi="仿宋" w:eastAsia="仿宋" w:cs="仿宋"/>
                <w:b/>
                <w:color w:val="auto"/>
                <w:highlight w:val="none"/>
              </w:rPr>
              <w:t>执业资格及证书号</w:t>
            </w:r>
          </w:p>
        </w:tc>
        <w:tc>
          <w:tcPr>
            <w:tcW w:w="750" w:type="dxa"/>
            <w:vAlign w:val="center"/>
          </w:tcPr>
          <w:p w14:paraId="7418B105">
            <w:pPr>
              <w:rPr>
                <w:rFonts w:ascii="仿宋" w:hAnsi="仿宋" w:eastAsia="仿宋" w:cs="仿宋"/>
                <w:b/>
                <w:color w:val="auto"/>
                <w:highlight w:val="none"/>
              </w:rPr>
            </w:pPr>
            <w:r>
              <w:rPr>
                <w:rFonts w:hint="eastAsia" w:ascii="仿宋" w:hAnsi="仿宋" w:eastAsia="仿宋" w:cs="仿宋"/>
                <w:b/>
                <w:color w:val="auto"/>
                <w:highlight w:val="none"/>
              </w:rPr>
              <w:t>技术职称</w:t>
            </w:r>
          </w:p>
        </w:tc>
        <w:tc>
          <w:tcPr>
            <w:tcW w:w="1033" w:type="dxa"/>
            <w:vAlign w:val="center"/>
          </w:tcPr>
          <w:p w14:paraId="4C3CEC1D">
            <w:pPr>
              <w:rPr>
                <w:rFonts w:ascii="仿宋" w:hAnsi="仿宋" w:eastAsia="仿宋" w:cs="仿宋"/>
                <w:b/>
                <w:color w:val="auto"/>
                <w:highlight w:val="none"/>
              </w:rPr>
            </w:pPr>
            <w:r>
              <w:rPr>
                <w:rFonts w:hint="eastAsia" w:ascii="仿宋" w:hAnsi="仿宋" w:eastAsia="仿宋" w:cs="仿宋"/>
                <w:b/>
                <w:color w:val="auto"/>
                <w:highlight w:val="none"/>
              </w:rPr>
              <w:t>相关工作年限而及工作经历</w:t>
            </w:r>
          </w:p>
        </w:tc>
        <w:tc>
          <w:tcPr>
            <w:tcW w:w="975" w:type="dxa"/>
            <w:vAlign w:val="center"/>
          </w:tcPr>
          <w:p w14:paraId="78FDD079">
            <w:pPr>
              <w:rPr>
                <w:rFonts w:ascii="仿宋" w:hAnsi="仿宋" w:eastAsia="仿宋" w:cs="仿宋"/>
                <w:b/>
                <w:color w:val="auto"/>
                <w:highlight w:val="none"/>
              </w:rPr>
            </w:pPr>
            <w:r>
              <w:rPr>
                <w:rFonts w:hint="eastAsia" w:ascii="仿宋" w:hAnsi="仿宋" w:eastAsia="仿宋" w:cs="仿宋"/>
                <w:b/>
                <w:color w:val="auto"/>
                <w:szCs w:val="21"/>
                <w:highlight w:val="none"/>
                <w:lang w:val="zh-CN"/>
              </w:rPr>
              <w:t>拟担任本项目何种工作</w:t>
            </w:r>
          </w:p>
        </w:tc>
        <w:tc>
          <w:tcPr>
            <w:tcW w:w="846" w:type="dxa"/>
            <w:vAlign w:val="center"/>
          </w:tcPr>
          <w:p w14:paraId="230E4BF4">
            <w:pPr>
              <w:rPr>
                <w:rFonts w:ascii="仿宋" w:hAnsi="仿宋" w:eastAsia="仿宋" w:cs="仿宋"/>
                <w:b/>
                <w:color w:val="auto"/>
                <w:highlight w:val="none"/>
              </w:rPr>
            </w:pPr>
            <w:r>
              <w:rPr>
                <w:rFonts w:hint="eastAsia" w:ascii="仿宋" w:hAnsi="仿宋" w:eastAsia="仿宋" w:cs="仿宋"/>
                <w:b/>
                <w:color w:val="auto"/>
                <w:highlight w:val="none"/>
              </w:rPr>
              <w:t>备注</w:t>
            </w:r>
          </w:p>
        </w:tc>
      </w:tr>
      <w:tr w14:paraId="3568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3F684A1B">
            <w:pPr>
              <w:rPr>
                <w:rFonts w:ascii="仿宋" w:hAnsi="仿宋" w:eastAsia="仿宋" w:cs="仿宋"/>
                <w:color w:val="auto"/>
                <w:highlight w:val="none"/>
              </w:rPr>
            </w:pPr>
          </w:p>
        </w:tc>
        <w:tc>
          <w:tcPr>
            <w:tcW w:w="810" w:type="dxa"/>
          </w:tcPr>
          <w:p w14:paraId="0E2C4D21">
            <w:pPr>
              <w:rPr>
                <w:rFonts w:ascii="仿宋" w:hAnsi="仿宋" w:eastAsia="仿宋" w:cs="仿宋"/>
                <w:color w:val="auto"/>
                <w:highlight w:val="none"/>
              </w:rPr>
            </w:pPr>
          </w:p>
        </w:tc>
        <w:tc>
          <w:tcPr>
            <w:tcW w:w="795" w:type="dxa"/>
          </w:tcPr>
          <w:p w14:paraId="7ED332CB">
            <w:pPr>
              <w:rPr>
                <w:rFonts w:ascii="仿宋" w:hAnsi="仿宋" w:eastAsia="仿宋" w:cs="仿宋"/>
                <w:color w:val="auto"/>
                <w:highlight w:val="none"/>
              </w:rPr>
            </w:pPr>
          </w:p>
        </w:tc>
        <w:tc>
          <w:tcPr>
            <w:tcW w:w="645" w:type="dxa"/>
          </w:tcPr>
          <w:p w14:paraId="743547AF">
            <w:pPr>
              <w:rPr>
                <w:rFonts w:ascii="仿宋" w:hAnsi="仿宋" w:eastAsia="仿宋" w:cs="仿宋"/>
                <w:color w:val="auto"/>
                <w:highlight w:val="none"/>
              </w:rPr>
            </w:pPr>
          </w:p>
        </w:tc>
        <w:tc>
          <w:tcPr>
            <w:tcW w:w="675" w:type="dxa"/>
          </w:tcPr>
          <w:p w14:paraId="08DEE5DB">
            <w:pPr>
              <w:rPr>
                <w:rFonts w:ascii="仿宋" w:hAnsi="仿宋" w:eastAsia="仿宋" w:cs="仿宋"/>
                <w:color w:val="auto"/>
                <w:highlight w:val="none"/>
              </w:rPr>
            </w:pPr>
          </w:p>
        </w:tc>
        <w:tc>
          <w:tcPr>
            <w:tcW w:w="645" w:type="dxa"/>
          </w:tcPr>
          <w:p w14:paraId="32B8F788">
            <w:pPr>
              <w:rPr>
                <w:rFonts w:ascii="仿宋" w:hAnsi="仿宋" w:eastAsia="仿宋" w:cs="仿宋"/>
                <w:color w:val="auto"/>
                <w:highlight w:val="none"/>
              </w:rPr>
            </w:pPr>
          </w:p>
        </w:tc>
        <w:tc>
          <w:tcPr>
            <w:tcW w:w="975" w:type="dxa"/>
          </w:tcPr>
          <w:p w14:paraId="79F6BC01">
            <w:pPr>
              <w:rPr>
                <w:rFonts w:ascii="仿宋" w:hAnsi="仿宋" w:eastAsia="仿宋" w:cs="仿宋"/>
                <w:color w:val="auto"/>
                <w:highlight w:val="none"/>
              </w:rPr>
            </w:pPr>
          </w:p>
        </w:tc>
        <w:tc>
          <w:tcPr>
            <w:tcW w:w="750" w:type="dxa"/>
          </w:tcPr>
          <w:p w14:paraId="12A42E07">
            <w:pPr>
              <w:rPr>
                <w:rFonts w:ascii="仿宋" w:hAnsi="仿宋" w:eastAsia="仿宋" w:cs="仿宋"/>
                <w:color w:val="auto"/>
                <w:highlight w:val="none"/>
              </w:rPr>
            </w:pPr>
          </w:p>
        </w:tc>
        <w:tc>
          <w:tcPr>
            <w:tcW w:w="1033" w:type="dxa"/>
          </w:tcPr>
          <w:p w14:paraId="388E65DB">
            <w:pPr>
              <w:rPr>
                <w:rFonts w:ascii="仿宋" w:hAnsi="仿宋" w:eastAsia="仿宋" w:cs="仿宋"/>
                <w:color w:val="auto"/>
                <w:highlight w:val="none"/>
              </w:rPr>
            </w:pPr>
          </w:p>
        </w:tc>
        <w:tc>
          <w:tcPr>
            <w:tcW w:w="975" w:type="dxa"/>
          </w:tcPr>
          <w:p w14:paraId="6D5D5EAA">
            <w:pPr>
              <w:rPr>
                <w:rFonts w:ascii="仿宋" w:hAnsi="仿宋" w:eastAsia="仿宋" w:cs="仿宋"/>
                <w:color w:val="auto"/>
                <w:highlight w:val="none"/>
              </w:rPr>
            </w:pPr>
          </w:p>
        </w:tc>
        <w:tc>
          <w:tcPr>
            <w:tcW w:w="846" w:type="dxa"/>
          </w:tcPr>
          <w:p w14:paraId="78285845">
            <w:pPr>
              <w:rPr>
                <w:rFonts w:ascii="仿宋" w:hAnsi="仿宋" w:eastAsia="仿宋" w:cs="仿宋"/>
                <w:color w:val="auto"/>
                <w:highlight w:val="none"/>
              </w:rPr>
            </w:pPr>
          </w:p>
        </w:tc>
      </w:tr>
      <w:tr w14:paraId="6C08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7583343B">
            <w:pPr>
              <w:rPr>
                <w:rFonts w:ascii="仿宋" w:hAnsi="仿宋" w:eastAsia="仿宋" w:cs="仿宋"/>
                <w:color w:val="auto"/>
                <w:highlight w:val="none"/>
              </w:rPr>
            </w:pPr>
          </w:p>
        </w:tc>
        <w:tc>
          <w:tcPr>
            <w:tcW w:w="810" w:type="dxa"/>
          </w:tcPr>
          <w:p w14:paraId="2F8D37B4">
            <w:pPr>
              <w:rPr>
                <w:rFonts w:ascii="仿宋" w:hAnsi="仿宋" w:eastAsia="仿宋" w:cs="仿宋"/>
                <w:color w:val="auto"/>
                <w:highlight w:val="none"/>
              </w:rPr>
            </w:pPr>
          </w:p>
        </w:tc>
        <w:tc>
          <w:tcPr>
            <w:tcW w:w="795" w:type="dxa"/>
          </w:tcPr>
          <w:p w14:paraId="57B22884">
            <w:pPr>
              <w:rPr>
                <w:rFonts w:ascii="仿宋" w:hAnsi="仿宋" w:eastAsia="仿宋" w:cs="仿宋"/>
                <w:color w:val="auto"/>
                <w:highlight w:val="none"/>
              </w:rPr>
            </w:pPr>
          </w:p>
        </w:tc>
        <w:tc>
          <w:tcPr>
            <w:tcW w:w="645" w:type="dxa"/>
          </w:tcPr>
          <w:p w14:paraId="05AC474D">
            <w:pPr>
              <w:rPr>
                <w:rFonts w:ascii="仿宋" w:hAnsi="仿宋" w:eastAsia="仿宋" w:cs="仿宋"/>
                <w:color w:val="auto"/>
                <w:highlight w:val="none"/>
              </w:rPr>
            </w:pPr>
          </w:p>
        </w:tc>
        <w:tc>
          <w:tcPr>
            <w:tcW w:w="675" w:type="dxa"/>
          </w:tcPr>
          <w:p w14:paraId="005D0BC8">
            <w:pPr>
              <w:rPr>
                <w:rFonts w:ascii="仿宋" w:hAnsi="仿宋" w:eastAsia="仿宋" w:cs="仿宋"/>
                <w:color w:val="auto"/>
                <w:highlight w:val="none"/>
              </w:rPr>
            </w:pPr>
          </w:p>
        </w:tc>
        <w:tc>
          <w:tcPr>
            <w:tcW w:w="645" w:type="dxa"/>
          </w:tcPr>
          <w:p w14:paraId="677BFEA4">
            <w:pPr>
              <w:rPr>
                <w:rFonts w:ascii="仿宋" w:hAnsi="仿宋" w:eastAsia="仿宋" w:cs="仿宋"/>
                <w:color w:val="auto"/>
                <w:highlight w:val="none"/>
              </w:rPr>
            </w:pPr>
          </w:p>
        </w:tc>
        <w:tc>
          <w:tcPr>
            <w:tcW w:w="975" w:type="dxa"/>
          </w:tcPr>
          <w:p w14:paraId="0555AFB6">
            <w:pPr>
              <w:rPr>
                <w:rFonts w:ascii="仿宋" w:hAnsi="仿宋" w:eastAsia="仿宋" w:cs="仿宋"/>
                <w:color w:val="auto"/>
                <w:highlight w:val="none"/>
              </w:rPr>
            </w:pPr>
          </w:p>
        </w:tc>
        <w:tc>
          <w:tcPr>
            <w:tcW w:w="750" w:type="dxa"/>
          </w:tcPr>
          <w:p w14:paraId="20AC4A69">
            <w:pPr>
              <w:rPr>
                <w:rFonts w:ascii="仿宋" w:hAnsi="仿宋" w:eastAsia="仿宋" w:cs="仿宋"/>
                <w:color w:val="auto"/>
                <w:highlight w:val="none"/>
              </w:rPr>
            </w:pPr>
          </w:p>
        </w:tc>
        <w:tc>
          <w:tcPr>
            <w:tcW w:w="1033" w:type="dxa"/>
          </w:tcPr>
          <w:p w14:paraId="40768339">
            <w:pPr>
              <w:rPr>
                <w:rFonts w:ascii="仿宋" w:hAnsi="仿宋" w:eastAsia="仿宋" w:cs="仿宋"/>
                <w:color w:val="auto"/>
                <w:highlight w:val="none"/>
              </w:rPr>
            </w:pPr>
          </w:p>
        </w:tc>
        <w:tc>
          <w:tcPr>
            <w:tcW w:w="975" w:type="dxa"/>
          </w:tcPr>
          <w:p w14:paraId="483A7EBD">
            <w:pPr>
              <w:rPr>
                <w:rFonts w:ascii="仿宋" w:hAnsi="仿宋" w:eastAsia="仿宋" w:cs="仿宋"/>
                <w:color w:val="auto"/>
                <w:highlight w:val="none"/>
              </w:rPr>
            </w:pPr>
          </w:p>
        </w:tc>
        <w:tc>
          <w:tcPr>
            <w:tcW w:w="846" w:type="dxa"/>
          </w:tcPr>
          <w:p w14:paraId="5FE0665E">
            <w:pPr>
              <w:rPr>
                <w:rFonts w:ascii="仿宋" w:hAnsi="仿宋" w:eastAsia="仿宋" w:cs="仿宋"/>
                <w:color w:val="auto"/>
                <w:highlight w:val="none"/>
              </w:rPr>
            </w:pPr>
          </w:p>
        </w:tc>
      </w:tr>
      <w:tr w14:paraId="200E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5B7B80FE">
            <w:pPr>
              <w:rPr>
                <w:rFonts w:ascii="仿宋" w:hAnsi="仿宋" w:eastAsia="仿宋" w:cs="仿宋"/>
                <w:color w:val="auto"/>
                <w:highlight w:val="none"/>
              </w:rPr>
            </w:pPr>
          </w:p>
        </w:tc>
        <w:tc>
          <w:tcPr>
            <w:tcW w:w="810" w:type="dxa"/>
          </w:tcPr>
          <w:p w14:paraId="5CF27128">
            <w:pPr>
              <w:rPr>
                <w:rFonts w:ascii="仿宋" w:hAnsi="仿宋" w:eastAsia="仿宋" w:cs="仿宋"/>
                <w:color w:val="auto"/>
                <w:highlight w:val="none"/>
              </w:rPr>
            </w:pPr>
          </w:p>
        </w:tc>
        <w:tc>
          <w:tcPr>
            <w:tcW w:w="795" w:type="dxa"/>
          </w:tcPr>
          <w:p w14:paraId="2E5E745C">
            <w:pPr>
              <w:rPr>
                <w:rFonts w:ascii="仿宋" w:hAnsi="仿宋" w:eastAsia="仿宋" w:cs="仿宋"/>
                <w:color w:val="auto"/>
                <w:highlight w:val="none"/>
              </w:rPr>
            </w:pPr>
          </w:p>
        </w:tc>
        <w:tc>
          <w:tcPr>
            <w:tcW w:w="645" w:type="dxa"/>
          </w:tcPr>
          <w:p w14:paraId="0FCC3BD0">
            <w:pPr>
              <w:rPr>
                <w:rFonts w:ascii="仿宋" w:hAnsi="仿宋" w:eastAsia="仿宋" w:cs="仿宋"/>
                <w:color w:val="auto"/>
                <w:highlight w:val="none"/>
              </w:rPr>
            </w:pPr>
          </w:p>
        </w:tc>
        <w:tc>
          <w:tcPr>
            <w:tcW w:w="675" w:type="dxa"/>
          </w:tcPr>
          <w:p w14:paraId="7BCD5073">
            <w:pPr>
              <w:rPr>
                <w:rFonts w:ascii="仿宋" w:hAnsi="仿宋" w:eastAsia="仿宋" w:cs="仿宋"/>
                <w:color w:val="auto"/>
                <w:highlight w:val="none"/>
              </w:rPr>
            </w:pPr>
          </w:p>
        </w:tc>
        <w:tc>
          <w:tcPr>
            <w:tcW w:w="645" w:type="dxa"/>
          </w:tcPr>
          <w:p w14:paraId="2366A034">
            <w:pPr>
              <w:rPr>
                <w:rFonts w:ascii="仿宋" w:hAnsi="仿宋" w:eastAsia="仿宋" w:cs="仿宋"/>
                <w:color w:val="auto"/>
                <w:highlight w:val="none"/>
              </w:rPr>
            </w:pPr>
          </w:p>
        </w:tc>
        <w:tc>
          <w:tcPr>
            <w:tcW w:w="975" w:type="dxa"/>
          </w:tcPr>
          <w:p w14:paraId="6B97695B">
            <w:pPr>
              <w:rPr>
                <w:rFonts w:ascii="仿宋" w:hAnsi="仿宋" w:eastAsia="仿宋" w:cs="仿宋"/>
                <w:color w:val="auto"/>
                <w:highlight w:val="none"/>
              </w:rPr>
            </w:pPr>
          </w:p>
        </w:tc>
        <w:tc>
          <w:tcPr>
            <w:tcW w:w="750" w:type="dxa"/>
          </w:tcPr>
          <w:p w14:paraId="0A2A8D3A">
            <w:pPr>
              <w:rPr>
                <w:rFonts w:ascii="仿宋" w:hAnsi="仿宋" w:eastAsia="仿宋" w:cs="仿宋"/>
                <w:color w:val="auto"/>
                <w:highlight w:val="none"/>
              </w:rPr>
            </w:pPr>
          </w:p>
        </w:tc>
        <w:tc>
          <w:tcPr>
            <w:tcW w:w="1033" w:type="dxa"/>
          </w:tcPr>
          <w:p w14:paraId="78D74F89">
            <w:pPr>
              <w:rPr>
                <w:rFonts w:ascii="仿宋" w:hAnsi="仿宋" w:eastAsia="仿宋" w:cs="仿宋"/>
                <w:color w:val="auto"/>
                <w:highlight w:val="none"/>
              </w:rPr>
            </w:pPr>
          </w:p>
        </w:tc>
        <w:tc>
          <w:tcPr>
            <w:tcW w:w="975" w:type="dxa"/>
          </w:tcPr>
          <w:p w14:paraId="36DD5E75">
            <w:pPr>
              <w:rPr>
                <w:rFonts w:ascii="仿宋" w:hAnsi="仿宋" w:eastAsia="仿宋" w:cs="仿宋"/>
                <w:color w:val="auto"/>
                <w:highlight w:val="none"/>
              </w:rPr>
            </w:pPr>
          </w:p>
        </w:tc>
        <w:tc>
          <w:tcPr>
            <w:tcW w:w="846" w:type="dxa"/>
          </w:tcPr>
          <w:p w14:paraId="48C596B7">
            <w:pPr>
              <w:rPr>
                <w:rFonts w:ascii="仿宋" w:hAnsi="仿宋" w:eastAsia="仿宋" w:cs="仿宋"/>
                <w:color w:val="auto"/>
                <w:highlight w:val="none"/>
              </w:rPr>
            </w:pPr>
          </w:p>
        </w:tc>
      </w:tr>
      <w:tr w14:paraId="03B1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10A82035">
            <w:pPr>
              <w:rPr>
                <w:rFonts w:ascii="仿宋" w:hAnsi="仿宋" w:eastAsia="仿宋" w:cs="仿宋"/>
                <w:color w:val="auto"/>
                <w:highlight w:val="none"/>
              </w:rPr>
            </w:pPr>
          </w:p>
        </w:tc>
        <w:tc>
          <w:tcPr>
            <w:tcW w:w="810" w:type="dxa"/>
          </w:tcPr>
          <w:p w14:paraId="6758B83E">
            <w:pPr>
              <w:rPr>
                <w:rFonts w:ascii="仿宋" w:hAnsi="仿宋" w:eastAsia="仿宋" w:cs="仿宋"/>
                <w:color w:val="auto"/>
                <w:highlight w:val="none"/>
              </w:rPr>
            </w:pPr>
          </w:p>
        </w:tc>
        <w:tc>
          <w:tcPr>
            <w:tcW w:w="795" w:type="dxa"/>
          </w:tcPr>
          <w:p w14:paraId="3E71CC93">
            <w:pPr>
              <w:rPr>
                <w:rFonts w:ascii="仿宋" w:hAnsi="仿宋" w:eastAsia="仿宋" w:cs="仿宋"/>
                <w:color w:val="auto"/>
                <w:highlight w:val="none"/>
              </w:rPr>
            </w:pPr>
          </w:p>
        </w:tc>
        <w:tc>
          <w:tcPr>
            <w:tcW w:w="645" w:type="dxa"/>
          </w:tcPr>
          <w:p w14:paraId="3B29E717">
            <w:pPr>
              <w:rPr>
                <w:rFonts w:ascii="仿宋" w:hAnsi="仿宋" w:eastAsia="仿宋" w:cs="仿宋"/>
                <w:color w:val="auto"/>
                <w:highlight w:val="none"/>
              </w:rPr>
            </w:pPr>
          </w:p>
        </w:tc>
        <w:tc>
          <w:tcPr>
            <w:tcW w:w="675" w:type="dxa"/>
          </w:tcPr>
          <w:p w14:paraId="6CAC7E27">
            <w:pPr>
              <w:rPr>
                <w:rFonts w:ascii="仿宋" w:hAnsi="仿宋" w:eastAsia="仿宋" w:cs="仿宋"/>
                <w:color w:val="auto"/>
                <w:highlight w:val="none"/>
              </w:rPr>
            </w:pPr>
          </w:p>
        </w:tc>
        <w:tc>
          <w:tcPr>
            <w:tcW w:w="645" w:type="dxa"/>
          </w:tcPr>
          <w:p w14:paraId="7BB347F0">
            <w:pPr>
              <w:rPr>
                <w:rFonts w:ascii="仿宋" w:hAnsi="仿宋" w:eastAsia="仿宋" w:cs="仿宋"/>
                <w:color w:val="auto"/>
                <w:highlight w:val="none"/>
              </w:rPr>
            </w:pPr>
          </w:p>
        </w:tc>
        <w:tc>
          <w:tcPr>
            <w:tcW w:w="975" w:type="dxa"/>
          </w:tcPr>
          <w:p w14:paraId="795A19B1">
            <w:pPr>
              <w:rPr>
                <w:rFonts w:ascii="仿宋" w:hAnsi="仿宋" w:eastAsia="仿宋" w:cs="仿宋"/>
                <w:color w:val="auto"/>
                <w:highlight w:val="none"/>
              </w:rPr>
            </w:pPr>
          </w:p>
        </w:tc>
        <w:tc>
          <w:tcPr>
            <w:tcW w:w="750" w:type="dxa"/>
          </w:tcPr>
          <w:p w14:paraId="7E1D14D3">
            <w:pPr>
              <w:rPr>
                <w:rFonts w:ascii="仿宋" w:hAnsi="仿宋" w:eastAsia="仿宋" w:cs="仿宋"/>
                <w:color w:val="auto"/>
                <w:highlight w:val="none"/>
              </w:rPr>
            </w:pPr>
          </w:p>
        </w:tc>
        <w:tc>
          <w:tcPr>
            <w:tcW w:w="1033" w:type="dxa"/>
          </w:tcPr>
          <w:p w14:paraId="042F90EB">
            <w:pPr>
              <w:rPr>
                <w:rFonts w:ascii="仿宋" w:hAnsi="仿宋" w:eastAsia="仿宋" w:cs="仿宋"/>
                <w:color w:val="auto"/>
                <w:highlight w:val="none"/>
              </w:rPr>
            </w:pPr>
          </w:p>
        </w:tc>
        <w:tc>
          <w:tcPr>
            <w:tcW w:w="975" w:type="dxa"/>
          </w:tcPr>
          <w:p w14:paraId="7B5326D2">
            <w:pPr>
              <w:rPr>
                <w:rFonts w:ascii="仿宋" w:hAnsi="仿宋" w:eastAsia="仿宋" w:cs="仿宋"/>
                <w:color w:val="auto"/>
                <w:highlight w:val="none"/>
              </w:rPr>
            </w:pPr>
          </w:p>
        </w:tc>
        <w:tc>
          <w:tcPr>
            <w:tcW w:w="846" w:type="dxa"/>
          </w:tcPr>
          <w:p w14:paraId="73D9B87D">
            <w:pPr>
              <w:rPr>
                <w:rFonts w:ascii="仿宋" w:hAnsi="仿宋" w:eastAsia="仿宋" w:cs="仿宋"/>
                <w:color w:val="auto"/>
                <w:highlight w:val="none"/>
              </w:rPr>
            </w:pPr>
          </w:p>
        </w:tc>
      </w:tr>
      <w:tr w14:paraId="1AC9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408473E8">
            <w:pPr>
              <w:rPr>
                <w:rFonts w:ascii="仿宋" w:hAnsi="仿宋" w:eastAsia="仿宋" w:cs="仿宋"/>
                <w:color w:val="auto"/>
                <w:highlight w:val="none"/>
              </w:rPr>
            </w:pPr>
          </w:p>
        </w:tc>
        <w:tc>
          <w:tcPr>
            <w:tcW w:w="810" w:type="dxa"/>
          </w:tcPr>
          <w:p w14:paraId="556092F1">
            <w:pPr>
              <w:rPr>
                <w:rFonts w:ascii="仿宋" w:hAnsi="仿宋" w:eastAsia="仿宋" w:cs="仿宋"/>
                <w:color w:val="auto"/>
                <w:highlight w:val="none"/>
              </w:rPr>
            </w:pPr>
          </w:p>
        </w:tc>
        <w:tc>
          <w:tcPr>
            <w:tcW w:w="795" w:type="dxa"/>
          </w:tcPr>
          <w:p w14:paraId="4AF832D0">
            <w:pPr>
              <w:rPr>
                <w:rFonts w:ascii="仿宋" w:hAnsi="仿宋" w:eastAsia="仿宋" w:cs="仿宋"/>
                <w:color w:val="auto"/>
                <w:highlight w:val="none"/>
              </w:rPr>
            </w:pPr>
          </w:p>
        </w:tc>
        <w:tc>
          <w:tcPr>
            <w:tcW w:w="645" w:type="dxa"/>
          </w:tcPr>
          <w:p w14:paraId="55395B53">
            <w:pPr>
              <w:rPr>
                <w:rFonts w:ascii="仿宋" w:hAnsi="仿宋" w:eastAsia="仿宋" w:cs="仿宋"/>
                <w:color w:val="auto"/>
                <w:highlight w:val="none"/>
              </w:rPr>
            </w:pPr>
          </w:p>
        </w:tc>
        <w:tc>
          <w:tcPr>
            <w:tcW w:w="675" w:type="dxa"/>
          </w:tcPr>
          <w:p w14:paraId="2C74F52D">
            <w:pPr>
              <w:rPr>
                <w:rFonts w:ascii="仿宋" w:hAnsi="仿宋" w:eastAsia="仿宋" w:cs="仿宋"/>
                <w:color w:val="auto"/>
                <w:highlight w:val="none"/>
              </w:rPr>
            </w:pPr>
          </w:p>
        </w:tc>
        <w:tc>
          <w:tcPr>
            <w:tcW w:w="645" w:type="dxa"/>
          </w:tcPr>
          <w:p w14:paraId="52A033C1">
            <w:pPr>
              <w:rPr>
                <w:rFonts w:ascii="仿宋" w:hAnsi="仿宋" w:eastAsia="仿宋" w:cs="仿宋"/>
                <w:color w:val="auto"/>
                <w:highlight w:val="none"/>
              </w:rPr>
            </w:pPr>
          </w:p>
        </w:tc>
        <w:tc>
          <w:tcPr>
            <w:tcW w:w="975" w:type="dxa"/>
          </w:tcPr>
          <w:p w14:paraId="634C1C54">
            <w:pPr>
              <w:rPr>
                <w:rFonts w:ascii="仿宋" w:hAnsi="仿宋" w:eastAsia="仿宋" w:cs="仿宋"/>
                <w:color w:val="auto"/>
                <w:highlight w:val="none"/>
              </w:rPr>
            </w:pPr>
          </w:p>
        </w:tc>
        <w:tc>
          <w:tcPr>
            <w:tcW w:w="750" w:type="dxa"/>
          </w:tcPr>
          <w:p w14:paraId="4389AEBC">
            <w:pPr>
              <w:rPr>
                <w:rFonts w:ascii="仿宋" w:hAnsi="仿宋" w:eastAsia="仿宋" w:cs="仿宋"/>
                <w:color w:val="auto"/>
                <w:highlight w:val="none"/>
              </w:rPr>
            </w:pPr>
          </w:p>
        </w:tc>
        <w:tc>
          <w:tcPr>
            <w:tcW w:w="1033" w:type="dxa"/>
          </w:tcPr>
          <w:p w14:paraId="0712777D">
            <w:pPr>
              <w:rPr>
                <w:rFonts w:ascii="仿宋" w:hAnsi="仿宋" w:eastAsia="仿宋" w:cs="仿宋"/>
                <w:color w:val="auto"/>
                <w:highlight w:val="none"/>
              </w:rPr>
            </w:pPr>
          </w:p>
        </w:tc>
        <w:tc>
          <w:tcPr>
            <w:tcW w:w="975" w:type="dxa"/>
          </w:tcPr>
          <w:p w14:paraId="608EF948">
            <w:pPr>
              <w:rPr>
                <w:rFonts w:ascii="仿宋" w:hAnsi="仿宋" w:eastAsia="仿宋" w:cs="仿宋"/>
                <w:color w:val="auto"/>
                <w:highlight w:val="none"/>
              </w:rPr>
            </w:pPr>
          </w:p>
        </w:tc>
        <w:tc>
          <w:tcPr>
            <w:tcW w:w="846" w:type="dxa"/>
          </w:tcPr>
          <w:p w14:paraId="66A06C05">
            <w:pPr>
              <w:rPr>
                <w:rFonts w:ascii="仿宋" w:hAnsi="仿宋" w:eastAsia="仿宋" w:cs="仿宋"/>
                <w:color w:val="auto"/>
                <w:highlight w:val="none"/>
              </w:rPr>
            </w:pPr>
          </w:p>
        </w:tc>
      </w:tr>
      <w:tr w14:paraId="0C7B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5F19460E">
            <w:pPr>
              <w:rPr>
                <w:rFonts w:ascii="仿宋" w:hAnsi="仿宋" w:eastAsia="仿宋" w:cs="仿宋"/>
                <w:color w:val="auto"/>
                <w:highlight w:val="none"/>
              </w:rPr>
            </w:pPr>
          </w:p>
        </w:tc>
        <w:tc>
          <w:tcPr>
            <w:tcW w:w="810" w:type="dxa"/>
          </w:tcPr>
          <w:p w14:paraId="3957354A">
            <w:pPr>
              <w:rPr>
                <w:rFonts w:ascii="仿宋" w:hAnsi="仿宋" w:eastAsia="仿宋" w:cs="仿宋"/>
                <w:color w:val="auto"/>
                <w:highlight w:val="none"/>
              </w:rPr>
            </w:pPr>
          </w:p>
        </w:tc>
        <w:tc>
          <w:tcPr>
            <w:tcW w:w="795" w:type="dxa"/>
          </w:tcPr>
          <w:p w14:paraId="5E7B105F">
            <w:pPr>
              <w:rPr>
                <w:rFonts w:ascii="仿宋" w:hAnsi="仿宋" w:eastAsia="仿宋" w:cs="仿宋"/>
                <w:color w:val="auto"/>
                <w:highlight w:val="none"/>
              </w:rPr>
            </w:pPr>
          </w:p>
        </w:tc>
        <w:tc>
          <w:tcPr>
            <w:tcW w:w="645" w:type="dxa"/>
          </w:tcPr>
          <w:p w14:paraId="33561BBA">
            <w:pPr>
              <w:rPr>
                <w:rFonts w:ascii="仿宋" w:hAnsi="仿宋" w:eastAsia="仿宋" w:cs="仿宋"/>
                <w:color w:val="auto"/>
                <w:highlight w:val="none"/>
              </w:rPr>
            </w:pPr>
          </w:p>
        </w:tc>
        <w:tc>
          <w:tcPr>
            <w:tcW w:w="675" w:type="dxa"/>
          </w:tcPr>
          <w:p w14:paraId="042BEA17">
            <w:pPr>
              <w:rPr>
                <w:rFonts w:ascii="仿宋" w:hAnsi="仿宋" w:eastAsia="仿宋" w:cs="仿宋"/>
                <w:color w:val="auto"/>
                <w:highlight w:val="none"/>
              </w:rPr>
            </w:pPr>
          </w:p>
        </w:tc>
        <w:tc>
          <w:tcPr>
            <w:tcW w:w="645" w:type="dxa"/>
          </w:tcPr>
          <w:p w14:paraId="3C9AEA68">
            <w:pPr>
              <w:rPr>
                <w:rFonts w:ascii="仿宋" w:hAnsi="仿宋" w:eastAsia="仿宋" w:cs="仿宋"/>
                <w:color w:val="auto"/>
                <w:highlight w:val="none"/>
              </w:rPr>
            </w:pPr>
          </w:p>
        </w:tc>
        <w:tc>
          <w:tcPr>
            <w:tcW w:w="975" w:type="dxa"/>
          </w:tcPr>
          <w:p w14:paraId="4599895D">
            <w:pPr>
              <w:rPr>
                <w:rFonts w:ascii="仿宋" w:hAnsi="仿宋" w:eastAsia="仿宋" w:cs="仿宋"/>
                <w:color w:val="auto"/>
                <w:highlight w:val="none"/>
              </w:rPr>
            </w:pPr>
          </w:p>
        </w:tc>
        <w:tc>
          <w:tcPr>
            <w:tcW w:w="750" w:type="dxa"/>
          </w:tcPr>
          <w:p w14:paraId="6F43471C">
            <w:pPr>
              <w:rPr>
                <w:rFonts w:ascii="仿宋" w:hAnsi="仿宋" w:eastAsia="仿宋" w:cs="仿宋"/>
                <w:color w:val="auto"/>
                <w:highlight w:val="none"/>
              </w:rPr>
            </w:pPr>
          </w:p>
        </w:tc>
        <w:tc>
          <w:tcPr>
            <w:tcW w:w="1033" w:type="dxa"/>
          </w:tcPr>
          <w:p w14:paraId="62818503">
            <w:pPr>
              <w:rPr>
                <w:rFonts w:ascii="仿宋" w:hAnsi="仿宋" w:eastAsia="仿宋" w:cs="仿宋"/>
                <w:color w:val="auto"/>
                <w:highlight w:val="none"/>
              </w:rPr>
            </w:pPr>
          </w:p>
        </w:tc>
        <w:tc>
          <w:tcPr>
            <w:tcW w:w="975" w:type="dxa"/>
          </w:tcPr>
          <w:p w14:paraId="60301C09">
            <w:pPr>
              <w:rPr>
                <w:rFonts w:ascii="仿宋" w:hAnsi="仿宋" w:eastAsia="仿宋" w:cs="仿宋"/>
                <w:color w:val="auto"/>
                <w:highlight w:val="none"/>
              </w:rPr>
            </w:pPr>
          </w:p>
        </w:tc>
        <w:tc>
          <w:tcPr>
            <w:tcW w:w="846" w:type="dxa"/>
          </w:tcPr>
          <w:p w14:paraId="07EB4238">
            <w:pPr>
              <w:rPr>
                <w:rFonts w:ascii="仿宋" w:hAnsi="仿宋" w:eastAsia="仿宋" w:cs="仿宋"/>
                <w:color w:val="auto"/>
                <w:highlight w:val="none"/>
              </w:rPr>
            </w:pPr>
          </w:p>
        </w:tc>
      </w:tr>
    </w:tbl>
    <w:p w14:paraId="2B6999B7">
      <w:pP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r>
        <w:rPr>
          <w:rFonts w:hint="eastAsia" w:ascii="仿宋" w:hAnsi="仿宋" w:eastAsia="仿宋" w:cs="仿宋"/>
          <w:color w:val="auto"/>
          <w:sz w:val="24"/>
          <w:szCs w:val="24"/>
          <w:highlight w:val="none"/>
        </w:rPr>
        <w:t>）</w:t>
      </w:r>
    </w:p>
    <w:p w14:paraId="340B6506">
      <w:pPr>
        <w:pStyle w:val="68"/>
        <w:rPr>
          <w:rFonts w:ascii="仿宋" w:hAnsi="仿宋" w:eastAsia="仿宋" w:cs="仿宋"/>
          <w:color w:val="auto"/>
          <w:highlight w:val="none"/>
        </w:rPr>
      </w:pPr>
    </w:p>
    <w:p w14:paraId="2C274845">
      <w:pPr>
        <w:rPr>
          <w:rFonts w:ascii="仿宋" w:hAnsi="仿宋" w:eastAsia="仿宋" w:cs="仿宋"/>
          <w:color w:val="auto"/>
          <w:highlight w:val="none"/>
        </w:rPr>
      </w:pPr>
    </w:p>
    <w:p w14:paraId="725E0465">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4DDD177">
      <w:pP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“备注”栏，可填写该人员擅长的工作种类；</w:t>
      </w:r>
    </w:p>
    <w:p w14:paraId="5521FC3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2、如果行数不够，请自行增加。</w:t>
      </w:r>
    </w:p>
    <w:p w14:paraId="639322C8">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3、所有职称、证明均需要提供有效的复印件（扫描件）。</w:t>
      </w:r>
    </w:p>
    <w:p w14:paraId="0C0A8B64">
      <w:pPr>
        <w:rPr>
          <w:rFonts w:ascii="仿宋" w:hAnsi="仿宋" w:eastAsia="仿宋" w:cs="仿宋"/>
          <w:color w:val="auto"/>
          <w:sz w:val="24"/>
          <w:szCs w:val="24"/>
          <w:highlight w:val="none"/>
        </w:rPr>
      </w:pPr>
    </w:p>
    <w:p w14:paraId="045D38AF">
      <w:pPr>
        <w:spacing w:line="360" w:lineRule="auto"/>
        <w:rPr>
          <w:rFonts w:ascii="仿宋" w:hAnsi="仿宋" w:eastAsia="仿宋" w:cs="仿宋"/>
          <w:b/>
          <w:bCs/>
          <w:color w:val="auto"/>
          <w:sz w:val="22"/>
          <w:highlight w:val="none"/>
        </w:rPr>
      </w:pPr>
      <w:bookmarkStart w:id="110" w:name="_Toc1300"/>
      <w:bookmarkStart w:id="111" w:name="_Toc27621"/>
      <w:bookmarkStart w:id="112" w:name="_Toc14763"/>
    </w:p>
    <w:p w14:paraId="7D63213B">
      <w:pPr>
        <w:spacing w:line="360" w:lineRule="auto"/>
        <w:outlineLvl w:val="2"/>
        <w:rPr>
          <w:rFonts w:ascii="仿宋" w:hAnsi="仿宋" w:eastAsia="仿宋" w:cs="仿宋"/>
          <w:b/>
          <w:bCs/>
          <w:color w:val="auto"/>
          <w:sz w:val="22"/>
          <w:highlight w:val="none"/>
        </w:rPr>
      </w:pPr>
      <w:bookmarkStart w:id="113" w:name="_Toc22138"/>
      <w:r>
        <w:rPr>
          <w:rFonts w:hint="eastAsia" w:ascii="仿宋" w:hAnsi="仿宋" w:eastAsia="仿宋" w:cs="仿宋"/>
          <w:b/>
          <w:bCs/>
          <w:color w:val="auto"/>
          <w:sz w:val="22"/>
          <w:highlight w:val="none"/>
        </w:rPr>
        <w:t>目录十二、供应商类似业绩情况表</w:t>
      </w:r>
      <w:bookmarkEnd w:id="110"/>
      <w:bookmarkEnd w:id="111"/>
      <w:bookmarkEnd w:id="112"/>
      <w:bookmarkEnd w:id="113"/>
    </w:p>
    <w:p w14:paraId="24D00446">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供应商类似业绩情况表</w:t>
      </w:r>
    </w:p>
    <w:p w14:paraId="4BD33CC0">
      <w:pPr>
        <w:pStyle w:val="28"/>
        <w:ind w:left="0" w:leftChars="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项目名称：南京市雨花台区妇幼保健所2025年外送检验服务项目</w:t>
      </w:r>
    </w:p>
    <w:p w14:paraId="0590ACFC">
      <w:pPr>
        <w:pStyle w:val="28"/>
        <w:ind w:left="0" w:leftChars="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项目编号：NJXN-24077-FW</w:t>
      </w:r>
    </w:p>
    <w:tbl>
      <w:tblPr>
        <w:tblStyle w:val="29"/>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76"/>
        <w:gridCol w:w="1076"/>
        <w:gridCol w:w="1076"/>
        <w:gridCol w:w="1314"/>
        <w:gridCol w:w="1283"/>
        <w:gridCol w:w="1800"/>
      </w:tblGrid>
      <w:tr w14:paraId="6EFD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6AC088B8">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76" w:type="dxa"/>
            <w:vAlign w:val="center"/>
          </w:tcPr>
          <w:p w14:paraId="1A41B8F5">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项目名称</w:t>
            </w:r>
          </w:p>
        </w:tc>
        <w:tc>
          <w:tcPr>
            <w:tcW w:w="1076" w:type="dxa"/>
            <w:vAlign w:val="center"/>
          </w:tcPr>
          <w:p w14:paraId="17E8A1C7">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业主单位</w:t>
            </w:r>
          </w:p>
        </w:tc>
        <w:tc>
          <w:tcPr>
            <w:tcW w:w="1076" w:type="dxa"/>
            <w:vAlign w:val="center"/>
          </w:tcPr>
          <w:p w14:paraId="317F2AA7">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项目规模</w:t>
            </w:r>
          </w:p>
        </w:tc>
        <w:tc>
          <w:tcPr>
            <w:tcW w:w="1314" w:type="dxa"/>
            <w:vAlign w:val="center"/>
          </w:tcPr>
          <w:p w14:paraId="693F530D">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签约及服务时间</w:t>
            </w:r>
          </w:p>
        </w:tc>
        <w:tc>
          <w:tcPr>
            <w:tcW w:w="1283" w:type="dxa"/>
            <w:vAlign w:val="center"/>
          </w:tcPr>
          <w:p w14:paraId="53A792AE">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c>
          <w:tcPr>
            <w:tcW w:w="1800" w:type="dxa"/>
            <w:vAlign w:val="center"/>
          </w:tcPr>
          <w:p w14:paraId="4181E202">
            <w:pPr>
              <w:pStyle w:val="28"/>
              <w:ind w:left="0" w:leftChars="0" w:firstLine="0" w:firstLineChars="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tc>
      </w:tr>
      <w:tr w14:paraId="0EC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48590EA0">
            <w:pPr>
              <w:autoSpaceDE w:val="0"/>
              <w:autoSpaceDN w:val="0"/>
              <w:adjustRightInd w:val="0"/>
              <w:rPr>
                <w:rFonts w:ascii="仿宋" w:hAnsi="仿宋" w:eastAsia="仿宋" w:cs="仿宋"/>
                <w:color w:val="auto"/>
                <w:sz w:val="24"/>
                <w:highlight w:val="none"/>
              </w:rPr>
            </w:pPr>
          </w:p>
        </w:tc>
        <w:tc>
          <w:tcPr>
            <w:tcW w:w="1076" w:type="dxa"/>
          </w:tcPr>
          <w:p w14:paraId="7FE13F7A">
            <w:pPr>
              <w:autoSpaceDE w:val="0"/>
              <w:autoSpaceDN w:val="0"/>
              <w:adjustRightInd w:val="0"/>
              <w:rPr>
                <w:rFonts w:ascii="仿宋" w:hAnsi="仿宋" w:eastAsia="仿宋" w:cs="仿宋"/>
                <w:color w:val="auto"/>
                <w:sz w:val="24"/>
                <w:highlight w:val="none"/>
              </w:rPr>
            </w:pPr>
          </w:p>
        </w:tc>
        <w:tc>
          <w:tcPr>
            <w:tcW w:w="1076" w:type="dxa"/>
          </w:tcPr>
          <w:p w14:paraId="00260499">
            <w:pPr>
              <w:autoSpaceDE w:val="0"/>
              <w:autoSpaceDN w:val="0"/>
              <w:adjustRightInd w:val="0"/>
              <w:rPr>
                <w:rFonts w:ascii="仿宋" w:hAnsi="仿宋" w:eastAsia="仿宋" w:cs="仿宋"/>
                <w:color w:val="auto"/>
                <w:sz w:val="24"/>
                <w:highlight w:val="none"/>
              </w:rPr>
            </w:pPr>
          </w:p>
        </w:tc>
        <w:tc>
          <w:tcPr>
            <w:tcW w:w="1076" w:type="dxa"/>
          </w:tcPr>
          <w:p w14:paraId="5C5A5FD1">
            <w:pPr>
              <w:autoSpaceDE w:val="0"/>
              <w:autoSpaceDN w:val="0"/>
              <w:adjustRightInd w:val="0"/>
              <w:rPr>
                <w:rFonts w:ascii="仿宋" w:hAnsi="仿宋" w:eastAsia="仿宋" w:cs="仿宋"/>
                <w:color w:val="auto"/>
                <w:sz w:val="24"/>
                <w:highlight w:val="none"/>
              </w:rPr>
            </w:pPr>
          </w:p>
        </w:tc>
        <w:tc>
          <w:tcPr>
            <w:tcW w:w="1314" w:type="dxa"/>
          </w:tcPr>
          <w:p w14:paraId="5AA7C050">
            <w:pPr>
              <w:autoSpaceDE w:val="0"/>
              <w:autoSpaceDN w:val="0"/>
              <w:adjustRightInd w:val="0"/>
              <w:rPr>
                <w:rFonts w:ascii="仿宋" w:hAnsi="仿宋" w:eastAsia="仿宋" w:cs="仿宋"/>
                <w:color w:val="auto"/>
                <w:sz w:val="24"/>
                <w:highlight w:val="none"/>
              </w:rPr>
            </w:pPr>
          </w:p>
        </w:tc>
        <w:tc>
          <w:tcPr>
            <w:tcW w:w="1283" w:type="dxa"/>
          </w:tcPr>
          <w:p w14:paraId="710A682D">
            <w:pPr>
              <w:autoSpaceDE w:val="0"/>
              <w:autoSpaceDN w:val="0"/>
              <w:adjustRightInd w:val="0"/>
              <w:rPr>
                <w:rFonts w:ascii="仿宋" w:hAnsi="仿宋" w:eastAsia="仿宋" w:cs="仿宋"/>
                <w:color w:val="auto"/>
                <w:sz w:val="24"/>
                <w:highlight w:val="none"/>
              </w:rPr>
            </w:pPr>
          </w:p>
        </w:tc>
        <w:tc>
          <w:tcPr>
            <w:tcW w:w="1800" w:type="dxa"/>
          </w:tcPr>
          <w:p w14:paraId="46447017">
            <w:pPr>
              <w:autoSpaceDE w:val="0"/>
              <w:autoSpaceDN w:val="0"/>
              <w:adjustRightInd w:val="0"/>
              <w:rPr>
                <w:rFonts w:ascii="仿宋" w:hAnsi="仿宋" w:eastAsia="仿宋" w:cs="仿宋"/>
                <w:color w:val="auto"/>
                <w:sz w:val="24"/>
                <w:highlight w:val="none"/>
              </w:rPr>
            </w:pPr>
          </w:p>
        </w:tc>
      </w:tr>
      <w:tr w14:paraId="271F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45D5F2DB">
            <w:pPr>
              <w:autoSpaceDE w:val="0"/>
              <w:autoSpaceDN w:val="0"/>
              <w:adjustRightInd w:val="0"/>
              <w:rPr>
                <w:rFonts w:ascii="仿宋" w:hAnsi="仿宋" w:eastAsia="仿宋" w:cs="仿宋"/>
                <w:color w:val="auto"/>
                <w:sz w:val="24"/>
                <w:highlight w:val="none"/>
              </w:rPr>
            </w:pPr>
          </w:p>
        </w:tc>
        <w:tc>
          <w:tcPr>
            <w:tcW w:w="1076" w:type="dxa"/>
          </w:tcPr>
          <w:p w14:paraId="0C993981">
            <w:pPr>
              <w:autoSpaceDE w:val="0"/>
              <w:autoSpaceDN w:val="0"/>
              <w:adjustRightInd w:val="0"/>
              <w:rPr>
                <w:rFonts w:ascii="仿宋" w:hAnsi="仿宋" w:eastAsia="仿宋" w:cs="仿宋"/>
                <w:color w:val="auto"/>
                <w:sz w:val="24"/>
                <w:highlight w:val="none"/>
              </w:rPr>
            </w:pPr>
          </w:p>
        </w:tc>
        <w:tc>
          <w:tcPr>
            <w:tcW w:w="1076" w:type="dxa"/>
          </w:tcPr>
          <w:p w14:paraId="606AAC16">
            <w:pPr>
              <w:autoSpaceDE w:val="0"/>
              <w:autoSpaceDN w:val="0"/>
              <w:adjustRightInd w:val="0"/>
              <w:rPr>
                <w:rFonts w:ascii="仿宋" w:hAnsi="仿宋" w:eastAsia="仿宋" w:cs="仿宋"/>
                <w:color w:val="auto"/>
                <w:sz w:val="24"/>
                <w:highlight w:val="none"/>
              </w:rPr>
            </w:pPr>
          </w:p>
        </w:tc>
        <w:tc>
          <w:tcPr>
            <w:tcW w:w="1076" w:type="dxa"/>
          </w:tcPr>
          <w:p w14:paraId="124A8838">
            <w:pPr>
              <w:autoSpaceDE w:val="0"/>
              <w:autoSpaceDN w:val="0"/>
              <w:adjustRightInd w:val="0"/>
              <w:rPr>
                <w:rFonts w:ascii="仿宋" w:hAnsi="仿宋" w:eastAsia="仿宋" w:cs="仿宋"/>
                <w:color w:val="auto"/>
                <w:sz w:val="24"/>
                <w:highlight w:val="none"/>
              </w:rPr>
            </w:pPr>
          </w:p>
        </w:tc>
        <w:tc>
          <w:tcPr>
            <w:tcW w:w="1314" w:type="dxa"/>
          </w:tcPr>
          <w:p w14:paraId="7BE31224">
            <w:pPr>
              <w:autoSpaceDE w:val="0"/>
              <w:autoSpaceDN w:val="0"/>
              <w:adjustRightInd w:val="0"/>
              <w:rPr>
                <w:rFonts w:ascii="仿宋" w:hAnsi="仿宋" w:eastAsia="仿宋" w:cs="仿宋"/>
                <w:color w:val="auto"/>
                <w:sz w:val="24"/>
                <w:highlight w:val="none"/>
              </w:rPr>
            </w:pPr>
          </w:p>
        </w:tc>
        <w:tc>
          <w:tcPr>
            <w:tcW w:w="1283" w:type="dxa"/>
          </w:tcPr>
          <w:p w14:paraId="1E9CC719">
            <w:pPr>
              <w:autoSpaceDE w:val="0"/>
              <w:autoSpaceDN w:val="0"/>
              <w:adjustRightInd w:val="0"/>
              <w:rPr>
                <w:rFonts w:ascii="仿宋" w:hAnsi="仿宋" w:eastAsia="仿宋" w:cs="仿宋"/>
                <w:color w:val="auto"/>
                <w:sz w:val="24"/>
                <w:highlight w:val="none"/>
              </w:rPr>
            </w:pPr>
          </w:p>
        </w:tc>
        <w:tc>
          <w:tcPr>
            <w:tcW w:w="1800" w:type="dxa"/>
          </w:tcPr>
          <w:p w14:paraId="7BD72AB9">
            <w:pPr>
              <w:autoSpaceDE w:val="0"/>
              <w:autoSpaceDN w:val="0"/>
              <w:adjustRightInd w:val="0"/>
              <w:rPr>
                <w:rFonts w:ascii="仿宋" w:hAnsi="仿宋" w:eastAsia="仿宋" w:cs="仿宋"/>
                <w:color w:val="auto"/>
                <w:sz w:val="24"/>
                <w:highlight w:val="none"/>
              </w:rPr>
            </w:pPr>
          </w:p>
        </w:tc>
      </w:tr>
      <w:tr w14:paraId="503B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7D3CCF02">
            <w:pPr>
              <w:autoSpaceDE w:val="0"/>
              <w:autoSpaceDN w:val="0"/>
              <w:adjustRightInd w:val="0"/>
              <w:rPr>
                <w:rFonts w:ascii="仿宋" w:hAnsi="仿宋" w:eastAsia="仿宋" w:cs="仿宋"/>
                <w:color w:val="auto"/>
                <w:sz w:val="24"/>
                <w:highlight w:val="none"/>
              </w:rPr>
            </w:pPr>
          </w:p>
        </w:tc>
        <w:tc>
          <w:tcPr>
            <w:tcW w:w="1076" w:type="dxa"/>
          </w:tcPr>
          <w:p w14:paraId="6977580A">
            <w:pPr>
              <w:autoSpaceDE w:val="0"/>
              <w:autoSpaceDN w:val="0"/>
              <w:adjustRightInd w:val="0"/>
              <w:rPr>
                <w:rFonts w:ascii="仿宋" w:hAnsi="仿宋" w:eastAsia="仿宋" w:cs="仿宋"/>
                <w:color w:val="auto"/>
                <w:sz w:val="24"/>
                <w:highlight w:val="none"/>
              </w:rPr>
            </w:pPr>
          </w:p>
        </w:tc>
        <w:tc>
          <w:tcPr>
            <w:tcW w:w="1076" w:type="dxa"/>
          </w:tcPr>
          <w:p w14:paraId="2B4E0A16">
            <w:pPr>
              <w:autoSpaceDE w:val="0"/>
              <w:autoSpaceDN w:val="0"/>
              <w:adjustRightInd w:val="0"/>
              <w:rPr>
                <w:rFonts w:ascii="仿宋" w:hAnsi="仿宋" w:eastAsia="仿宋" w:cs="仿宋"/>
                <w:color w:val="auto"/>
                <w:sz w:val="24"/>
                <w:highlight w:val="none"/>
              </w:rPr>
            </w:pPr>
          </w:p>
        </w:tc>
        <w:tc>
          <w:tcPr>
            <w:tcW w:w="1076" w:type="dxa"/>
          </w:tcPr>
          <w:p w14:paraId="0BA852CE">
            <w:pPr>
              <w:autoSpaceDE w:val="0"/>
              <w:autoSpaceDN w:val="0"/>
              <w:adjustRightInd w:val="0"/>
              <w:rPr>
                <w:rFonts w:ascii="仿宋" w:hAnsi="仿宋" w:eastAsia="仿宋" w:cs="仿宋"/>
                <w:color w:val="auto"/>
                <w:sz w:val="24"/>
                <w:highlight w:val="none"/>
              </w:rPr>
            </w:pPr>
          </w:p>
        </w:tc>
        <w:tc>
          <w:tcPr>
            <w:tcW w:w="1314" w:type="dxa"/>
          </w:tcPr>
          <w:p w14:paraId="613C3550">
            <w:pPr>
              <w:autoSpaceDE w:val="0"/>
              <w:autoSpaceDN w:val="0"/>
              <w:adjustRightInd w:val="0"/>
              <w:rPr>
                <w:rFonts w:ascii="仿宋" w:hAnsi="仿宋" w:eastAsia="仿宋" w:cs="仿宋"/>
                <w:color w:val="auto"/>
                <w:sz w:val="24"/>
                <w:highlight w:val="none"/>
              </w:rPr>
            </w:pPr>
          </w:p>
        </w:tc>
        <w:tc>
          <w:tcPr>
            <w:tcW w:w="1283" w:type="dxa"/>
          </w:tcPr>
          <w:p w14:paraId="3EEA857A">
            <w:pPr>
              <w:autoSpaceDE w:val="0"/>
              <w:autoSpaceDN w:val="0"/>
              <w:adjustRightInd w:val="0"/>
              <w:rPr>
                <w:rFonts w:ascii="仿宋" w:hAnsi="仿宋" w:eastAsia="仿宋" w:cs="仿宋"/>
                <w:color w:val="auto"/>
                <w:sz w:val="24"/>
                <w:highlight w:val="none"/>
              </w:rPr>
            </w:pPr>
          </w:p>
        </w:tc>
        <w:tc>
          <w:tcPr>
            <w:tcW w:w="1800" w:type="dxa"/>
          </w:tcPr>
          <w:p w14:paraId="4FE1DA6C">
            <w:pPr>
              <w:autoSpaceDE w:val="0"/>
              <w:autoSpaceDN w:val="0"/>
              <w:adjustRightInd w:val="0"/>
              <w:rPr>
                <w:rFonts w:ascii="仿宋" w:hAnsi="仿宋" w:eastAsia="仿宋" w:cs="仿宋"/>
                <w:color w:val="auto"/>
                <w:sz w:val="24"/>
                <w:highlight w:val="none"/>
              </w:rPr>
            </w:pPr>
          </w:p>
        </w:tc>
      </w:tr>
      <w:tr w14:paraId="4EE5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7E85F93">
            <w:pPr>
              <w:autoSpaceDE w:val="0"/>
              <w:autoSpaceDN w:val="0"/>
              <w:adjustRightInd w:val="0"/>
              <w:rPr>
                <w:rFonts w:ascii="仿宋" w:hAnsi="仿宋" w:eastAsia="仿宋" w:cs="仿宋"/>
                <w:color w:val="auto"/>
                <w:sz w:val="24"/>
                <w:highlight w:val="none"/>
              </w:rPr>
            </w:pPr>
          </w:p>
        </w:tc>
        <w:tc>
          <w:tcPr>
            <w:tcW w:w="1076" w:type="dxa"/>
          </w:tcPr>
          <w:p w14:paraId="45FBEBE0">
            <w:pPr>
              <w:autoSpaceDE w:val="0"/>
              <w:autoSpaceDN w:val="0"/>
              <w:adjustRightInd w:val="0"/>
              <w:rPr>
                <w:rFonts w:ascii="仿宋" w:hAnsi="仿宋" w:eastAsia="仿宋" w:cs="仿宋"/>
                <w:color w:val="auto"/>
                <w:sz w:val="24"/>
                <w:highlight w:val="none"/>
              </w:rPr>
            </w:pPr>
          </w:p>
        </w:tc>
        <w:tc>
          <w:tcPr>
            <w:tcW w:w="1076" w:type="dxa"/>
          </w:tcPr>
          <w:p w14:paraId="717A6C07">
            <w:pPr>
              <w:autoSpaceDE w:val="0"/>
              <w:autoSpaceDN w:val="0"/>
              <w:adjustRightInd w:val="0"/>
              <w:rPr>
                <w:rFonts w:ascii="仿宋" w:hAnsi="仿宋" w:eastAsia="仿宋" w:cs="仿宋"/>
                <w:color w:val="auto"/>
                <w:sz w:val="24"/>
                <w:highlight w:val="none"/>
              </w:rPr>
            </w:pPr>
          </w:p>
        </w:tc>
        <w:tc>
          <w:tcPr>
            <w:tcW w:w="1076" w:type="dxa"/>
          </w:tcPr>
          <w:p w14:paraId="7681BCC7">
            <w:pPr>
              <w:autoSpaceDE w:val="0"/>
              <w:autoSpaceDN w:val="0"/>
              <w:adjustRightInd w:val="0"/>
              <w:rPr>
                <w:rFonts w:ascii="仿宋" w:hAnsi="仿宋" w:eastAsia="仿宋" w:cs="仿宋"/>
                <w:color w:val="auto"/>
                <w:sz w:val="24"/>
                <w:highlight w:val="none"/>
              </w:rPr>
            </w:pPr>
          </w:p>
        </w:tc>
        <w:tc>
          <w:tcPr>
            <w:tcW w:w="1314" w:type="dxa"/>
          </w:tcPr>
          <w:p w14:paraId="5F6D21F2">
            <w:pPr>
              <w:autoSpaceDE w:val="0"/>
              <w:autoSpaceDN w:val="0"/>
              <w:adjustRightInd w:val="0"/>
              <w:rPr>
                <w:rFonts w:ascii="仿宋" w:hAnsi="仿宋" w:eastAsia="仿宋" w:cs="仿宋"/>
                <w:color w:val="auto"/>
                <w:sz w:val="24"/>
                <w:highlight w:val="none"/>
              </w:rPr>
            </w:pPr>
          </w:p>
        </w:tc>
        <w:tc>
          <w:tcPr>
            <w:tcW w:w="1283" w:type="dxa"/>
          </w:tcPr>
          <w:p w14:paraId="549EC0DC">
            <w:pPr>
              <w:autoSpaceDE w:val="0"/>
              <w:autoSpaceDN w:val="0"/>
              <w:adjustRightInd w:val="0"/>
              <w:rPr>
                <w:rFonts w:ascii="仿宋" w:hAnsi="仿宋" w:eastAsia="仿宋" w:cs="仿宋"/>
                <w:color w:val="auto"/>
                <w:sz w:val="24"/>
                <w:highlight w:val="none"/>
              </w:rPr>
            </w:pPr>
          </w:p>
        </w:tc>
        <w:tc>
          <w:tcPr>
            <w:tcW w:w="1800" w:type="dxa"/>
          </w:tcPr>
          <w:p w14:paraId="22078D6A">
            <w:pPr>
              <w:autoSpaceDE w:val="0"/>
              <w:autoSpaceDN w:val="0"/>
              <w:adjustRightInd w:val="0"/>
              <w:rPr>
                <w:rFonts w:ascii="仿宋" w:hAnsi="仿宋" w:eastAsia="仿宋" w:cs="仿宋"/>
                <w:color w:val="auto"/>
                <w:sz w:val="24"/>
                <w:highlight w:val="none"/>
              </w:rPr>
            </w:pPr>
          </w:p>
        </w:tc>
      </w:tr>
      <w:tr w14:paraId="243C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210303FA">
            <w:pPr>
              <w:autoSpaceDE w:val="0"/>
              <w:autoSpaceDN w:val="0"/>
              <w:adjustRightInd w:val="0"/>
              <w:rPr>
                <w:rFonts w:ascii="仿宋" w:hAnsi="仿宋" w:eastAsia="仿宋" w:cs="仿宋"/>
                <w:color w:val="auto"/>
                <w:sz w:val="24"/>
                <w:highlight w:val="none"/>
              </w:rPr>
            </w:pPr>
          </w:p>
        </w:tc>
        <w:tc>
          <w:tcPr>
            <w:tcW w:w="1076" w:type="dxa"/>
          </w:tcPr>
          <w:p w14:paraId="77B06A65">
            <w:pPr>
              <w:autoSpaceDE w:val="0"/>
              <w:autoSpaceDN w:val="0"/>
              <w:adjustRightInd w:val="0"/>
              <w:rPr>
                <w:rFonts w:ascii="仿宋" w:hAnsi="仿宋" w:eastAsia="仿宋" w:cs="仿宋"/>
                <w:color w:val="auto"/>
                <w:sz w:val="24"/>
                <w:highlight w:val="none"/>
              </w:rPr>
            </w:pPr>
          </w:p>
        </w:tc>
        <w:tc>
          <w:tcPr>
            <w:tcW w:w="1076" w:type="dxa"/>
          </w:tcPr>
          <w:p w14:paraId="7D669540">
            <w:pPr>
              <w:autoSpaceDE w:val="0"/>
              <w:autoSpaceDN w:val="0"/>
              <w:adjustRightInd w:val="0"/>
              <w:rPr>
                <w:rFonts w:ascii="仿宋" w:hAnsi="仿宋" w:eastAsia="仿宋" w:cs="仿宋"/>
                <w:color w:val="auto"/>
                <w:sz w:val="24"/>
                <w:highlight w:val="none"/>
              </w:rPr>
            </w:pPr>
          </w:p>
        </w:tc>
        <w:tc>
          <w:tcPr>
            <w:tcW w:w="1076" w:type="dxa"/>
          </w:tcPr>
          <w:p w14:paraId="13A98E26">
            <w:pPr>
              <w:autoSpaceDE w:val="0"/>
              <w:autoSpaceDN w:val="0"/>
              <w:adjustRightInd w:val="0"/>
              <w:rPr>
                <w:rFonts w:ascii="仿宋" w:hAnsi="仿宋" w:eastAsia="仿宋" w:cs="仿宋"/>
                <w:color w:val="auto"/>
                <w:sz w:val="24"/>
                <w:highlight w:val="none"/>
              </w:rPr>
            </w:pPr>
          </w:p>
        </w:tc>
        <w:tc>
          <w:tcPr>
            <w:tcW w:w="1314" w:type="dxa"/>
          </w:tcPr>
          <w:p w14:paraId="5922287A">
            <w:pPr>
              <w:autoSpaceDE w:val="0"/>
              <w:autoSpaceDN w:val="0"/>
              <w:adjustRightInd w:val="0"/>
              <w:rPr>
                <w:rFonts w:ascii="仿宋" w:hAnsi="仿宋" w:eastAsia="仿宋" w:cs="仿宋"/>
                <w:color w:val="auto"/>
                <w:sz w:val="24"/>
                <w:highlight w:val="none"/>
              </w:rPr>
            </w:pPr>
          </w:p>
        </w:tc>
        <w:tc>
          <w:tcPr>
            <w:tcW w:w="1283" w:type="dxa"/>
          </w:tcPr>
          <w:p w14:paraId="2BD445BD">
            <w:pPr>
              <w:autoSpaceDE w:val="0"/>
              <w:autoSpaceDN w:val="0"/>
              <w:adjustRightInd w:val="0"/>
              <w:rPr>
                <w:rFonts w:ascii="仿宋" w:hAnsi="仿宋" w:eastAsia="仿宋" w:cs="仿宋"/>
                <w:color w:val="auto"/>
                <w:sz w:val="24"/>
                <w:highlight w:val="none"/>
              </w:rPr>
            </w:pPr>
          </w:p>
        </w:tc>
        <w:tc>
          <w:tcPr>
            <w:tcW w:w="1800" w:type="dxa"/>
          </w:tcPr>
          <w:p w14:paraId="1D84444D">
            <w:pPr>
              <w:autoSpaceDE w:val="0"/>
              <w:autoSpaceDN w:val="0"/>
              <w:adjustRightInd w:val="0"/>
              <w:rPr>
                <w:rFonts w:ascii="仿宋" w:hAnsi="仿宋" w:eastAsia="仿宋" w:cs="仿宋"/>
                <w:color w:val="auto"/>
                <w:sz w:val="24"/>
                <w:highlight w:val="none"/>
              </w:rPr>
            </w:pPr>
          </w:p>
        </w:tc>
      </w:tr>
      <w:tr w14:paraId="10F8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68915A4">
            <w:pPr>
              <w:autoSpaceDE w:val="0"/>
              <w:autoSpaceDN w:val="0"/>
              <w:adjustRightInd w:val="0"/>
              <w:rPr>
                <w:rFonts w:ascii="仿宋" w:hAnsi="仿宋" w:eastAsia="仿宋" w:cs="仿宋"/>
                <w:color w:val="auto"/>
                <w:sz w:val="24"/>
                <w:highlight w:val="none"/>
              </w:rPr>
            </w:pPr>
          </w:p>
        </w:tc>
        <w:tc>
          <w:tcPr>
            <w:tcW w:w="1076" w:type="dxa"/>
          </w:tcPr>
          <w:p w14:paraId="449BFC8F">
            <w:pPr>
              <w:autoSpaceDE w:val="0"/>
              <w:autoSpaceDN w:val="0"/>
              <w:adjustRightInd w:val="0"/>
              <w:rPr>
                <w:rFonts w:ascii="仿宋" w:hAnsi="仿宋" w:eastAsia="仿宋" w:cs="仿宋"/>
                <w:color w:val="auto"/>
                <w:sz w:val="24"/>
                <w:highlight w:val="none"/>
              </w:rPr>
            </w:pPr>
          </w:p>
        </w:tc>
        <w:tc>
          <w:tcPr>
            <w:tcW w:w="1076" w:type="dxa"/>
          </w:tcPr>
          <w:p w14:paraId="2F442B62">
            <w:pPr>
              <w:autoSpaceDE w:val="0"/>
              <w:autoSpaceDN w:val="0"/>
              <w:adjustRightInd w:val="0"/>
              <w:rPr>
                <w:rFonts w:ascii="仿宋" w:hAnsi="仿宋" w:eastAsia="仿宋" w:cs="仿宋"/>
                <w:color w:val="auto"/>
                <w:sz w:val="24"/>
                <w:highlight w:val="none"/>
              </w:rPr>
            </w:pPr>
          </w:p>
        </w:tc>
        <w:tc>
          <w:tcPr>
            <w:tcW w:w="1076" w:type="dxa"/>
          </w:tcPr>
          <w:p w14:paraId="1C2C17AA">
            <w:pPr>
              <w:autoSpaceDE w:val="0"/>
              <w:autoSpaceDN w:val="0"/>
              <w:adjustRightInd w:val="0"/>
              <w:rPr>
                <w:rFonts w:ascii="仿宋" w:hAnsi="仿宋" w:eastAsia="仿宋" w:cs="仿宋"/>
                <w:color w:val="auto"/>
                <w:sz w:val="24"/>
                <w:highlight w:val="none"/>
              </w:rPr>
            </w:pPr>
          </w:p>
        </w:tc>
        <w:tc>
          <w:tcPr>
            <w:tcW w:w="1314" w:type="dxa"/>
          </w:tcPr>
          <w:p w14:paraId="5D5C75A6">
            <w:pPr>
              <w:autoSpaceDE w:val="0"/>
              <w:autoSpaceDN w:val="0"/>
              <w:adjustRightInd w:val="0"/>
              <w:rPr>
                <w:rFonts w:ascii="仿宋" w:hAnsi="仿宋" w:eastAsia="仿宋" w:cs="仿宋"/>
                <w:color w:val="auto"/>
                <w:sz w:val="24"/>
                <w:highlight w:val="none"/>
              </w:rPr>
            </w:pPr>
          </w:p>
        </w:tc>
        <w:tc>
          <w:tcPr>
            <w:tcW w:w="1283" w:type="dxa"/>
          </w:tcPr>
          <w:p w14:paraId="66B5CB9A">
            <w:pPr>
              <w:autoSpaceDE w:val="0"/>
              <w:autoSpaceDN w:val="0"/>
              <w:adjustRightInd w:val="0"/>
              <w:rPr>
                <w:rFonts w:ascii="仿宋" w:hAnsi="仿宋" w:eastAsia="仿宋" w:cs="仿宋"/>
                <w:color w:val="auto"/>
                <w:sz w:val="24"/>
                <w:highlight w:val="none"/>
              </w:rPr>
            </w:pPr>
          </w:p>
        </w:tc>
        <w:tc>
          <w:tcPr>
            <w:tcW w:w="1800" w:type="dxa"/>
          </w:tcPr>
          <w:p w14:paraId="63D38222">
            <w:pPr>
              <w:autoSpaceDE w:val="0"/>
              <w:autoSpaceDN w:val="0"/>
              <w:adjustRightInd w:val="0"/>
              <w:rPr>
                <w:rFonts w:ascii="仿宋" w:hAnsi="仿宋" w:eastAsia="仿宋" w:cs="仿宋"/>
                <w:color w:val="auto"/>
                <w:sz w:val="24"/>
                <w:highlight w:val="none"/>
              </w:rPr>
            </w:pPr>
          </w:p>
        </w:tc>
      </w:tr>
    </w:tbl>
    <w:p w14:paraId="5530C66B">
      <w:pPr>
        <w:rPr>
          <w:rFonts w:ascii="仿宋" w:hAnsi="仿宋" w:eastAsia="仿宋" w:cs="仿宋"/>
          <w:b/>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r>
        <w:rPr>
          <w:rFonts w:hint="eastAsia" w:ascii="仿宋" w:hAnsi="仿宋" w:eastAsia="仿宋" w:cs="仿宋"/>
          <w:color w:val="auto"/>
          <w:sz w:val="24"/>
          <w:highlight w:val="none"/>
        </w:rPr>
        <w:t>）</w:t>
      </w:r>
    </w:p>
    <w:p w14:paraId="72766AED">
      <w:pPr>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161AC948">
      <w:pPr>
        <w:rPr>
          <w:rFonts w:ascii="仿宋" w:hAnsi="仿宋" w:eastAsia="仿宋" w:cs="仿宋"/>
          <w:color w:val="auto"/>
          <w:sz w:val="24"/>
          <w:highlight w:val="none"/>
        </w:rPr>
      </w:pPr>
      <w:r>
        <w:rPr>
          <w:rFonts w:hint="eastAsia" w:ascii="仿宋" w:hAnsi="仿宋" w:eastAsia="仿宋" w:cs="仿宋"/>
          <w:color w:val="auto"/>
          <w:sz w:val="24"/>
          <w:highlight w:val="none"/>
        </w:rPr>
        <w:t>1、如果行数不够，请自行增加。</w:t>
      </w:r>
    </w:p>
    <w:p w14:paraId="5F592EB3">
      <w:pPr>
        <w:rPr>
          <w:rFonts w:ascii="仿宋" w:hAnsi="仿宋" w:eastAsia="仿宋" w:cs="仿宋"/>
          <w:color w:val="auto"/>
          <w:sz w:val="24"/>
          <w:highlight w:val="none"/>
        </w:rPr>
      </w:pPr>
      <w:r>
        <w:rPr>
          <w:rFonts w:hint="eastAsia" w:ascii="仿宋" w:hAnsi="仿宋" w:eastAsia="仿宋" w:cs="仿宋"/>
          <w:color w:val="auto"/>
          <w:sz w:val="24"/>
          <w:highlight w:val="none"/>
        </w:rPr>
        <w:t>2、所有业绩均需要提供有效的复印件（扫描件）。</w:t>
      </w:r>
    </w:p>
    <w:p w14:paraId="6EA5C83F">
      <w:pPr>
        <w:spacing w:line="360" w:lineRule="auto"/>
        <w:outlineLvl w:val="2"/>
        <w:rPr>
          <w:rFonts w:ascii="仿宋" w:hAnsi="仿宋" w:eastAsia="仿宋" w:cs="仿宋"/>
          <w:b/>
          <w:bCs/>
          <w:color w:val="auto"/>
          <w:sz w:val="22"/>
          <w:highlight w:val="none"/>
        </w:rPr>
      </w:pPr>
      <w:bookmarkStart w:id="114" w:name="_Toc9371"/>
      <w:bookmarkStart w:id="115" w:name="_Toc20556"/>
      <w:r>
        <w:rPr>
          <w:rFonts w:hint="eastAsia" w:ascii="仿宋" w:hAnsi="仿宋" w:eastAsia="仿宋" w:cs="仿宋"/>
          <w:b/>
          <w:bCs/>
          <w:color w:val="auto"/>
          <w:sz w:val="22"/>
          <w:highlight w:val="none"/>
        </w:rPr>
        <w:t>目录十三、投标需要的其他证明文件及材料</w:t>
      </w:r>
      <w:bookmarkEnd w:id="114"/>
      <w:bookmarkEnd w:id="115"/>
    </w:p>
    <w:p w14:paraId="2EFF1E4C">
      <w:pPr>
        <w:pStyle w:val="37"/>
        <w:spacing w:line="360" w:lineRule="auto"/>
        <w:jc w:val="left"/>
        <w:rPr>
          <w:rFonts w:ascii="仿宋" w:hAnsi="仿宋" w:eastAsia="仿宋" w:cs="仿宋"/>
          <w:b/>
          <w:bCs/>
          <w:color w:val="auto"/>
          <w:sz w:val="24"/>
          <w:highlight w:val="none"/>
        </w:rPr>
      </w:pPr>
    </w:p>
    <w:p w14:paraId="3318C38A">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投标需要的其他证明文件及材料（</w:t>
      </w:r>
      <w:r>
        <w:rPr>
          <w:rFonts w:hint="eastAsia" w:ascii="仿宋" w:hAnsi="仿宋" w:eastAsia="仿宋" w:cs="仿宋"/>
          <w:b/>
          <w:bCs/>
          <w:color w:val="auto"/>
          <w:sz w:val="24"/>
          <w:highlight w:val="none"/>
          <w:u w:val="single"/>
        </w:rPr>
        <w:t>南京市政府采购供应商信用记录表暨信用承诺书</w:t>
      </w:r>
      <w:r>
        <w:rPr>
          <w:rFonts w:hint="eastAsia" w:ascii="仿宋" w:hAnsi="仿宋" w:eastAsia="仿宋" w:cs="仿宋"/>
          <w:b/>
          <w:bCs/>
          <w:color w:val="auto"/>
          <w:sz w:val="24"/>
          <w:highlight w:val="none"/>
        </w:rPr>
        <w:t>等其他投标单位认为需要递交的资料）下划线部分的资料必须提供。</w:t>
      </w:r>
    </w:p>
    <w:p w14:paraId="095C699D">
      <w:pPr>
        <w:pStyle w:val="37"/>
        <w:spacing w:line="360" w:lineRule="auto"/>
        <w:jc w:val="left"/>
        <w:rPr>
          <w:rFonts w:ascii="仿宋" w:hAnsi="仿宋" w:eastAsia="仿宋" w:cs="仿宋"/>
          <w:b/>
          <w:bCs/>
          <w:color w:val="auto"/>
          <w:sz w:val="24"/>
          <w:highlight w:val="none"/>
        </w:rPr>
      </w:pPr>
    </w:p>
    <w:p w14:paraId="22012B8F">
      <w:pPr>
        <w:rPr>
          <w:rFonts w:ascii="仿宋" w:hAnsi="仿宋" w:eastAsia="仿宋" w:cs="仿宋"/>
          <w:b/>
          <w:bCs/>
          <w:color w:val="auto"/>
          <w:sz w:val="22"/>
          <w:highlight w:val="none"/>
        </w:rPr>
      </w:pPr>
      <w:bookmarkStart w:id="116" w:name="_Toc5592"/>
      <w:bookmarkStart w:id="117" w:name="_Toc7449"/>
      <w:bookmarkStart w:id="118" w:name="_Toc877"/>
      <w:r>
        <w:rPr>
          <w:rFonts w:hint="eastAsia" w:ascii="仿宋" w:hAnsi="仿宋" w:eastAsia="仿宋" w:cs="仿宋"/>
          <w:b/>
          <w:bCs/>
          <w:color w:val="auto"/>
          <w:sz w:val="22"/>
          <w:highlight w:val="none"/>
        </w:rPr>
        <w:br w:type="page"/>
      </w:r>
    </w:p>
    <w:p w14:paraId="0B6181C0">
      <w:pPr>
        <w:spacing w:line="360" w:lineRule="auto"/>
        <w:outlineLvl w:val="2"/>
        <w:rPr>
          <w:rFonts w:ascii="仿宋" w:hAnsi="仿宋" w:eastAsia="仿宋" w:cs="仿宋"/>
          <w:b/>
          <w:bCs/>
          <w:color w:val="auto"/>
          <w:sz w:val="22"/>
          <w:highlight w:val="none"/>
        </w:rPr>
      </w:pPr>
      <w:bookmarkStart w:id="119" w:name="_Toc2668"/>
      <w:r>
        <w:rPr>
          <w:rFonts w:hint="eastAsia" w:ascii="仿宋" w:hAnsi="仿宋" w:eastAsia="仿宋" w:cs="仿宋"/>
          <w:b/>
          <w:bCs/>
          <w:color w:val="auto"/>
          <w:sz w:val="22"/>
          <w:highlight w:val="none"/>
        </w:rPr>
        <w:t>附件一、</w:t>
      </w:r>
      <w:bookmarkStart w:id="120" w:name="_Toc469583074"/>
      <w:bookmarkStart w:id="121" w:name="_Toc447021131"/>
      <w:bookmarkStart w:id="122" w:name="_Toc524964900"/>
      <w:r>
        <w:rPr>
          <w:rFonts w:hint="eastAsia" w:ascii="仿宋" w:hAnsi="仿宋" w:eastAsia="仿宋" w:cs="仿宋"/>
          <w:b/>
          <w:bCs/>
          <w:color w:val="auto"/>
          <w:sz w:val="22"/>
          <w:highlight w:val="none"/>
        </w:rPr>
        <w:t>政府采购政策</w:t>
      </w:r>
      <w:bookmarkEnd w:id="116"/>
      <w:bookmarkEnd w:id="117"/>
      <w:bookmarkEnd w:id="118"/>
      <w:bookmarkEnd w:id="119"/>
    </w:p>
    <w:bookmarkEnd w:id="120"/>
    <w:bookmarkEnd w:id="121"/>
    <w:bookmarkEnd w:id="122"/>
    <w:p w14:paraId="0F913624">
      <w:pPr>
        <w:jc w:val="left"/>
        <w:rPr>
          <w:rFonts w:ascii="仿宋" w:hAnsi="仿宋" w:eastAsia="仿宋" w:cs="仿宋"/>
          <w:color w:val="auto"/>
          <w:sz w:val="36"/>
          <w:szCs w:val="36"/>
          <w:highlight w:val="none"/>
        </w:rPr>
      </w:pPr>
      <w:r>
        <w:rPr>
          <w:rFonts w:hint="eastAsia" w:ascii="仿宋" w:hAnsi="仿宋" w:eastAsia="仿宋" w:cs="仿宋"/>
          <w:b/>
          <w:bCs/>
          <w:color w:val="auto"/>
          <w:sz w:val="24"/>
          <w:szCs w:val="24"/>
          <w:highlight w:val="none"/>
        </w:rPr>
        <w:t>1、中小企业声明函</w:t>
      </w:r>
    </w:p>
    <w:p w14:paraId="57349303">
      <w:pPr>
        <w:widowControl/>
        <w:jc w:val="center"/>
        <w:rPr>
          <w:rFonts w:ascii="仿宋" w:hAnsi="仿宋" w:eastAsia="仿宋" w:cs="仿宋"/>
          <w:b/>
          <w:bCs/>
          <w:color w:val="auto"/>
          <w:kern w:val="0"/>
          <w:sz w:val="24"/>
          <w:szCs w:val="24"/>
          <w:highlight w:val="none"/>
        </w:rPr>
      </w:pPr>
    </w:p>
    <w:p w14:paraId="59D35EB8">
      <w:pPr>
        <w:widowControl/>
        <w:jc w:val="center"/>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中小企业声明函（服务）</w:t>
      </w:r>
    </w:p>
    <w:p w14:paraId="2E8353B8">
      <w:pPr>
        <w:pStyle w:val="37"/>
        <w:rPr>
          <w:rFonts w:ascii="仿宋" w:hAnsi="仿宋" w:eastAsia="仿宋" w:cs="仿宋"/>
          <w:color w:val="auto"/>
          <w:highlight w:val="none"/>
        </w:rPr>
      </w:pPr>
    </w:p>
    <w:p w14:paraId="0E7337E1">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本公司郑重声明，根据《政府采购促进中小企业发展管理办法》（财库 </w:t>
      </w:r>
    </w:p>
    <w:p w14:paraId="559ADB51">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﹝2020﹞46号）的规定，本公司参加</w:t>
      </w:r>
      <w:r>
        <w:rPr>
          <w:rFonts w:hint="eastAsia" w:ascii="仿宋" w:hAnsi="仿宋" w:eastAsia="仿宋" w:cs="仿宋"/>
          <w:color w:val="auto"/>
          <w:sz w:val="24"/>
          <w:szCs w:val="24"/>
          <w:highlight w:val="none"/>
          <w:u w:val="single"/>
        </w:rPr>
        <w:t>南京市雨花台区妇幼保健所</w:t>
      </w:r>
      <w:r>
        <w:rPr>
          <w:rFonts w:hint="eastAsia" w:ascii="仿宋" w:hAnsi="仿宋" w:eastAsia="仿宋" w:cs="仿宋"/>
          <w:color w:val="auto"/>
          <w:kern w:val="0"/>
          <w:sz w:val="24"/>
          <w:szCs w:val="24"/>
          <w:highlight w:val="none"/>
        </w:rPr>
        <w:t>的</w:t>
      </w:r>
      <w:r>
        <w:rPr>
          <w:rFonts w:hint="eastAsia" w:ascii="仿宋" w:hAnsi="仿宋" w:eastAsia="仿宋" w:cs="仿宋"/>
          <w:bCs/>
          <w:color w:val="auto"/>
          <w:sz w:val="24"/>
          <w:szCs w:val="24"/>
          <w:highlight w:val="none"/>
          <w:u w:val="single"/>
          <w:lang w:val="zh-CN"/>
        </w:rPr>
        <w:t>南京市雨花台区妇幼保健所2025年外送检验服务项目</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sz w:val="24"/>
          <w:szCs w:val="24"/>
          <w:highlight w:val="none"/>
        </w:rPr>
        <w:t>服务全部由符合政策要求的中小企业承接。</w:t>
      </w:r>
      <w:r>
        <w:rPr>
          <w:rFonts w:hint="eastAsia" w:ascii="仿宋" w:hAnsi="仿宋" w:eastAsia="仿宋" w:cs="仿宋"/>
          <w:color w:val="auto"/>
          <w:kern w:val="0"/>
          <w:sz w:val="24"/>
          <w:szCs w:val="24"/>
          <w:highlight w:val="none"/>
        </w:rPr>
        <w:t xml:space="preserve">相关企业的具体情况如下： </w:t>
      </w:r>
    </w:p>
    <w:p w14:paraId="631432B1">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lang w:val="zh-CN"/>
        </w:rPr>
        <w:t>南京市雨花台区妇幼保健所2025年外送检验服务项目</w:t>
      </w:r>
      <w:r>
        <w:rPr>
          <w:rFonts w:hint="eastAsia" w:ascii="仿宋" w:hAnsi="仿宋" w:eastAsia="仿宋" w:cs="仿宋"/>
          <w:color w:val="auto"/>
          <w:kern w:val="0"/>
          <w:sz w:val="24"/>
          <w:szCs w:val="24"/>
          <w:highlight w:val="none"/>
        </w:rPr>
        <w:t>，属于</w:t>
      </w:r>
      <w:r>
        <w:rPr>
          <w:rFonts w:hint="eastAsia" w:ascii="仿宋" w:hAnsi="仿宋" w:eastAsia="仿宋" w:cs="仿宋"/>
          <w:color w:val="auto"/>
          <w:sz w:val="24"/>
          <w:szCs w:val="24"/>
          <w:highlight w:val="none"/>
          <w:u w:val="single"/>
        </w:rPr>
        <w:t>其他未列明行业</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承接企业</w:t>
      </w:r>
      <w:r>
        <w:rPr>
          <w:rFonts w:hint="eastAsia" w:ascii="仿宋" w:hAnsi="仿宋" w:eastAsia="仿宋" w:cs="仿宋"/>
          <w:color w:val="auto"/>
          <w:kern w:val="0"/>
          <w:sz w:val="24"/>
          <w:szCs w:val="24"/>
          <w:highlight w:val="none"/>
        </w:rPr>
        <w:t>为</w:t>
      </w:r>
      <w:r>
        <w:rPr>
          <w:rFonts w:hint="eastAsia" w:ascii="仿宋" w:hAnsi="仿宋" w:eastAsia="仿宋" w:cs="仿宋"/>
          <w:i/>
          <w:iCs/>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，从业人员人，营业收入为万元，资产总额为万元，属于</w:t>
      </w:r>
      <w:r>
        <w:rPr>
          <w:rFonts w:hint="eastAsia" w:ascii="仿宋" w:hAnsi="仿宋" w:eastAsia="仿宋" w:cs="仿宋"/>
          <w:i/>
          <w:iCs/>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 xml:space="preserve">； </w:t>
      </w:r>
    </w:p>
    <w:p w14:paraId="5F1339BB">
      <w:pPr>
        <w:widowControl/>
        <w:spacing w:line="360" w:lineRule="auto"/>
        <w:ind w:firstLine="480" w:firstLineChars="200"/>
        <w:jc w:val="left"/>
        <w:rPr>
          <w:rFonts w:ascii="仿宋" w:hAnsi="仿宋" w:eastAsia="仿宋" w:cs="仿宋"/>
          <w:color w:val="auto"/>
          <w:kern w:val="0"/>
          <w:sz w:val="24"/>
          <w:szCs w:val="24"/>
          <w:highlight w:val="none"/>
        </w:rPr>
      </w:pPr>
    </w:p>
    <w:p w14:paraId="3F37A11C">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以上企业，不属于大企业的分支机构，不存在控股股东为大企业的情形，也不存在与大企业的负责人为同一人的情形。 </w:t>
      </w:r>
    </w:p>
    <w:p w14:paraId="76AED4A6">
      <w:pPr>
        <w:widowControl/>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本企业对上述声明内容的真实性负责。如有虚假，将依法承担相应责任。 </w:t>
      </w:r>
    </w:p>
    <w:p w14:paraId="3B469118">
      <w:pPr>
        <w:spacing w:line="360" w:lineRule="auto"/>
        <w:jc w:val="right"/>
        <w:rPr>
          <w:rFonts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rPr>
        <w:t>企业名称：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p>
    <w:p w14:paraId="5330659F">
      <w:pPr>
        <w:spacing w:line="360" w:lineRule="auto"/>
        <w:jc w:val="right"/>
        <w:rPr>
          <w:rFonts w:ascii="仿宋" w:hAnsi="仿宋" w:eastAsia="仿宋" w:cs="仿宋"/>
          <w:b/>
          <w:bCs/>
          <w:color w:val="auto"/>
          <w:sz w:val="24"/>
          <w:highlight w:val="none"/>
        </w:rPr>
      </w:pPr>
      <w:r>
        <w:rPr>
          <w:rFonts w:hint="eastAsia" w:ascii="仿宋" w:hAnsi="仿宋" w:eastAsia="仿宋" w:cs="仿宋"/>
          <w:color w:val="auto"/>
          <w:kern w:val="0"/>
          <w:sz w:val="24"/>
          <w:szCs w:val="24"/>
          <w:highlight w:val="none"/>
        </w:rPr>
        <w:t xml:space="preserve"> 日 期：</w:t>
      </w:r>
      <w:r>
        <w:rPr>
          <w:rFonts w:hint="eastAsia" w:ascii="仿宋" w:hAnsi="仿宋" w:eastAsia="仿宋" w:cs="仿宋"/>
          <w:color w:val="auto"/>
          <w:sz w:val="24"/>
          <w:highlight w:val="none"/>
        </w:rPr>
        <w:t xml:space="preserve">  年   月   日</w:t>
      </w:r>
    </w:p>
    <w:p w14:paraId="4308FCF0">
      <w:pPr>
        <w:widowControl/>
        <w:spacing w:line="360" w:lineRule="auto"/>
        <w:ind w:firstLine="5520" w:firstLineChars="2300"/>
        <w:jc w:val="left"/>
        <w:rPr>
          <w:rFonts w:ascii="仿宋" w:hAnsi="仿宋" w:eastAsia="仿宋" w:cs="仿宋"/>
          <w:color w:val="auto"/>
          <w:sz w:val="24"/>
          <w:szCs w:val="24"/>
          <w:highlight w:val="none"/>
        </w:rPr>
      </w:pPr>
    </w:p>
    <w:p w14:paraId="0256D655">
      <w:pPr>
        <w:widowControl/>
        <w:spacing w:line="360" w:lineRule="auto"/>
        <w:ind w:firstLine="480" w:firstLineChars="200"/>
        <w:jc w:val="left"/>
        <w:rPr>
          <w:rFonts w:ascii="仿宋" w:hAnsi="仿宋" w:eastAsia="仿宋" w:cs="仿宋"/>
          <w:color w:val="auto"/>
          <w:sz w:val="24"/>
          <w:highlight w:val="none"/>
        </w:rPr>
      </w:pPr>
    </w:p>
    <w:p w14:paraId="1A138B2A">
      <w:pPr>
        <w:widowControl/>
        <w:spacing w:line="360" w:lineRule="auto"/>
        <w:ind w:firstLine="480" w:firstLineChars="200"/>
        <w:jc w:val="left"/>
        <w:rPr>
          <w:rFonts w:ascii="仿宋" w:hAnsi="仿宋" w:eastAsia="仿宋" w:cs="仿宋"/>
          <w:color w:val="auto"/>
          <w:sz w:val="24"/>
          <w:highlight w:val="none"/>
        </w:rPr>
      </w:pPr>
    </w:p>
    <w:p w14:paraId="642DADB9">
      <w:pPr>
        <w:widowControl/>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highlight w:val="none"/>
        </w:rPr>
        <w:t>注：1、</w:t>
      </w:r>
      <w:r>
        <w:rPr>
          <w:rFonts w:hint="eastAsia" w:ascii="仿宋" w:hAnsi="仿宋" w:eastAsia="仿宋" w:cs="仿宋"/>
          <w:color w:val="auto"/>
          <w:kern w:val="0"/>
          <w:sz w:val="24"/>
          <w:szCs w:val="24"/>
          <w:highlight w:val="none"/>
        </w:rPr>
        <w:t>从业人员、营业收入、资产总额填报上一年度数据，无上一年度数据的新成立企业可不填报。</w:t>
      </w:r>
    </w:p>
    <w:p w14:paraId="3902C222">
      <w:pPr>
        <w:widowControl/>
        <w:spacing w:line="360" w:lineRule="auto"/>
        <w:ind w:firstLine="480" w:firstLineChars="200"/>
        <w:jc w:val="left"/>
        <w:rPr>
          <w:rFonts w:ascii="仿宋" w:hAnsi="仿宋" w:eastAsia="仿宋" w:cs="仿宋"/>
          <w:color w:val="auto"/>
          <w:sz w:val="24"/>
          <w:highlight w:val="none"/>
        </w:rPr>
      </w:pPr>
    </w:p>
    <w:p w14:paraId="2EEC042C">
      <w:pPr>
        <w:widowControl/>
        <w:spacing w:line="360" w:lineRule="auto"/>
        <w:ind w:firstLine="480" w:firstLineChars="200"/>
        <w:jc w:val="left"/>
        <w:rPr>
          <w:rFonts w:ascii="仿宋" w:hAnsi="仿宋" w:eastAsia="仿宋" w:cs="仿宋"/>
          <w:color w:val="auto"/>
          <w:sz w:val="24"/>
          <w:highlight w:val="none"/>
        </w:rPr>
      </w:pPr>
    </w:p>
    <w:p w14:paraId="662C757E">
      <w:pPr>
        <w:spacing w:line="360" w:lineRule="auto"/>
        <w:rPr>
          <w:rFonts w:ascii="仿宋" w:hAnsi="仿宋" w:eastAsia="仿宋" w:cs="仿宋"/>
          <w:color w:val="auto"/>
          <w:sz w:val="24"/>
          <w:highlight w:val="none"/>
        </w:rPr>
      </w:pPr>
    </w:p>
    <w:p w14:paraId="47788DBD">
      <w:pPr>
        <w:spacing w:line="360" w:lineRule="auto"/>
        <w:rPr>
          <w:rFonts w:ascii="仿宋" w:hAnsi="仿宋" w:eastAsia="仿宋" w:cs="仿宋"/>
          <w:color w:val="auto"/>
          <w:sz w:val="24"/>
          <w:highlight w:val="none"/>
        </w:rPr>
      </w:pPr>
    </w:p>
    <w:p w14:paraId="32FF436A">
      <w:pPr>
        <w:spacing w:line="360" w:lineRule="auto"/>
        <w:rPr>
          <w:rFonts w:ascii="仿宋" w:hAnsi="仿宋" w:eastAsia="仿宋" w:cs="仿宋"/>
          <w:b/>
          <w:bCs/>
          <w:color w:val="auto"/>
          <w:sz w:val="24"/>
          <w:highlight w:val="none"/>
        </w:rPr>
      </w:pPr>
      <w:bookmarkStart w:id="123" w:name="_Toc15614"/>
      <w:bookmarkStart w:id="124" w:name="_Toc10884"/>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2、残疾人福利性单位声明函</w:t>
      </w:r>
    </w:p>
    <w:p w14:paraId="7CE67DA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3A69FE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本单位对上述声明的真实性负责。如有虚假，将依法承担相应责任。 </w:t>
      </w:r>
    </w:p>
    <w:p w14:paraId="2514BC17">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单位名称（</w:t>
      </w:r>
      <w:r>
        <w:rPr>
          <w:rFonts w:hint="eastAsia" w:ascii="仿宋" w:hAnsi="仿宋" w:eastAsia="仿宋" w:cs="仿宋"/>
          <w:color w:val="auto"/>
          <w:sz w:val="24"/>
          <w:szCs w:val="24"/>
          <w:highlight w:val="none"/>
        </w:rPr>
        <w:t>公</w:t>
      </w:r>
      <w:r>
        <w:rPr>
          <w:rFonts w:hint="eastAsia" w:ascii="仿宋" w:hAnsi="仿宋" w:eastAsia="仿宋" w:cs="仿宋"/>
          <w:color w:val="auto"/>
          <w:kern w:val="0"/>
          <w:sz w:val="24"/>
          <w:highlight w:val="none"/>
          <w:lang w:val="zh-CN"/>
        </w:rPr>
        <w:t>章</w:t>
      </w:r>
      <w:r>
        <w:rPr>
          <w:rFonts w:hint="eastAsia" w:ascii="仿宋" w:hAnsi="仿宋" w:eastAsia="仿宋" w:cs="仿宋"/>
          <w:color w:val="auto"/>
          <w:sz w:val="24"/>
          <w:highlight w:val="none"/>
        </w:rPr>
        <w:t xml:space="preserve">）： </w:t>
      </w:r>
    </w:p>
    <w:p w14:paraId="67A80192">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262A10CF">
      <w:pPr>
        <w:spacing w:line="360" w:lineRule="auto"/>
        <w:rPr>
          <w:rFonts w:ascii="仿宋" w:hAnsi="仿宋" w:eastAsia="仿宋" w:cs="仿宋"/>
          <w:b/>
          <w:bCs/>
          <w:color w:val="auto"/>
          <w:sz w:val="24"/>
          <w:highlight w:val="none"/>
        </w:rPr>
      </w:pPr>
    </w:p>
    <w:p w14:paraId="44717966">
      <w:pPr>
        <w:spacing w:line="360" w:lineRule="auto"/>
        <w:rPr>
          <w:rFonts w:ascii="仿宋" w:hAnsi="仿宋" w:eastAsia="仿宋" w:cs="仿宋"/>
          <w:b/>
          <w:bCs/>
          <w:color w:val="auto"/>
          <w:sz w:val="24"/>
          <w:highlight w:val="none"/>
        </w:rPr>
      </w:pPr>
    </w:p>
    <w:p w14:paraId="3F132663">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3、属于监狱企业的证明文件</w:t>
      </w:r>
    </w:p>
    <w:p w14:paraId="1E2724D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（提供由省级以上监狱管理局、戒毒管理局(含新疆生产建设兵团)出具的属于监狱企业的证明文件）</w:t>
      </w:r>
    </w:p>
    <w:p w14:paraId="6D0CC07A">
      <w:pPr>
        <w:spacing w:line="360" w:lineRule="auto"/>
        <w:ind w:firstLine="480" w:firstLineChars="200"/>
        <w:jc w:val="center"/>
        <w:rPr>
          <w:rFonts w:ascii="仿宋" w:hAnsi="仿宋" w:eastAsia="仿宋" w:cs="仿宋"/>
          <w:color w:val="auto"/>
          <w:sz w:val="24"/>
          <w:highlight w:val="none"/>
        </w:rPr>
      </w:pPr>
    </w:p>
    <w:p w14:paraId="203BEFD1">
      <w:pPr>
        <w:spacing w:line="360" w:lineRule="auto"/>
        <w:ind w:firstLine="480" w:firstLineChars="200"/>
        <w:jc w:val="center"/>
        <w:rPr>
          <w:rFonts w:ascii="仿宋" w:hAnsi="仿宋" w:eastAsia="仿宋" w:cs="仿宋"/>
          <w:color w:val="auto"/>
          <w:sz w:val="24"/>
          <w:highlight w:val="none"/>
        </w:rPr>
      </w:pPr>
    </w:p>
    <w:p w14:paraId="55D84768">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4、节能产品认证证书</w:t>
      </w:r>
    </w:p>
    <w:p w14:paraId="441C3667">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（提供国家确定的认证机构出具的、处于有效期之内的产品认证证书） </w:t>
      </w:r>
    </w:p>
    <w:p w14:paraId="2B66FFED">
      <w:pPr>
        <w:spacing w:line="360" w:lineRule="auto"/>
        <w:ind w:firstLine="480" w:firstLineChars="200"/>
        <w:jc w:val="left"/>
        <w:rPr>
          <w:rFonts w:ascii="仿宋" w:hAnsi="仿宋" w:eastAsia="仿宋" w:cs="仿宋"/>
          <w:color w:val="auto"/>
          <w:sz w:val="24"/>
          <w:highlight w:val="none"/>
        </w:rPr>
      </w:pPr>
    </w:p>
    <w:p w14:paraId="019A571C">
      <w:pPr>
        <w:spacing w:line="360" w:lineRule="auto"/>
        <w:ind w:firstLine="480" w:firstLineChars="200"/>
        <w:jc w:val="left"/>
        <w:rPr>
          <w:rFonts w:ascii="仿宋" w:hAnsi="仿宋" w:eastAsia="仿宋" w:cs="仿宋"/>
          <w:color w:val="auto"/>
          <w:sz w:val="24"/>
          <w:highlight w:val="none"/>
        </w:rPr>
      </w:pPr>
    </w:p>
    <w:p w14:paraId="075FEA05">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5、环境标志产品认证证书</w:t>
      </w:r>
    </w:p>
    <w:p w14:paraId="5A0C20C2">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（提供国家确定的认证机构出具的、处于有效期之内的产品认证证书）</w:t>
      </w:r>
    </w:p>
    <w:p w14:paraId="245CFFCD">
      <w:pPr>
        <w:spacing w:line="360" w:lineRule="auto"/>
        <w:ind w:firstLine="480" w:firstLineChars="200"/>
        <w:jc w:val="center"/>
        <w:rPr>
          <w:rFonts w:ascii="仿宋" w:hAnsi="仿宋" w:eastAsia="仿宋" w:cs="仿宋"/>
          <w:color w:val="auto"/>
          <w:sz w:val="24"/>
          <w:highlight w:val="none"/>
        </w:rPr>
      </w:pPr>
    </w:p>
    <w:p w14:paraId="4463CAB5">
      <w:pPr>
        <w:spacing w:line="360" w:lineRule="auto"/>
        <w:ind w:firstLine="480" w:firstLineChars="200"/>
        <w:jc w:val="center"/>
        <w:rPr>
          <w:rFonts w:ascii="仿宋" w:hAnsi="仿宋" w:eastAsia="仿宋" w:cs="仿宋"/>
          <w:color w:val="auto"/>
          <w:sz w:val="24"/>
          <w:highlight w:val="none"/>
        </w:rPr>
      </w:pPr>
    </w:p>
    <w:p w14:paraId="5D79F442">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6、进口产品转让技术、消化吸收再创新方案</w:t>
      </w:r>
    </w:p>
    <w:p w14:paraId="7A1B0F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（对于允许进口产品参加的项目）</w:t>
      </w:r>
    </w:p>
    <w:p w14:paraId="1FD05476">
      <w:pPr>
        <w:pStyle w:val="4"/>
        <w:keepLines w:val="0"/>
        <w:tabs>
          <w:tab w:val="left" w:pos="903"/>
          <w:tab w:val="left" w:pos="1440"/>
          <w:tab w:val="left" w:pos="5670"/>
        </w:tabs>
        <w:spacing w:before="0" w:after="0"/>
        <w:rPr>
          <w:rFonts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125" w:name="_Toc17942"/>
      <w:bookmarkStart w:id="126" w:name="_Toc19788"/>
      <w:r>
        <w:rPr>
          <w:rFonts w:hint="eastAsia" w:ascii="仿宋" w:hAnsi="仿宋" w:eastAsia="仿宋" w:cs="仿宋"/>
          <w:color w:val="auto"/>
          <w:sz w:val="24"/>
          <w:szCs w:val="24"/>
          <w:highlight w:val="none"/>
        </w:rPr>
        <w:t>附件二、无重大违法记录声明格式</w:t>
      </w:r>
      <w:bookmarkEnd w:id="123"/>
      <w:bookmarkEnd w:id="124"/>
      <w:bookmarkEnd w:id="125"/>
      <w:bookmarkEnd w:id="126"/>
    </w:p>
    <w:p w14:paraId="234B2CD6">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无重大违法记录声明</w:t>
      </w:r>
    </w:p>
    <w:p w14:paraId="4620589E">
      <w:pPr>
        <w:spacing w:line="360" w:lineRule="auto"/>
        <w:rPr>
          <w:rFonts w:ascii="仿宋" w:hAnsi="仿宋" w:eastAsia="仿宋" w:cs="仿宋"/>
          <w:color w:val="auto"/>
          <w:sz w:val="24"/>
          <w:highlight w:val="none"/>
        </w:rPr>
      </w:pPr>
      <w:r>
        <w:rPr>
          <w:rFonts w:hint="eastAsia" w:ascii="仿宋" w:hAnsi="仿宋" w:eastAsia="仿宋" w:cs="仿宋"/>
          <w:b/>
          <w:color w:val="auto"/>
          <w:sz w:val="24"/>
          <w:szCs w:val="21"/>
          <w:highlight w:val="none"/>
          <w:lang w:val="zh-CN"/>
        </w:rPr>
        <w:t>南京市雨花台区妇幼保健所</w:t>
      </w:r>
      <w:r>
        <w:rPr>
          <w:rFonts w:hint="eastAsia" w:ascii="仿宋" w:hAnsi="仿宋" w:eastAsia="仿宋" w:cs="仿宋"/>
          <w:color w:val="auto"/>
          <w:sz w:val="24"/>
          <w:highlight w:val="none"/>
        </w:rPr>
        <w:t>：</w:t>
      </w:r>
    </w:p>
    <w:p w14:paraId="1E36BB6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我单位（供应商名称）郑重声明：</w:t>
      </w:r>
    </w:p>
    <w:p w14:paraId="4C10792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参加政府采购活动前3年内在经营活动中（在下划线上如实填写：</w:t>
      </w:r>
      <w:r>
        <w:rPr>
          <w:rFonts w:hint="eastAsia" w:ascii="仿宋" w:hAnsi="仿宋" w:eastAsia="仿宋" w:cs="仿宋"/>
          <w:b/>
          <w:bCs/>
          <w:color w:val="auto"/>
          <w:sz w:val="24"/>
          <w:highlight w:val="none"/>
        </w:rPr>
        <w:t>有或没有</w:t>
      </w:r>
      <w:r>
        <w:rPr>
          <w:rFonts w:hint="eastAsia" w:ascii="仿宋" w:hAnsi="仿宋" w:eastAsia="仿宋" w:cs="仿宋"/>
          <w:color w:val="auto"/>
          <w:sz w:val="24"/>
          <w:highlight w:val="none"/>
        </w:rPr>
        <w:t>）重大违法记录。</w:t>
      </w:r>
    </w:p>
    <w:p w14:paraId="26893BD6">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0AA8EF2C">
      <w:pPr>
        <w:spacing w:line="360" w:lineRule="auto"/>
        <w:rPr>
          <w:rFonts w:ascii="仿宋" w:hAnsi="仿宋" w:eastAsia="仿宋" w:cs="仿宋"/>
          <w:color w:val="auto"/>
          <w:sz w:val="24"/>
          <w:highlight w:val="none"/>
        </w:rPr>
      </w:pPr>
    </w:p>
    <w:p w14:paraId="705AC483">
      <w:pPr>
        <w:spacing w:line="360" w:lineRule="auto"/>
        <w:jc w:val="right"/>
        <w:rPr>
          <w:rFonts w:ascii="仿宋" w:hAnsi="仿宋" w:eastAsia="仿宋" w:cs="仿宋"/>
          <w:color w:val="auto"/>
          <w:sz w:val="24"/>
          <w:highlight w:val="none"/>
        </w:rPr>
      </w:pPr>
    </w:p>
    <w:p w14:paraId="105AFC01">
      <w:pPr>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声明人（公章）：</w:t>
      </w:r>
    </w:p>
    <w:p w14:paraId="284DEE1B">
      <w:pPr>
        <w:spacing w:line="360" w:lineRule="auto"/>
        <w:jc w:val="right"/>
        <w:rPr>
          <w:rFonts w:ascii="仿宋" w:hAnsi="仿宋" w:eastAsia="仿宋" w:cs="仿宋"/>
          <w:b/>
          <w:bCs/>
          <w:color w:val="auto"/>
          <w:sz w:val="24"/>
          <w:highlight w:val="none"/>
        </w:rPr>
      </w:pPr>
      <w:r>
        <w:rPr>
          <w:rFonts w:hint="eastAsia" w:ascii="仿宋" w:hAnsi="仿宋" w:eastAsia="仿宋" w:cs="仿宋"/>
          <w:color w:val="auto"/>
          <w:sz w:val="24"/>
          <w:highlight w:val="none"/>
        </w:rPr>
        <w:t>日期：   年   月   日</w:t>
      </w:r>
    </w:p>
    <w:p w14:paraId="4FC6B6CF">
      <w:pPr>
        <w:pStyle w:val="4"/>
        <w:keepNext w:val="0"/>
        <w:keepLines w:val="0"/>
        <w:tabs>
          <w:tab w:val="left" w:pos="1440"/>
          <w:tab w:val="left" w:pos="5670"/>
        </w:tabs>
        <w:autoSpaceDE w:val="0"/>
        <w:autoSpaceDN w:val="0"/>
        <w:spacing w:before="0" w:after="0" w:line="360" w:lineRule="auto"/>
        <w:jc w:val="left"/>
        <w:rPr>
          <w:rFonts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127" w:name="_Toc16688"/>
      <w:bookmarkStart w:id="128" w:name="_Toc28556"/>
      <w:bookmarkStart w:id="129" w:name="_Toc14565"/>
      <w:bookmarkStart w:id="130" w:name="_Toc16637"/>
      <w:bookmarkStart w:id="131" w:name="_Toc11716"/>
      <w:r>
        <w:rPr>
          <w:rFonts w:hint="eastAsia" w:ascii="仿宋" w:hAnsi="仿宋" w:eastAsia="仿宋" w:cs="仿宋"/>
          <w:color w:val="auto"/>
          <w:sz w:val="24"/>
          <w:szCs w:val="24"/>
          <w:highlight w:val="none"/>
        </w:rPr>
        <w:t>附件三、具备履行合同所必需的设备和专业技术能力的声明格式</w:t>
      </w:r>
      <w:bookmarkEnd w:id="127"/>
      <w:bookmarkEnd w:id="128"/>
      <w:bookmarkEnd w:id="129"/>
    </w:p>
    <w:p w14:paraId="75C1BC70">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具备履行合同所必需的设备和专业技术能力的声明格式</w:t>
      </w:r>
    </w:p>
    <w:p w14:paraId="4F44F58E">
      <w:pPr>
        <w:spacing w:line="360" w:lineRule="auto"/>
        <w:rPr>
          <w:rFonts w:ascii="仿宋" w:hAnsi="仿宋" w:eastAsia="仿宋" w:cs="仿宋"/>
          <w:b/>
          <w:color w:val="auto"/>
          <w:sz w:val="24"/>
          <w:szCs w:val="21"/>
          <w:highlight w:val="none"/>
          <w:lang w:val="zh-CN"/>
        </w:rPr>
      </w:pPr>
      <w:r>
        <w:rPr>
          <w:rFonts w:hint="eastAsia" w:ascii="仿宋" w:hAnsi="仿宋" w:eastAsia="仿宋" w:cs="仿宋"/>
          <w:b/>
          <w:color w:val="auto"/>
          <w:sz w:val="24"/>
          <w:szCs w:val="21"/>
          <w:highlight w:val="none"/>
          <w:lang w:val="zh-CN"/>
        </w:rPr>
        <w:t>南京市雨花台区妇幼保健所：</w:t>
      </w:r>
    </w:p>
    <w:p w14:paraId="76F9289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我单位（供应商名称）郑重声明：我公司具备履行本项采购合同所必需的设备和专业技术能力，为履行本项采购合同我单位具备如下主要设备和主要专业技术能力：</w:t>
      </w:r>
    </w:p>
    <w:p w14:paraId="53A5052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主要设备有： 。( 若有 )</w:t>
      </w:r>
    </w:p>
    <w:p w14:paraId="08BBF22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主要专业技术能力有：。( 若有 )</w:t>
      </w:r>
    </w:p>
    <w:p w14:paraId="11E39079">
      <w:pPr>
        <w:spacing w:line="360" w:lineRule="auto"/>
        <w:rPr>
          <w:rFonts w:ascii="仿宋" w:hAnsi="仿宋" w:eastAsia="仿宋" w:cs="仿宋"/>
          <w:color w:val="auto"/>
          <w:highlight w:val="none"/>
        </w:rPr>
      </w:pPr>
    </w:p>
    <w:p w14:paraId="7A965E8E">
      <w:pPr>
        <w:spacing w:line="360" w:lineRule="auto"/>
        <w:jc w:val="right"/>
        <w:rPr>
          <w:rFonts w:ascii="仿宋" w:hAnsi="仿宋" w:eastAsia="仿宋" w:cs="仿宋"/>
          <w:color w:val="auto"/>
          <w:highlight w:val="none"/>
        </w:rPr>
      </w:pPr>
    </w:p>
    <w:p w14:paraId="33FDC362">
      <w:pPr>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声明人：（公章）</w:t>
      </w:r>
    </w:p>
    <w:p w14:paraId="794A0C75">
      <w:pPr>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2ED9C1B">
      <w:pPr>
        <w:spacing w:line="360" w:lineRule="auto"/>
        <w:rPr>
          <w:rFonts w:ascii="仿宋" w:hAnsi="仿宋" w:eastAsia="仿宋" w:cs="仿宋"/>
          <w:color w:val="auto"/>
          <w:highlight w:val="none"/>
        </w:rPr>
      </w:pPr>
    </w:p>
    <w:p w14:paraId="4E04D223">
      <w:pPr>
        <w:rPr>
          <w:rFonts w:ascii="仿宋" w:hAnsi="仿宋" w:eastAsia="仿宋" w:cs="仿宋"/>
          <w:color w:val="auto"/>
          <w:kern w:val="0"/>
          <w:sz w:val="24"/>
          <w:szCs w:val="28"/>
          <w:highlight w:val="none"/>
          <w:lang w:val="zh-CN"/>
        </w:rPr>
      </w:pPr>
      <w:r>
        <w:rPr>
          <w:rFonts w:hint="eastAsia" w:ascii="仿宋" w:hAnsi="仿宋" w:eastAsia="仿宋" w:cs="仿宋"/>
          <w:color w:val="auto"/>
          <w:kern w:val="0"/>
          <w:sz w:val="24"/>
          <w:szCs w:val="28"/>
          <w:highlight w:val="none"/>
          <w:lang w:val="zh-CN"/>
        </w:rPr>
        <w:br w:type="page"/>
      </w:r>
    </w:p>
    <w:p w14:paraId="13353FA8">
      <w:pPr>
        <w:pStyle w:val="4"/>
        <w:tabs>
          <w:tab w:val="left" w:pos="903"/>
          <w:tab w:val="left" w:pos="1440"/>
          <w:tab w:val="left" w:pos="5670"/>
        </w:tabs>
        <w:spacing w:before="0" w:after="0" w:line="360" w:lineRule="auto"/>
        <w:rPr>
          <w:rFonts w:ascii="仿宋" w:hAnsi="仿宋" w:eastAsia="仿宋" w:cs="仿宋"/>
          <w:color w:val="auto"/>
          <w:kern w:val="0"/>
          <w:sz w:val="24"/>
          <w:szCs w:val="28"/>
          <w:highlight w:val="none"/>
          <w:lang w:val="zh-CN"/>
        </w:rPr>
      </w:pPr>
      <w:bookmarkStart w:id="132" w:name="_Toc26079"/>
      <w:r>
        <w:rPr>
          <w:rFonts w:hint="eastAsia" w:ascii="仿宋" w:hAnsi="仿宋" w:eastAsia="仿宋" w:cs="仿宋"/>
          <w:color w:val="auto"/>
          <w:kern w:val="0"/>
          <w:sz w:val="24"/>
          <w:szCs w:val="28"/>
          <w:highlight w:val="none"/>
          <w:lang w:val="zh-CN"/>
        </w:rPr>
        <w:t>附件</w:t>
      </w:r>
      <w:r>
        <w:rPr>
          <w:rFonts w:hint="eastAsia" w:ascii="仿宋" w:hAnsi="仿宋" w:eastAsia="仿宋" w:cs="仿宋"/>
          <w:color w:val="auto"/>
          <w:kern w:val="0"/>
          <w:sz w:val="24"/>
          <w:szCs w:val="28"/>
          <w:highlight w:val="none"/>
        </w:rPr>
        <w:t>四</w:t>
      </w:r>
      <w:r>
        <w:rPr>
          <w:rFonts w:hint="eastAsia" w:ascii="仿宋" w:hAnsi="仿宋" w:eastAsia="仿宋" w:cs="仿宋"/>
          <w:color w:val="auto"/>
          <w:kern w:val="0"/>
          <w:sz w:val="24"/>
          <w:szCs w:val="28"/>
          <w:highlight w:val="none"/>
          <w:lang w:val="zh-CN"/>
        </w:rPr>
        <w:t>、</w:t>
      </w:r>
      <w:r>
        <w:rPr>
          <w:rFonts w:hint="eastAsia" w:ascii="仿宋" w:hAnsi="仿宋" w:eastAsia="仿宋" w:cs="仿宋"/>
          <w:color w:val="auto"/>
          <w:kern w:val="0"/>
          <w:sz w:val="24"/>
          <w:szCs w:val="28"/>
          <w:highlight w:val="none"/>
        </w:rPr>
        <w:t>南京市政府采购供应商信用记录表暨信用承诺书</w:t>
      </w:r>
      <w:bookmarkEnd w:id="130"/>
      <w:bookmarkEnd w:id="131"/>
      <w:bookmarkEnd w:id="132"/>
    </w:p>
    <w:p w14:paraId="2B0BCC3F">
      <w:pPr>
        <w:pStyle w:val="37"/>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南京市政府采购供应商信用记录表暨信用承诺书</w:t>
      </w:r>
    </w:p>
    <w:p w14:paraId="2D060ABB">
      <w:pPr>
        <w:spacing w:line="360" w:lineRule="auto"/>
        <w:jc w:val="center"/>
        <w:rPr>
          <w:rFonts w:ascii="仿宋" w:hAnsi="仿宋" w:eastAsia="仿宋" w:cs="仿宋"/>
          <w:color w:val="auto"/>
          <w:sz w:val="20"/>
          <w:highlight w:val="none"/>
        </w:rPr>
      </w:pPr>
      <w:r>
        <w:rPr>
          <w:rFonts w:hint="eastAsia" w:ascii="仿宋" w:hAnsi="仿宋" w:eastAsia="仿宋" w:cs="仿宋"/>
          <w:color w:val="auto"/>
          <w:szCs w:val="21"/>
          <w:highlight w:val="none"/>
        </w:rPr>
        <w:t>（仅为示范格式，直接填写无效，需至“南京政府采购供应商诚信档案管理系统”在线打印）</w:t>
      </w:r>
    </w:p>
    <w:p w14:paraId="680A10B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  年  月  日</w:t>
      </w:r>
    </w:p>
    <w:tbl>
      <w:tblPr>
        <w:tblStyle w:val="30"/>
        <w:tblpPr w:leftFromText="180" w:rightFromText="180" w:vertAnchor="text" w:horzAnchor="page" w:tblpX="1755"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052"/>
        <w:gridCol w:w="2298"/>
        <w:gridCol w:w="2125"/>
      </w:tblGrid>
      <w:tr w14:paraId="354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33" w:type="dxa"/>
            <w:vAlign w:val="center"/>
          </w:tcPr>
          <w:p w14:paraId="37BA1A47">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2052" w:type="dxa"/>
            <w:vAlign w:val="center"/>
          </w:tcPr>
          <w:p w14:paraId="7FA7DED3">
            <w:pPr>
              <w:spacing w:line="251" w:lineRule="exact"/>
              <w:ind w:left="20"/>
              <w:jc w:val="center"/>
              <w:rPr>
                <w:rFonts w:ascii="仿宋" w:hAnsi="仿宋" w:eastAsia="仿宋" w:cs="仿宋"/>
                <w:b/>
                <w:bCs/>
                <w:color w:val="auto"/>
                <w:sz w:val="24"/>
                <w:highlight w:val="none"/>
              </w:rPr>
            </w:pPr>
          </w:p>
        </w:tc>
        <w:tc>
          <w:tcPr>
            <w:tcW w:w="2298" w:type="dxa"/>
            <w:vAlign w:val="center"/>
          </w:tcPr>
          <w:p w14:paraId="40501769">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统一社会信用代码</w:t>
            </w:r>
          </w:p>
        </w:tc>
        <w:tc>
          <w:tcPr>
            <w:tcW w:w="2125" w:type="dxa"/>
            <w:vAlign w:val="center"/>
          </w:tcPr>
          <w:p w14:paraId="49640B75">
            <w:pPr>
              <w:spacing w:line="251" w:lineRule="exact"/>
              <w:ind w:left="20"/>
              <w:jc w:val="center"/>
              <w:rPr>
                <w:rFonts w:ascii="仿宋" w:hAnsi="仿宋" w:eastAsia="仿宋" w:cs="仿宋"/>
                <w:b/>
                <w:bCs/>
                <w:color w:val="auto"/>
                <w:sz w:val="24"/>
                <w:highlight w:val="none"/>
              </w:rPr>
            </w:pPr>
          </w:p>
        </w:tc>
      </w:tr>
      <w:tr w14:paraId="0F2D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33" w:type="dxa"/>
            <w:vAlign w:val="center"/>
          </w:tcPr>
          <w:p w14:paraId="51CEA1EA">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w:t>
            </w:r>
          </w:p>
        </w:tc>
        <w:tc>
          <w:tcPr>
            <w:tcW w:w="2052" w:type="dxa"/>
            <w:vAlign w:val="center"/>
          </w:tcPr>
          <w:p w14:paraId="1AED32FE">
            <w:pPr>
              <w:spacing w:line="251" w:lineRule="exact"/>
              <w:ind w:left="20"/>
              <w:jc w:val="center"/>
              <w:rPr>
                <w:rFonts w:ascii="仿宋" w:hAnsi="仿宋" w:eastAsia="仿宋" w:cs="仿宋"/>
                <w:b/>
                <w:bCs/>
                <w:color w:val="auto"/>
                <w:sz w:val="24"/>
                <w:highlight w:val="none"/>
              </w:rPr>
            </w:pPr>
          </w:p>
        </w:tc>
        <w:tc>
          <w:tcPr>
            <w:tcW w:w="2298" w:type="dxa"/>
            <w:vAlign w:val="center"/>
          </w:tcPr>
          <w:p w14:paraId="1A4D3B71">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联系人</w:t>
            </w:r>
          </w:p>
        </w:tc>
        <w:tc>
          <w:tcPr>
            <w:tcW w:w="2125" w:type="dxa"/>
            <w:vAlign w:val="center"/>
          </w:tcPr>
          <w:p w14:paraId="5E6C7C4E">
            <w:pPr>
              <w:spacing w:line="251" w:lineRule="exact"/>
              <w:ind w:left="20"/>
              <w:jc w:val="center"/>
              <w:rPr>
                <w:rFonts w:ascii="仿宋" w:hAnsi="仿宋" w:eastAsia="仿宋" w:cs="仿宋"/>
                <w:b/>
                <w:bCs/>
                <w:color w:val="auto"/>
                <w:sz w:val="24"/>
                <w:highlight w:val="none"/>
              </w:rPr>
            </w:pPr>
          </w:p>
        </w:tc>
      </w:tr>
      <w:tr w14:paraId="470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33" w:type="dxa"/>
            <w:vAlign w:val="center"/>
          </w:tcPr>
          <w:p w14:paraId="43193692">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联系地址</w:t>
            </w:r>
          </w:p>
        </w:tc>
        <w:tc>
          <w:tcPr>
            <w:tcW w:w="2052" w:type="dxa"/>
            <w:vAlign w:val="center"/>
          </w:tcPr>
          <w:p w14:paraId="0F6E1186">
            <w:pPr>
              <w:spacing w:line="251" w:lineRule="exact"/>
              <w:ind w:left="20"/>
              <w:jc w:val="center"/>
              <w:rPr>
                <w:rFonts w:ascii="仿宋" w:hAnsi="仿宋" w:eastAsia="仿宋" w:cs="仿宋"/>
                <w:b/>
                <w:bCs/>
                <w:color w:val="auto"/>
                <w:sz w:val="24"/>
                <w:highlight w:val="none"/>
              </w:rPr>
            </w:pPr>
          </w:p>
        </w:tc>
        <w:tc>
          <w:tcPr>
            <w:tcW w:w="2298" w:type="dxa"/>
            <w:vAlign w:val="center"/>
          </w:tcPr>
          <w:p w14:paraId="67AB4865">
            <w:pPr>
              <w:spacing w:line="251" w:lineRule="exact"/>
              <w:ind w:left="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联系电话</w:t>
            </w:r>
          </w:p>
        </w:tc>
        <w:tc>
          <w:tcPr>
            <w:tcW w:w="2125" w:type="dxa"/>
            <w:vAlign w:val="center"/>
          </w:tcPr>
          <w:p w14:paraId="63A04946">
            <w:pPr>
              <w:spacing w:line="251" w:lineRule="exact"/>
              <w:ind w:left="20"/>
              <w:jc w:val="center"/>
              <w:rPr>
                <w:rFonts w:ascii="仿宋" w:hAnsi="仿宋" w:eastAsia="仿宋" w:cs="仿宋"/>
                <w:b/>
                <w:bCs/>
                <w:color w:val="auto"/>
                <w:sz w:val="24"/>
                <w:highlight w:val="none"/>
              </w:rPr>
            </w:pPr>
          </w:p>
        </w:tc>
      </w:tr>
      <w:tr w14:paraId="4FC0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133" w:type="dxa"/>
            <w:vAlign w:val="center"/>
          </w:tcPr>
          <w:p w14:paraId="29284C8C">
            <w:pPr>
              <w:spacing w:line="251" w:lineRule="exact"/>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诚信档案记录情况</w:t>
            </w:r>
          </w:p>
        </w:tc>
        <w:tc>
          <w:tcPr>
            <w:tcW w:w="6475" w:type="dxa"/>
            <w:gridSpan w:val="3"/>
            <w:vAlign w:val="center"/>
          </w:tcPr>
          <w:p w14:paraId="6E2A5B7F">
            <w:pPr>
              <w:spacing w:line="251" w:lineRule="exact"/>
              <w:ind w:left="20"/>
              <w:jc w:val="center"/>
              <w:rPr>
                <w:rFonts w:ascii="仿宋" w:hAnsi="仿宋" w:eastAsia="仿宋" w:cs="仿宋"/>
                <w:color w:val="auto"/>
                <w:sz w:val="24"/>
                <w:highlight w:val="none"/>
              </w:rPr>
            </w:pPr>
          </w:p>
        </w:tc>
      </w:tr>
      <w:tr w14:paraId="68A5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trPr>
        <w:tc>
          <w:tcPr>
            <w:tcW w:w="2133" w:type="dxa"/>
            <w:vAlign w:val="center"/>
          </w:tcPr>
          <w:p w14:paraId="39659D7B">
            <w:pPr>
              <w:spacing w:line="251" w:lineRule="exact"/>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信用承诺</w:t>
            </w:r>
          </w:p>
        </w:tc>
        <w:tc>
          <w:tcPr>
            <w:tcW w:w="6475" w:type="dxa"/>
            <w:gridSpan w:val="3"/>
            <w:vAlign w:val="center"/>
          </w:tcPr>
          <w:p w14:paraId="2CE8349B">
            <w:pPr>
              <w:spacing w:line="274" w:lineRule="exact"/>
              <w:ind w:right="60" w:firstLine="474" w:firstLineChars="200"/>
              <w:jc w:val="left"/>
              <w:rPr>
                <w:rFonts w:ascii="仿宋" w:hAnsi="仿宋" w:eastAsia="仿宋" w:cs="仿宋"/>
                <w:color w:val="auto"/>
                <w:w w:val="99"/>
                <w:sz w:val="24"/>
                <w:highlight w:val="none"/>
              </w:rPr>
            </w:pPr>
            <w:r>
              <w:rPr>
                <w:rFonts w:hint="eastAsia" w:ascii="仿宋" w:hAnsi="仿宋" w:eastAsia="仿宋" w:cs="仿宋"/>
                <w:color w:val="auto"/>
                <w:w w:val="99"/>
                <w:sz w:val="24"/>
                <w:highlight w:val="none"/>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3194CD4F">
            <w:pPr>
              <w:spacing w:line="251" w:lineRule="exact"/>
              <w:ind w:left="20"/>
              <w:jc w:val="center"/>
              <w:rPr>
                <w:rFonts w:ascii="仿宋" w:hAnsi="仿宋" w:eastAsia="仿宋" w:cs="仿宋"/>
                <w:color w:val="auto"/>
                <w:sz w:val="24"/>
                <w:highlight w:val="none"/>
              </w:rPr>
            </w:pPr>
          </w:p>
          <w:p w14:paraId="497D245E">
            <w:pPr>
              <w:spacing w:line="251" w:lineRule="exact"/>
              <w:ind w:left="20"/>
              <w:jc w:val="center"/>
              <w:rPr>
                <w:rFonts w:ascii="仿宋" w:hAnsi="仿宋" w:eastAsia="仿宋" w:cs="仿宋"/>
                <w:color w:val="auto"/>
                <w:sz w:val="24"/>
                <w:highlight w:val="none"/>
              </w:rPr>
            </w:pPr>
          </w:p>
          <w:p w14:paraId="38B20820">
            <w:pPr>
              <w:spacing w:line="251" w:lineRule="exact"/>
              <w:ind w:left="20"/>
              <w:jc w:val="center"/>
              <w:rPr>
                <w:rFonts w:ascii="仿宋" w:hAnsi="仿宋" w:eastAsia="仿宋" w:cs="仿宋"/>
                <w:color w:val="auto"/>
                <w:sz w:val="24"/>
                <w:highlight w:val="none"/>
              </w:rPr>
            </w:pPr>
          </w:p>
          <w:p w14:paraId="32C377ED">
            <w:pPr>
              <w:spacing w:line="251" w:lineRule="exact"/>
              <w:ind w:left="20"/>
              <w:jc w:val="center"/>
              <w:rPr>
                <w:rFonts w:ascii="仿宋" w:hAnsi="仿宋" w:eastAsia="仿宋" w:cs="仿宋"/>
                <w:color w:val="auto"/>
                <w:sz w:val="24"/>
                <w:highlight w:val="none"/>
              </w:rPr>
            </w:pPr>
          </w:p>
          <w:p w14:paraId="0BF2CF7E">
            <w:pPr>
              <w:spacing w:line="274" w:lineRule="exact"/>
              <w:ind w:left="23"/>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供应商名称（盖章）：</w:t>
            </w:r>
          </w:p>
          <w:p w14:paraId="0ED695D8">
            <w:pPr>
              <w:spacing w:line="274" w:lineRule="exact"/>
              <w:ind w:left="23"/>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w:t>
            </w:r>
          </w:p>
          <w:p w14:paraId="1B547684">
            <w:pPr>
              <w:spacing w:line="274" w:lineRule="exact"/>
              <w:ind w:left="23"/>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二〇   年  月    日</w:t>
            </w:r>
          </w:p>
        </w:tc>
      </w:tr>
    </w:tbl>
    <w:p w14:paraId="4F4E8CF9">
      <w:pPr>
        <w:widowControl/>
        <w:jc w:val="left"/>
        <w:rPr>
          <w:rFonts w:ascii="仿宋" w:hAnsi="仿宋" w:eastAsia="仿宋" w:cs="仿宋"/>
          <w:b/>
          <w:bCs/>
          <w:color w:val="auto"/>
          <w:sz w:val="22"/>
          <w:highlight w:val="none"/>
        </w:rPr>
      </w:pPr>
    </w:p>
    <w:sectPr>
      <w:footerReference r:id="rId4" w:type="default"/>
      <w:pgSz w:w="11906" w:h="16838"/>
      <w:pgMar w:top="1417" w:right="1757" w:bottom="1417" w:left="1757" w:header="851" w:footer="10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CB93">
    <w:pPr>
      <w:pStyle w:val="18"/>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6F5">
    <w:pPr>
      <w:pStyle w:val="11"/>
      <w:spacing w:line="14" w:lineRule="auto"/>
      <w:ind w:left="0"/>
      <w:rPr>
        <w:rFonts w:ascii="仿宋" w:hAnsi="仿宋" w:eastAsia="仿宋" w:cs="仿宋"/>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CB8BA"/>
    <w:multiLevelType w:val="singleLevel"/>
    <w:tmpl w:val="B5DCB8BA"/>
    <w:lvl w:ilvl="0" w:tentative="0">
      <w:start w:val="1"/>
      <w:numFmt w:val="decimal"/>
      <w:suff w:val="nothing"/>
      <w:lvlText w:val="%1、"/>
      <w:lvlJc w:val="left"/>
      <w:rPr>
        <w:rFonts w:hint="default" w:ascii="仿宋" w:hAnsi="仿宋" w:eastAsia="仿宋" w:cs="仿宋"/>
      </w:rPr>
    </w:lvl>
  </w:abstractNum>
  <w:abstractNum w:abstractNumId="1">
    <w:nsid w:val="F9C7694C"/>
    <w:multiLevelType w:val="singleLevel"/>
    <w:tmpl w:val="F9C7694C"/>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NTk2MmU4ZTU3Yzg0N2I1OTlhYjcyZmE1Y2UyNWMifQ=="/>
  </w:docVars>
  <w:rsids>
    <w:rsidRoot w:val="00172A27"/>
    <w:rsid w:val="00002154"/>
    <w:rsid w:val="00006C2D"/>
    <w:rsid w:val="00013C28"/>
    <w:rsid w:val="00016E35"/>
    <w:rsid w:val="0002250F"/>
    <w:rsid w:val="00022D50"/>
    <w:rsid w:val="00027A0C"/>
    <w:rsid w:val="000330F2"/>
    <w:rsid w:val="0003550B"/>
    <w:rsid w:val="00041BB0"/>
    <w:rsid w:val="0004666D"/>
    <w:rsid w:val="000470C6"/>
    <w:rsid w:val="0005432C"/>
    <w:rsid w:val="00054EC9"/>
    <w:rsid w:val="00055D19"/>
    <w:rsid w:val="00060528"/>
    <w:rsid w:val="0007004E"/>
    <w:rsid w:val="00076A1D"/>
    <w:rsid w:val="00087E12"/>
    <w:rsid w:val="00094DBB"/>
    <w:rsid w:val="000B6419"/>
    <w:rsid w:val="000C247A"/>
    <w:rsid w:val="000C4128"/>
    <w:rsid w:val="000C5555"/>
    <w:rsid w:val="000D0F95"/>
    <w:rsid w:val="000D6F69"/>
    <w:rsid w:val="000E1F4E"/>
    <w:rsid w:val="000E4164"/>
    <w:rsid w:val="000E47EC"/>
    <w:rsid w:val="000E52FF"/>
    <w:rsid w:val="0010327E"/>
    <w:rsid w:val="00106462"/>
    <w:rsid w:val="00111A56"/>
    <w:rsid w:val="0011287E"/>
    <w:rsid w:val="001145A9"/>
    <w:rsid w:val="001155F7"/>
    <w:rsid w:val="001174F6"/>
    <w:rsid w:val="00117B04"/>
    <w:rsid w:val="00117D07"/>
    <w:rsid w:val="0012249E"/>
    <w:rsid w:val="00124DD7"/>
    <w:rsid w:val="001258A8"/>
    <w:rsid w:val="00132945"/>
    <w:rsid w:val="00132F51"/>
    <w:rsid w:val="0013657A"/>
    <w:rsid w:val="00141914"/>
    <w:rsid w:val="00142587"/>
    <w:rsid w:val="00150FC1"/>
    <w:rsid w:val="001533FC"/>
    <w:rsid w:val="00154058"/>
    <w:rsid w:val="001570FF"/>
    <w:rsid w:val="00157D8D"/>
    <w:rsid w:val="0016312F"/>
    <w:rsid w:val="00164FD0"/>
    <w:rsid w:val="00167717"/>
    <w:rsid w:val="00172A27"/>
    <w:rsid w:val="00174D70"/>
    <w:rsid w:val="00176579"/>
    <w:rsid w:val="00180A99"/>
    <w:rsid w:val="00180B58"/>
    <w:rsid w:val="001848A2"/>
    <w:rsid w:val="0019210A"/>
    <w:rsid w:val="00192F56"/>
    <w:rsid w:val="001A04DF"/>
    <w:rsid w:val="001A1A6B"/>
    <w:rsid w:val="001C048E"/>
    <w:rsid w:val="001C1384"/>
    <w:rsid w:val="001D16A7"/>
    <w:rsid w:val="001D275C"/>
    <w:rsid w:val="001D3550"/>
    <w:rsid w:val="001D383F"/>
    <w:rsid w:val="001F2EAB"/>
    <w:rsid w:val="001F3227"/>
    <w:rsid w:val="001F5041"/>
    <w:rsid w:val="001F5191"/>
    <w:rsid w:val="0020233D"/>
    <w:rsid w:val="00203BE9"/>
    <w:rsid w:val="00213CFF"/>
    <w:rsid w:val="002153A3"/>
    <w:rsid w:val="0021663B"/>
    <w:rsid w:val="00223EA5"/>
    <w:rsid w:val="00225A20"/>
    <w:rsid w:val="00235469"/>
    <w:rsid w:val="00240503"/>
    <w:rsid w:val="0024194A"/>
    <w:rsid w:val="002427AE"/>
    <w:rsid w:val="00246236"/>
    <w:rsid w:val="00250375"/>
    <w:rsid w:val="0025064E"/>
    <w:rsid w:val="00253DF2"/>
    <w:rsid w:val="00260742"/>
    <w:rsid w:val="002665AD"/>
    <w:rsid w:val="002761D4"/>
    <w:rsid w:val="002776DB"/>
    <w:rsid w:val="00281B70"/>
    <w:rsid w:val="00281E26"/>
    <w:rsid w:val="00284DA1"/>
    <w:rsid w:val="00286CD1"/>
    <w:rsid w:val="002911C5"/>
    <w:rsid w:val="002931CA"/>
    <w:rsid w:val="00293677"/>
    <w:rsid w:val="002A297C"/>
    <w:rsid w:val="002A37A1"/>
    <w:rsid w:val="002A3BF3"/>
    <w:rsid w:val="002A537B"/>
    <w:rsid w:val="002A593D"/>
    <w:rsid w:val="002B1BFE"/>
    <w:rsid w:val="002B42F8"/>
    <w:rsid w:val="002C01E0"/>
    <w:rsid w:val="002D358B"/>
    <w:rsid w:val="002D7AD1"/>
    <w:rsid w:val="002E430B"/>
    <w:rsid w:val="002E516C"/>
    <w:rsid w:val="002E6B29"/>
    <w:rsid w:val="002E7192"/>
    <w:rsid w:val="002F37A0"/>
    <w:rsid w:val="002F6FFE"/>
    <w:rsid w:val="00303129"/>
    <w:rsid w:val="003038EF"/>
    <w:rsid w:val="00305F00"/>
    <w:rsid w:val="00305F4C"/>
    <w:rsid w:val="003109DE"/>
    <w:rsid w:val="00317ED2"/>
    <w:rsid w:val="003222C9"/>
    <w:rsid w:val="00322894"/>
    <w:rsid w:val="00323C7E"/>
    <w:rsid w:val="00341C3F"/>
    <w:rsid w:val="0034229F"/>
    <w:rsid w:val="00342DB5"/>
    <w:rsid w:val="00370479"/>
    <w:rsid w:val="00370F05"/>
    <w:rsid w:val="003744DD"/>
    <w:rsid w:val="00375A43"/>
    <w:rsid w:val="00383FEB"/>
    <w:rsid w:val="00387FE8"/>
    <w:rsid w:val="00395E4D"/>
    <w:rsid w:val="003A1C7B"/>
    <w:rsid w:val="003A29DA"/>
    <w:rsid w:val="003A3DB1"/>
    <w:rsid w:val="003A4166"/>
    <w:rsid w:val="003A69EB"/>
    <w:rsid w:val="003B5D4D"/>
    <w:rsid w:val="003B7561"/>
    <w:rsid w:val="003C03D3"/>
    <w:rsid w:val="003D1D56"/>
    <w:rsid w:val="003E1347"/>
    <w:rsid w:val="003E271F"/>
    <w:rsid w:val="003E286E"/>
    <w:rsid w:val="003E3765"/>
    <w:rsid w:val="003E7B06"/>
    <w:rsid w:val="0040098E"/>
    <w:rsid w:val="004068FF"/>
    <w:rsid w:val="00406FAC"/>
    <w:rsid w:val="00414315"/>
    <w:rsid w:val="004202D2"/>
    <w:rsid w:val="00421581"/>
    <w:rsid w:val="00423561"/>
    <w:rsid w:val="00444A2C"/>
    <w:rsid w:val="0044679E"/>
    <w:rsid w:val="00450EDE"/>
    <w:rsid w:val="00474718"/>
    <w:rsid w:val="00483ABD"/>
    <w:rsid w:val="00484EF8"/>
    <w:rsid w:val="004910BC"/>
    <w:rsid w:val="00491C58"/>
    <w:rsid w:val="0049229F"/>
    <w:rsid w:val="004938E7"/>
    <w:rsid w:val="004A0F54"/>
    <w:rsid w:val="004A5726"/>
    <w:rsid w:val="004B04D1"/>
    <w:rsid w:val="004C259B"/>
    <w:rsid w:val="004C70F2"/>
    <w:rsid w:val="004D2CF3"/>
    <w:rsid w:val="004D35D1"/>
    <w:rsid w:val="004D3A34"/>
    <w:rsid w:val="004D46A5"/>
    <w:rsid w:val="004D6147"/>
    <w:rsid w:val="004D7CBE"/>
    <w:rsid w:val="004E5B32"/>
    <w:rsid w:val="004F01BD"/>
    <w:rsid w:val="004F3A49"/>
    <w:rsid w:val="004F4290"/>
    <w:rsid w:val="004F5398"/>
    <w:rsid w:val="004F6C68"/>
    <w:rsid w:val="005007CF"/>
    <w:rsid w:val="00512BDD"/>
    <w:rsid w:val="0052111C"/>
    <w:rsid w:val="00524151"/>
    <w:rsid w:val="005406D8"/>
    <w:rsid w:val="00543F93"/>
    <w:rsid w:val="00546871"/>
    <w:rsid w:val="005502AD"/>
    <w:rsid w:val="005533ED"/>
    <w:rsid w:val="0055389E"/>
    <w:rsid w:val="00562712"/>
    <w:rsid w:val="00565A97"/>
    <w:rsid w:val="005715E3"/>
    <w:rsid w:val="005751D3"/>
    <w:rsid w:val="005842E6"/>
    <w:rsid w:val="00587B54"/>
    <w:rsid w:val="005901FF"/>
    <w:rsid w:val="00591350"/>
    <w:rsid w:val="00595F6D"/>
    <w:rsid w:val="0059663D"/>
    <w:rsid w:val="005A0C5B"/>
    <w:rsid w:val="005A12A6"/>
    <w:rsid w:val="005A21EF"/>
    <w:rsid w:val="005A3495"/>
    <w:rsid w:val="005A460B"/>
    <w:rsid w:val="005A48E2"/>
    <w:rsid w:val="005A524D"/>
    <w:rsid w:val="005B13D6"/>
    <w:rsid w:val="005B1CD4"/>
    <w:rsid w:val="005C0E9C"/>
    <w:rsid w:val="005C406D"/>
    <w:rsid w:val="005C4711"/>
    <w:rsid w:val="005C74A4"/>
    <w:rsid w:val="005D053E"/>
    <w:rsid w:val="005D207A"/>
    <w:rsid w:val="005D5BA6"/>
    <w:rsid w:val="005E3122"/>
    <w:rsid w:val="005E377E"/>
    <w:rsid w:val="005E3950"/>
    <w:rsid w:val="005E6919"/>
    <w:rsid w:val="005F2F35"/>
    <w:rsid w:val="00607F7D"/>
    <w:rsid w:val="00613381"/>
    <w:rsid w:val="00616542"/>
    <w:rsid w:val="00625293"/>
    <w:rsid w:val="006262F9"/>
    <w:rsid w:val="0063504B"/>
    <w:rsid w:val="006414B9"/>
    <w:rsid w:val="006502F5"/>
    <w:rsid w:val="00653A1B"/>
    <w:rsid w:val="0066029A"/>
    <w:rsid w:val="006655B8"/>
    <w:rsid w:val="00673785"/>
    <w:rsid w:val="0067581E"/>
    <w:rsid w:val="006810B9"/>
    <w:rsid w:val="006854A0"/>
    <w:rsid w:val="006909BB"/>
    <w:rsid w:val="00692CED"/>
    <w:rsid w:val="006A1385"/>
    <w:rsid w:val="006A1968"/>
    <w:rsid w:val="006A3A86"/>
    <w:rsid w:val="006A3CEC"/>
    <w:rsid w:val="006A4179"/>
    <w:rsid w:val="006B0BDF"/>
    <w:rsid w:val="006B5441"/>
    <w:rsid w:val="006B5E7A"/>
    <w:rsid w:val="006B6C2C"/>
    <w:rsid w:val="006C2D89"/>
    <w:rsid w:val="006C2E6B"/>
    <w:rsid w:val="006C4531"/>
    <w:rsid w:val="006C475D"/>
    <w:rsid w:val="006D3946"/>
    <w:rsid w:val="006D41EC"/>
    <w:rsid w:val="006D4DFB"/>
    <w:rsid w:val="006E076C"/>
    <w:rsid w:val="006E5B7D"/>
    <w:rsid w:val="006E69B9"/>
    <w:rsid w:val="006F19A7"/>
    <w:rsid w:val="006F1EE7"/>
    <w:rsid w:val="00710C78"/>
    <w:rsid w:val="00712103"/>
    <w:rsid w:val="00713423"/>
    <w:rsid w:val="007150A3"/>
    <w:rsid w:val="007150CE"/>
    <w:rsid w:val="00715DBD"/>
    <w:rsid w:val="007225FA"/>
    <w:rsid w:val="00724EA4"/>
    <w:rsid w:val="0072625E"/>
    <w:rsid w:val="00726E3F"/>
    <w:rsid w:val="00727795"/>
    <w:rsid w:val="00730587"/>
    <w:rsid w:val="00741845"/>
    <w:rsid w:val="00745A7D"/>
    <w:rsid w:val="007541D4"/>
    <w:rsid w:val="00754D2D"/>
    <w:rsid w:val="0075527A"/>
    <w:rsid w:val="007572CB"/>
    <w:rsid w:val="007619A3"/>
    <w:rsid w:val="00771921"/>
    <w:rsid w:val="0077466C"/>
    <w:rsid w:val="00775B18"/>
    <w:rsid w:val="00777911"/>
    <w:rsid w:val="00777920"/>
    <w:rsid w:val="0078685E"/>
    <w:rsid w:val="00790770"/>
    <w:rsid w:val="00794325"/>
    <w:rsid w:val="00797B2E"/>
    <w:rsid w:val="007A3163"/>
    <w:rsid w:val="007A4DEA"/>
    <w:rsid w:val="007A566B"/>
    <w:rsid w:val="007A57BB"/>
    <w:rsid w:val="007B6839"/>
    <w:rsid w:val="007C0F11"/>
    <w:rsid w:val="007C17BB"/>
    <w:rsid w:val="007C3906"/>
    <w:rsid w:val="007C50BD"/>
    <w:rsid w:val="007C5393"/>
    <w:rsid w:val="007D00E0"/>
    <w:rsid w:val="007D04CB"/>
    <w:rsid w:val="007D16C1"/>
    <w:rsid w:val="007D6C90"/>
    <w:rsid w:val="007E1B7B"/>
    <w:rsid w:val="007E20E8"/>
    <w:rsid w:val="007E22D9"/>
    <w:rsid w:val="007E5BD7"/>
    <w:rsid w:val="007E5D96"/>
    <w:rsid w:val="007E7295"/>
    <w:rsid w:val="007F38B7"/>
    <w:rsid w:val="007F7323"/>
    <w:rsid w:val="007F7E8C"/>
    <w:rsid w:val="008045B5"/>
    <w:rsid w:val="008065F5"/>
    <w:rsid w:val="00813EC0"/>
    <w:rsid w:val="00816F45"/>
    <w:rsid w:val="00821FD4"/>
    <w:rsid w:val="0082553C"/>
    <w:rsid w:val="0082694C"/>
    <w:rsid w:val="008315F3"/>
    <w:rsid w:val="008317A6"/>
    <w:rsid w:val="00832E6A"/>
    <w:rsid w:val="00841F97"/>
    <w:rsid w:val="00844EB1"/>
    <w:rsid w:val="00845186"/>
    <w:rsid w:val="0085146C"/>
    <w:rsid w:val="00853293"/>
    <w:rsid w:val="0085432D"/>
    <w:rsid w:val="008546BA"/>
    <w:rsid w:val="00860BAC"/>
    <w:rsid w:val="00860D34"/>
    <w:rsid w:val="0086538B"/>
    <w:rsid w:val="00866CAF"/>
    <w:rsid w:val="00874D56"/>
    <w:rsid w:val="008750A3"/>
    <w:rsid w:val="00881B6D"/>
    <w:rsid w:val="00883FBC"/>
    <w:rsid w:val="0089178E"/>
    <w:rsid w:val="008A1309"/>
    <w:rsid w:val="008A39E2"/>
    <w:rsid w:val="008B3DCA"/>
    <w:rsid w:val="008B77B8"/>
    <w:rsid w:val="008C2536"/>
    <w:rsid w:val="008D0680"/>
    <w:rsid w:val="008D1601"/>
    <w:rsid w:val="008E4BB4"/>
    <w:rsid w:val="008E678E"/>
    <w:rsid w:val="008E69A4"/>
    <w:rsid w:val="008F38DA"/>
    <w:rsid w:val="00902A02"/>
    <w:rsid w:val="00904C33"/>
    <w:rsid w:val="009104E2"/>
    <w:rsid w:val="00917A30"/>
    <w:rsid w:val="009214D3"/>
    <w:rsid w:val="00923112"/>
    <w:rsid w:val="00923E50"/>
    <w:rsid w:val="00932F4C"/>
    <w:rsid w:val="00935609"/>
    <w:rsid w:val="00935722"/>
    <w:rsid w:val="0093717C"/>
    <w:rsid w:val="00941869"/>
    <w:rsid w:val="00943FB2"/>
    <w:rsid w:val="009452AC"/>
    <w:rsid w:val="00952928"/>
    <w:rsid w:val="00956F71"/>
    <w:rsid w:val="009574F7"/>
    <w:rsid w:val="00960C6B"/>
    <w:rsid w:val="00962B5E"/>
    <w:rsid w:val="00964C59"/>
    <w:rsid w:val="00974495"/>
    <w:rsid w:val="00976A46"/>
    <w:rsid w:val="00976D4F"/>
    <w:rsid w:val="009856E4"/>
    <w:rsid w:val="0098796F"/>
    <w:rsid w:val="0099630D"/>
    <w:rsid w:val="0099656B"/>
    <w:rsid w:val="009A221E"/>
    <w:rsid w:val="009A2443"/>
    <w:rsid w:val="009A3B58"/>
    <w:rsid w:val="009A4C69"/>
    <w:rsid w:val="009B174D"/>
    <w:rsid w:val="009B2602"/>
    <w:rsid w:val="009B4AC8"/>
    <w:rsid w:val="009B50F0"/>
    <w:rsid w:val="009B635A"/>
    <w:rsid w:val="009C0179"/>
    <w:rsid w:val="009C0534"/>
    <w:rsid w:val="009C1A44"/>
    <w:rsid w:val="009C5961"/>
    <w:rsid w:val="009C61A3"/>
    <w:rsid w:val="009D0358"/>
    <w:rsid w:val="009D1BD1"/>
    <w:rsid w:val="009D1E1F"/>
    <w:rsid w:val="009D23AD"/>
    <w:rsid w:val="009D494E"/>
    <w:rsid w:val="009D4A80"/>
    <w:rsid w:val="009D78D1"/>
    <w:rsid w:val="009E0DA3"/>
    <w:rsid w:val="009E28F0"/>
    <w:rsid w:val="009E6339"/>
    <w:rsid w:val="009E67E4"/>
    <w:rsid w:val="009E7091"/>
    <w:rsid w:val="009F0C8A"/>
    <w:rsid w:val="009F1C47"/>
    <w:rsid w:val="009F7041"/>
    <w:rsid w:val="00A01D93"/>
    <w:rsid w:val="00A0662C"/>
    <w:rsid w:val="00A14E69"/>
    <w:rsid w:val="00A164BC"/>
    <w:rsid w:val="00A21105"/>
    <w:rsid w:val="00A21ED4"/>
    <w:rsid w:val="00A23A2C"/>
    <w:rsid w:val="00A2464B"/>
    <w:rsid w:val="00A257F4"/>
    <w:rsid w:val="00A35878"/>
    <w:rsid w:val="00A40965"/>
    <w:rsid w:val="00A42692"/>
    <w:rsid w:val="00A42EFE"/>
    <w:rsid w:val="00A44EDD"/>
    <w:rsid w:val="00A467D5"/>
    <w:rsid w:val="00A50227"/>
    <w:rsid w:val="00A51A58"/>
    <w:rsid w:val="00A57C05"/>
    <w:rsid w:val="00A616A2"/>
    <w:rsid w:val="00A6333A"/>
    <w:rsid w:val="00A646D4"/>
    <w:rsid w:val="00A65AD2"/>
    <w:rsid w:val="00A7526C"/>
    <w:rsid w:val="00A80CF9"/>
    <w:rsid w:val="00A826D5"/>
    <w:rsid w:val="00A83163"/>
    <w:rsid w:val="00A83466"/>
    <w:rsid w:val="00A85FDE"/>
    <w:rsid w:val="00A90775"/>
    <w:rsid w:val="00A91EA4"/>
    <w:rsid w:val="00A9233E"/>
    <w:rsid w:val="00A9721B"/>
    <w:rsid w:val="00AB091A"/>
    <w:rsid w:val="00AB322C"/>
    <w:rsid w:val="00AB6279"/>
    <w:rsid w:val="00AC2C45"/>
    <w:rsid w:val="00AC375F"/>
    <w:rsid w:val="00AC75F0"/>
    <w:rsid w:val="00AC7D9F"/>
    <w:rsid w:val="00AD1D00"/>
    <w:rsid w:val="00AE46CF"/>
    <w:rsid w:val="00AF1F4B"/>
    <w:rsid w:val="00AF2FF5"/>
    <w:rsid w:val="00AF3252"/>
    <w:rsid w:val="00AF5A61"/>
    <w:rsid w:val="00AF6E13"/>
    <w:rsid w:val="00B02130"/>
    <w:rsid w:val="00B02411"/>
    <w:rsid w:val="00B039B0"/>
    <w:rsid w:val="00B0501E"/>
    <w:rsid w:val="00B0519E"/>
    <w:rsid w:val="00B23312"/>
    <w:rsid w:val="00B27305"/>
    <w:rsid w:val="00B30E91"/>
    <w:rsid w:val="00B36A13"/>
    <w:rsid w:val="00B417AB"/>
    <w:rsid w:val="00B47574"/>
    <w:rsid w:val="00B5255A"/>
    <w:rsid w:val="00B552DA"/>
    <w:rsid w:val="00B56CAD"/>
    <w:rsid w:val="00B57929"/>
    <w:rsid w:val="00B57938"/>
    <w:rsid w:val="00B6016C"/>
    <w:rsid w:val="00B666FD"/>
    <w:rsid w:val="00B66DD6"/>
    <w:rsid w:val="00B66DEC"/>
    <w:rsid w:val="00B6758E"/>
    <w:rsid w:val="00B73147"/>
    <w:rsid w:val="00B77656"/>
    <w:rsid w:val="00B843BB"/>
    <w:rsid w:val="00B906D8"/>
    <w:rsid w:val="00BA4A8D"/>
    <w:rsid w:val="00BA7447"/>
    <w:rsid w:val="00BB7892"/>
    <w:rsid w:val="00BC1CBB"/>
    <w:rsid w:val="00BC332B"/>
    <w:rsid w:val="00BD16F3"/>
    <w:rsid w:val="00BD2F7F"/>
    <w:rsid w:val="00BD4B6C"/>
    <w:rsid w:val="00BD4EEE"/>
    <w:rsid w:val="00BD5A50"/>
    <w:rsid w:val="00BD5E8D"/>
    <w:rsid w:val="00BD6782"/>
    <w:rsid w:val="00BD6C2F"/>
    <w:rsid w:val="00BD6D0C"/>
    <w:rsid w:val="00BE2328"/>
    <w:rsid w:val="00BE25E9"/>
    <w:rsid w:val="00BF22CC"/>
    <w:rsid w:val="00BF58CE"/>
    <w:rsid w:val="00C032CC"/>
    <w:rsid w:val="00C05867"/>
    <w:rsid w:val="00C07244"/>
    <w:rsid w:val="00C075E8"/>
    <w:rsid w:val="00C105A0"/>
    <w:rsid w:val="00C109BF"/>
    <w:rsid w:val="00C12B84"/>
    <w:rsid w:val="00C142CE"/>
    <w:rsid w:val="00C2118F"/>
    <w:rsid w:val="00C251C3"/>
    <w:rsid w:val="00C310F9"/>
    <w:rsid w:val="00C32435"/>
    <w:rsid w:val="00C32552"/>
    <w:rsid w:val="00C32A50"/>
    <w:rsid w:val="00C43696"/>
    <w:rsid w:val="00C5127D"/>
    <w:rsid w:val="00C51AF6"/>
    <w:rsid w:val="00C52D3B"/>
    <w:rsid w:val="00C60CCD"/>
    <w:rsid w:val="00C6113F"/>
    <w:rsid w:val="00C62E4A"/>
    <w:rsid w:val="00C671FE"/>
    <w:rsid w:val="00C7011F"/>
    <w:rsid w:val="00C70691"/>
    <w:rsid w:val="00C73829"/>
    <w:rsid w:val="00C83912"/>
    <w:rsid w:val="00C931C6"/>
    <w:rsid w:val="00C93D52"/>
    <w:rsid w:val="00C975B3"/>
    <w:rsid w:val="00CA131C"/>
    <w:rsid w:val="00CA40AC"/>
    <w:rsid w:val="00CA4904"/>
    <w:rsid w:val="00CB0CE1"/>
    <w:rsid w:val="00CB2C0C"/>
    <w:rsid w:val="00CB32BE"/>
    <w:rsid w:val="00CB45AA"/>
    <w:rsid w:val="00CB4B17"/>
    <w:rsid w:val="00CB6043"/>
    <w:rsid w:val="00CC51AA"/>
    <w:rsid w:val="00CC54A9"/>
    <w:rsid w:val="00CC6A0E"/>
    <w:rsid w:val="00CD3390"/>
    <w:rsid w:val="00CE42D8"/>
    <w:rsid w:val="00CE7904"/>
    <w:rsid w:val="00CE7C43"/>
    <w:rsid w:val="00CF3D01"/>
    <w:rsid w:val="00D0241F"/>
    <w:rsid w:val="00D058CD"/>
    <w:rsid w:val="00D32701"/>
    <w:rsid w:val="00D33FD7"/>
    <w:rsid w:val="00D3472E"/>
    <w:rsid w:val="00D36890"/>
    <w:rsid w:val="00D4299E"/>
    <w:rsid w:val="00D439DE"/>
    <w:rsid w:val="00D51B02"/>
    <w:rsid w:val="00D51D57"/>
    <w:rsid w:val="00D5698B"/>
    <w:rsid w:val="00D6107B"/>
    <w:rsid w:val="00D62651"/>
    <w:rsid w:val="00D660B8"/>
    <w:rsid w:val="00D71ED8"/>
    <w:rsid w:val="00D735E6"/>
    <w:rsid w:val="00D7448F"/>
    <w:rsid w:val="00D766A0"/>
    <w:rsid w:val="00D83374"/>
    <w:rsid w:val="00D87F23"/>
    <w:rsid w:val="00D90612"/>
    <w:rsid w:val="00D94142"/>
    <w:rsid w:val="00D9436D"/>
    <w:rsid w:val="00D95DA4"/>
    <w:rsid w:val="00DA0D36"/>
    <w:rsid w:val="00DA790C"/>
    <w:rsid w:val="00DB305A"/>
    <w:rsid w:val="00DB3CF9"/>
    <w:rsid w:val="00DB4465"/>
    <w:rsid w:val="00DB5562"/>
    <w:rsid w:val="00DB6858"/>
    <w:rsid w:val="00DB76F2"/>
    <w:rsid w:val="00DC2178"/>
    <w:rsid w:val="00DC37B8"/>
    <w:rsid w:val="00DC5796"/>
    <w:rsid w:val="00DC5911"/>
    <w:rsid w:val="00DC7093"/>
    <w:rsid w:val="00DD0020"/>
    <w:rsid w:val="00DD4CBF"/>
    <w:rsid w:val="00DD5D63"/>
    <w:rsid w:val="00DD6BFE"/>
    <w:rsid w:val="00DD6D91"/>
    <w:rsid w:val="00DD760D"/>
    <w:rsid w:val="00DE3C98"/>
    <w:rsid w:val="00DE4973"/>
    <w:rsid w:val="00DE6C4D"/>
    <w:rsid w:val="00DF27E1"/>
    <w:rsid w:val="00DF4D9B"/>
    <w:rsid w:val="00DF733D"/>
    <w:rsid w:val="00E012FF"/>
    <w:rsid w:val="00E037C7"/>
    <w:rsid w:val="00E04E1B"/>
    <w:rsid w:val="00E07793"/>
    <w:rsid w:val="00E20CF9"/>
    <w:rsid w:val="00E2154B"/>
    <w:rsid w:val="00E242F9"/>
    <w:rsid w:val="00E25447"/>
    <w:rsid w:val="00E25AC2"/>
    <w:rsid w:val="00E31311"/>
    <w:rsid w:val="00E35745"/>
    <w:rsid w:val="00E35CF8"/>
    <w:rsid w:val="00E3624E"/>
    <w:rsid w:val="00E40294"/>
    <w:rsid w:val="00E42E83"/>
    <w:rsid w:val="00E439EC"/>
    <w:rsid w:val="00E44361"/>
    <w:rsid w:val="00E5666C"/>
    <w:rsid w:val="00E56E38"/>
    <w:rsid w:val="00E63ADB"/>
    <w:rsid w:val="00E70096"/>
    <w:rsid w:val="00E701D6"/>
    <w:rsid w:val="00E72AD1"/>
    <w:rsid w:val="00E76162"/>
    <w:rsid w:val="00E81343"/>
    <w:rsid w:val="00E873D8"/>
    <w:rsid w:val="00E965A8"/>
    <w:rsid w:val="00EA4805"/>
    <w:rsid w:val="00EA7C4A"/>
    <w:rsid w:val="00EB1846"/>
    <w:rsid w:val="00EB2C81"/>
    <w:rsid w:val="00EB7FD0"/>
    <w:rsid w:val="00EC1914"/>
    <w:rsid w:val="00ED3CCA"/>
    <w:rsid w:val="00EE11D5"/>
    <w:rsid w:val="00EE2F18"/>
    <w:rsid w:val="00EE44E5"/>
    <w:rsid w:val="00EE61AC"/>
    <w:rsid w:val="00EF3B2A"/>
    <w:rsid w:val="00EF78AB"/>
    <w:rsid w:val="00F02C26"/>
    <w:rsid w:val="00F1281C"/>
    <w:rsid w:val="00F212B9"/>
    <w:rsid w:val="00F24D62"/>
    <w:rsid w:val="00F24FC2"/>
    <w:rsid w:val="00F3156C"/>
    <w:rsid w:val="00F32AB7"/>
    <w:rsid w:val="00F32F1F"/>
    <w:rsid w:val="00F425F9"/>
    <w:rsid w:val="00F47A44"/>
    <w:rsid w:val="00F47DA1"/>
    <w:rsid w:val="00F509CB"/>
    <w:rsid w:val="00F55596"/>
    <w:rsid w:val="00F6429E"/>
    <w:rsid w:val="00F676DD"/>
    <w:rsid w:val="00F73A5C"/>
    <w:rsid w:val="00F7721F"/>
    <w:rsid w:val="00F80390"/>
    <w:rsid w:val="00F855DC"/>
    <w:rsid w:val="00F90826"/>
    <w:rsid w:val="00F946F0"/>
    <w:rsid w:val="00F976D9"/>
    <w:rsid w:val="00FA2C9F"/>
    <w:rsid w:val="00FA2ECE"/>
    <w:rsid w:val="00FA50BD"/>
    <w:rsid w:val="00FB1BF2"/>
    <w:rsid w:val="00FB22E4"/>
    <w:rsid w:val="00FC2EA5"/>
    <w:rsid w:val="00FC2FFD"/>
    <w:rsid w:val="00FC30EF"/>
    <w:rsid w:val="00FD2E65"/>
    <w:rsid w:val="00FD6A5F"/>
    <w:rsid w:val="00FD6BFF"/>
    <w:rsid w:val="00FE34D3"/>
    <w:rsid w:val="00FE4D28"/>
    <w:rsid w:val="00FE68F0"/>
    <w:rsid w:val="00FF0CEB"/>
    <w:rsid w:val="00FF1751"/>
    <w:rsid w:val="00FF2203"/>
    <w:rsid w:val="00FF4659"/>
    <w:rsid w:val="01181075"/>
    <w:rsid w:val="01214758"/>
    <w:rsid w:val="01300237"/>
    <w:rsid w:val="013E245F"/>
    <w:rsid w:val="01564E93"/>
    <w:rsid w:val="01720B2F"/>
    <w:rsid w:val="01ED08B6"/>
    <w:rsid w:val="026B7301"/>
    <w:rsid w:val="0288273E"/>
    <w:rsid w:val="02FA76A8"/>
    <w:rsid w:val="03092820"/>
    <w:rsid w:val="032F6E34"/>
    <w:rsid w:val="035329F6"/>
    <w:rsid w:val="03690CED"/>
    <w:rsid w:val="03A640AD"/>
    <w:rsid w:val="03B57F96"/>
    <w:rsid w:val="03C21CD0"/>
    <w:rsid w:val="03CE65DC"/>
    <w:rsid w:val="040762C7"/>
    <w:rsid w:val="040B1632"/>
    <w:rsid w:val="04117858"/>
    <w:rsid w:val="04C74740"/>
    <w:rsid w:val="04C82992"/>
    <w:rsid w:val="04E46DA8"/>
    <w:rsid w:val="04E470A0"/>
    <w:rsid w:val="05023479"/>
    <w:rsid w:val="05195ECF"/>
    <w:rsid w:val="051B2C01"/>
    <w:rsid w:val="052928F8"/>
    <w:rsid w:val="052D4195"/>
    <w:rsid w:val="053C47CF"/>
    <w:rsid w:val="055C301D"/>
    <w:rsid w:val="05647E81"/>
    <w:rsid w:val="059B3918"/>
    <w:rsid w:val="059E1945"/>
    <w:rsid w:val="05D45367"/>
    <w:rsid w:val="05F5440E"/>
    <w:rsid w:val="06105B8D"/>
    <w:rsid w:val="061B4B81"/>
    <w:rsid w:val="066523B3"/>
    <w:rsid w:val="068D2998"/>
    <w:rsid w:val="068E3768"/>
    <w:rsid w:val="06BD116C"/>
    <w:rsid w:val="06FA1A82"/>
    <w:rsid w:val="07043B9E"/>
    <w:rsid w:val="072E0F41"/>
    <w:rsid w:val="07391925"/>
    <w:rsid w:val="076072C9"/>
    <w:rsid w:val="079B438E"/>
    <w:rsid w:val="07A35472"/>
    <w:rsid w:val="07BE3252"/>
    <w:rsid w:val="080F64FA"/>
    <w:rsid w:val="089D55D0"/>
    <w:rsid w:val="08AD3B2E"/>
    <w:rsid w:val="091F7A10"/>
    <w:rsid w:val="092D3A4A"/>
    <w:rsid w:val="09310B23"/>
    <w:rsid w:val="09815806"/>
    <w:rsid w:val="099A6E38"/>
    <w:rsid w:val="09AE7FCA"/>
    <w:rsid w:val="09C14A7E"/>
    <w:rsid w:val="09FE7871"/>
    <w:rsid w:val="0A321AB2"/>
    <w:rsid w:val="0A472FEB"/>
    <w:rsid w:val="0A682D27"/>
    <w:rsid w:val="0A70779D"/>
    <w:rsid w:val="0AA365AA"/>
    <w:rsid w:val="0AB3505F"/>
    <w:rsid w:val="0AC30140"/>
    <w:rsid w:val="0AD4791A"/>
    <w:rsid w:val="0AD72AD8"/>
    <w:rsid w:val="0B01528B"/>
    <w:rsid w:val="0B0F2513"/>
    <w:rsid w:val="0B3D4D45"/>
    <w:rsid w:val="0B6376C2"/>
    <w:rsid w:val="0BB925A7"/>
    <w:rsid w:val="0BDE1561"/>
    <w:rsid w:val="0BED0CB3"/>
    <w:rsid w:val="0BF35225"/>
    <w:rsid w:val="0BFB5503"/>
    <w:rsid w:val="0C544A3D"/>
    <w:rsid w:val="0C8303EF"/>
    <w:rsid w:val="0CA8733F"/>
    <w:rsid w:val="0CBF0B1F"/>
    <w:rsid w:val="0CDD2D53"/>
    <w:rsid w:val="0CEC25BF"/>
    <w:rsid w:val="0D1E77E5"/>
    <w:rsid w:val="0D5B1C68"/>
    <w:rsid w:val="0D5F19BA"/>
    <w:rsid w:val="0DB3107A"/>
    <w:rsid w:val="0DE50696"/>
    <w:rsid w:val="0E1A2426"/>
    <w:rsid w:val="0E3C2449"/>
    <w:rsid w:val="0E4D343B"/>
    <w:rsid w:val="0E780A8A"/>
    <w:rsid w:val="0E7A3338"/>
    <w:rsid w:val="0EA10C0C"/>
    <w:rsid w:val="0EA20C90"/>
    <w:rsid w:val="0EB67D00"/>
    <w:rsid w:val="0ED41B5F"/>
    <w:rsid w:val="0EE26D46"/>
    <w:rsid w:val="0FA217EC"/>
    <w:rsid w:val="0FAF4810"/>
    <w:rsid w:val="0FB92C8A"/>
    <w:rsid w:val="0FC87CEA"/>
    <w:rsid w:val="0FDE2E18"/>
    <w:rsid w:val="0FF46C6D"/>
    <w:rsid w:val="0FFC1285"/>
    <w:rsid w:val="10316CC4"/>
    <w:rsid w:val="10461710"/>
    <w:rsid w:val="10D05C6E"/>
    <w:rsid w:val="10DF0BC6"/>
    <w:rsid w:val="10EE4C39"/>
    <w:rsid w:val="110213C4"/>
    <w:rsid w:val="1131366D"/>
    <w:rsid w:val="1163531E"/>
    <w:rsid w:val="11790A91"/>
    <w:rsid w:val="11863B39"/>
    <w:rsid w:val="11C75D80"/>
    <w:rsid w:val="11DF558A"/>
    <w:rsid w:val="1204218B"/>
    <w:rsid w:val="12105A80"/>
    <w:rsid w:val="121F17EC"/>
    <w:rsid w:val="12211BAC"/>
    <w:rsid w:val="1230518B"/>
    <w:rsid w:val="123A29F6"/>
    <w:rsid w:val="123E4294"/>
    <w:rsid w:val="125F37AD"/>
    <w:rsid w:val="12A06F5B"/>
    <w:rsid w:val="12B852FB"/>
    <w:rsid w:val="12FA4174"/>
    <w:rsid w:val="1336321B"/>
    <w:rsid w:val="133D279D"/>
    <w:rsid w:val="13914897"/>
    <w:rsid w:val="141B3394"/>
    <w:rsid w:val="14AC1428"/>
    <w:rsid w:val="14F51566"/>
    <w:rsid w:val="155F2371"/>
    <w:rsid w:val="15720FA0"/>
    <w:rsid w:val="15A07845"/>
    <w:rsid w:val="15E91D10"/>
    <w:rsid w:val="16510070"/>
    <w:rsid w:val="1672275E"/>
    <w:rsid w:val="169C5A2D"/>
    <w:rsid w:val="16BF6938"/>
    <w:rsid w:val="170C3649"/>
    <w:rsid w:val="17134D69"/>
    <w:rsid w:val="1723362B"/>
    <w:rsid w:val="174805DF"/>
    <w:rsid w:val="175B7832"/>
    <w:rsid w:val="177B3894"/>
    <w:rsid w:val="1796247C"/>
    <w:rsid w:val="17D276CD"/>
    <w:rsid w:val="17E7717C"/>
    <w:rsid w:val="186A5716"/>
    <w:rsid w:val="186C142F"/>
    <w:rsid w:val="18792039"/>
    <w:rsid w:val="187E3544"/>
    <w:rsid w:val="188E1051"/>
    <w:rsid w:val="18943BF6"/>
    <w:rsid w:val="18F03E0E"/>
    <w:rsid w:val="19483C4A"/>
    <w:rsid w:val="1956252A"/>
    <w:rsid w:val="19A85C78"/>
    <w:rsid w:val="19C038F5"/>
    <w:rsid w:val="19D56F0B"/>
    <w:rsid w:val="1A34758E"/>
    <w:rsid w:val="1A361CF4"/>
    <w:rsid w:val="1A646837"/>
    <w:rsid w:val="1A9726DC"/>
    <w:rsid w:val="1A9E7717"/>
    <w:rsid w:val="1AB14D30"/>
    <w:rsid w:val="1AC33E35"/>
    <w:rsid w:val="1AF63501"/>
    <w:rsid w:val="1B336823"/>
    <w:rsid w:val="1B50511A"/>
    <w:rsid w:val="1B5B2892"/>
    <w:rsid w:val="1B5F58D1"/>
    <w:rsid w:val="1B631CF5"/>
    <w:rsid w:val="1B6E06F0"/>
    <w:rsid w:val="1B813443"/>
    <w:rsid w:val="1B823E11"/>
    <w:rsid w:val="1B8915A9"/>
    <w:rsid w:val="1C30446F"/>
    <w:rsid w:val="1C4B1BA5"/>
    <w:rsid w:val="1C732DB0"/>
    <w:rsid w:val="1C786472"/>
    <w:rsid w:val="1C9A5B6B"/>
    <w:rsid w:val="1CC21426"/>
    <w:rsid w:val="1CE955DF"/>
    <w:rsid w:val="1D053C50"/>
    <w:rsid w:val="1D1748F3"/>
    <w:rsid w:val="1D2F14C5"/>
    <w:rsid w:val="1D487ECB"/>
    <w:rsid w:val="1D5030CD"/>
    <w:rsid w:val="1D65430E"/>
    <w:rsid w:val="1D8D60CF"/>
    <w:rsid w:val="1DDA51CB"/>
    <w:rsid w:val="1DF4084E"/>
    <w:rsid w:val="1E1B192D"/>
    <w:rsid w:val="1E2146D7"/>
    <w:rsid w:val="1E322828"/>
    <w:rsid w:val="1E3B3D7D"/>
    <w:rsid w:val="1E46557A"/>
    <w:rsid w:val="1E627A29"/>
    <w:rsid w:val="1E706EC8"/>
    <w:rsid w:val="1E85324A"/>
    <w:rsid w:val="1EDE3F7C"/>
    <w:rsid w:val="1EF43972"/>
    <w:rsid w:val="1EF47F34"/>
    <w:rsid w:val="1F091CD2"/>
    <w:rsid w:val="1F0B1C70"/>
    <w:rsid w:val="1F17286F"/>
    <w:rsid w:val="1F185BF4"/>
    <w:rsid w:val="1F2F1037"/>
    <w:rsid w:val="1F375C95"/>
    <w:rsid w:val="1F463346"/>
    <w:rsid w:val="1F7F6AA8"/>
    <w:rsid w:val="1F9957E4"/>
    <w:rsid w:val="1FB931AC"/>
    <w:rsid w:val="20164D4C"/>
    <w:rsid w:val="20B62D93"/>
    <w:rsid w:val="20D44868"/>
    <w:rsid w:val="21124C41"/>
    <w:rsid w:val="212A1E87"/>
    <w:rsid w:val="212E0DE1"/>
    <w:rsid w:val="21354530"/>
    <w:rsid w:val="21685D11"/>
    <w:rsid w:val="21A63C04"/>
    <w:rsid w:val="21CA353C"/>
    <w:rsid w:val="21CB5418"/>
    <w:rsid w:val="21DE7335"/>
    <w:rsid w:val="220A23E4"/>
    <w:rsid w:val="224E19A6"/>
    <w:rsid w:val="22771AD7"/>
    <w:rsid w:val="22A82893"/>
    <w:rsid w:val="22BB28BB"/>
    <w:rsid w:val="22C75BE0"/>
    <w:rsid w:val="22DB5B2F"/>
    <w:rsid w:val="22FC252C"/>
    <w:rsid w:val="230B0FCB"/>
    <w:rsid w:val="231828DF"/>
    <w:rsid w:val="2366189C"/>
    <w:rsid w:val="236B707D"/>
    <w:rsid w:val="23827D58"/>
    <w:rsid w:val="23906919"/>
    <w:rsid w:val="23CD6F93"/>
    <w:rsid w:val="240F3CE2"/>
    <w:rsid w:val="241620CB"/>
    <w:rsid w:val="244B32D0"/>
    <w:rsid w:val="24700746"/>
    <w:rsid w:val="248D544D"/>
    <w:rsid w:val="24AC7783"/>
    <w:rsid w:val="24CD76F9"/>
    <w:rsid w:val="24E41CE0"/>
    <w:rsid w:val="250B63CC"/>
    <w:rsid w:val="25254691"/>
    <w:rsid w:val="252E3BF9"/>
    <w:rsid w:val="254732BF"/>
    <w:rsid w:val="25676E0F"/>
    <w:rsid w:val="25854A5B"/>
    <w:rsid w:val="2591016C"/>
    <w:rsid w:val="25A71CF8"/>
    <w:rsid w:val="25AF54AB"/>
    <w:rsid w:val="25BD08DC"/>
    <w:rsid w:val="25C66871"/>
    <w:rsid w:val="25CF7ED4"/>
    <w:rsid w:val="262037ED"/>
    <w:rsid w:val="264D191C"/>
    <w:rsid w:val="26537596"/>
    <w:rsid w:val="265C0D35"/>
    <w:rsid w:val="26AB75C6"/>
    <w:rsid w:val="26AE4B51"/>
    <w:rsid w:val="26B74AFE"/>
    <w:rsid w:val="26F92CD1"/>
    <w:rsid w:val="271373F8"/>
    <w:rsid w:val="27145968"/>
    <w:rsid w:val="273067AE"/>
    <w:rsid w:val="27464A46"/>
    <w:rsid w:val="27966B1F"/>
    <w:rsid w:val="279C0819"/>
    <w:rsid w:val="27C66039"/>
    <w:rsid w:val="27CB44E1"/>
    <w:rsid w:val="28126A09"/>
    <w:rsid w:val="282A4E68"/>
    <w:rsid w:val="283A3A9D"/>
    <w:rsid w:val="28517914"/>
    <w:rsid w:val="2858552C"/>
    <w:rsid w:val="2859351D"/>
    <w:rsid w:val="286300C3"/>
    <w:rsid w:val="28706D81"/>
    <w:rsid w:val="287D6F5B"/>
    <w:rsid w:val="28961927"/>
    <w:rsid w:val="28EC4A1F"/>
    <w:rsid w:val="295419EB"/>
    <w:rsid w:val="2968354D"/>
    <w:rsid w:val="297D244C"/>
    <w:rsid w:val="297D37D2"/>
    <w:rsid w:val="29930F11"/>
    <w:rsid w:val="299802D6"/>
    <w:rsid w:val="299C67EE"/>
    <w:rsid w:val="29BA0A66"/>
    <w:rsid w:val="29C462AA"/>
    <w:rsid w:val="29C70BBB"/>
    <w:rsid w:val="29F963EF"/>
    <w:rsid w:val="2A27165A"/>
    <w:rsid w:val="2A4E308A"/>
    <w:rsid w:val="2A733EFF"/>
    <w:rsid w:val="2A7724EE"/>
    <w:rsid w:val="2A7C7BF7"/>
    <w:rsid w:val="2A9E191C"/>
    <w:rsid w:val="2AA44A58"/>
    <w:rsid w:val="2AC03D8D"/>
    <w:rsid w:val="2AD417E1"/>
    <w:rsid w:val="2B3A113E"/>
    <w:rsid w:val="2B646E69"/>
    <w:rsid w:val="2B74502C"/>
    <w:rsid w:val="2B956360"/>
    <w:rsid w:val="2B9D5E72"/>
    <w:rsid w:val="2BB57A43"/>
    <w:rsid w:val="2BD60CCA"/>
    <w:rsid w:val="2BE83931"/>
    <w:rsid w:val="2C672E25"/>
    <w:rsid w:val="2C8D38FC"/>
    <w:rsid w:val="2CA46F92"/>
    <w:rsid w:val="2CB762B5"/>
    <w:rsid w:val="2CD12724"/>
    <w:rsid w:val="2CEF2CFB"/>
    <w:rsid w:val="2D1B36F8"/>
    <w:rsid w:val="2D23133E"/>
    <w:rsid w:val="2D2325AC"/>
    <w:rsid w:val="2D5323EA"/>
    <w:rsid w:val="2D5D0F30"/>
    <w:rsid w:val="2DA91BD7"/>
    <w:rsid w:val="2E6E2E84"/>
    <w:rsid w:val="2E840066"/>
    <w:rsid w:val="2EC251FF"/>
    <w:rsid w:val="2EF44B3D"/>
    <w:rsid w:val="2F051008"/>
    <w:rsid w:val="2F203160"/>
    <w:rsid w:val="2F257B52"/>
    <w:rsid w:val="2F5E5B1E"/>
    <w:rsid w:val="2F852ABD"/>
    <w:rsid w:val="2F97152E"/>
    <w:rsid w:val="2FAD0D99"/>
    <w:rsid w:val="2FB13E9F"/>
    <w:rsid w:val="2FD22068"/>
    <w:rsid w:val="2FDD227D"/>
    <w:rsid w:val="2FF76247"/>
    <w:rsid w:val="30027430"/>
    <w:rsid w:val="30080E85"/>
    <w:rsid w:val="305C5AF8"/>
    <w:rsid w:val="305E56A9"/>
    <w:rsid w:val="30CF4C39"/>
    <w:rsid w:val="30E7511B"/>
    <w:rsid w:val="30EA25AD"/>
    <w:rsid w:val="30FC279B"/>
    <w:rsid w:val="31590C7B"/>
    <w:rsid w:val="31680749"/>
    <w:rsid w:val="31862135"/>
    <w:rsid w:val="319E474E"/>
    <w:rsid w:val="31C70AAF"/>
    <w:rsid w:val="31FF3DA3"/>
    <w:rsid w:val="322A618B"/>
    <w:rsid w:val="32383D22"/>
    <w:rsid w:val="325246DF"/>
    <w:rsid w:val="32791776"/>
    <w:rsid w:val="32A55811"/>
    <w:rsid w:val="32E527E2"/>
    <w:rsid w:val="33025030"/>
    <w:rsid w:val="33310FDC"/>
    <w:rsid w:val="33525999"/>
    <w:rsid w:val="33812B14"/>
    <w:rsid w:val="33A87C19"/>
    <w:rsid w:val="33AB1DB4"/>
    <w:rsid w:val="33DD066D"/>
    <w:rsid w:val="33E13920"/>
    <w:rsid w:val="340A50AD"/>
    <w:rsid w:val="34375D32"/>
    <w:rsid w:val="343A368F"/>
    <w:rsid w:val="346911EC"/>
    <w:rsid w:val="347100A1"/>
    <w:rsid w:val="34734885"/>
    <w:rsid w:val="3493009A"/>
    <w:rsid w:val="34EA39B0"/>
    <w:rsid w:val="350C5365"/>
    <w:rsid w:val="354B6B44"/>
    <w:rsid w:val="355473E3"/>
    <w:rsid w:val="35C30488"/>
    <w:rsid w:val="35DC79E1"/>
    <w:rsid w:val="363A7147"/>
    <w:rsid w:val="364C2B74"/>
    <w:rsid w:val="367D0F7F"/>
    <w:rsid w:val="367E30EF"/>
    <w:rsid w:val="36900128"/>
    <w:rsid w:val="369A07E4"/>
    <w:rsid w:val="36CA225F"/>
    <w:rsid w:val="37120B59"/>
    <w:rsid w:val="37270EEB"/>
    <w:rsid w:val="3735114B"/>
    <w:rsid w:val="37353608"/>
    <w:rsid w:val="37403D5B"/>
    <w:rsid w:val="3762426B"/>
    <w:rsid w:val="37674116"/>
    <w:rsid w:val="3768578B"/>
    <w:rsid w:val="379947F7"/>
    <w:rsid w:val="37B645D5"/>
    <w:rsid w:val="37F810C0"/>
    <w:rsid w:val="38267F5A"/>
    <w:rsid w:val="386341A5"/>
    <w:rsid w:val="38AC4966"/>
    <w:rsid w:val="38BD62AE"/>
    <w:rsid w:val="38C933B8"/>
    <w:rsid w:val="38FB5A1A"/>
    <w:rsid w:val="391C4799"/>
    <w:rsid w:val="39816191"/>
    <w:rsid w:val="39943570"/>
    <w:rsid w:val="39A30AAF"/>
    <w:rsid w:val="39B60304"/>
    <w:rsid w:val="39C06B3B"/>
    <w:rsid w:val="39C80763"/>
    <w:rsid w:val="39FC0B5C"/>
    <w:rsid w:val="3A1439A9"/>
    <w:rsid w:val="3A147B03"/>
    <w:rsid w:val="3A4B15B5"/>
    <w:rsid w:val="3A7C0159"/>
    <w:rsid w:val="3A89387F"/>
    <w:rsid w:val="3AD60C30"/>
    <w:rsid w:val="3B3A0C4C"/>
    <w:rsid w:val="3B5D4EDB"/>
    <w:rsid w:val="3B883ED9"/>
    <w:rsid w:val="3BA808C3"/>
    <w:rsid w:val="3BD05344"/>
    <w:rsid w:val="3BD5040E"/>
    <w:rsid w:val="3BDA652C"/>
    <w:rsid w:val="3C363D9F"/>
    <w:rsid w:val="3C837349"/>
    <w:rsid w:val="3CAC6B7C"/>
    <w:rsid w:val="3CC01BC6"/>
    <w:rsid w:val="3CF556BA"/>
    <w:rsid w:val="3D431BE8"/>
    <w:rsid w:val="3D567E34"/>
    <w:rsid w:val="3D9E197D"/>
    <w:rsid w:val="3DA467A4"/>
    <w:rsid w:val="3DED2573"/>
    <w:rsid w:val="3E402676"/>
    <w:rsid w:val="3E6210F7"/>
    <w:rsid w:val="3E8310FD"/>
    <w:rsid w:val="3E9A212E"/>
    <w:rsid w:val="3ED92ACB"/>
    <w:rsid w:val="3EE83E05"/>
    <w:rsid w:val="3F1B1335"/>
    <w:rsid w:val="3F231BBD"/>
    <w:rsid w:val="3F253F62"/>
    <w:rsid w:val="3F54164D"/>
    <w:rsid w:val="3F60143E"/>
    <w:rsid w:val="3FDD07CF"/>
    <w:rsid w:val="404479D8"/>
    <w:rsid w:val="40537563"/>
    <w:rsid w:val="405F16F6"/>
    <w:rsid w:val="407E1862"/>
    <w:rsid w:val="40900D0E"/>
    <w:rsid w:val="40C34CEE"/>
    <w:rsid w:val="41475502"/>
    <w:rsid w:val="415577C6"/>
    <w:rsid w:val="41661B9E"/>
    <w:rsid w:val="41801923"/>
    <w:rsid w:val="419D4283"/>
    <w:rsid w:val="41AF045B"/>
    <w:rsid w:val="41D72835"/>
    <w:rsid w:val="41EB5FF9"/>
    <w:rsid w:val="42151886"/>
    <w:rsid w:val="42605309"/>
    <w:rsid w:val="42687F7B"/>
    <w:rsid w:val="426D3AE0"/>
    <w:rsid w:val="42730473"/>
    <w:rsid w:val="42875580"/>
    <w:rsid w:val="42B45D81"/>
    <w:rsid w:val="42C57F36"/>
    <w:rsid w:val="42DF79C6"/>
    <w:rsid w:val="42E45725"/>
    <w:rsid w:val="42EF51BC"/>
    <w:rsid w:val="430A40E0"/>
    <w:rsid w:val="438D20D6"/>
    <w:rsid w:val="438F6796"/>
    <w:rsid w:val="43A8255C"/>
    <w:rsid w:val="44056624"/>
    <w:rsid w:val="44105833"/>
    <w:rsid w:val="44232445"/>
    <w:rsid w:val="44391737"/>
    <w:rsid w:val="445B1F95"/>
    <w:rsid w:val="44646128"/>
    <w:rsid w:val="449E5DDE"/>
    <w:rsid w:val="44A87B5A"/>
    <w:rsid w:val="44AF607A"/>
    <w:rsid w:val="44B816B4"/>
    <w:rsid w:val="44F535B9"/>
    <w:rsid w:val="45190AE2"/>
    <w:rsid w:val="451A6217"/>
    <w:rsid w:val="45335AD9"/>
    <w:rsid w:val="455A3683"/>
    <w:rsid w:val="45943CF1"/>
    <w:rsid w:val="45CF6389"/>
    <w:rsid w:val="45EA71FD"/>
    <w:rsid w:val="45F85E41"/>
    <w:rsid w:val="45FB6D32"/>
    <w:rsid w:val="461971D1"/>
    <w:rsid w:val="46280E45"/>
    <w:rsid w:val="46320C7B"/>
    <w:rsid w:val="468E6D86"/>
    <w:rsid w:val="46E72A55"/>
    <w:rsid w:val="4714106E"/>
    <w:rsid w:val="472E4253"/>
    <w:rsid w:val="47372A84"/>
    <w:rsid w:val="4756390C"/>
    <w:rsid w:val="47592D4F"/>
    <w:rsid w:val="477C6C0A"/>
    <w:rsid w:val="4783216D"/>
    <w:rsid w:val="478F109C"/>
    <w:rsid w:val="4799729B"/>
    <w:rsid w:val="47A46233"/>
    <w:rsid w:val="47E04CB5"/>
    <w:rsid w:val="47FA2AA6"/>
    <w:rsid w:val="481777B6"/>
    <w:rsid w:val="48361342"/>
    <w:rsid w:val="483F1ECD"/>
    <w:rsid w:val="484511D1"/>
    <w:rsid w:val="48AC353B"/>
    <w:rsid w:val="48CC11CC"/>
    <w:rsid w:val="48D520C0"/>
    <w:rsid w:val="48FA645F"/>
    <w:rsid w:val="493354CD"/>
    <w:rsid w:val="494213A4"/>
    <w:rsid w:val="4970394C"/>
    <w:rsid w:val="49B86AC5"/>
    <w:rsid w:val="49D92FF1"/>
    <w:rsid w:val="4A05316D"/>
    <w:rsid w:val="4A515D62"/>
    <w:rsid w:val="4A6106CA"/>
    <w:rsid w:val="4A791606"/>
    <w:rsid w:val="4A9F7F51"/>
    <w:rsid w:val="4AA67F26"/>
    <w:rsid w:val="4AE025BA"/>
    <w:rsid w:val="4B157F57"/>
    <w:rsid w:val="4B367611"/>
    <w:rsid w:val="4B4C52D9"/>
    <w:rsid w:val="4B6127C6"/>
    <w:rsid w:val="4B722727"/>
    <w:rsid w:val="4C1012E2"/>
    <w:rsid w:val="4C173976"/>
    <w:rsid w:val="4C1B267F"/>
    <w:rsid w:val="4C5127CF"/>
    <w:rsid w:val="4C7D7DD5"/>
    <w:rsid w:val="4CC55DC1"/>
    <w:rsid w:val="4CD82614"/>
    <w:rsid w:val="4D0C6DE1"/>
    <w:rsid w:val="4D141195"/>
    <w:rsid w:val="4D3239A5"/>
    <w:rsid w:val="4D3A298B"/>
    <w:rsid w:val="4D4413F9"/>
    <w:rsid w:val="4D484964"/>
    <w:rsid w:val="4D4C3002"/>
    <w:rsid w:val="4D8C33FE"/>
    <w:rsid w:val="4D8D2CF1"/>
    <w:rsid w:val="4DAE6FE7"/>
    <w:rsid w:val="4DCF3558"/>
    <w:rsid w:val="4DDD35AE"/>
    <w:rsid w:val="4E107E06"/>
    <w:rsid w:val="4ED5565E"/>
    <w:rsid w:val="4EF31987"/>
    <w:rsid w:val="4F17258B"/>
    <w:rsid w:val="4F2619C0"/>
    <w:rsid w:val="4F5908BB"/>
    <w:rsid w:val="4FBE74E4"/>
    <w:rsid w:val="4FE939B9"/>
    <w:rsid w:val="50050265"/>
    <w:rsid w:val="50815DEA"/>
    <w:rsid w:val="50A52669"/>
    <w:rsid w:val="50DF2043"/>
    <w:rsid w:val="50EE4AFC"/>
    <w:rsid w:val="50FE0AB7"/>
    <w:rsid w:val="5119040F"/>
    <w:rsid w:val="513242BC"/>
    <w:rsid w:val="51564711"/>
    <w:rsid w:val="51636FD5"/>
    <w:rsid w:val="51880B55"/>
    <w:rsid w:val="51A35A9A"/>
    <w:rsid w:val="51B17E06"/>
    <w:rsid w:val="51CA5E84"/>
    <w:rsid w:val="51D15A4A"/>
    <w:rsid w:val="51E0293C"/>
    <w:rsid w:val="51F3109A"/>
    <w:rsid w:val="5202190E"/>
    <w:rsid w:val="52377DDC"/>
    <w:rsid w:val="524C6C89"/>
    <w:rsid w:val="52663A11"/>
    <w:rsid w:val="52B12FA3"/>
    <w:rsid w:val="52DF1DEA"/>
    <w:rsid w:val="52F36978"/>
    <w:rsid w:val="53194A6E"/>
    <w:rsid w:val="53234688"/>
    <w:rsid w:val="53244555"/>
    <w:rsid w:val="536201EE"/>
    <w:rsid w:val="53784B50"/>
    <w:rsid w:val="53C102A5"/>
    <w:rsid w:val="53EC4CDE"/>
    <w:rsid w:val="54035D7E"/>
    <w:rsid w:val="541F107A"/>
    <w:rsid w:val="54346F9F"/>
    <w:rsid w:val="544947AA"/>
    <w:rsid w:val="5483260B"/>
    <w:rsid w:val="54AD6A7C"/>
    <w:rsid w:val="54B05DCB"/>
    <w:rsid w:val="54BE0A46"/>
    <w:rsid w:val="54FC20DA"/>
    <w:rsid w:val="5503272C"/>
    <w:rsid w:val="55173AE5"/>
    <w:rsid w:val="55686755"/>
    <w:rsid w:val="55B00DDD"/>
    <w:rsid w:val="55C47938"/>
    <w:rsid w:val="55EC13B6"/>
    <w:rsid w:val="560C20AB"/>
    <w:rsid w:val="56172B93"/>
    <w:rsid w:val="567F1719"/>
    <w:rsid w:val="568C1928"/>
    <w:rsid w:val="569E4AEE"/>
    <w:rsid w:val="56C23A80"/>
    <w:rsid w:val="56E41DC2"/>
    <w:rsid w:val="56F4461F"/>
    <w:rsid w:val="570F1BEE"/>
    <w:rsid w:val="5725242C"/>
    <w:rsid w:val="573963A5"/>
    <w:rsid w:val="573C40E7"/>
    <w:rsid w:val="57491CAE"/>
    <w:rsid w:val="577E64AD"/>
    <w:rsid w:val="57AA31A6"/>
    <w:rsid w:val="57FC3070"/>
    <w:rsid w:val="580D1F08"/>
    <w:rsid w:val="58207565"/>
    <w:rsid w:val="58281544"/>
    <w:rsid w:val="583E0DFD"/>
    <w:rsid w:val="58D2260D"/>
    <w:rsid w:val="58D345D7"/>
    <w:rsid w:val="59050C34"/>
    <w:rsid w:val="590E2035"/>
    <w:rsid w:val="597F109B"/>
    <w:rsid w:val="59802105"/>
    <w:rsid w:val="59822285"/>
    <w:rsid w:val="59995821"/>
    <w:rsid w:val="59C53F20"/>
    <w:rsid w:val="59E602F2"/>
    <w:rsid w:val="5A1520EE"/>
    <w:rsid w:val="5A2F534B"/>
    <w:rsid w:val="5A353E5F"/>
    <w:rsid w:val="5A427C66"/>
    <w:rsid w:val="5A4C4ADA"/>
    <w:rsid w:val="5A573777"/>
    <w:rsid w:val="5A581238"/>
    <w:rsid w:val="5A5C0D28"/>
    <w:rsid w:val="5A6A4DF9"/>
    <w:rsid w:val="5A7736A6"/>
    <w:rsid w:val="5A8F6180"/>
    <w:rsid w:val="5AA406DA"/>
    <w:rsid w:val="5AC566EC"/>
    <w:rsid w:val="5AC661A1"/>
    <w:rsid w:val="5AD32DE6"/>
    <w:rsid w:val="5B0967BA"/>
    <w:rsid w:val="5B293E8A"/>
    <w:rsid w:val="5B5B3952"/>
    <w:rsid w:val="5B6C6193"/>
    <w:rsid w:val="5BA20EFC"/>
    <w:rsid w:val="5C00495B"/>
    <w:rsid w:val="5C3459E5"/>
    <w:rsid w:val="5C694C47"/>
    <w:rsid w:val="5C764BE8"/>
    <w:rsid w:val="5C9D22EC"/>
    <w:rsid w:val="5CB14C2F"/>
    <w:rsid w:val="5CF52154"/>
    <w:rsid w:val="5CFF04F5"/>
    <w:rsid w:val="5D1B5452"/>
    <w:rsid w:val="5D271BA1"/>
    <w:rsid w:val="5D3C274B"/>
    <w:rsid w:val="5D732C67"/>
    <w:rsid w:val="5D9E2874"/>
    <w:rsid w:val="5DD10F72"/>
    <w:rsid w:val="5E476C97"/>
    <w:rsid w:val="5E5A37D0"/>
    <w:rsid w:val="5ECF2D50"/>
    <w:rsid w:val="5EF35ACE"/>
    <w:rsid w:val="5F1715AE"/>
    <w:rsid w:val="5F452821"/>
    <w:rsid w:val="5F5226F9"/>
    <w:rsid w:val="5FA62D78"/>
    <w:rsid w:val="5FD56C1C"/>
    <w:rsid w:val="60237BF2"/>
    <w:rsid w:val="602F3469"/>
    <w:rsid w:val="60333F2A"/>
    <w:rsid w:val="60435531"/>
    <w:rsid w:val="60653E1D"/>
    <w:rsid w:val="60846B5E"/>
    <w:rsid w:val="609A49D0"/>
    <w:rsid w:val="60AA6610"/>
    <w:rsid w:val="60DE44D7"/>
    <w:rsid w:val="610225D7"/>
    <w:rsid w:val="61276BF7"/>
    <w:rsid w:val="61313E7A"/>
    <w:rsid w:val="613C49C0"/>
    <w:rsid w:val="61706E67"/>
    <w:rsid w:val="618B3CA1"/>
    <w:rsid w:val="61B825BC"/>
    <w:rsid w:val="61B9080E"/>
    <w:rsid w:val="61BF5A10"/>
    <w:rsid w:val="61C27E7F"/>
    <w:rsid w:val="61E07661"/>
    <w:rsid w:val="61F061FA"/>
    <w:rsid w:val="61F31D39"/>
    <w:rsid w:val="627D68DD"/>
    <w:rsid w:val="62DF2E20"/>
    <w:rsid w:val="6302421E"/>
    <w:rsid w:val="630C0E11"/>
    <w:rsid w:val="630E10AB"/>
    <w:rsid w:val="63604CB9"/>
    <w:rsid w:val="637013A0"/>
    <w:rsid w:val="63A8400A"/>
    <w:rsid w:val="63E96D9A"/>
    <w:rsid w:val="641F397E"/>
    <w:rsid w:val="64392AB7"/>
    <w:rsid w:val="64595278"/>
    <w:rsid w:val="64651A12"/>
    <w:rsid w:val="64685ACB"/>
    <w:rsid w:val="646E5DD0"/>
    <w:rsid w:val="64713622"/>
    <w:rsid w:val="64DD334F"/>
    <w:rsid w:val="6528480F"/>
    <w:rsid w:val="655B3BA5"/>
    <w:rsid w:val="656767D3"/>
    <w:rsid w:val="656F179E"/>
    <w:rsid w:val="656F5551"/>
    <w:rsid w:val="65E54B0E"/>
    <w:rsid w:val="65F63EB7"/>
    <w:rsid w:val="66053B8A"/>
    <w:rsid w:val="66120EF8"/>
    <w:rsid w:val="664B1C51"/>
    <w:rsid w:val="666D44CC"/>
    <w:rsid w:val="66827441"/>
    <w:rsid w:val="66C92D72"/>
    <w:rsid w:val="66F4722E"/>
    <w:rsid w:val="673E3563"/>
    <w:rsid w:val="674A63AC"/>
    <w:rsid w:val="67544B35"/>
    <w:rsid w:val="67616669"/>
    <w:rsid w:val="677972F2"/>
    <w:rsid w:val="67851192"/>
    <w:rsid w:val="678B49FB"/>
    <w:rsid w:val="679269DE"/>
    <w:rsid w:val="679715F1"/>
    <w:rsid w:val="67DC5256"/>
    <w:rsid w:val="67F04208"/>
    <w:rsid w:val="681A3FD0"/>
    <w:rsid w:val="68580D75"/>
    <w:rsid w:val="68AE028A"/>
    <w:rsid w:val="68B30DC2"/>
    <w:rsid w:val="68D25E84"/>
    <w:rsid w:val="68E2305B"/>
    <w:rsid w:val="68EA5751"/>
    <w:rsid w:val="68FA032C"/>
    <w:rsid w:val="690952AC"/>
    <w:rsid w:val="69101C97"/>
    <w:rsid w:val="69310028"/>
    <w:rsid w:val="69745A21"/>
    <w:rsid w:val="698E07D2"/>
    <w:rsid w:val="69C935B8"/>
    <w:rsid w:val="6A1B0045"/>
    <w:rsid w:val="6A200310"/>
    <w:rsid w:val="6A281339"/>
    <w:rsid w:val="6A4A72ED"/>
    <w:rsid w:val="6A7774B8"/>
    <w:rsid w:val="6A935974"/>
    <w:rsid w:val="6AA71A18"/>
    <w:rsid w:val="6AA970EE"/>
    <w:rsid w:val="6ABB2E30"/>
    <w:rsid w:val="6B256B62"/>
    <w:rsid w:val="6BCE46D3"/>
    <w:rsid w:val="6BD757B0"/>
    <w:rsid w:val="6C103720"/>
    <w:rsid w:val="6C2C445E"/>
    <w:rsid w:val="6C305B70"/>
    <w:rsid w:val="6C322CE1"/>
    <w:rsid w:val="6CB078AA"/>
    <w:rsid w:val="6CDC2B9E"/>
    <w:rsid w:val="6D036804"/>
    <w:rsid w:val="6D5C70CF"/>
    <w:rsid w:val="6D67315E"/>
    <w:rsid w:val="6D997745"/>
    <w:rsid w:val="6DCA5B51"/>
    <w:rsid w:val="6DE309C1"/>
    <w:rsid w:val="6E163439"/>
    <w:rsid w:val="6E1D2124"/>
    <w:rsid w:val="6E8472F1"/>
    <w:rsid w:val="6EB01396"/>
    <w:rsid w:val="6EB760D5"/>
    <w:rsid w:val="6EBF3DAE"/>
    <w:rsid w:val="6F155778"/>
    <w:rsid w:val="6F20184F"/>
    <w:rsid w:val="6F470FDB"/>
    <w:rsid w:val="6F620865"/>
    <w:rsid w:val="6F681A8C"/>
    <w:rsid w:val="6F6F72B0"/>
    <w:rsid w:val="6F9BEFC1"/>
    <w:rsid w:val="6FCA008A"/>
    <w:rsid w:val="6FD36C4E"/>
    <w:rsid w:val="6FE00A2E"/>
    <w:rsid w:val="70124555"/>
    <w:rsid w:val="70231548"/>
    <w:rsid w:val="705524D9"/>
    <w:rsid w:val="70614BF5"/>
    <w:rsid w:val="706D5F02"/>
    <w:rsid w:val="709D7506"/>
    <w:rsid w:val="70C54A8C"/>
    <w:rsid w:val="710F2C02"/>
    <w:rsid w:val="710F616B"/>
    <w:rsid w:val="7128069F"/>
    <w:rsid w:val="712A7493"/>
    <w:rsid w:val="71310C33"/>
    <w:rsid w:val="719B18C1"/>
    <w:rsid w:val="71AB7A47"/>
    <w:rsid w:val="71B26BA1"/>
    <w:rsid w:val="71C457DC"/>
    <w:rsid w:val="71C95687"/>
    <w:rsid w:val="72334033"/>
    <w:rsid w:val="728E47BE"/>
    <w:rsid w:val="72EA3099"/>
    <w:rsid w:val="72FD0776"/>
    <w:rsid w:val="730269AB"/>
    <w:rsid w:val="732A63CA"/>
    <w:rsid w:val="733C129F"/>
    <w:rsid w:val="73473D9D"/>
    <w:rsid w:val="735267D3"/>
    <w:rsid w:val="73595032"/>
    <w:rsid w:val="738644A1"/>
    <w:rsid w:val="738D35E1"/>
    <w:rsid w:val="73A17354"/>
    <w:rsid w:val="73D72D76"/>
    <w:rsid w:val="73DF5A27"/>
    <w:rsid w:val="73F24357"/>
    <w:rsid w:val="73F45D18"/>
    <w:rsid w:val="74126ED8"/>
    <w:rsid w:val="743731B8"/>
    <w:rsid w:val="749A7EC0"/>
    <w:rsid w:val="74DF2278"/>
    <w:rsid w:val="74E67714"/>
    <w:rsid w:val="75126804"/>
    <w:rsid w:val="7523042C"/>
    <w:rsid w:val="757D5661"/>
    <w:rsid w:val="7592164A"/>
    <w:rsid w:val="759329F0"/>
    <w:rsid w:val="75BB5FF0"/>
    <w:rsid w:val="76197675"/>
    <w:rsid w:val="76350AA2"/>
    <w:rsid w:val="76636B42"/>
    <w:rsid w:val="76852F5D"/>
    <w:rsid w:val="768719C1"/>
    <w:rsid w:val="76E56041"/>
    <w:rsid w:val="76E95385"/>
    <w:rsid w:val="76EF1B9F"/>
    <w:rsid w:val="77147E3D"/>
    <w:rsid w:val="771F139C"/>
    <w:rsid w:val="775D19FB"/>
    <w:rsid w:val="778235CF"/>
    <w:rsid w:val="77870FDC"/>
    <w:rsid w:val="77954AC2"/>
    <w:rsid w:val="779C608A"/>
    <w:rsid w:val="77B70EF4"/>
    <w:rsid w:val="77D7332A"/>
    <w:rsid w:val="77EA751B"/>
    <w:rsid w:val="78203102"/>
    <w:rsid w:val="783439F0"/>
    <w:rsid w:val="78770683"/>
    <w:rsid w:val="78A4501A"/>
    <w:rsid w:val="78E327B4"/>
    <w:rsid w:val="790A3DEC"/>
    <w:rsid w:val="791F1E7C"/>
    <w:rsid w:val="79845EB0"/>
    <w:rsid w:val="798C015E"/>
    <w:rsid w:val="79B0209F"/>
    <w:rsid w:val="79B10C3C"/>
    <w:rsid w:val="79CF5CE1"/>
    <w:rsid w:val="79F93A46"/>
    <w:rsid w:val="7A09042E"/>
    <w:rsid w:val="7A0A33D5"/>
    <w:rsid w:val="7A817E28"/>
    <w:rsid w:val="7AD86872"/>
    <w:rsid w:val="7AE21594"/>
    <w:rsid w:val="7B15555C"/>
    <w:rsid w:val="7B5564A4"/>
    <w:rsid w:val="7B5C32EC"/>
    <w:rsid w:val="7BB4173B"/>
    <w:rsid w:val="7BC260B9"/>
    <w:rsid w:val="7BCA12AC"/>
    <w:rsid w:val="7BD66191"/>
    <w:rsid w:val="7C1C3373"/>
    <w:rsid w:val="7C484810"/>
    <w:rsid w:val="7C5F0C66"/>
    <w:rsid w:val="7CA02ABE"/>
    <w:rsid w:val="7CB60958"/>
    <w:rsid w:val="7D5D253D"/>
    <w:rsid w:val="7D6B7708"/>
    <w:rsid w:val="7D7D2CD9"/>
    <w:rsid w:val="7D9F4881"/>
    <w:rsid w:val="7DAB2E8A"/>
    <w:rsid w:val="7DBB50DE"/>
    <w:rsid w:val="7DC72F20"/>
    <w:rsid w:val="7E01736D"/>
    <w:rsid w:val="7E0B51A3"/>
    <w:rsid w:val="7E281858"/>
    <w:rsid w:val="7E410D6F"/>
    <w:rsid w:val="7E7975D1"/>
    <w:rsid w:val="7F0A2BB5"/>
    <w:rsid w:val="7F1B26B0"/>
    <w:rsid w:val="7F601546"/>
    <w:rsid w:val="7F686F0C"/>
    <w:rsid w:val="7FD3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3"/>
    <w:autoRedefine/>
    <w:qFormat/>
    <w:uiPriority w:val="1"/>
    <w:pPr>
      <w:tabs>
        <w:tab w:val="left" w:pos="903"/>
      </w:tabs>
      <w:autoSpaceDE w:val="0"/>
      <w:autoSpaceDN w:val="0"/>
      <w:spacing w:line="378" w:lineRule="exact"/>
      <w:jc w:val="left"/>
      <w:outlineLvl w:val="0"/>
    </w:pPr>
    <w:rPr>
      <w:rFonts w:ascii="黑体" w:hAnsi="黑体" w:eastAsia="黑体" w:cs="黑体"/>
      <w:kern w:val="0"/>
      <w:sz w:val="32"/>
      <w:szCs w:val="32"/>
      <w:lang w:val="zh-CN" w:bidi="zh-CN"/>
    </w:rPr>
  </w:style>
  <w:style w:type="paragraph" w:styleId="3">
    <w:name w:val="heading 2"/>
    <w:basedOn w:val="1"/>
    <w:next w:val="1"/>
    <w:link w:val="42"/>
    <w:autoRedefine/>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1"/>
    <w:pPr>
      <w:keepNext/>
      <w:keepLines/>
      <w:spacing w:before="260" w:after="260" w:line="416" w:lineRule="auto"/>
      <w:outlineLvl w:val="2"/>
    </w:pPr>
    <w:rPr>
      <w:b/>
      <w:bCs/>
      <w:sz w:val="32"/>
      <w:szCs w:val="32"/>
    </w:rPr>
  </w:style>
  <w:style w:type="paragraph" w:styleId="5">
    <w:name w:val="heading 4"/>
    <w:basedOn w:val="1"/>
    <w:next w:val="1"/>
    <w:link w:val="44"/>
    <w:autoRedefine/>
    <w:unhideWhenUsed/>
    <w:qFormat/>
    <w:uiPriority w:val="1"/>
    <w:pPr>
      <w:keepNext/>
      <w:keepLines/>
      <w:autoSpaceDE w:val="0"/>
      <w:autoSpaceDN w:val="0"/>
      <w:spacing w:before="280" w:after="290" w:line="376" w:lineRule="auto"/>
      <w:jc w:val="left"/>
      <w:outlineLvl w:val="3"/>
    </w:pPr>
    <w:rPr>
      <w:rFonts w:asciiTheme="majorHAnsi" w:hAnsiTheme="majorHAnsi" w:eastAsiaTheme="majorEastAsia" w:cstheme="majorBidi"/>
      <w:b/>
      <w:bCs/>
      <w:kern w:val="0"/>
      <w:sz w:val="28"/>
      <w:szCs w:val="28"/>
      <w:lang w:val="zh-CN" w:bidi="zh-CN"/>
    </w:rPr>
  </w:style>
  <w:style w:type="paragraph" w:styleId="6">
    <w:name w:val="heading 5"/>
    <w:basedOn w:val="1"/>
    <w:next w:val="1"/>
    <w:link w:val="59"/>
    <w:autoRedefine/>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等线" w:hAnsi="等线" w:eastAsia="等线" w:cs="Arial"/>
      <w:b/>
      <w:sz w:val="24"/>
      <w:szCs w:val="20"/>
    </w:rPr>
  </w:style>
  <w:style w:type="paragraph" w:styleId="8">
    <w:name w:val="caption"/>
    <w:basedOn w:val="1"/>
    <w:next w:val="1"/>
    <w:autoRedefine/>
    <w:semiHidden/>
    <w:unhideWhenUsed/>
    <w:qFormat/>
    <w:uiPriority w:val="0"/>
    <w:pPr>
      <w:jc w:val="center"/>
    </w:pPr>
    <w:rPr>
      <w:rFonts w:ascii="Times New Roman" w:hAnsi="Times New Roman" w:eastAsia="黑体"/>
    </w:rPr>
  </w:style>
  <w:style w:type="paragraph" w:styleId="9">
    <w:name w:val="Document Map"/>
    <w:basedOn w:val="1"/>
    <w:link w:val="49"/>
    <w:autoRedefine/>
    <w:unhideWhenUsed/>
    <w:qFormat/>
    <w:uiPriority w:val="99"/>
    <w:pPr>
      <w:autoSpaceDE w:val="0"/>
      <w:autoSpaceDN w:val="0"/>
      <w:jc w:val="left"/>
    </w:pPr>
    <w:rPr>
      <w:rFonts w:ascii="宋体" w:hAnsi="宋体" w:eastAsia="宋体" w:cs="宋体"/>
      <w:kern w:val="0"/>
      <w:sz w:val="24"/>
      <w:szCs w:val="24"/>
      <w:lang w:val="zh-CN" w:bidi="zh-CN"/>
    </w:rPr>
  </w:style>
  <w:style w:type="paragraph" w:styleId="10">
    <w:name w:val="annotation text"/>
    <w:basedOn w:val="1"/>
    <w:link w:val="46"/>
    <w:autoRedefine/>
    <w:unhideWhenUsed/>
    <w:qFormat/>
    <w:uiPriority w:val="0"/>
    <w:pPr>
      <w:autoSpaceDE w:val="0"/>
      <w:autoSpaceDN w:val="0"/>
      <w:jc w:val="left"/>
    </w:pPr>
    <w:rPr>
      <w:rFonts w:ascii="宋体" w:hAnsi="宋体" w:eastAsia="宋体" w:cs="宋体"/>
      <w:kern w:val="0"/>
      <w:sz w:val="22"/>
      <w:lang w:val="zh-CN" w:bidi="zh-CN"/>
    </w:rPr>
  </w:style>
  <w:style w:type="paragraph" w:styleId="11">
    <w:name w:val="Body Text"/>
    <w:basedOn w:val="1"/>
    <w:next w:val="1"/>
    <w:link w:val="45"/>
    <w:autoRedefine/>
    <w:qFormat/>
    <w:uiPriority w:val="1"/>
    <w:pPr>
      <w:autoSpaceDE w:val="0"/>
      <w:autoSpaceDN w:val="0"/>
      <w:ind w:left="618"/>
      <w:jc w:val="left"/>
    </w:pPr>
    <w:rPr>
      <w:rFonts w:ascii="宋体" w:hAnsi="宋体" w:eastAsia="宋体" w:cs="宋体"/>
      <w:kern w:val="0"/>
      <w:sz w:val="24"/>
      <w:szCs w:val="24"/>
      <w:lang w:val="zh-CN" w:bidi="zh-CN"/>
    </w:rPr>
  </w:style>
  <w:style w:type="paragraph" w:styleId="12">
    <w:name w:val="Body Text Indent"/>
    <w:basedOn w:val="1"/>
    <w:link w:val="60"/>
    <w:autoRedefine/>
    <w:semiHidden/>
    <w:unhideWhenUsed/>
    <w:qFormat/>
    <w:uiPriority w:val="99"/>
    <w:pPr>
      <w:spacing w:after="120"/>
      <w:ind w:left="420" w:leftChars="200"/>
    </w:pPr>
  </w:style>
  <w:style w:type="paragraph" w:styleId="13">
    <w:name w:val="index 4"/>
    <w:basedOn w:val="1"/>
    <w:next w:val="1"/>
    <w:autoRedefine/>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50"/>
    <w:autoRedefine/>
    <w:qFormat/>
    <w:uiPriority w:val="0"/>
    <w:rPr>
      <w:rFonts w:ascii="宋体" w:hAnsi="Courier New"/>
    </w:rPr>
  </w:style>
  <w:style w:type="paragraph" w:styleId="16">
    <w:name w:val="Body Text Indent 2"/>
    <w:basedOn w:val="1"/>
    <w:autoRedefine/>
    <w:unhideWhenUsed/>
    <w:qFormat/>
    <w:uiPriority w:val="0"/>
    <w:pPr>
      <w:spacing w:after="120" w:line="480" w:lineRule="auto"/>
      <w:ind w:left="420" w:leftChars="200"/>
    </w:pPr>
  </w:style>
  <w:style w:type="paragraph" w:styleId="17">
    <w:name w:val="Balloon Text"/>
    <w:basedOn w:val="1"/>
    <w:link w:val="52"/>
    <w:autoRedefine/>
    <w:unhideWhenUsed/>
    <w:qFormat/>
    <w:uiPriority w:val="99"/>
    <w:pPr>
      <w:autoSpaceDE w:val="0"/>
      <w:autoSpaceDN w:val="0"/>
      <w:jc w:val="left"/>
    </w:pPr>
    <w:rPr>
      <w:rFonts w:ascii="宋体" w:hAnsi="宋体" w:eastAsia="宋体" w:cs="宋体"/>
      <w:kern w:val="0"/>
      <w:sz w:val="18"/>
      <w:szCs w:val="18"/>
      <w:lang w:val="zh-CN" w:bidi="zh-CN"/>
    </w:rPr>
  </w:style>
  <w:style w:type="paragraph" w:styleId="18">
    <w:name w:val="footer"/>
    <w:basedOn w:val="1"/>
    <w:link w:val="53"/>
    <w:autoRedefine/>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19">
    <w:name w:val="envelope return"/>
    <w:basedOn w:val="1"/>
    <w:autoRedefine/>
    <w:unhideWhenUsed/>
    <w:qFormat/>
    <w:uiPriority w:val="99"/>
    <w:pPr>
      <w:snapToGrid w:val="0"/>
    </w:pPr>
    <w:rPr>
      <w:rFonts w:ascii="Cambria" w:hAnsi="Cambria" w:eastAsia="宋体" w:cs="Times New Roman"/>
    </w:rPr>
  </w:style>
  <w:style w:type="paragraph" w:styleId="20">
    <w:name w:val="header"/>
    <w:basedOn w:val="1"/>
    <w:link w:val="54"/>
    <w:autoRedefine/>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1">
    <w:name w:val="toc 1"/>
    <w:basedOn w:val="1"/>
    <w:next w:val="1"/>
    <w:autoRedefine/>
    <w:qFormat/>
    <w:uiPriority w:val="39"/>
    <w:pPr>
      <w:autoSpaceDE w:val="0"/>
      <w:autoSpaceDN w:val="0"/>
      <w:spacing w:before="866"/>
      <w:ind w:left="618"/>
      <w:jc w:val="left"/>
    </w:pPr>
    <w:rPr>
      <w:rFonts w:ascii="宋体" w:hAnsi="宋体" w:eastAsia="宋体" w:cs="宋体"/>
      <w:b/>
      <w:bCs/>
      <w:kern w:val="0"/>
      <w:sz w:val="24"/>
      <w:szCs w:val="24"/>
      <w:lang w:val="zh-CN" w:bidi="zh-CN"/>
    </w:rPr>
  </w:style>
  <w:style w:type="paragraph" w:styleId="22">
    <w:name w:val="index 7"/>
    <w:basedOn w:val="1"/>
    <w:next w:val="1"/>
    <w:autoRedefine/>
    <w:qFormat/>
    <w:uiPriority w:val="0"/>
    <w:pPr>
      <w:ind w:left="2520"/>
    </w:pPr>
  </w:style>
  <w:style w:type="paragraph" w:styleId="23">
    <w:name w:val="toc 2"/>
    <w:basedOn w:val="1"/>
    <w:next w:val="1"/>
    <w:autoRedefine/>
    <w:semiHidden/>
    <w:unhideWhenUsed/>
    <w:qFormat/>
    <w:uiPriority w:val="39"/>
    <w:pPr>
      <w:ind w:left="420" w:leftChars="200"/>
    </w:pPr>
  </w:style>
  <w:style w:type="paragraph" w:styleId="24">
    <w:name w:val="Body Text 2"/>
    <w:basedOn w:val="1"/>
    <w:autoRedefine/>
    <w:qFormat/>
    <w:uiPriority w:val="0"/>
    <w:pPr>
      <w:spacing w:line="360" w:lineRule="auto"/>
      <w:jc w:val="left"/>
    </w:pPr>
    <w:rPr>
      <w:i/>
      <w:color w:val="0000FF"/>
      <w:kern w:val="0"/>
      <w:szCs w:val="20"/>
    </w:rPr>
  </w:style>
  <w:style w:type="paragraph" w:styleId="25">
    <w:name w:val="Normal (Web)"/>
    <w:basedOn w:val="1"/>
    <w:autoRedefine/>
    <w:semiHidden/>
    <w:unhideWhenUsed/>
    <w:qFormat/>
    <w:uiPriority w:val="99"/>
    <w:pPr>
      <w:spacing w:beforeAutospacing="1" w:afterAutospacing="1"/>
      <w:jc w:val="left"/>
    </w:pPr>
    <w:rPr>
      <w:rFonts w:cs="Times New Roman"/>
      <w:kern w:val="0"/>
      <w:sz w:val="24"/>
    </w:rPr>
  </w:style>
  <w:style w:type="paragraph" w:styleId="26">
    <w:name w:val="annotation subject"/>
    <w:basedOn w:val="10"/>
    <w:next w:val="10"/>
    <w:link w:val="48"/>
    <w:autoRedefine/>
    <w:unhideWhenUsed/>
    <w:qFormat/>
    <w:uiPriority w:val="99"/>
    <w:pPr>
      <w:autoSpaceDE/>
      <w:autoSpaceDN/>
    </w:pPr>
    <w:rPr>
      <w:rFonts w:asciiTheme="minorHAnsi" w:hAnsiTheme="minorHAnsi" w:eastAsiaTheme="minorEastAsia" w:cstheme="minorBidi"/>
      <w:b/>
      <w:bCs/>
      <w:kern w:val="2"/>
      <w:sz w:val="21"/>
      <w:lang w:val="en-US" w:bidi="ar-SA"/>
    </w:rPr>
  </w:style>
  <w:style w:type="paragraph" w:styleId="27">
    <w:name w:val="Body Text First Indent"/>
    <w:basedOn w:val="11"/>
    <w:link w:val="62"/>
    <w:autoRedefine/>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paragraph" w:styleId="28">
    <w:name w:val="Body Text First Indent 2"/>
    <w:basedOn w:val="12"/>
    <w:link w:val="61"/>
    <w:autoRedefine/>
    <w:semiHidden/>
    <w:unhideWhenUsed/>
    <w:qFormat/>
    <w:uiPriority w:val="99"/>
    <w:pPr>
      <w:ind w:firstLine="420" w:firstLineChars="200"/>
    </w:pPr>
  </w:style>
  <w:style w:type="table" w:styleId="30">
    <w:name w:val="Table Grid"/>
    <w:basedOn w:val="29"/>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1"/>
    <w:autoRedefine/>
    <w:unhideWhenUsed/>
    <w:qFormat/>
    <w:uiPriority w:val="99"/>
    <w:rPr>
      <w:sz w:val="21"/>
      <w:szCs w:val="21"/>
    </w:rPr>
  </w:style>
  <w:style w:type="paragraph" w:customStyle="1" w:styleId="36">
    <w:name w:val="标题 11"/>
    <w:basedOn w:val="1"/>
    <w:next w:val="1"/>
    <w:qFormat/>
    <w:uiPriority w:val="0"/>
    <w:pPr>
      <w:keepNext/>
      <w:jc w:val="center"/>
      <w:outlineLvl w:val="0"/>
    </w:pPr>
    <w:rPr>
      <w:rFonts w:ascii="楷体_GB2312" w:eastAsia="楷体_GB2312"/>
      <w:sz w:val="28"/>
      <w:szCs w:val="28"/>
    </w:rPr>
  </w:style>
  <w:style w:type="paragraph" w:styleId="37">
    <w:name w:val="List Paragraph"/>
    <w:basedOn w:val="1"/>
    <w:autoRedefine/>
    <w:qFormat/>
    <w:uiPriority w:val="34"/>
    <w:pPr>
      <w:ind w:firstLine="420"/>
    </w:pPr>
  </w:style>
  <w:style w:type="paragraph" w:customStyle="1" w:styleId="3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首行缩进"/>
    <w:basedOn w:val="1"/>
    <w:autoRedefine/>
    <w:qFormat/>
    <w:uiPriority w:val="0"/>
    <w:pPr>
      <w:ind w:firstLine="480" w:firstLineChars="200"/>
    </w:pPr>
    <w:rPr>
      <w:rFonts w:ascii="Times New Roman" w:hAnsi="Times New Roman" w:eastAsia="宋体" w:cs="Times New Roman"/>
      <w:szCs w:val="20"/>
      <w:lang w:val="zh-CN"/>
    </w:rPr>
  </w:style>
  <w:style w:type="paragraph" w:customStyle="1" w:styleId="40">
    <w:name w:val="一级标题"/>
    <w:basedOn w:val="1"/>
    <w:autoRedefine/>
    <w:qFormat/>
    <w:uiPriority w:val="0"/>
    <w:pPr>
      <w:tabs>
        <w:tab w:val="left" w:pos="903"/>
      </w:tabs>
      <w:spacing w:line="360" w:lineRule="auto"/>
      <w:ind w:left="900" w:hanging="420"/>
    </w:pPr>
    <w:rPr>
      <w:rFonts w:ascii="Arial" w:hAnsi="Arial" w:cs="Arial"/>
      <w:sz w:val="24"/>
    </w:rPr>
  </w:style>
  <w:style w:type="character" w:customStyle="1" w:styleId="41">
    <w:name w:val="标题 1 Char"/>
    <w:basedOn w:val="31"/>
    <w:autoRedefine/>
    <w:qFormat/>
    <w:uiPriority w:val="1"/>
    <w:rPr>
      <w:rFonts w:ascii="黑体" w:hAnsi="黑体" w:eastAsia="黑体" w:cs="黑体"/>
      <w:kern w:val="0"/>
      <w:sz w:val="32"/>
      <w:szCs w:val="32"/>
      <w:lang w:val="zh-CN" w:bidi="zh-CN"/>
    </w:rPr>
  </w:style>
  <w:style w:type="character" w:customStyle="1" w:styleId="42">
    <w:name w:val="标题 2 Char"/>
    <w:basedOn w:val="31"/>
    <w:link w:val="3"/>
    <w:autoRedefine/>
    <w:qFormat/>
    <w:uiPriority w:val="1"/>
    <w:rPr>
      <w:rFonts w:asciiTheme="majorHAnsi" w:hAnsiTheme="majorHAnsi" w:eastAsiaTheme="majorEastAsia" w:cstheme="majorBidi"/>
      <w:b/>
      <w:bCs/>
      <w:sz w:val="32"/>
      <w:szCs w:val="32"/>
    </w:rPr>
  </w:style>
  <w:style w:type="character" w:customStyle="1" w:styleId="43">
    <w:name w:val="标题 3 Char"/>
    <w:basedOn w:val="31"/>
    <w:link w:val="4"/>
    <w:autoRedefine/>
    <w:qFormat/>
    <w:uiPriority w:val="1"/>
    <w:rPr>
      <w:b/>
      <w:bCs/>
      <w:sz w:val="32"/>
      <w:szCs w:val="32"/>
    </w:rPr>
  </w:style>
  <w:style w:type="character" w:customStyle="1" w:styleId="44">
    <w:name w:val="标题 4 Char"/>
    <w:basedOn w:val="31"/>
    <w:link w:val="5"/>
    <w:autoRedefine/>
    <w:qFormat/>
    <w:uiPriority w:val="1"/>
    <w:rPr>
      <w:rFonts w:asciiTheme="majorHAnsi" w:hAnsiTheme="majorHAnsi" w:eastAsiaTheme="majorEastAsia" w:cstheme="majorBidi"/>
      <w:b/>
      <w:bCs/>
      <w:kern w:val="0"/>
      <w:sz w:val="28"/>
      <w:szCs w:val="28"/>
      <w:lang w:val="zh-CN" w:bidi="zh-CN"/>
    </w:rPr>
  </w:style>
  <w:style w:type="character" w:customStyle="1" w:styleId="45">
    <w:name w:val="正文文本 Char"/>
    <w:basedOn w:val="31"/>
    <w:link w:val="11"/>
    <w:autoRedefine/>
    <w:qFormat/>
    <w:uiPriority w:val="1"/>
    <w:rPr>
      <w:rFonts w:ascii="宋体" w:hAnsi="宋体" w:eastAsia="宋体" w:cs="宋体"/>
      <w:kern w:val="0"/>
      <w:sz w:val="24"/>
      <w:szCs w:val="24"/>
      <w:lang w:val="zh-CN" w:bidi="zh-CN"/>
    </w:rPr>
  </w:style>
  <w:style w:type="character" w:customStyle="1" w:styleId="46">
    <w:name w:val="批注文字 Char"/>
    <w:basedOn w:val="31"/>
    <w:link w:val="10"/>
    <w:autoRedefine/>
    <w:semiHidden/>
    <w:qFormat/>
    <w:uiPriority w:val="99"/>
    <w:rPr>
      <w:rFonts w:ascii="宋体" w:hAnsi="宋体" w:eastAsia="宋体" w:cs="宋体"/>
      <w:kern w:val="0"/>
      <w:sz w:val="22"/>
      <w:lang w:val="zh-CN" w:bidi="zh-CN"/>
    </w:rPr>
  </w:style>
  <w:style w:type="paragraph" w:customStyle="1" w:styleId="47">
    <w:name w:val="列出段落1"/>
    <w:basedOn w:val="1"/>
    <w:autoRedefine/>
    <w:qFormat/>
    <w:uiPriority w:val="1"/>
    <w:pPr>
      <w:autoSpaceDE w:val="0"/>
      <w:autoSpaceDN w:val="0"/>
      <w:ind w:left="618" w:firstLine="240"/>
      <w:jc w:val="left"/>
    </w:pPr>
    <w:rPr>
      <w:rFonts w:ascii="宋体" w:hAnsi="宋体" w:eastAsia="宋体" w:cs="宋体"/>
      <w:kern w:val="0"/>
      <w:sz w:val="22"/>
      <w:lang w:val="zh-CN" w:bidi="zh-CN"/>
    </w:rPr>
  </w:style>
  <w:style w:type="character" w:customStyle="1" w:styleId="48">
    <w:name w:val="批注主题 Char"/>
    <w:basedOn w:val="46"/>
    <w:link w:val="26"/>
    <w:autoRedefine/>
    <w:semiHidden/>
    <w:qFormat/>
    <w:uiPriority w:val="99"/>
    <w:rPr>
      <w:rFonts w:ascii="宋体" w:hAnsi="宋体" w:eastAsia="宋体" w:cs="宋体"/>
      <w:b/>
      <w:bCs/>
      <w:kern w:val="0"/>
      <w:sz w:val="22"/>
      <w:lang w:val="zh-CN" w:bidi="zh-CN"/>
    </w:rPr>
  </w:style>
  <w:style w:type="character" w:customStyle="1" w:styleId="49">
    <w:name w:val="文档结构图 Char"/>
    <w:basedOn w:val="31"/>
    <w:link w:val="9"/>
    <w:autoRedefine/>
    <w:semiHidden/>
    <w:qFormat/>
    <w:uiPriority w:val="99"/>
    <w:rPr>
      <w:rFonts w:ascii="宋体" w:hAnsi="宋体" w:eastAsia="宋体" w:cs="宋体"/>
      <w:kern w:val="0"/>
      <w:sz w:val="24"/>
      <w:szCs w:val="24"/>
      <w:lang w:val="zh-CN" w:bidi="zh-CN"/>
    </w:rPr>
  </w:style>
  <w:style w:type="character" w:customStyle="1" w:styleId="50">
    <w:name w:val="纯文本 Char"/>
    <w:basedOn w:val="31"/>
    <w:link w:val="15"/>
    <w:autoRedefine/>
    <w:qFormat/>
    <w:uiPriority w:val="0"/>
    <w:rPr>
      <w:rFonts w:ascii="宋体" w:hAnsi="Courier New"/>
    </w:rPr>
  </w:style>
  <w:style w:type="character" w:customStyle="1" w:styleId="51">
    <w:name w:val="纯文本 字符"/>
    <w:basedOn w:val="31"/>
    <w:autoRedefine/>
    <w:semiHidden/>
    <w:qFormat/>
    <w:uiPriority w:val="99"/>
    <w:rPr>
      <w:rFonts w:hAnsi="Courier New" w:cs="Courier New" w:asciiTheme="minorEastAsia"/>
    </w:rPr>
  </w:style>
  <w:style w:type="character" w:customStyle="1" w:styleId="52">
    <w:name w:val="批注框文本 Char"/>
    <w:basedOn w:val="31"/>
    <w:link w:val="17"/>
    <w:autoRedefine/>
    <w:semiHidden/>
    <w:qFormat/>
    <w:uiPriority w:val="99"/>
    <w:rPr>
      <w:rFonts w:ascii="宋体" w:hAnsi="宋体" w:eastAsia="宋体" w:cs="宋体"/>
      <w:kern w:val="0"/>
      <w:sz w:val="18"/>
      <w:szCs w:val="18"/>
      <w:lang w:val="zh-CN" w:bidi="zh-CN"/>
    </w:rPr>
  </w:style>
  <w:style w:type="character" w:customStyle="1" w:styleId="53">
    <w:name w:val="页脚 Char"/>
    <w:basedOn w:val="31"/>
    <w:link w:val="18"/>
    <w:autoRedefine/>
    <w:qFormat/>
    <w:uiPriority w:val="99"/>
    <w:rPr>
      <w:rFonts w:ascii="宋体" w:hAnsi="宋体" w:eastAsia="宋体" w:cs="宋体"/>
      <w:kern w:val="0"/>
      <w:sz w:val="18"/>
      <w:szCs w:val="18"/>
      <w:lang w:val="zh-CN" w:bidi="zh-CN"/>
    </w:rPr>
  </w:style>
  <w:style w:type="character" w:customStyle="1" w:styleId="54">
    <w:name w:val="页眉 Char"/>
    <w:basedOn w:val="31"/>
    <w:link w:val="20"/>
    <w:autoRedefine/>
    <w:qFormat/>
    <w:uiPriority w:val="99"/>
    <w:rPr>
      <w:rFonts w:ascii="宋体" w:hAnsi="宋体" w:eastAsia="宋体" w:cs="宋体"/>
      <w:kern w:val="0"/>
      <w:sz w:val="18"/>
      <w:szCs w:val="18"/>
      <w:lang w:val="zh-CN" w:bidi="zh-CN"/>
    </w:rPr>
  </w:style>
  <w:style w:type="paragraph" w:customStyle="1" w:styleId="55">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56">
    <w:name w:val="列出段落11"/>
    <w:basedOn w:val="1"/>
    <w:autoRedefine/>
    <w:qFormat/>
    <w:uiPriority w:val="0"/>
    <w:pPr>
      <w:widowControl/>
      <w:autoSpaceDE w:val="0"/>
      <w:autoSpaceDN w:val="0"/>
      <w:ind w:left="720"/>
      <w:contextualSpacing/>
      <w:jc w:val="left"/>
    </w:pPr>
    <w:rPr>
      <w:rFonts w:ascii="Arial" w:hAnsi="Arial" w:eastAsia="黑体" w:cs="宋体"/>
      <w:kern w:val="0"/>
      <w:sz w:val="24"/>
      <w:szCs w:val="24"/>
      <w:lang w:val="zh-CN" w:eastAsia="en-US" w:bidi="zh-CN"/>
    </w:rPr>
  </w:style>
  <w:style w:type="paragraph" w:customStyle="1" w:styleId="57">
    <w:name w:val="正文_2_62"/>
    <w:basedOn w:val="1"/>
    <w:autoRedefine/>
    <w:qFormat/>
    <w:uiPriority w:val="0"/>
    <w:pPr>
      <w:autoSpaceDE w:val="0"/>
      <w:autoSpaceDN w:val="0"/>
      <w:jc w:val="left"/>
    </w:pPr>
    <w:rPr>
      <w:rFonts w:ascii="Times New Roman" w:hAnsi="Times New Roman" w:eastAsia="宋体" w:cs="Times New Roman"/>
      <w:kern w:val="0"/>
      <w:sz w:val="22"/>
      <w:szCs w:val="21"/>
      <w:lang w:val="zh-CN" w:bidi="zh-CN"/>
    </w:rPr>
  </w:style>
  <w:style w:type="character" w:customStyle="1" w:styleId="58">
    <w:name w:val="未处理的提及1"/>
    <w:basedOn w:val="31"/>
    <w:autoRedefine/>
    <w:unhideWhenUsed/>
    <w:qFormat/>
    <w:uiPriority w:val="99"/>
    <w:rPr>
      <w:color w:val="605E5C"/>
      <w:shd w:val="clear" w:color="auto" w:fill="E1DFDD"/>
    </w:rPr>
  </w:style>
  <w:style w:type="character" w:customStyle="1" w:styleId="59">
    <w:name w:val="标题 5 Char"/>
    <w:basedOn w:val="31"/>
    <w:link w:val="6"/>
    <w:autoRedefine/>
    <w:semiHidden/>
    <w:qFormat/>
    <w:uiPriority w:val="9"/>
    <w:rPr>
      <w:b/>
      <w:bCs/>
      <w:kern w:val="2"/>
      <w:sz w:val="28"/>
      <w:szCs w:val="28"/>
    </w:rPr>
  </w:style>
  <w:style w:type="character" w:customStyle="1" w:styleId="60">
    <w:name w:val="正文文本缩进 Char"/>
    <w:basedOn w:val="31"/>
    <w:link w:val="12"/>
    <w:autoRedefine/>
    <w:semiHidden/>
    <w:qFormat/>
    <w:uiPriority w:val="99"/>
    <w:rPr>
      <w:kern w:val="2"/>
      <w:sz w:val="21"/>
      <w:szCs w:val="22"/>
    </w:rPr>
  </w:style>
  <w:style w:type="character" w:customStyle="1" w:styleId="61">
    <w:name w:val="正文首行缩进 2 Char"/>
    <w:basedOn w:val="60"/>
    <w:link w:val="28"/>
    <w:autoRedefine/>
    <w:semiHidden/>
    <w:qFormat/>
    <w:uiPriority w:val="99"/>
    <w:rPr>
      <w:kern w:val="2"/>
      <w:sz w:val="21"/>
      <w:szCs w:val="22"/>
    </w:rPr>
  </w:style>
  <w:style w:type="character" w:customStyle="1" w:styleId="62">
    <w:name w:val="正文首行缩进 Char"/>
    <w:basedOn w:val="45"/>
    <w:link w:val="27"/>
    <w:autoRedefine/>
    <w:qFormat/>
    <w:uiPriority w:val="99"/>
    <w:rPr>
      <w:rFonts w:ascii="宋体" w:hAnsi="宋体" w:eastAsia="宋体" w:cs="宋体"/>
      <w:kern w:val="2"/>
      <w:sz w:val="21"/>
      <w:szCs w:val="22"/>
      <w:lang w:val="zh-CN" w:bidi="zh-CN"/>
    </w:rPr>
  </w:style>
  <w:style w:type="paragraph" w:customStyle="1" w:styleId="63">
    <w:name w:val="H正文"/>
    <w:basedOn w:val="64"/>
    <w:autoRedefine/>
    <w:qFormat/>
    <w:uiPriority w:val="0"/>
  </w:style>
  <w:style w:type="paragraph" w:customStyle="1" w:styleId="64">
    <w:name w:val="标题-正文"/>
    <w:basedOn w:val="1"/>
    <w:autoRedefine/>
    <w:qFormat/>
    <w:uiPriority w:val="7"/>
    <w:pPr>
      <w:spacing w:before="60" w:after="60" w:line="360" w:lineRule="auto"/>
      <w:ind w:firstLine="480" w:firstLineChars="200"/>
    </w:pPr>
    <w:rPr>
      <w:rFonts w:ascii="Times New Roman" w:hAnsi="Times New Roman" w:eastAsia="宋体"/>
      <w:sz w:val="24"/>
      <w:szCs w:val="24"/>
    </w:rPr>
  </w:style>
  <w:style w:type="paragraph" w:customStyle="1" w:styleId="65">
    <w:name w:val="章标题"/>
    <w:next w:val="66"/>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6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7">
    <w:name w:val="NormalCharacter"/>
    <w:autoRedefine/>
    <w:semiHidden/>
    <w:qFormat/>
    <w:uiPriority w:val="0"/>
  </w:style>
  <w:style w:type="paragraph" w:customStyle="1" w:styleId="68">
    <w:name w:val="11"/>
    <w:next w:val="12"/>
    <w:autoRedefine/>
    <w:qFormat/>
    <w:uiPriority w:val="0"/>
    <w:pPr>
      <w:widowControl w:val="0"/>
      <w:ind w:firstLine="538" w:firstLineChars="192"/>
      <w:jc w:val="both"/>
    </w:pPr>
    <w:rPr>
      <w:rFonts w:ascii="宋体" w:hAnsi="宋体" w:eastAsia="宋体" w:cs="Times New Roman"/>
      <w:color w:val="000000"/>
      <w:kern w:val="20"/>
      <w:sz w:val="28"/>
      <w:szCs w:val="21"/>
      <w:lang w:val="en-US" w:eastAsia="zh-CN" w:bidi="ar-SA"/>
    </w:rPr>
  </w:style>
  <w:style w:type="paragraph" w:customStyle="1" w:styleId="69">
    <w:name w:val="WPSOffice手动目录 1"/>
    <w:autoRedefine/>
    <w:qFormat/>
    <w:uiPriority w:val="0"/>
    <w:rPr>
      <w:rFonts w:ascii="Times New Roman" w:hAnsi="Times New Roman" w:eastAsia="宋体" w:cs="Times New Roman"/>
      <w:lang w:val="en-US" w:eastAsia="zh-CN" w:bidi="ar-SA"/>
    </w:rPr>
  </w:style>
  <w:style w:type="paragraph" w:customStyle="1" w:styleId="70">
    <w:name w:val="样式 首行缩进:  0 字符"/>
    <w:basedOn w:val="1"/>
    <w:autoRedefine/>
    <w:qFormat/>
    <w:uiPriority w:val="0"/>
  </w:style>
  <w:style w:type="character" w:customStyle="1" w:styleId="71">
    <w:name w:val="font41"/>
    <w:autoRedefine/>
    <w:qFormat/>
    <w:uiPriority w:val="0"/>
    <w:rPr>
      <w:rFonts w:hint="eastAsia" w:ascii="仿宋" w:hAnsi="仿宋" w:eastAsia="仿宋" w:cs="仿宋"/>
      <w:color w:val="FF0000"/>
      <w:sz w:val="21"/>
      <w:szCs w:val="21"/>
      <w:u w:val="none"/>
    </w:rPr>
  </w:style>
  <w:style w:type="character" w:customStyle="1" w:styleId="72">
    <w:name w:val="font21"/>
    <w:basedOn w:val="31"/>
    <w:autoRedefine/>
    <w:qFormat/>
    <w:uiPriority w:val="0"/>
    <w:rPr>
      <w:rFonts w:hint="eastAsia" w:ascii="宋体" w:hAnsi="宋体" w:eastAsia="宋体" w:cs="宋体"/>
      <w:color w:val="000000"/>
      <w:sz w:val="22"/>
      <w:szCs w:val="22"/>
      <w:u w:val="none"/>
    </w:rPr>
  </w:style>
  <w:style w:type="character" w:customStyle="1" w:styleId="73">
    <w:name w:val="font31"/>
    <w:basedOn w:val="31"/>
    <w:autoRedefine/>
    <w:qFormat/>
    <w:uiPriority w:val="0"/>
    <w:rPr>
      <w:rFonts w:hint="eastAsia" w:ascii="宋体" w:hAnsi="宋体" w:eastAsia="宋体" w:cs="宋体"/>
      <w:color w:val="000000"/>
      <w:sz w:val="20"/>
      <w:szCs w:val="20"/>
      <w:u w:val="none"/>
      <w:vertAlign w:val="superscript"/>
    </w:rPr>
  </w:style>
  <w:style w:type="character" w:customStyle="1" w:styleId="74">
    <w:name w:val="font11"/>
    <w:basedOn w:val="31"/>
    <w:autoRedefine/>
    <w:qFormat/>
    <w:uiPriority w:val="0"/>
    <w:rPr>
      <w:rFonts w:hint="eastAsia" w:ascii="宋体" w:hAnsi="宋体" w:eastAsia="宋体" w:cs="宋体"/>
      <w:color w:val="000000"/>
      <w:sz w:val="20"/>
      <w:szCs w:val="20"/>
      <w:u w:val="none"/>
      <w:vertAlign w:val="superscript"/>
    </w:rPr>
  </w:style>
  <w:style w:type="character" w:customStyle="1" w:styleId="75">
    <w:name w:val="font91"/>
    <w:basedOn w:val="31"/>
    <w:autoRedefine/>
    <w:qFormat/>
    <w:uiPriority w:val="0"/>
    <w:rPr>
      <w:rFonts w:hint="default" w:ascii="Arial" w:hAnsi="Arial" w:cs="Arial"/>
      <w:color w:val="000000"/>
      <w:sz w:val="20"/>
      <w:szCs w:val="20"/>
      <w:u w:val="none"/>
    </w:rPr>
  </w:style>
  <w:style w:type="character" w:customStyle="1" w:styleId="76">
    <w:name w:val="font121"/>
    <w:basedOn w:val="31"/>
    <w:autoRedefine/>
    <w:qFormat/>
    <w:uiPriority w:val="0"/>
    <w:rPr>
      <w:rFonts w:hint="eastAsia" w:ascii="宋体" w:hAnsi="宋体" w:eastAsia="宋体" w:cs="宋体"/>
      <w:color w:val="000000"/>
      <w:sz w:val="16"/>
      <w:szCs w:val="16"/>
      <w:u w:val="none"/>
    </w:rPr>
  </w:style>
  <w:style w:type="character" w:customStyle="1" w:styleId="77">
    <w:name w:val="font51"/>
    <w:basedOn w:val="31"/>
    <w:autoRedefine/>
    <w:qFormat/>
    <w:uiPriority w:val="0"/>
    <w:rPr>
      <w:rFonts w:hint="eastAsia" w:ascii="宋体" w:hAnsi="宋体" w:eastAsia="宋体" w:cs="宋体"/>
      <w:color w:val="000000"/>
      <w:sz w:val="20"/>
      <w:szCs w:val="20"/>
      <w:u w:val="none"/>
    </w:rPr>
  </w:style>
  <w:style w:type="paragraph" w:customStyle="1" w:styleId="78">
    <w:name w:val="正文_0_1"/>
    <w:autoRedefine/>
    <w:qFormat/>
    <w:uiPriority w:val="0"/>
    <w:pPr>
      <w:widowControl w:val="0"/>
      <w:jc w:val="both"/>
    </w:pPr>
    <w:rPr>
      <w:rFonts w:ascii="Times New Roman" w:hAnsi="Times New Roman" w:eastAsia="宋体" w:cs="Times New Roman"/>
      <w:szCs w:val="24"/>
      <w:lang w:val="en-US" w:eastAsia="zh-CN" w:bidi="ar-SA"/>
    </w:rPr>
  </w:style>
  <w:style w:type="table" w:customStyle="1" w:styleId="79">
    <w:name w:val="Table Normal"/>
    <w:autoRedefine/>
    <w:semiHidden/>
    <w:unhideWhenUsed/>
    <w:qFormat/>
    <w:uiPriority w:val="0"/>
    <w:tblPr>
      <w:tblCellMar>
        <w:top w:w="0" w:type="dxa"/>
        <w:left w:w="0" w:type="dxa"/>
        <w:bottom w:w="0" w:type="dxa"/>
        <w:right w:w="0" w:type="dxa"/>
      </w:tblCellMar>
    </w:tblPr>
  </w:style>
  <w:style w:type="character" w:customStyle="1" w:styleId="80">
    <w:name w:val="font101"/>
    <w:basedOn w:val="31"/>
    <w:autoRedefine/>
    <w:qFormat/>
    <w:uiPriority w:val="0"/>
    <w:rPr>
      <w:rFonts w:hint="eastAsia" w:ascii="宋体" w:hAnsi="宋体" w:eastAsia="宋体" w:cs="宋体"/>
      <w:color w:val="000000"/>
      <w:sz w:val="20"/>
      <w:szCs w:val="20"/>
      <w:u w:val="none"/>
    </w:rPr>
  </w:style>
  <w:style w:type="character" w:customStyle="1" w:styleId="81">
    <w:name w:val="font81"/>
    <w:basedOn w:val="31"/>
    <w:autoRedefine/>
    <w:qFormat/>
    <w:uiPriority w:val="0"/>
    <w:rPr>
      <w:rFonts w:hint="eastAsia" w:ascii="宋体" w:hAnsi="宋体" w:eastAsia="宋体" w:cs="宋体"/>
      <w:color w:val="FF0000"/>
      <w:sz w:val="20"/>
      <w:szCs w:val="20"/>
      <w:u w:val="none"/>
    </w:rPr>
  </w:style>
  <w:style w:type="paragraph" w:customStyle="1" w:styleId="82">
    <w:name w:val="UserStyle_327"/>
    <w:autoRedefine/>
    <w:qFormat/>
    <w:uiPriority w:val="0"/>
    <w:pPr>
      <w:textAlignment w:val="baseline"/>
    </w:pPr>
    <w:rPr>
      <w:rFonts w:ascii="宋体" w:hAnsi="Calibri" w:eastAsia="宋体" w:cs="Times New Roman"/>
      <w:color w:val="000000"/>
      <w:sz w:val="24"/>
      <w:szCs w:val="24"/>
      <w:lang w:val="en-US" w:eastAsia="zh-CN" w:bidi="ar-SA"/>
    </w:rPr>
  </w:style>
  <w:style w:type="character" w:customStyle="1" w:styleId="83">
    <w:name w:val="标题 1 Char1"/>
    <w:link w:val="2"/>
    <w:autoRedefine/>
    <w:qFormat/>
    <w:uiPriority w:val="99"/>
    <w:rPr>
      <w:rFonts w:ascii="黑体" w:hAnsi="黑体" w:eastAsia="黑体"/>
      <w:sz w:val="72"/>
      <w:szCs w:val="72"/>
    </w:rPr>
  </w:style>
  <w:style w:type="paragraph" w:customStyle="1" w:styleId="84">
    <w:name w:val="表格文字"/>
    <w:basedOn w:val="8"/>
    <w:autoRedefine/>
    <w:qFormat/>
    <w:uiPriority w:val="0"/>
    <w:pPr>
      <w:spacing w:line="360" w:lineRule="exact"/>
    </w:pPr>
    <w:rPr>
      <w:rFonts w:eastAsia="宋体"/>
    </w:rPr>
  </w:style>
  <w:style w:type="paragraph" w:customStyle="1" w:styleId="85">
    <w:name w:val="Heading4"/>
    <w:basedOn w:val="1"/>
    <w:next w:val="1"/>
    <w:autoRedefine/>
    <w:qFormat/>
    <w:uiPriority w:val="0"/>
    <w:pPr>
      <w:keepNext/>
      <w:keepLines/>
      <w:spacing w:before="120" w:after="120"/>
    </w:pPr>
    <w:rPr>
      <w:rFonts w:ascii="Arial" w:hAnsi="Arial" w:eastAsia="黑体"/>
      <w:b/>
      <w:sz w:val="28"/>
    </w:rPr>
  </w:style>
  <w:style w:type="paragraph" w:customStyle="1" w:styleId="86">
    <w:name w:val="_Style 4"/>
    <w:basedOn w:val="1"/>
    <w:next w:val="37"/>
    <w:autoRedefine/>
    <w:qFormat/>
    <w:uiPriority w:val="0"/>
    <w:pPr>
      <w:ind w:firstLine="420" w:firstLineChars="200"/>
    </w:pPr>
    <w:rPr>
      <w:szCs w:val="24"/>
      <w:lang w:val="zh-CN"/>
    </w:rPr>
  </w:style>
  <w:style w:type="character" w:customStyle="1" w:styleId="87">
    <w:name w:val="bot_zi"/>
    <w:autoRedefine/>
    <w:qFormat/>
    <w:uiPriority w:val="0"/>
  </w:style>
  <w:style w:type="paragraph" w:customStyle="1" w:styleId="88">
    <w:name w:val="样式 宋体 小四 行距: 1.5 倍行距 首行缩进:  2 字符"/>
    <w:basedOn w:val="1"/>
    <w:qFormat/>
    <w:uiPriority w:val="0"/>
    <w:pPr>
      <w:ind w:firstLine="480" w:firstLineChars="200"/>
    </w:pPr>
    <w:rPr>
      <w:rFonts w:hAnsi="宋体" w:eastAsia="Times New Roman" w:cs="宋体"/>
      <w:kern w:val="0"/>
      <w:sz w:val="24"/>
    </w:rPr>
  </w:style>
  <w:style w:type="paragraph" w:customStyle="1" w:styleId="89">
    <w:name w:val="无间隔11"/>
    <w:qFormat/>
    <w:uiPriority w:val="0"/>
    <w:rPr>
      <w:rFonts w:ascii="Times New Roman" w:hAnsi="Times New Roman" w:eastAsia="宋体" w:cs="Times New Roman"/>
      <w:sz w:val="22"/>
      <w:szCs w:val="22"/>
      <w:lang w:val="en-US" w:eastAsia="en-US" w:bidi="en-US"/>
    </w:rPr>
  </w:style>
  <w:style w:type="table" w:customStyle="1" w:styleId="90">
    <w:name w:val="网格型1"/>
    <w:basedOn w:val="2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58</Pages>
  <Words>20515</Words>
  <Characters>21546</Characters>
  <Lines>257</Lines>
  <Paragraphs>72</Paragraphs>
  <TotalTime>12</TotalTime>
  <ScaleCrop>false</ScaleCrop>
  <LinksUpToDate>false</LinksUpToDate>
  <CharactersWithSpaces>21808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2024-12-20T09:09:00Z</dcterms:created>
  <dc:creator>34617</dc:creator>
  <cp:lastModifiedBy>‭</cp:lastModifiedBy>
  <cp:lastPrinted>2024-12-31T01:05:40Z</cp:lastPrinted>
  <dcterms:modified xsi:type="dcterms:W3CDTF">2024-12-31T03:18:27Z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7768B988E8164993B58B87920FD92578_13</vt:lpwstr>
  </property>
  <property fmtid="{D5CDD505-2E9C-101B-9397-08002B2CF9AE}" pid="4" name="KSOTemplateDocerSaveRecord">
    <vt:lpwstr>eyJoZGlkIjoiYjU0YTJiZmYwMjEzMDc0NmIzYjI2ZGVkMDc5NzdhOTkiLCJ1c2VySWQiOiIxNTE4MjU5MDIxIn0=</vt:lpwstr>
  </property>
</Properties>
</file>