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B5771">
      <w:pPr>
        <w:ind w:firstLine="420"/>
        <w:jc w:val="center"/>
        <w:rPr>
          <w:rFonts w:hint="eastAsia" w:ascii="宋体" w:hAnsi="宋体" w:cs="宋体"/>
          <w:b/>
          <w:color w:val="auto"/>
          <w:sz w:val="84"/>
          <w:szCs w:val="84"/>
          <w:highlight w:val="none"/>
          <w:lang w:val="en-GB"/>
        </w:rPr>
      </w:pPr>
      <w:bookmarkStart w:id="0" w:name="_Hlt460313659"/>
      <w:bookmarkEnd w:id="0"/>
      <w:bookmarkStart w:id="1" w:name="_Hlt460313661"/>
      <w:bookmarkEnd w:id="1"/>
    </w:p>
    <w:p w14:paraId="52FFB9CA">
      <w:pPr>
        <w:jc w:val="center"/>
        <w:outlineLvl w:val="0"/>
        <w:rPr>
          <w:rFonts w:hint="eastAsia" w:ascii="宋体" w:hAnsi="宋体" w:cs="宋体"/>
          <w:color w:val="auto"/>
          <w:sz w:val="84"/>
          <w:szCs w:val="84"/>
          <w:highlight w:val="none"/>
        </w:rPr>
      </w:pPr>
      <w:bookmarkStart w:id="2" w:name="_Toc4815"/>
      <w:r>
        <w:rPr>
          <w:rFonts w:hint="eastAsia" w:ascii="黑体" w:hAnsi="宋体" w:eastAsia="黑体"/>
          <w:color w:val="auto"/>
          <w:sz w:val="84"/>
          <w:szCs w:val="84"/>
          <w:highlight w:val="none"/>
        </w:rPr>
        <w:t>竞争性磋商文件</w:t>
      </w:r>
      <w:bookmarkEnd w:id="2"/>
    </w:p>
    <w:p w14:paraId="0E3AF1D0">
      <w:pPr>
        <w:rPr>
          <w:rFonts w:hint="eastAsia" w:ascii="宋体" w:hAnsi="宋体" w:cs="宋体"/>
          <w:color w:val="auto"/>
          <w:sz w:val="32"/>
          <w:highlight w:val="none"/>
        </w:rPr>
      </w:pPr>
    </w:p>
    <w:p w14:paraId="73CBAA15">
      <w:pPr>
        <w:ind w:firstLine="1760" w:firstLineChars="400"/>
        <w:rPr>
          <w:rFonts w:hint="eastAsia" w:ascii="宋体" w:hAnsi="宋体" w:cs="宋体"/>
          <w:color w:val="auto"/>
          <w:sz w:val="44"/>
          <w:highlight w:val="none"/>
        </w:rPr>
      </w:pPr>
    </w:p>
    <w:p w14:paraId="01F7C06B">
      <w:pPr>
        <w:ind w:firstLine="1760" w:firstLineChars="400"/>
        <w:rPr>
          <w:rFonts w:hint="eastAsia" w:ascii="宋体" w:hAnsi="宋体" w:cs="宋体"/>
          <w:color w:val="auto"/>
          <w:sz w:val="44"/>
          <w:highlight w:val="none"/>
        </w:rPr>
      </w:pPr>
    </w:p>
    <w:p w14:paraId="38D8E442">
      <w:pPr>
        <w:ind w:firstLine="1760" w:firstLineChars="400"/>
        <w:rPr>
          <w:rFonts w:hint="eastAsia" w:ascii="宋体" w:hAnsi="宋体" w:cs="宋体"/>
          <w:color w:val="auto"/>
          <w:sz w:val="44"/>
          <w:highlight w:val="none"/>
        </w:rPr>
      </w:pPr>
    </w:p>
    <w:p w14:paraId="010FDBF0">
      <w:pPr>
        <w:spacing w:line="480" w:lineRule="auto"/>
        <w:ind w:firstLine="420"/>
        <w:rPr>
          <w:rFonts w:hint="eastAsia" w:ascii="黑体" w:hAnsi="宋体" w:eastAsia="黑体"/>
          <w:color w:val="auto"/>
          <w:sz w:val="40"/>
          <w:szCs w:val="22"/>
          <w:highlight w:val="none"/>
          <w:lang w:eastAsia="zh-CN"/>
        </w:rPr>
      </w:pPr>
      <w:r>
        <w:rPr>
          <w:rFonts w:hint="eastAsia" w:ascii="黑体" w:hAnsi="宋体" w:eastAsia="黑体"/>
          <w:color w:val="auto"/>
          <w:sz w:val="40"/>
          <w:szCs w:val="22"/>
          <w:highlight w:val="none"/>
        </w:rPr>
        <w:t>项目编号：</w:t>
      </w:r>
      <w:r>
        <w:rPr>
          <w:rFonts w:hint="eastAsia" w:ascii="黑体" w:hAnsi="宋体" w:eastAsia="黑体"/>
          <w:color w:val="auto"/>
          <w:sz w:val="40"/>
          <w:szCs w:val="22"/>
          <w:highlight w:val="none"/>
          <w:lang w:eastAsia="zh-CN"/>
        </w:rPr>
        <w:t>LXZC-20240910-01</w:t>
      </w:r>
    </w:p>
    <w:p w14:paraId="53D23CD9">
      <w:pPr>
        <w:spacing w:line="480" w:lineRule="auto"/>
        <w:ind w:left="357" w:firstLine="800" w:firstLineChars="200"/>
        <w:rPr>
          <w:rFonts w:hint="eastAsia" w:ascii="黑体" w:hAnsi="宋体" w:eastAsia="黑体"/>
          <w:color w:val="auto"/>
          <w:sz w:val="40"/>
          <w:szCs w:val="22"/>
          <w:highlight w:val="none"/>
        </w:rPr>
      </w:pPr>
    </w:p>
    <w:p w14:paraId="5C442A7D">
      <w:pPr>
        <w:spacing w:line="480" w:lineRule="auto"/>
        <w:ind w:firstLine="420"/>
        <w:rPr>
          <w:rFonts w:hint="eastAsia" w:ascii="黑体" w:hAnsi="宋体" w:eastAsia="黑体"/>
          <w:color w:val="auto"/>
          <w:sz w:val="40"/>
          <w:szCs w:val="22"/>
          <w:highlight w:val="none"/>
          <w:lang w:eastAsia="zh-CN"/>
        </w:rPr>
      </w:pPr>
      <w:r>
        <w:rPr>
          <w:rFonts w:hint="eastAsia" w:ascii="黑体" w:hAnsi="宋体" w:eastAsia="黑体"/>
          <w:color w:val="auto"/>
          <w:sz w:val="40"/>
          <w:szCs w:val="22"/>
          <w:highlight w:val="none"/>
        </w:rPr>
        <w:t>项目名称：</w:t>
      </w:r>
      <w:r>
        <w:rPr>
          <w:rFonts w:hint="eastAsia" w:ascii="黑体" w:hAnsi="宋体" w:eastAsia="黑体"/>
          <w:color w:val="auto"/>
          <w:sz w:val="40"/>
          <w:szCs w:val="22"/>
          <w:highlight w:val="none"/>
          <w:lang w:eastAsia="zh-CN"/>
        </w:rPr>
        <w:t>建邺北部老城区街旁绿地改造（3处口袋</w:t>
      </w:r>
      <w:r>
        <w:rPr>
          <w:rFonts w:hint="eastAsia" w:ascii="黑体" w:hAnsi="宋体" w:eastAsia="黑体"/>
          <w:color w:val="auto"/>
          <w:sz w:val="40"/>
          <w:szCs w:val="22"/>
          <w:highlight w:val="none"/>
          <w:lang w:val="en-US" w:eastAsia="zh-CN"/>
        </w:rPr>
        <w:tab/>
      </w:r>
      <w:r>
        <w:rPr>
          <w:rFonts w:hint="eastAsia" w:ascii="黑体" w:hAnsi="宋体" w:eastAsia="黑体"/>
          <w:color w:val="auto"/>
          <w:sz w:val="40"/>
          <w:szCs w:val="22"/>
          <w:highlight w:val="none"/>
          <w:lang w:val="en-US" w:eastAsia="zh-CN"/>
        </w:rPr>
        <w:tab/>
      </w:r>
      <w:r>
        <w:rPr>
          <w:rFonts w:hint="eastAsia" w:ascii="黑体" w:hAnsi="宋体" w:eastAsia="黑体"/>
          <w:color w:val="auto"/>
          <w:sz w:val="40"/>
          <w:szCs w:val="22"/>
          <w:highlight w:val="none"/>
          <w:lang w:val="en-US" w:eastAsia="zh-CN"/>
        </w:rPr>
        <w:tab/>
      </w:r>
      <w:r>
        <w:rPr>
          <w:rFonts w:hint="eastAsia" w:ascii="黑体" w:hAnsi="宋体" w:eastAsia="黑体"/>
          <w:color w:val="auto"/>
          <w:sz w:val="40"/>
          <w:szCs w:val="22"/>
          <w:highlight w:val="none"/>
          <w:lang w:val="en-US" w:eastAsia="zh-CN"/>
        </w:rPr>
        <w:tab/>
      </w:r>
      <w:r>
        <w:rPr>
          <w:rFonts w:hint="eastAsia" w:ascii="黑体" w:hAnsi="宋体" w:eastAsia="黑体"/>
          <w:color w:val="auto"/>
          <w:sz w:val="40"/>
          <w:szCs w:val="22"/>
          <w:highlight w:val="none"/>
          <w:lang w:val="en-US" w:eastAsia="zh-CN"/>
        </w:rPr>
        <w:tab/>
      </w:r>
      <w:r>
        <w:rPr>
          <w:rFonts w:hint="eastAsia" w:ascii="黑体" w:hAnsi="宋体" w:eastAsia="黑体"/>
          <w:color w:val="auto"/>
          <w:sz w:val="40"/>
          <w:szCs w:val="22"/>
          <w:highlight w:val="none"/>
          <w:lang w:val="en-US" w:eastAsia="zh-CN"/>
        </w:rPr>
        <w:tab/>
      </w:r>
      <w:r>
        <w:rPr>
          <w:rFonts w:hint="eastAsia" w:ascii="黑体" w:hAnsi="宋体" w:eastAsia="黑体"/>
          <w:color w:val="auto"/>
          <w:sz w:val="40"/>
          <w:szCs w:val="22"/>
          <w:highlight w:val="none"/>
          <w:lang w:eastAsia="zh-CN"/>
        </w:rPr>
        <w:t>公园）项目</w:t>
      </w:r>
    </w:p>
    <w:p w14:paraId="2B906E47">
      <w:pPr>
        <w:spacing w:line="480" w:lineRule="auto"/>
        <w:ind w:firstLine="420"/>
        <w:rPr>
          <w:rFonts w:hint="eastAsia" w:ascii="黑体" w:hAnsi="宋体" w:eastAsia="黑体"/>
          <w:color w:val="auto"/>
          <w:sz w:val="40"/>
          <w:szCs w:val="22"/>
          <w:highlight w:val="none"/>
        </w:rPr>
      </w:pPr>
    </w:p>
    <w:p w14:paraId="2327B5EB">
      <w:pPr>
        <w:spacing w:line="480" w:lineRule="auto"/>
        <w:ind w:firstLine="420"/>
        <w:rPr>
          <w:rFonts w:hint="eastAsia" w:ascii="黑体" w:hAnsi="宋体" w:eastAsia="黑体"/>
          <w:color w:val="auto"/>
          <w:sz w:val="40"/>
          <w:szCs w:val="22"/>
          <w:highlight w:val="none"/>
        </w:rPr>
      </w:pPr>
      <w:r>
        <w:rPr>
          <w:rFonts w:hint="eastAsia" w:ascii="黑体" w:hAnsi="宋体" w:eastAsia="黑体"/>
          <w:color w:val="auto"/>
          <w:sz w:val="40"/>
          <w:szCs w:val="22"/>
          <w:highlight w:val="none"/>
        </w:rPr>
        <w:t>实施单位：南京建邺城市建设集团有限公司</w:t>
      </w:r>
    </w:p>
    <w:p w14:paraId="38A03EFA">
      <w:pPr>
        <w:ind w:left="1831" w:leftChars="171" w:hanging="1472" w:hangingChars="409"/>
        <w:jc w:val="left"/>
        <w:rPr>
          <w:rFonts w:hint="eastAsia" w:ascii="宋体" w:hAnsi="宋体" w:cs="宋体"/>
          <w:color w:val="auto"/>
          <w:sz w:val="36"/>
          <w:szCs w:val="36"/>
          <w:highlight w:val="none"/>
          <w:lang w:val="en-GB"/>
        </w:rPr>
      </w:pPr>
    </w:p>
    <w:p w14:paraId="167F7B37">
      <w:pPr>
        <w:rPr>
          <w:rFonts w:hint="eastAsia" w:ascii="宋体" w:hAnsi="宋体" w:cs="宋体"/>
          <w:color w:val="auto"/>
          <w:sz w:val="44"/>
          <w:highlight w:val="none"/>
        </w:rPr>
      </w:pPr>
    </w:p>
    <w:p w14:paraId="1ECD3674">
      <w:pPr>
        <w:rPr>
          <w:rFonts w:hint="eastAsia" w:ascii="宋体" w:hAnsi="宋体" w:cs="宋体"/>
          <w:color w:val="auto"/>
          <w:sz w:val="32"/>
          <w:highlight w:val="none"/>
        </w:rPr>
      </w:pPr>
    </w:p>
    <w:p w14:paraId="22633458">
      <w:pPr>
        <w:rPr>
          <w:rFonts w:hint="eastAsia" w:ascii="宋体" w:hAnsi="宋体" w:cs="宋体"/>
          <w:color w:val="auto"/>
          <w:sz w:val="32"/>
          <w:highlight w:val="none"/>
        </w:rPr>
      </w:pPr>
    </w:p>
    <w:p w14:paraId="07A97049">
      <w:pPr>
        <w:rPr>
          <w:rFonts w:hint="eastAsia" w:ascii="宋体" w:hAnsi="宋体" w:cs="宋体"/>
          <w:color w:val="auto"/>
          <w:sz w:val="32"/>
          <w:highlight w:val="none"/>
        </w:rPr>
      </w:pPr>
    </w:p>
    <w:p w14:paraId="0F56DE59">
      <w:pPr>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rPr>
        <w:t>南京陵新项目管理有限公司</w:t>
      </w:r>
    </w:p>
    <w:p w14:paraId="7B231F73">
      <w:pPr>
        <w:jc w:val="center"/>
        <w:rPr>
          <w:rFonts w:hint="eastAsia" w:ascii="黑体" w:hAnsi="黑体" w:eastAsia="黑体"/>
          <w:color w:val="auto"/>
          <w:sz w:val="44"/>
          <w:szCs w:val="44"/>
          <w:highlight w:val="none"/>
        </w:rPr>
      </w:pPr>
      <w:r>
        <w:rPr>
          <w:rFonts w:hint="eastAsia" w:ascii="黑体" w:hAnsi="黑体" w:eastAsia="黑体"/>
          <w:color w:val="auto"/>
          <w:sz w:val="44"/>
          <w:szCs w:val="44"/>
          <w:highlight w:val="none"/>
        </w:rPr>
        <w:t>二〇二四年</w:t>
      </w:r>
      <w:r>
        <w:rPr>
          <w:rFonts w:hint="eastAsia" w:ascii="黑体" w:hAnsi="黑体" w:eastAsia="黑体"/>
          <w:color w:val="auto"/>
          <w:sz w:val="44"/>
          <w:szCs w:val="44"/>
          <w:highlight w:val="none"/>
          <w:lang w:val="en-US" w:eastAsia="zh-CN"/>
        </w:rPr>
        <w:t>九</w:t>
      </w:r>
      <w:r>
        <w:rPr>
          <w:rFonts w:hint="eastAsia" w:ascii="黑体" w:hAnsi="黑体" w:eastAsia="黑体"/>
          <w:color w:val="auto"/>
          <w:sz w:val="44"/>
          <w:szCs w:val="44"/>
          <w:highlight w:val="none"/>
        </w:rPr>
        <w:t>月</w:t>
      </w:r>
    </w:p>
    <w:p w14:paraId="02BB5866">
      <w:pPr>
        <w:rPr>
          <w:rFonts w:hint="eastAsia" w:ascii="宋体" w:hAnsi="宋体" w:cs="宋体"/>
          <w:color w:val="auto"/>
          <w:highlight w:val="none"/>
        </w:rPr>
      </w:pPr>
    </w:p>
    <w:p w14:paraId="6BFDFE82">
      <w:pPr>
        <w:tabs>
          <w:tab w:val="left" w:pos="1635"/>
        </w:tabs>
        <w:spacing w:line="480" w:lineRule="auto"/>
        <w:ind w:firstLine="300" w:firstLineChars="1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31C3A2BF">
      <w:pPr>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目</w:t>
      </w:r>
      <w:r>
        <w:rPr>
          <w:rFonts w:hint="eastAsia" w:ascii="宋体" w:hAnsi="宋体" w:cs="宋体"/>
          <w:color w:val="auto"/>
          <w:sz w:val="40"/>
          <w:szCs w:val="40"/>
          <w:highlight w:val="none"/>
          <w:lang w:val="en-GB"/>
        </w:rPr>
        <w:t xml:space="preserve"> </w:t>
      </w:r>
      <w:r>
        <w:rPr>
          <w:rFonts w:hint="eastAsia" w:ascii="宋体" w:hAnsi="宋体" w:cs="宋体"/>
          <w:color w:val="auto"/>
          <w:sz w:val="40"/>
          <w:szCs w:val="40"/>
          <w:highlight w:val="none"/>
        </w:rPr>
        <w:t>录</w:t>
      </w:r>
    </w:p>
    <w:p w14:paraId="6E5A7C2B">
      <w:pPr>
        <w:pStyle w:val="13"/>
        <w:tabs>
          <w:tab w:val="right" w:leader="dot" w:pos="9469"/>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p>
    <w:p w14:paraId="26B086E7">
      <w:pPr>
        <w:pStyle w:val="13"/>
        <w:tabs>
          <w:tab w:val="right" w:leader="dot" w:pos="9469"/>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_Toc8286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第一章 竞争性磋商公告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_Toc8286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A1FA137">
      <w:pPr>
        <w:pStyle w:val="13"/>
        <w:tabs>
          <w:tab w:val="right" w:leader="dot" w:pos="9469"/>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_Toc18831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第二章 竞争性磋商须知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_Toc18831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5772204">
      <w:pPr>
        <w:pStyle w:val="13"/>
        <w:tabs>
          <w:tab w:val="right" w:leader="dot" w:pos="9469"/>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_Toc10425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第三章 磋商项目报价清单</w:t>
      </w:r>
      <w:r>
        <w:rPr>
          <w:rFonts w:hint="eastAsia" w:ascii="宋体" w:hAnsi="宋体" w:cs="宋体"/>
          <w:color w:val="auto"/>
          <w:sz w:val="24"/>
          <w:szCs w:val="24"/>
          <w:highlight w:val="none"/>
        </w:rPr>
        <w:tab/>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2</w:t>
      </w:r>
    </w:p>
    <w:p w14:paraId="12F3777E">
      <w:pPr>
        <w:pStyle w:val="13"/>
        <w:tabs>
          <w:tab w:val="right" w:leader="dot" w:pos="9469"/>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_Toc19382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第四章 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3</w:t>
      </w:r>
    </w:p>
    <w:p w14:paraId="588393C1">
      <w:pPr>
        <w:pStyle w:val="13"/>
        <w:tabs>
          <w:tab w:val="right" w:leader="dot" w:pos="9469"/>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_Toc28480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第五章 合同格式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5</w:t>
      </w:r>
    </w:p>
    <w:p w14:paraId="351B0500">
      <w:pPr>
        <w:pStyle w:val="13"/>
        <w:tabs>
          <w:tab w:val="right" w:leader="dot" w:pos="9469"/>
        </w:tabs>
        <w:spacing w:line="360" w:lineRule="auto"/>
        <w:rPr>
          <w:rFonts w:hint="eastAsia" w:ascii="宋体" w:hAnsi="宋体" w:cs="宋体"/>
          <w:color w:val="auto"/>
          <w:sz w:val="22"/>
          <w:szCs w:val="22"/>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_Toc13651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第六章 竞争性磋商文件格式及附件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3</w:t>
      </w:r>
    </w:p>
    <w:p w14:paraId="5537AB8C">
      <w:pPr>
        <w:pStyle w:val="13"/>
        <w:tabs>
          <w:tab w:val="right" w:leader="dot" w:pos="9469"/>
        </w:tabs>
        <w:spacing w:line="360" w:lineRule="auto"/>
        <w:rPr>
          <w:rFonts w:hint="eastAsia" w:ascii="宋体" w:hAnsi="宋体" w:cs="宋体"/>
          <w:color w:val="auto"/>
          <w:sz w:val="24"/>
          <w:szCs w:val="24"/>
          <w:highlight w:val="none"/>
        </w:rPr>
      </w:pPr>
    </w:p>
    <w:p w14:paraId="3877C390">
      <w:pPr>
        <w:pStyle w:val="8"/>
        <w:tabs>
          <w:tab w:val="right" w:leader="dot" w:pos="9345"/>
        </w:tabs>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end"/>
      </w:r>
    </w:p>
    <w:p w14:paraId="4EC524B1">
      <w:pPr>
        <w:rPr>
          <w:rFonts w:hint="eastAsia" w:ascii="宋体" w:hAnsi="宋体" w:cs="宋体"/>
          <w:color w:val="auto"/>
          <w:highlight w:val="none"/>
        </w:rPr>
      </w:pPr>
    </w:p>
    <w:p w14:paraId="17719ECA">
      <w:pPr>
        <w:spacing w:before="156" w:beforeLines="50" w:after="156" w:afterLines="50" w:line="460" w:lineRule="exact"/>
        <w:jc w:val="center"/>
        <w:outlineLvl w:val="0"/>
        <w:rPr>
          <w:rFonts w:hint="eastAsia" w:ascii="宋体" w:hAnsi="宋体" w:cs="宋体"/>
          <w:color w:val="auto"/>
          <w:sz w:val="30"/>
          <w:szCs w:val="30"/>
          <w:highlight w:val="none"/>
        </w:rPr>
      </w:pPr>
      <w:bookmarkStart w:id="3" w:name="_Toc12867"/>
      <w:bookmarkStart w:id="4" w:name="_Toc8779"/>
      <w:bookmarkStart w:id="5" w:name="_Toc16445"/>
      <w:bookmarkStart w:id="6" w:name="_Toc15570"/>
      <w:bookmarkStart w:id="7" w:name="_Toc10991"/>
      <w:bookmarkStart w:id="8" w:name="_Toc18459"/>
      <w:bookmarkStart w:id="9" w:name="_Toc13723"/>
      <w:bookmarkStart w:id="10" w:name="_Toc13556"/>
      <w:bookmarkStart w:id="11" w:name="_Toc22331"/>
      <w:bookmarkStart w:id="12" w:name="_Toc28329"/>
      <w:bookmarkStart w:id="13" w:name="_Toc26656"/>
      <w:bookmarkStart w:id="14" w:name="_Toc504141735"/>
      <w:bookmarkStart w:id="15" w:name="_Toc14101"/>
      <w:bookmarkStart w:id="16" w:name="_Toc31399"/>
      <w:bookmarkStart w:id="17" w:name="_Toc4802"/>
      <w:r>
        <w:rPr>
          <w:rFonts w:hint="eastAsia" w:ascii="宋体" w:hAnsi="宋体" w:cs="宋体"/>
          <w:color w:val="auto"/>
          <w:sz w:val="30"/>
          <w:szCs w:val="30"/>
          <w:highlight w:val="none"/>
        </w:rPr>
        <w:br w:type="page"/>
      </w:r>
      <w:bookmarkStart w:id="18" w:name="_Toc8286"/>
      <w:bookmarkStart w:id="19" w:name="_Toc26761"/>
      <w:bookmarkStart w:id="20" w:name="_Toc19227"/>
      <w:r>
        <w:rPr>
          <w:rFonts w:hint="eastAsia" w:ascii="宋体" w:hAnsi="宋体" w:cs="宋体"/>
          <w:color w:val="auto"/>
          <w:sz w:val="32"/>
          <w:szCs w:val="32"/>
          <w:highlight w:val="none"/>
        </w:rPr>
        <w:t xml:space="preserve">第一章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宋体" w:hAnsi="宋体" w:cs="宋体"/>
          <w:color w:val="auto"/>
          <w:sz w:val="32"/>
          <w:szCs w:val="32"/>
          <w:highlight w:val="none"/>
        </w:rPr>
        <w:t>竞争性磋商公告</w:t>
      </w:r>
      <w:bookmarkEnd w:id="18"/>
      <w:bookmarkEnd w:id="19"/>
      <w:bookmarkEnd w:id="20"/>
    </w:p>
    <w:p w14:paraId="414E473D">
      <w:pPr>
        <w:jc w:val="center"/>
        <w:rPr>
          <w:rFonts w:hint="eastAsia" w:ascii="宋体" w:hAnsi="宋体" w:cs="宋体"/>
          <w:color w:val="auto"/>
          <w:sz w:val="24"/>
          <w:highlight w:val="none"/>
        </w:rPr>
      </w:pPr>
      <w:bookmarkStart w:id="21" w:name="_Toc16475"/>
      <w:bookmarkStart w:id="22" w:name="_Toc3663"/>
      <w:bookmarkStart w:id="23" w:name="_Toc6289"/>
      <w:bookmarkStart w:id="24" w:name="_Toc4835"/>
      <w:bookmarkStart w:id="25" w:name="_Toc24440"/>
      <w:bookmarkStart w:id="26" w:name="_Toc504141736"/>
      <w:bookmarkStart w:id="27" w:name="_Toc28132"/>
      <w:bookmarkStart w:id="28" w:name="_Toc3015"/>
      <w:bookmarkStart w:id="29" w:name="_Toc26743"/>
      <w:bookmarkStart w:id="30" w:name="_Toc11159"/>
      <w:bookmarkStart w:id="31" w:name="_Toc10849"/>
      <w:bookmarkStart w:id="32" w:name="_Toc14061"/>
    </w:p>
    <w:p w14:paraId="5988B977">
      <w:pPr>
        <w:jc w:val="center"/>
        <w:rPr>
          <w:rFonts w:hint="eastAsia" w:ascii="宋体" w:hAnsi="宋体" w:cs="宋体"/>
          <w:color w:val="auto"/>
          <w:sz w:val="24"/>
          <w:highlight w:val="none"/>
        </w:rPr>
      </w:pPr>
      <w:r>
        <w:rPr>
          <w:rFonts w:hint="eastAsia" w:ascii="宋体" w:hAnsi="宋体" w:cs="宋体"/>
          <w:b/>
          <w:bCs/>
          <w:color w:val="auto"/>
          <w:sz w:val="28"/>
          <w:szCs w:val="28"/>
          <w:highlight w:val="none"/>
          <w:lang w:eastAsia="zh-CN"/>
        </w:rPr>
        <w:t>建邺北部老城区街旁绿地改造（3处口袋公园）项目</w:t>
      </w:r>
      <w:r>
        <w:rPr>
          <w:rFonts w:hint="eastAsia" w:ascii="宋体" w:hAnsi="宋体" w:cs="宋体"/>
          <w:b/>
          <w:bCs/>
          <w:color w:val="auto"/>
          <w:sz w:val="28"/>
          <w:szCs w:val="28"/>
          <w:highlight w:val="none"/>
        </w:rPr>
        <w:t>竞争性磋商公告</w:t>
      </w:r>
    </w:p>
    <w:p w14:paraId="35EF65F3">
      <w:pPr>
        <w:spacing w:line="360" w:lineRule="auto"/>
        <w:rPr>
          <w:rFonts w:hint="eastAsia" w:ascii="宋体" w:hAnsi="宋体" w:cs="宋体"/>
          <w:color w:val="auto"/>
          <w:sz w:val="24"/>
          <w:highlight w:val="none"/>
          <w:lang w:val="en-GB"/>
        </w:rPr>
      </w:pPr>
      <w:r>
        <w:rPr>
          <w:rFonts w:hint="eastAsia" w:ascii="宋体" w:hAnsi="宋体" w:cs="宋体"/>
          <w:color w:val="auto"/>
          <w:sz w:val="24"/>
          <w:highlight w:val="none"/>
        </w:rPr>
        <w:t>项目概况:</w:t>
      </w:r>
    </w:p>
    <w:p w14:paraId="467EECEE">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u w:val="single"/>
          <w:lang w:eastAsia="zh-CN"/>
        </w:rPr>
        <w:t>建邺北部老城区街旁绿地改造（3处口袋公园）项目</w:t>
      </w:r>
      <w:r>
        <w:rPr>
          <w:rFonts w:hint="eastAsia" w:ascii="宋体" w:hAnsi="宋体" w:cs="宋体"/>
          <w:color w:val="auto"/>
          <w:sz w:val="24"/>
          <w:highlight w:val="none"/>
        </w:rPr>
        <w:t>采购项目的潜在供应商应在</w:t>
      </w:r>
      <w:r>
        <w:rPr>
          <w:rFonts w:hint="eastAsia" w:ascii="宋体" w:hAnsi="宋体" w:cs="宋体"/>
          <w:color w:val="auto"/>
          <w:sz w:val="24"/>
          <w:highlight w:val="none"/>
          <w:u w:val="single"/>
        </w:rPr>
        <w:t>南京陵新项目管理有限公司（南京市江宁区龙眠大道568号max科技园9栋B座）</w:t>
      </w:r>
      <w:r>
        <w:rPr>
          <w:rFonts w:hint="eastAsia" w:ascii="宋体" w:hAnsi="宋体" w:cs="宋体"/>
          <w:color w:val="auto"/>
          <w:sz w:val="24"/>
          <w:highlight w:val="none"/>
        </w:rPr>
        <w:t>获取采购文件，并于</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eastAsia="zh-CN"/>
        </w:rPr>
        <w:t>09</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none"/>
          <w:lang w:eastAsia="zh-CN"/>
        </w:rPr>
        <w:t>日</w:t>
      </w:r>
      <w:r>
        <w:rPr>
          <w:rFonts w:hint="eastAsia" w:ascii="宋体" w:hAnsi="宋体" w:cs="宋体"/>
          <w:color w:val="auto"/>
          <w:sz w:val="24"/>
          <w:highlight w:val="none"/>
          <w:u w:val="single"/>
          <w:lang w:val="en-US" w:eastAsia="zh-CN"/>
        </w:rPr>
        <w:t>14</w:t>
      </w:r>
      <w:r>
        <w:rPr>
          <w:rFonts w:hint="eastAsia" w:ascii="宋体" w:hAnsi="宋体" w:cs="宋体"/>
          <w:bCs/>
          <w:color w:val="auto"/>
          <w:sz w:val="24"/>
          <w:highlight w:val="none"/>
        </w:rPr>
        <w:t>点</w:t>
      </w:r>
      <w:r>
        <w:rPr>
          <w:rFonts w:hint="eastAsia" w:ascii="宋体" w:hAnsi="宋体" w:cs="宋体"/>
          <w:bCs/>
          <w:color w:val="auto"/>
          <w:sz w:val="24"/>
          <w:highlight w:val="none"/>
          <w:u w:val="single"/>
        </w:rPr>
        <w:t>30</w:t>
      </w:r>
      <w:r>
        <w:rPr>
          <w:rFonts w:hint="eastAsia" w:ascii="宋体" w:hAnsi="宋体" w:cs="宋体"/>
          <w:bCs/>
          <w:color w:val="auto"/>
          <w:sz w:val="24"/>
          <w:highlight w:val="none"/>
        </w:rPr>
        <w:t>分（北京时间）前提交响应文件。</w:t>
      </w:r>
    </w:p>
    <w:p w14:paraId="219B775B">
      <w:pPr>
        <w:spacing w:line="360" w:lineRule="auto"/>
        <w:ind w:firstLine="480" w:firstLineChars="200"/>
        <w:rPr>
          <w:rFonts w:hint="eastAsia" w:ascii="宋体" w:hAnsi="宋体" w:cs="宋体"/>
          <w:color w:val="auto"/>
          <w:sz w:val="24"/>
          <w:highlight w:val="none"/>
          <w:lang w:val="en-GB"/>
        </w:rPr>
      </w:pPr>
      <w:r>
        <w:rPr>
          <w:rFonts w:hint="eastAsia" w:ascii="宋体" w:hAnsi="宋体" w:cs="宋体"/>
          <w:bCs/>
          <w:color w:val="auto"/>
          <w:sz w:val="24"/>
          <w:highlight w:val="none"/>
          <w:lang w:eastAsia="zh-CN"/>
        </w:rPr>
        <w:t>建邺北部老城区街旁绿地改造（3处口袋公园）项目</w:t>
      </w:r>
      <w:r>
        <w:rPr>
          <w:rFonts w:hint="eastAsia" w:ascii="宋体" w:hAnsi="宋体" w:cs="宋体"/>
          <w:bCs/>
          <w:color w:val="auto"/>
          <w:sz w:val="24"/>
          <w:highlight w:val="none"/>
          <w:lang w:val="en-GB"/>
        </w:rPr>
        <w:t>已经立项部门批准建设（立项批文号：</w:t>
      </w:r>
      <w:r>
        <w:rPr>
          <w:rFonts w:hint="eastAsia" w:ascii="宋体" w:hAnsi="宋体" w:cs="宋体"/>
          <w:bCs/>
          <w:color w:val="auto"/>
          <w:sz w:val="24"/>
          <w:highlight w:val="none"/>
          <w:lang w:val="en-US" w:eastAsia="zh-CN"/>
        </w:rPr>
        <w:t>建建设城</w:t>
      </w:r>
      <w:r>
        <w:rPr>
          <w:rFonts w:hint="eastAsia" w:ascii="宋体" w:hAnsi="宋体" w:cs="宋体"/>
          <w:bCs/>
          <w:color w:val="auto"/>
          <w:sz w:val="24"/>
          <w:highlight w:val="none"/>
        </w:rPr>
        <w:t>〔2024〕</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号</w:t>
      </w:r>
      <w:r>
        <w:rPr>
          <w:rFonts w:hint="eastAsia" w:ascii="宋体" w:hAnsi="宋体" w:cs="宋体"/>
          <w:bCs/>
          <w:color w:val="auto"/>
          <w:sz w:val="24"/>
          <w:highlight w:val="none"/>
          <w:lang w:val="en-GB"/>
        </w:rPr>
        <w:t>），</w:t>
      </w:r>
      <w:r>
        <w:rPr>
          <w:rFonts w:hint="eastAsia" w:ascii="宋体" w:hAnsi="宋体" w:cs="宋体"/>
          <w:bCs/>
          <w:color w:val="auto"/>
          <w:sz w:val="24"/>
          <w:highlight w:val="none"/>
          <w:lang w:val="en-US" w:eastAsia="zh-CN"/>
        </w:rPr>
        <w:t>项目</w:t>
      </w:r>
      <w:r>
        <w:rPr>
          <w:rFonts w:hint="eastAsia" w:ascii="宋体" w:hAnsi="宋体" w:cs="宋体"/>
          <w:bCs/>
          <w:color w:val="auto"/>
          <w:sz w:val="24"/>
          <w:highlight w:val="none"/>
          <w:lang w:val="en-GB"/>
        </w:rPr>
        <w:t>所需资金来源国有政府性资金：</w:t>
      </w:r>
      <w:r>
        <w:rPr>
          <w:rFonts w:hint="eastAsia" w:ascii="宋体" w:hAnsi="宋体" w:cs="宋体"/>
          <w:bCs/>
          <w:color w:val="auto"/>
          <w:sz w:val="24"/>
          <w:highlight w:val="none"/>
          <w:lang w:val="en-US" w:eastAsia="zh-CN"/>
        </w:rPr>
        <w:t>493.23</w:t>
      </w:r>
      <w:r>
        <w:rPr>
          <w:rFonts w:hint="eastAsia" w:ascii="宋体" w:hAnsi="宋体" w:cs="宋体"/>
          <w:bCs/>
          <w:color w:val="auto"/>
          <w:sz w:val="24"/>
          <w:highlight w:val="none"/>
          <w:lang w:val="en-GB"/>
        </w:rPr>
        <w:t>万元，现已落实，本项目实施单位为南京建邺城市建设集团有限公司。</w:t>
      </w:r>
    </w:p>
    <w:p w14:paraId="666E49D3">
      <w:pPr>
        <w:keepNext/>
        <w:keepLines/>
        <w:numPr>
          <w:ilvl w:val="1"/>
          <w:numId w:val="2"/>
        </w:numPr>
        <w:spacing w:before="120" w:after="120" w:line="360" w:lineRule="auto"/>
        <w:ind w:left="0" w:firstLine="0"/>
        <w:jc w:val="left"/>
        <w:outlineLvl w:val="1"/>
        <w:rPr>
          <w:rFonts w:hint="eastAsia" w:ascii="宋体" w:hAnsi="宋体" w:cs="宋体"/>
          <w:bCs/>
          <w:color w:val="auto"/>
          <w:spacing w:val="8"/>
          <w:kern w:val="0"/>
          <w:sz w:val="28"/>
          <w:szCs w:val="32"/>
          <w:highlight w:val="none"/>
        </w:rPr>
      </w:pPr>
      <w:bookmarkStart w:id="33" w:name="_Toc24437"/>
      <w:bookmarkStart w:id="34" w:name="_Toc27019"/>
      <w:bookmarkStart w:id="35" w:name="_Toc28359012"/>
      <w:bookmarkStart w:id="36" w:name="_Toc22722"/>
      <w:bookmarkStart w:id="37" w:name="_Toc35393798"/>
      <w:bookmarkStart w:id="38" w:name="_Toc35393629"/>
      <w:bookmarkStart w:id="39" w:name="_Toc28359089"/>
      <w:bookmarkStart w:id="40" w:name="_Toc15390"/>
      <w:bookmarkStart w:id="41" w:name="_Toc25897"/>
      <w:bookmarkStart w:id="42" w:name="_Toc16617190"/>
      <w:bookmarkStart w:id="43" w:name="_Toc21369"/>
      <w:r>
        <w:rPr>
          <w:rFonts w:hint="eastAsia" w:ascii="宋体" w:hAnsi="宋体" w:cs="宋体"/>
          <w:bCs/>
          <w:color w:val="auto"/>
          <w:spacing w:val="8"/>
          <w:kern w:val="0"/>
          <w:sz w:val="28"/>
          <w:szCs w:val="32"/>
          <w:highlight w:val="none"/>
        </w:rPr>
        <w:t>一、项目基本情况</w:t>
      </w:r>
      <w:bookmarkEnd w:id="33"/>
      <w:bookmarkEnd w:id="34"/>
      <w:bookmarkEnd w:id="35"/>
      <w:bookmarkEnd w:id="36"/>
      <w:bookmarkEnd w:id="37"/>
      <w:bookmarkEnd w:id="38"/>
      <w:bookmarkEnd w:id="39"/>
    </w:p>
    <w:p w14:paraId="5743A2B8">
      <w:pPr>
        <w:widowControl/>
        <w:spacing w:line="360" w:lineRule="auto"/>
        <w:ind w:firstLine="360"/>
        <w:rPr>
          <w:rFonts w:hint="eastAsia" w:ascii="宋体" w:hAnsi="宋体" w:eastAsia="宋体" w:cs="宋体"/>
          <w:color w:val="auto"/>
          <w:spacing w:val="8"/>
          <w:kern w:val="0"/>
          <w:sz w:val="24"/>
          <w:highlight w:val="none"/>
          <w:lang w:eastAsia="zh-CN"/>
        </w:rPr>
      </w:pPr>
      <w:r>
        <w:rPr>
          <w:rFonts w:hint="eastAsia" w:ascii="宋体" w:hAnsi="宋体" w:cs="宋体"/>
          <w:color w:val="auto"/>
          <w:spacing w:val="8"/>
          <w:kern w:val="0"/>
          <w:sz w:val="24"/>
          <w:highlight w:val="none"/>
        </w:rPr>
        <w:t>项目编号：</w:t>
      </w:r>
      <w:r>
        <w:rPr>
          <w:rFonts w:hint="eastAsia" w:ascii="宋体" w:hAnsi="宋体" w:cs="宋体"/>
          <w:color w:val="auto"/>
          <w:spacing w:val="8"/>
          <w:kern w:val="0"/>
          <w:sz w:val="24"/>
          <w:highlight w:val="none"/>
          <w:lang w:eastAsia="zh-CN"/>
        </w:rPr>
        <w:t>LXZC-20240910-01</w:t>
      </w:r>
    </w:p>
    <w:p w14:paraId="7EE0740A">
      <w:pPr>
        <w:widowControl/>
        <w:spacing w:line="360" w:lineRule="auto"/>
        <w:ind w:firstLine="360"/>
        <w:rPr>
          <w:rFonts w:hint="eastAsia" w:ascii="宋体" w:hAnsi="宋体" w:eastAsia="宋体" w:cs="宋体"/>
          <w:color w:val="auto"/>
          <w:spacing w:val="8"/>
          <w:kern w:val="0"/>
          <w:sz w:val="24"/>
          <w:highlight w:val="none"/>
          <w:lang w:eastAsia="zh-CN"/>
        </w:rPr>
      </w:pPr>
      <w:r>
        <w:rPr>
          <w:rFonts w:hint="eastAsia" w:ascii="宋体" w:hAnsi="宋体" w:cs="宋体"/>
          <w:color w:val="auto"/>
          <w:spacing w:val="8"/>
          <w:kern w:val="0"/>
          <w:sz w:val="24"/>
          <w:highlight w:val="none"/>
        </w:rPr>
        <w:t>项目名称：</w:t>
      </w:r>
      <w:r>
        <w:rPr>
          <w:rFonts w:hint="eastAsia" w:ascii="宋体" w:hAnsi="宋体" w:cs="宋体"/>
          <w:color w:val="auto"/>
          <w:spacing w:val="8"/>
          <w:kern w:val="0"/>
          <w:sz w:val="24"/>
          <w:highlight w:val="none"/>
          <w:lang w:eastAsia="zh-CN"/>
        </w:rPr>
        <w:t>建邺北部老城区街旁绿地改造（3处口袋公园）项目</w:t>
      </w:r>
    </w:p>
    <w:p w14:paraId="03D39ECD">
      <w:pPr>
        <w:widowControl/>
        <w:spacing w:line="360" w:lineRule="auto"/>
        <w:ind w:firstLine="36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采购方式：竞争性磋商</w:t>
      </w:r>
    </w:p>
    <w:p w14:paraId="190B4A7F">
      <w:pPr>
        <w:widowControl/>
        <w:spacing w:line="360" w:lineRule="auto"/>
        <w:ind w:firstLine="36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预算金额:</w:t>
      </w:r>
      <w:r>
        <w:rPr>
          <w:rFonts w:hint="eastAsia" w:ascii="宋体" w:hAnsi="宋体" w:cs="宋体"/>
          <w:color w:val="FF0000"/>
          <w:spacing w:val="8"/>
          <w:kern w:val="0"/>
          <w:sz w:val="24"/>
          <w:highlight w:val="none"/>
        </w:rPr>
        <w:t xml:space="preserve"> </w:t>
      </w:r>
      <w:r>
        <w:rPr>
          <w:rFonts w:hint="eastAsia" w:ascii="宋体" w:hAnsi="宋体" w:cs="宋体"/>
          <w:color w:val="FF0000"/>
          <w:spacing w:val="8"/>
          <w:kern w:val="0"/>
          <w:sz w:val="24"/>
          <w:highlight w:val="none"/>
          <w:u w:val="single"/>
          <w:lang w:val="en-US" w:eastAsia="zh-CN"/>
        </w:rPr>
        <w:t>328</w:t>
      </w:r>
      <w:r>
        <w:rPr>
          <w:rFonts w:hint="eastAsia" w:ascii="宋体" w:hAnsi="宋体" w:cs="宋体"/>
          <w:color w:val="FF0000"/>
          <w:spacing w:val="8"/>
          <w:kern w:val="0"/>
          <w:sz w:val="24"/>
          <w:highlight w:val="none"/>
        </w:rPr>
        <w:t>万元</w:t>
      </w:r>
    </w:p>
    <w:p w14:paraId="430C6822">
      <w:pPr>
        <w:widowControl/>
        <w:spacing w:line="360" w:lineRule="auto"/>
        <w:ind w:firstLine="360"/>
        <w:rPr>
          <w:rFonts w:hint="eastAsia" w:ascii="宋体" w:hAnsi="宋体" w:cs="宋体"/>
          <w:color w:val="FF0000"/>
          <w:spacing w:val="8"/>
          <w:kern w:val="0"/>
          <w:sz w:val="24"/>
          <w:highlight w:val="none"/>
        </w:rPr>
      </w:pPr>
      <w:r>
        <w:rPr>
          <w:rFonts w:hint="eastAsia" w:ascii="宋体" w:hAnsi="宋体" w:cs="宋体"/>
          <w:color w:val="auto"/>
          <w:spacing w:val="8"/>
          <w:kern w:val="0"/>
          <w:sz w:val="24"/>
          <w:highlight w:val="none"/>
        </w:rPr>
        <w:t>最高限价：</w:t>
      </w:r>
      <w:r>
        <w:rPr>
          <w:rFonts w:hint="eastAsia" w:ascii="宋体" w:hAnsi="宋体" w:cs="宋体"/>
          <w:color w:val="FF0000"/>
          <w:spacing w:val="8"/>
          <w:kern w:val="0"/>
          <w:sz w:val="24"/>
          <w:highlight w:val="none"/>
          <w:u w:val="single"/>
          <w:lang w:val="en-US" w:eastAsia="zh-CN"/>
        </w:rPr>
        <w:t>328</w:t>
      </w:r>
      <w:r>
        <w:rPr>
          <w:rFonts w:hint="eastAsia" w:ascii="宋体" w:hAnsi="宋体" w:cs="宋体"/>
          <w:color w:val="FF0000"/>
          <w:spacing w:val="8"/>
          <w:kern w:val="0"/>
          <w:sz w:val="24"/>
          <w:highlight w:val="none"/>
        </w:rPr>
        <w:t>万元</w:t>
      </w:r>
    </w:p>
    <w:p w14:paraId="4B50D071">
      <w:pPr>
        <w:widowControl/>
        <w:spacing w:line="360" w:lineRule="auto"/>
        <w:ind w:firstLine="36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采购需求:绿化彩化提升、基础设施建设、给排水工程电气照明工程等</w:t>
      </w:r>
      <w:r>
        <w:rPr>
          <w:rFonts w:hint="eastAsia" w:ascii="宋体" w:hAnsi="宋体" w:cs="宋体"/>
          <w:color w:val="auto"/>
          <w:spacing w:val="8"/>
          <w:kern w:val="0"/>
          <w:sz w:val="24"/>
          <w:highlight w:val="none"/>
          <w:lang w:eastAsia="zh-CN"/>
        </w:rPr>
        <w:t>。</w:t>
      </w:r>
      <w:r>
        <w:rPr>
          <w:rFonts w:hint="eastAsia" w:ascii="宋体" w:hAnsi="宋体" w:cs="宋体"/>
          <w:color w:val="auto"/>
          <w:spacing w:val="8"/>
          <w:kern w:val="0"/>
          <w:sz w:val="24"/>
          <w:highlight w:val="none"/>
        </w:rPr>
        <w:t>具体详见竞争性磋商文件。</w:t>
      </w:r>
    </w:p>
    <w:p w14:paraId="3F61968C">
      <w:pPr>
        <w:widowControl/>
        <w:spacing w:line="360" w:lineRule="auto"/>
        <w:ind w:firstLine="360"/>
        <w:rPr>
          <w:rFonts w:hint="eastAsia" w:ascii="宋体" w:hAnsi="宋体" w:eastAsia="宋体" w:cs="宋体"/>
          <w:color w:val="auto"/>
          <w:spacing w:val="8"/>
          <w:kern w:val="0"/>
          <w:sz w:val="24"/>
          <w:highlight w:val="none"/>
          <w:lang w:eastAsia="zh-CN"/>
        </w:rPr>
      </w:pPr>
      <w:r>
        <w:rPr>
          <w:rFonts w:hint="eastAsia" w:ascii="宋体" w:hAnsi="宋体" w:cs="宋体"/>
          <w:color w:val="auto"/>
          <w:spacing w:val="8"/>
          <w:kern w:val="0"/>
          <w:sz w:val="24"/>
          <w:highlight w:val="none"/>
        </w:rPr>
        <w:t>工期：</w:t>
      </w:r>
      <w:r>
        <w:rPr>
          <w:rFonts w:hint="eastAsia" w:ascii="宋体" w:hAnsi="宋体" w:cs="宋体"/>
          <w:color w:val="FF0000"/>
          <w:spacing w:val="8"/>
          <w:kern w:val="0"/>
          <w:sz w:val="24"/>
          <w:highlight w:val="none"/>
          <w:lang w:val="en-US" w:eastAsia="zh-CN"/>
        </w:rPr>
        <w:t>90</w:t>
      </w:r>
      <w:r>
        <w:rPr>
          <w:rFonts w:hint="eastAsia" w:ascii="宋体" w:hAnsi="宋体" w:cs="宋体"/>
          <w:color w:val="FF0000"/>
          <w:spacing w:val="8"/>
          <w:kern w:val="0"/>
          <w:sz w:val="24"/>
          <w:highlight w:val="none"/>
          <w:lang w:eastAsia="zh-CN"/>
        </w:rPr>
        <w:t>日历天</w:t>
      </w:r>
    </w:p>
    <w:p w14:paraId="352F86BD">
      <w:pPr>
        <w:widowControl/>
        <w:spacing w:line="360" w:lineRule="auto"/>
        <w:ind w:firstLine="36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本项目不接受联合体投标。</w:t>
      </w:r>
    </w:p>
    <w:p w14:paraId="25D129DF">
      <w:pPr>
        <w:jc w:val="left"/>
        <w:rPr>
          <w:rFonts w:hint="eastAsia" w:ascii="宋体" w:hAnsi="宋体" w:cs="宋体"/>
          <w:bCs/>
          <w:color w:val="auto"/>
          <w:kern w:val="0"/>
          <w:sz w:val="28"/>
          <w:szCs w:val="32"/>
          <w:highlight w:val="none"/>
        </w:rPr>
      </w:pPr>
      <w:bookmarkStart w:id="44" w:name="_Toc35393799"/>
      <w:bookmarkStart w:id="45" w:name="_Toc28359090"/>
      <w:bookmarkStart w:id="46" w:name="_Toc28359013"/>
      <w:bookmarkStart w:id="47" w:name="_Toc35393630"/>
      <w:r>
        <w:rPr>
          <w:rFonts w:hint="eastAsia" w:ascii="宋体" w:hAnsi="宋体" w:cs="宋体"/>
          <w:bCs/>
          <w:color w:val="auto"/>
          <w:sz w:val="28"/>
          <w:szCs w:val="32"/>
          <w:highlight w:val="none"/>
        </w:rPr>
        <w:t>二、申请人的资格要求：</w:t>
      </w:r>
      <w:bookmarkEnd w:id="44"/>
      <w:bookmarkEnd w:id="45"/>
      <w:bookmarkEnd w:id="46"/>
      <w:bookmarkEnd w:id="47"/>
    </w:p>
    <w:p w14:paraId="1202DD5C">
      <w:pPr>
        <w:autoSpaceDE w:val="0"/>
        <w:autoSpaceDN w:val="0"/>
        <w:adjustRightInd w:val="0"/>
        <w:snapToGrid w:val="0"/>
        <w:spacing w:line="360" w:lineRule="auto"/>
        <w:ind w:firstLine="514" w:firstLineChars="200"/>
        <w:rPr>
          <w:rFonts w:hint="eastAsia" w:ascii="宋体" w:hAnsi="宋体" w:cs="宋体"/>
          <w:b/>
          <w:color w:val="auto"/>
          <w:spacing w:val="8"/>
          <w:kern w:val="0"/>
          <w:sz w:val="24"/>
          <w:highlight w:val="none"/>
        </w:rPr>
      </w:pPr>
      <w:r>
        <w:rPr>
          <w:rFonts w:hint="eastAsia" w:ascii="宋体" w:hAnsi="宋体" w:cs="宋体"/>
          <w:b/>
          <w:color w:val="auto"/>
          <w:spacing w:val="8"/>
          <w:kern w:val="0"/>
          <w:sz w:val="24"/>
          <w:highlight w:val="none"/>
        </w:rPr>
        <w:t>2.1《中华人民共和国政府采购法》规定的条件。</w:t>
      </w:r>
    </w:p>
    <w:p w14:paraId="031B5DF9">
      <w:pPr>
        <w:numPr>
          <w:ilvl w:val="0"/>
          <w:numId w:val="0"/>
        </w:num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szCs w:val="24"/>
          <w:highlight w:val="none"/>
          <w:lang w:val="en-US" w:eastAsia="zh-CN" w:bidi="ar-SA"/>
        </w:rPr>
        <w:t>（1）</w:t>
      </w:r>
      <w:r>
        <w:rPr>
          <w:rFonts w:hint="eastAsia" w:ascii="宋体" w:hAnsi="宋体" w:cs="宋体"/>
          <w:bCs/>
          <w:color w:val="auto"/>
          <w:spacing w:val="8"/>
          <w:kern w:val="0"/>
          <w:sz w:val="24"/>
          <w:highlight w:val="none"/>
        </w:rPr>
        <w:t>具有独立承担民事责任的能力（提供法人或者其他组织的营业执照，自然人的身份证明，复印件加盖公章）；</w:t>
      </w:r>
    </w:p>
    <w:p w14:paraId="119F160D">
      <w:pPr>
        <w:numPr>
          <w:ilvl w:val="0"/>
          <w:numId w:val="0"/>
        </w:num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szCs w:val="24"/>
          <w:highlight w:val="none"/>
          <w:lang w:val="en-US" w:eastAsia="zh-CN" w:bidi="ar-SA"/>
        </w:rPr>
        <w:t>（2）</w:t>
      </w:r>
      <w:r>
        <w:rPr>
          <w:rFonts w:hint="eastAsia" w:ascii="宋体" w:hAnsi="宋体" w:cs="宋体"/>
          <w:bCs/>
          <w:color w:val="auto"/>
          <w:spacing w:val="8"/>
          <w:kern w:val="0"/>
          <w:sz w:val="24"/>
          <w:highlight w:val="none"/>
        </w:rPr>
        <w:t>具有良好的商业信誉和健全的财务会计制度(提供采购公告前近半年（至少一个月）财务报表，复印件加盖公章）；</w:t>
      </w:r>
    </w:p>
    <w:p w14:paraId="7DCFE250">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 xml:space="preserve">（3）具有履行合同所必需的设备和专业技术能力（根据项目需求提供履行合同所必需的设备和专业技术能力的证明材料，复印件加盖公章)； </w:t>
      </w:r>
    </w:p>
    <w:p w14:paraId="563991F3">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 xml:space="preserve">（4）有依法缴纳税收和社会保障资金的良好记录（提供采购公告前近半年（至少一个月）依法缴纳税收和缴纳社会保障资金的相关资料，复印件加盖公章)； </w:t>
      </w:r>
    </w:p>
    <w:p w14:paraId="1F3BA6EB">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（5）参加政府采购活动前三年内，在经营活动中没有重大违法记录（提供参加本次政府采购活动前 3 年内在经营活动中没有重大违法记录的书面声明的原件）；</w:t>
      </w:r>
    </w:p>
    <w:p w14:paraId="470A1FA3">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（6）法律、行政法规规定的其他条件。</w:t>
      </w:r>
    </w:p>
    <w:p w14:paraId="24E3C313">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注：依据南京市财政局”关于在政府采购中推行信用承诺制的通知“，政府采购供应商只需在资格审查环节针对以上6项提供满足相应条件的书面承诺书（南京市政府采购供应商信用记录表暨信用承诺书）。供应商在中标（成交）后，应按采购文件要求，将由信用承诺书替代的证明材料提交采购人或采购代理机构核验，经核验无误后，由采购人或采购代理机构发出中标（成交）通知书。</w:t>
      </w:r>
      <w:bookmarkStart w:id="48" w:name="_Toc28359014"/>
      <w:bookmarkStart w:id="49" w:name="_Toc28359091"/>
    </w:p>
    <w:p w14:paraId="2A79612C">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不适用信用承诺的情形：</w:t>
      </w:r>
    </w:p>
    <w:p w14:paraId="14379239">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（一）供应商被列入严重失信主体名单；</w:t>
      </w:r>
    </w:p>
    <w:p w14:paraId="7D6CB656">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（二）被相关监管部门作出行政处罚且尚在处罚有效期内；</w:t>
      </w:r>
    </w:p>
    <w:p w14:paraId="1E32A4CC">
      <w:pPr>
        <w:autoSpaceDE w:val="0"/>
        <w:autoSpaceDN w:val="0"/>
        <w:adjustRightInd w:val="0"/>
        <w:snapToGrid w:val="0"/>
        <w:spacing w:line="312" w:lineRule="auto"/>
        <w:ind w:firstLine="512" w:firstLineChars="200"/>
        <w:rPr>
          <w:rFonts w:hint="eastAsia"/>
          <w:color w:val="auto"/>
          <w:highlight w:val="none"/>
        </w:rPr>
      </w:pPr>
      <w:r>
        <w:rPr>
          <w:rFonts w:hint="eastAsia" w:ascii="宋体" w:hAnsi="宋体" w:cs="宋体"/>
          <w:bCs/>
          <w:color w:val="auto"/>
          <w:spacing w:val="8"/>
          <w:kern w:val="0"/>
          <w:sz w:val="24"/>
          <w:highlight w:val="none"/>
        </w:rPr>
        <w:t>（三）其他法律、行政法规规定的不适用信用承诺的情形。</w:t>
      </w:r>
    </w:p>
    <w:p w14:paraId="422B675A">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违反信用承诺的法律责任：</w:t>
      </w:r>
    </w:p>
    <w:p w14:paraId="4C351C78">
      <w:pPr>
        <w:autoSpaceDE w:val="0"/>
        <w:autoSpaceDN w:val="0"/>
        <w:adjustRightInd w:val="0"/>
        <w:snapToGrid w:val="0"/>
        <w:spacing w:line="312" w:lineRule="auto"/>
        <w:ind w:firstLine="512" w:firstLineChars="200"/>
        <w:rPr>
          <w:rFonts w:hint="eastAsia" w:ascii="宋体" w:hAnsi="宋体" w:cs="宋体"/>
          <w:bCs/>
          <w:color w:val="auto"/>
          <w:spacing w:val="8"/>
          <w:kern w:val="0"/>
          <w:sz w:val="24"/>
          <w:highlight w:val="none"/>
        </w:rPr>
      </w:pPr>
      <w:r>
        <w:rPr>
          <w:rFonts w:hint="eastAsia" w:ascii="宋体" w:hAnsi="宋体" w:cs="宋体"/>
          <w:bCs/>
          <w:color w:val="auto"/>
          <w:spacing w:val="8"/>
          <w:kern w:val="0"/>
          <w:sz w:val="24"/>
          <w:highlight w:val="none"/>
        </w:rPr>
        <w:t>投标人对信用承诺内容的真实性、合法性、有效性负责。如作出虚假信用承诺，视同为“提供虚假材料谋取中标”的违法行为。</w:t>
      </w:r>
    </w:p>
    <w:p w14:paraId="5809476A">
      <w:pPr>
        <w:widowControl/>
        <w:adjustRightInd w:val="0"/>
        <w:spacing w:line="360" w:lineRule="auto"/>
        <w:ind w:firstLine="482" w:firstLineChars="200"/>
        <w:jc w:val="left"/>
        <w:rPr>
          <w:rFonts w:hint="eastAsia"/>
          <w:color w:val="auto"/>
          <w:highlight w:val="none"/>
        </w:rPr>
      </w:pPr>
      <w:r>
        <w:rPr>
          <w:rFonts w:hint="eastAsia" w:ascii="宋体" w:hAnsi="宋体" w:cs="宋体"/>
          <w:b/>
          <w:color w:val="auto"/>
          <w:sz w:val="24"/>
          <w:highlight w:val="none"/>
        </w:rPr>
        <w:t>2.2.落实政府采购政策需满足的资格要求：</w:t>
      </w:r>
      <w:r>
        <w:rPr>
          <w:rFonts w:hint="eastAsia" w:ascii="宋体" w:hAnsi="宋体" w:cs="宋体"/>
          <w:b/>
          <w:color w:val="auto"/>
          <w:sz w:val="24"/>
          <w:highlight w:val="none"/>
          <w:lang w:val="zh-CN"/>
        </w:rPr>
        <w:t>本项目为非预留份额的采购项目或采购包，执行价格扣除优惠政策，</w:t>
      </w:r>
      <w:r>
        <w:rPr>
          <w:rFonts w:hint="eastAsia" w:ascii="宋体" w:hAnsi="宋体" w:cs="宋体"/>
          <w:b/>
          <w:color w:val="auto"/>
          <w:sz w:val="24"/>
          <w:highlight w:val="none"/>
        </w:rPr>
        <w:t>具体详见采购文件</w:t>
      </w:r>
      <w:r>
        <w:rPr>
          <w:rFonts w:hint="eastAsia" w:ascii="宋体" w:hAnsi="宋体" w:cs="宋体"/>
          <w:b/>
          <w:color w:val="auto"/>
          <w:sz w:val="24"/>
          <w:highlight w:val="none"/>
          <w:lang w:val="zh-CN"/>
        </w:rPr>
        <w:t>。</w:t>
      </w:r>
    </w:p>
    <w:p w14:paraId="15304922">
      <w:pPr>
        <w:widowControl/>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rPr>
        <w:t>2.3.</w:t>
      </w:r>
      <w:r>
        <w:rPr>
          <w:rFonts w:hint="eastAsia" w:ascii="宋体" w:hAnsi="宋体" w:cs="宋体"/>
          <w:b/>
          <w:color w:val="auto"/>
          <w:sz w:val="24"/>
          <w:highlight w:val="none"/>
          <w:lang w:val="zh-CN"/>
        </w:rPr>
        <w:t>采购人根据采购项目的特殊要求规定的特定条件：</w:t>
      </w:r>
    </w:p>
    <w:p w14:paraId="79AC98E7">
      <w:pPr>
        <w:widowControl/>
        <w:spacing w:line="360" w:lineRule="auto"/>
        <w:ind w:firstLine="480" w:firstLineChars="200"/>
        <w:rPr>
          <w:rFonts w:hint="eastAsia" w:ascii="宋体" w:hAnsi="宋体" w:cs="宋体"/>
          <w:bCs/>
          <w:color w:val="FF0000"/>
          <w:sz w:val="24"/>
          <w:highlight w:val="none"/>
          <w:lang w:val="en-GB"/>
        </w:rPr>
      </w:pPr>
      <w:bookmarkStart w:id="50" w:name="_Toc35393631"/>
      <w:bookmarkStart w:id="51" w:name="_Toc4268"/>
      <w:bookmarkStart w:id="52" w:name="_Toc35393800"/>
      <w:bookmarkStart w:id="53" w:name="_Toc6489"/>
      <w:bookmarkStart w:id="54" w:name="_Toc19204"/>
      <w:r>
        <w:rPr>
          <w:rFonts w:hint="eastAsia" w:ascii="宋体" w:hAnsi="宋体" w:cs="宋体"/>
          <w:bCs/>
          <w:color w:val="FF0000"/>
          <w:sz w:val="24"/>
          <w:highlight w:val="none"/>
          <w:lang w:val="en-GB"/>
        </w:rPr>
        <w:t>（1）供应商资质等级及范围：</w:t>
      </w:r>
      <w:r>
        <w:rPr>
          <w:rFonts w:hint="eastAsia" w:ascii="宋体" w:hAnsi="宋体" w:cs="宋体"/>
          <w:bCs/>
          <w:color w:val="FF0000"/>
          <w:sz w:val="24"/>
          <w:highlight w:val="none"/>
          <w:u w:val="single"/>
          <w:lang w:val="en-GB"/>
        </w:rPr>
        <w:t>施工总承包市政公用工程三级（含）以上并且具有有效的安全生产许可证</w:t>
      </w:r>
      <w:r>
        <w:rPr>
          <w:rFonts w:hint="eastAsia" w:ascii="宋体" w:hAnsi="宋体" w:cs="宋体"/>
          <w:bCs/>
          <w:color w:val="FF0000"/>
          <w:sz w:val="24"/>
          <w:highlight w:val="none"/>
          <w:lang w:val="en-GB"/>
        </w:rPr>
        <w:t>（提供有效的资质证书</w:t>
      </w:r>
      <w:r>
        <w:rPr>
          <w:rFonts w:hint="eastAsia" w:ascii="宋体" w:hAnsi="宋体" w:cs="宋体"/>
          <w:bCs/>
          <w:color w:val="FF0000"/>
          <w:sz w:val="24"/>
          <w:highlight w:val="none"/>
        </w:rPr>
        <w:t>及</w:t>
      </w:r>
      <w:r>
        <w:rPr>
          <w:rFonts w:hint="eastAsia" w:ascii="宋体" w:hAnsi="宋体" w:cs="宋体"/>
          <w:bCs/>
          <w:color w:val="FF0000"/>
          <w:sz w:val="24"/>
          <w:highlight w:val="none"/>
          <w:lang w:val="en-GB"/>
        </w:rPr>
        <w:t>安全生产许可证复印件并加盖公章）；</w:t>
      </w:r>
    </w:p>
    <w:p w14:paraId="2E8DA038">
      <w:pPr>
        <w:widowControl/>
        <w:spacing w:line="360" w:lineRule="auto"/>
        <w:ind w:firstLine="480" w:firstLineChars="200"/>
        <w:rPr>
          <w:rFonts w:hint="eastAsia" w:ascii="宋体" w:hAnsi="宋体" w:cs="宋体"/>
          <w:bCs/>
          <w:color w:val="FF0000"/>
          <w:sz w:val="24"/>
          <w:highlight w:val="none"/>
          <w:lang w:val="en-GB"/>
        </w:rPr>
      </w:pPr>
      <w:r>
        <w:rPr>
          <w:rFonts w:hint="eastAsia" w:ascii="宋体" w:hAnsi="宋体" w:cs="宋体"/>
          <w:bCs/>
          <w:color w:val="FF0000"/>
          <w:sz w:val="24"/>
          <w:highlight w:val="none"/>
          <w:lang w:val="en-GB"/>
        </w:rPr>
        <w:t>（2）项目经理资质类别和等级：</w:t>
      </w:r>
      <w:r>
        <w:rPr>
          <w:rFonts w:hint="eastAsia" w:ascii="宋体" w:hAnsi="宋体" w:cs="宋体"/>
          <w:bCs/>
          <w:color w:val="FF0000"/>
          <w:sz w:val="24"/>
          <w:highlight w:val="none"/>
          <w:u w:val="single"/>
          <w:lang w:val="en-GB"/>
        </w:rPr>
        <w:t>具有注册建造师</w:t>
      </w:r>
      <w:r>
        <w:rPr>
          <w:rFonts w:hint="eastAsia" w:ascii="宋体" w:hAnsi="宋体" w:cs="宋体"/>
          <w:bCs/>
          <w:color w:val="FF0000"/>
          <w:sz w:val="24"/>
          <w:highlight w:val="none"/>
          <w:u w:val="single"/>
        </w:rPr>
        <w:t>市政公用</w:t>
      </w:r>
      <w:r>
        <w:rPr>
          <w:rFonts w:hint="eastAsia" w:ascii="宋体" w:hAnsi="宋体" w:cs="宋体"/>
          <w:bCs/>
          <w:color w:val="FF0000"/>
          <w:sz w:val="24"/>
          <w:highlight w:val="none"/>
          <w:u w:val="single"/>
          <w:lang w:val="en-GB"/>
        </w:rPr>
        <w:t>工程</w:t>
      </w:r>
      <w:r>
        <w:rPr>
          <w:rFonts w:hint="eastAsia" w:ascii="宋体" w:hAnsi="宋体" w:cs="宋体"/>
          <w:bCs/>
          <w:color w:val="FF0000"/>
          <w:sz w:val="24"/>
          <w:highlight w:val="none"/>
          <w:u w:val="single"/>
        </w:rPr>
        <w:t>二</w:t>
      </w:r>
      <w:r>
        <w:rPr>
          <w:rFonts w:hint="eastAsia" w:ascii="宋体" w:hAnsi="宋体" w:cs="宋体"/>
          <w:bCs/>
          <w:color w:val="FF0000"/>
          <w:sz w:val="24"/>
          <w:highlight w:val="none"/>
          <w:u w:val="single"/>
          <w:lang w:val="en-GB"/>
        </w:rPr>
        <w:t>级及以上，并且具有有效期内的安全生产考核B证</w:t>
      </w:r>
      <w:r>
        <w:rPr>
          <w:rFonts w:hint="eastAsia" w:ascii="宋体" w:hAnsi="宋体" w:cs="宋体"/>
          <w:bCs/>
          <w:color w:val="FF0000"/>
          <w:sz w:val="24"/>
          <w:highlight w:val="none"/>
          <w:lang w:val="en-GB"/>
        </w:rPr>
        <w:t>（提供有效的证书及安全生产考核B类证书</w:t>
      </w:r>
      <w:r>
        <w:rPr>
          <w:rFonts w:hint="eastAsia" w:ascii="宋体" w:hAnsi="宋体" w:cs="宋体"/>
          <w:bCs/>
          <w:color w:val="FF0000"/>
          <w:sz w:val="24"/>
          <w:highlight w:val="none"/>
        </w:rPr>
        <w:t>复印件</w:t>
      </w:r>
      <w:r>
        <w:rPr>
          <w:rFonts w:hint="eastAsia" w:ascii="宋体" w:hAnsi="宋体" w:cs="宋体"/>
          <w:bCs/>
          <w:color w:val="FF0000"/>
          <w:sz w:val="24"/>
          <w:highlight w:val="none"/>
          <w:lang w:val="en-GB"/>
        </w:rPr>
        <w:t>并加盖公章）；</w:t>
      </w:r>
    </w:p>
    <w:p w14:paraId="2276F170">
      <w:pPr>
        <w:widowControl/>
        <w:spacing w:line="360" w:lineRule="auto"/>
        <w:ind w:firstLine="480" w:firstLineChars="200"/>
        <w:rPr>
          <w:rFonts w:hint="eastAsia" w:ascii="宋体" w:hAnsi="宋体" w:cs="宋体"/>
          <w:bCs/>
          <w:color w:val="auto"/>
          <w:sz w:val="24"/>
          <w:highlight w:val="none"/>
        </w:rPr>
      </w:pPr>
      <w:r>
        <w:rPr>
          <w:rFonts w:hint="eastAsia" w:ascii="宋体" w:hAnsi="宋体" w:cs="宋体"/>
          <w:bCs/>
          <w:color w:val="FF0000"/>
          <w:sz w:val="24"/>
          <w:highlight w:val="none"/>
          <w:lang w:val="en-GB"/>
        </w:rPr>
        <w:t>（3）供应商业绩：2021年</w:t>
      </w:r>
      <w:r>
        <w:rPr>
          <w:rFonts w:hint="eastAsia" w:ascii="宋体" w:hAnsi="宋体" w:cs="宋体"/>
          <w:bCs/>
          <w:color w:val="FF0000"/>
          <w:sz w:val="24"/>
          <w:highlight w:val="none"/>
          <w:lang w:val="en-US" w:eastAsia="zh-CN"/>
        </w:rPr>
        <w:t>1</w:t>
      </w:r>
      <w:r>
        <w:rPr>
          <w:rFonts w:hint="eastAsia" w:ascii="宋体" w:hAnsi="宋体" w:cs="宋体"/>
          <w:bCs/>
          <w:color w:val="FF0000"/>
          <w:sz w:val="24"/>
          <w:highlight w:val="none"/>
          <w:lang w:val="en-GB"/>
        </w:rPr>
        <w:t>月1日（含）以来供应商承担过类似园林绿化业绩；</w:t>
      </w:r>
    </w:p>
    <w:p w14:paraId="1A840954">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注：业绩需提供中标通知书、施工合同、竣工验收合格证明资料复印件加盖公章，原件核查，</w:t>
      </w:r>
      <w:r>
        <w:rPr>
          <w:rFonts w:hint="eastAsia" w:ascii="宋体" w:hAnsi="宋体" w:cs="宋体"/>
          <w:bCs/>
          <w:color w:val="auto"/>
          <w:sz w:val="24"/>
          <w:highlight w:val="none"/>
        </w:rPr>
        <w:t>时间以竣工验收证明的竣工验收时间为准</w:t>
      </w:r>
      <w:r>
        <w:rPr>
          <w:rFonts w:hint="eastAsia" w:ascii="宋体" w:hAnsi="宋体" w:cs="宋体"/>
          <w:bCs/>
          <w:color w:val="auto"/>
          <w:sz w:val="24"/>
          <w:highlight w:val="none"/>
          <w:lang w:val="en-GB"/>
        </w:rPr>
        <w:t>，三者缺一不可，否</w:t>
      </w:r>
      <w:r>
        <w:rPr>
          <w:rFonts w:hint="eastAsia" w:ascii="宋体" w:hAnsi="宋体" w:eastAsia="宋体" w:cs="宋体"/>
          <w:bCs/>
          <w:color w:val="auto"/>
          <w:sz w:val="24"/>
          <w:highlight w:val="none"/>
          <w:lang w:val="en-GB"/>
        </w:rPr>
        <w:t>则资格审查不通过。</w:t>
      </w:r>
    </w:p>
    <w:p w14:paraId="4855BFE4">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4</w:t>
      </w:r>
      <w:r>
        <w:rPr>
          <w:rFonts w:hint="eastAsia" w:ascii="宋体" w:hAnsi="宋体" w:cs="宋体"/>
          <w:bCs/>
          <w:color w:val="auto"/>
          <w:sz w:val="24"/>
          <w:highlight w:val="none"/>
          <w:lang w:val="en-GB"/>
        </w:rPr>
        <w:t>）供应商必须提供社保机构出具的近半年（2024年0</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en-GB"/>
        </w:rPr>
        <w:t>月-2024年0</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val="en-GB"/>
        </w:rPr>
        <w:t>月）供应商为授权委托人和项目负责人缴纳的养老保险缴费证明材料并加盖社保中心公章或社保中心参保缴费证明电子专用章（具有可验证的二维码或验证码），加盖社保中心参保缴费证明电子专用章的社保材料可视为原件，若项目组成员属退休人员、现役军人、事业单位编制人员等客观原因无法提供养老保险金缴费证明，必须出具相关证明材料。</w:t>
      </w:r>
    </w:p>
    <w:p w14:paraId="6251A7C5">
      <w:pPr>
        <w:widowControl/>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5</w:t>
      </w:r>
      <w:r>
        <w:rPr>
          <w:rFonts w:hint="eastAsia" w:ascii="宋体" w:hAnsi="宋体" w:cs="宋体"/>
          <w:bCs/>
          <w:color w:val="auto"/>
          <w:sz w:val="24"/>
          <w:highlight w:val="none"/>
          <w:lang w:val="en-GB"/>
        </w:rPr>
        <w:t xml:space="preserve">）项目负责人必须满足下列条件（提供承诺书原件）：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a. 项目负责人不得同时在两个或者两个以上单位受聘或者执业（包括但不限于以下两种情况）：</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w:t>
      </w:r>
      <w:r>
        <w:rPr>
          <w:rFonts w:hint="eastAsia" w:ascii="宋体" w:hAnsi="宋体" w:cs="宋体"/>
          <w:bCs/>
          <w:color w:val="auto"/>
          <w:sz w:val="24"/>
          <w:highlight w:val="none"/>
          <w:lang w:val="en-GB"/>
        </w:rPr>
        <w:fldChar w:fldCharType="begin"/>
      </w:r>
      <w:r>
        <w:rPr>
          <w:rFonts w:hint="eastAsia" w:ascii="宋体" w:hAnsi="宋体" w:cs="宋体"/>
          <w:bCs/>
          <w:color w:val="auto"/>
          <w:sz w:val="24"/>
          <w:highlight w:val="none"/>
          <w:lang w:val="en-GB"/>
        </w:rPr>
        <w:instrText xml:space="preserve"> = 1 \* GB3 </w:instrText>
      </w:r>
      <w:r>
        <w:rPr>
          <w:rFonts w:hint="eastAsia" w:ascii="宋体" w:hAnsi="宋体" w:cs="宋体"/>
          <w:bCs/>
          <w:color w:val="auto"/>
          <w:sz w:val="24"/>
          <w:highlight w:val="none"/>
          <w:lang w:val="en-GB"/>
        </w:rPr>
        <w:fldChar w:fldCharType="separate"/>
      </w:r>
      <w:r>
        <w:rPr>
          <w:rFonts w:hint="eastAsia" w:ascii="宋体" w:hAnsi="宋体" w:cs="宋体"/>
          <w:bCs/>
          <w:color w:val="auto"/>
          <w:sz w:val="24"/>
          <w:highlight w:val="none"/>
          <w:lang w:val="en-GB"/>
        </w:rPr>
        <w:t>①</w:t>
      </w:r>
      <w:r>
        <w:rPr>
          <w:rFonts w:hint="eastAsia" w:ascii="宋体" w:hAnsi="宋体" w:cs="宋体"/>
          <w:bCs/>
          <w:color w:val="auto"/>
          <w:sz w:val="24"/>
          <w:highlight w:val="none"/>
          <w:lang w:val="en-GB"/>
        </w:rPr>
        <w:fldChar w:fldCharType="end"/>
      </w:r>
      <w:r>
        <w:rPr>
          <w:rFonts w:hint="eastAsia" w:ascii="宋体" w:hAnsi="宋体" w:cs="宋体"/>
          <w:bCs/>
          <w:color w:val="auto"/>
          <w:sz w:val="24"/>
          <w:highlight w:val="none"/>
          <w:lang w:val="en-GB"/>
        </w:rPr>
        <w:t xml:space="preserve">同时在两个及以上单位签订劳动合同或交纳社会保险；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w:t>
      </w:r>
      <w:r>
        <w:rPr>
          <w:rFonts w:hint="eastAsia" w:ascii="宋体" w:hAnsi="宋体" w:cs="宋体"/>
          <w:bCs/>
          <w:color w:val="auto"/>
          <w:sz w:val="24"/>
          <w:highlight w:val="none"/>
          <w:lang w:val="en-GB"/>
        </w:rPr>
        <w:fldChar w:fldCharType="begin"/>
      </w:r>
      <w:r>
        <w:rPr>
          <w:rFonts w:hint="eastAsia" w:ascii="宋体" w:hAnsi="宋体" w:cs="宋体"/>
          <w:bCs/>
          <w:color w:val="auto"/>
          <w:sz w:val="24"/>
          <w:highlight w:val="none"/>
          <w:lang w:val="en-GB"/>
        </w:rPr>
        <w:instrText xml:space="preserve"> = 2 \* GB3 </w:instrText>
      </w:r>
      <w:r>
        <w:rPr>
          <w:rFonts w:hint="eastAsia" w:ascii="宋体" w:hAnsi="宋体" w:cs="宋体"/>
          <w:bCs/>
          <w:color w:val="auto"/>
          <w:sz w:val="24"/>
          <w:highlight w:val="none"/>
          <w:lang w:val="en-GB"/>
        </w:rPr>
        <w:fldChar w:fldCharType="separate"/>
      </w:r>
      <w:r>
        <w:rPr>
          <w:rFonts w:hint="eastAsia" w:ascii="宋体" w:hAnsi="宋体" w:cs="宋体"/>
          <w:bCs/>
          <w:color w:val="auto"/>
          <w:sz w:val="24"/>
          <w:highlight w:val="none"/>
          <w:lang w:val="en-GB"/>
        </w:rPr>
        <w:t>②</w:t>
      </w:r>
      <w:r>
        <w:rPr>
          <w:rFonts w:hint="eastAsia" w:ascii="宋体" w:hAnsi="宋体" w:cs="宋体"/>
          <w:bCs/>
          <w:color w:val="auto"/>
          <w:sz w:val="24"/>
          <w:highlight w:val="none"/>
          <w:lang w:val="en-GB"/>
        </w:rPr>
        <w:fldChar w:fldCharType="end"/>
      </w:r>
      <w:r>
        <w:rPr>
          <w:rFonts w:hint="eastAsia" w:ascii="宋体" w:hAnsi="宋体" w:cs="宋体"/>
          <w:bCs/>
          <w:color w:val="auto"/>
          <w:sz w:val="24"/>
          <w:highlight w:val="none"/>
          <w:lang w:val="en-GB"/>
        </w:rPr>
        <w:t xml:space="preserve">将本人执（职）业资格证书同时注册在两个及以上单位。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b. 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 文、同一施工地点分段发包或分期施工的情况且总的工程规模在项目负责人执业范围之内；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c. 项目负责人无行贿犯罪行为记录；或者有行贿犯罪行为记录，但自记录之日起已超过5年的。</w:t>
      </w:r>
    </w:p>
    <w:p w14:paraId="78950B3B">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6</w:t>
      </w:r>
      <w:r>
        <w:rPr>
          <w:rFonts w:hint="eastAsia" w:ascii="宋体" w:hAnsi="宋体" w:cs="宋体"/>
          <w:bCs/>
          <w:color w:val="auto"/>
          <w:sz w:val="24"/>
          <w:highlight w:val="none"/>
          <w:lang w:val="en-GB"/>
        </w:rPr>
        <w:t>）</w:t>
      </w:r>
      <w:r>
        <w:rPr>
          <w:rFonts w:hint="eastAsia" w:ascii="宋体" w:hAnsi="宋体" w:eastAsia="宋体" w:cs="宋体"/>
          <w:bCs/>
          <w:color w:val="auto"/>
          <w:sz w:val="24"/>
          <w:highlight w:val="none"/>
          <w:lang w:val="en-GB"/>
        </w:rPr>
        <w:t>资格审查时，若投标人或项目负责人是被红牌、黄牌警示的单位和责任人，并在警示期内，将作资格审查不通过处理（红、黄牌警示信息均以南京市公共资源交易中心网上发布的信息为准</w:t>
      </w:r>
      <w:r>
        <w:rPr>
          <w:rFonts w:hint="eastAsia" w:ascii="宋体" w:hAnsi="宋体" w:eastAsia="宋体" w:cs="宋体"/>
          <w:bCs/>
          <w:color w:val="auto"/>
          <w:sz w:val="24"/>
          <w:highlight w:val="none"/>
          <w:lang w:val="en-GB" w:eastAsia="zh-CN"/>
        </w:rPr>
        <w:t>）</w:t>
      </w:r>
      <w:r>
        <w:rPr>
          <w:rFonts w:hint="eastAsia" w:ascii="宋体" w:hAnsi="宋体" w:cs="宋体"/>
          <w:bCs/>
          <w:color w:val="auto"/>
          <w:sz w:val="24"/>
          <w:highlight w:val="none"/>
          <w:lang w:val="en-GB"/>
        </w:rPr>
        <w:t>。</w:t>
      </w:r>
    </w:p>
    <w:p w14:paraId="4D62DE35">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7</w:t>
      </w:r>
      <w:r>
        <w:rPr>
          <w:rFonts w:hint="eastAsia" w:ascii="宋体" w:hAnsi="宋体" w:cs="宋体"/>
          <w:bCs/>
          <w:color w:val="auto"/>
          <w:sz w:val="24"/>
          <w:highlight w:val="none"/>
          <w:lang w:val="en-GB"/>
        </w:rPr>
        <w:t>）本项目要求项目负责人无在建工程（提供承诺书原件加盖公章，格式自拟）。</w:t>
      </w:r>
    </w:p>
    <w:p w14:paraId="6ECE9D65">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8</w:t>
      </w:r>
      <w:r>
        <w:rPr>
          <w:rFonts w:hint="eastAsia" w:ascii="宋体" w:hAnsi="宋体" w:cs="宋体"/>
          <w:bCs/>
          <w:color w:val="auto"/>
          <w:sz w:val="24"/>
          <w:highlight w:val="none"/>
          <w:lang w:val="en-GB"/>
        </w:rPr>
        <w:t>）本章2.1第（5）条所称重大违法记录，是指供应商因违法经营受到刑事处罚或者责令停产停业、吊销许可证或者执照、较大数额罚款等行政处罚。</w:t>
      </w:r>
    </w:p>
    <w:p w14:paraId="7A84E36B">
      <w:pPr>
        <w:keepNext/>
        <w:keepLines/>
        <w:numPr>
          <w:ilvl w:val="1"/>
          <w:numId w:val="2"/>
        </w:numPr>
        <w:spacing w:before="120" w:after="120" w:line="360" w:lineRule="auto"/>
        <w:ind w:left="0" w:firstLine="0"/>
        <w:jc w:val="left"/>
        <w:outlineLvl w:val="1"/>
        <w:rPr>
          <w:rFonts w:hint="eastAsia" w:ascii="宋体" w:hAnsi="宋体" w:cs="宋体"/>
          <w:b/>
          <w:bCs/>
          <w:color w:val="auto"/>
          <w:spacing w:val="8"/>
          <w:kern w:val="0"/>
          <w:sz w:val="24"/>
          <w:szCs w:val="32"/>
          <w:highlight w:val="none"/>
        </w:rPr>
      </w:pPr>
      <w:r>
        <w:rPr>
          <w:rFonts w:hint="eastAsia" w:ascii="宋体" w:hAnsi="宋体" w:cs="宋体"/>
          <w:b/>
          <w:bCs/>
          <w:color w:val="auto"/>
          <w:spacing w:val="8"/>
          <w:kern w:val="0"/>
          <w:sz w:val="24"/>
          <w:szCs w:val="32"/>
          <w:highlight w:val="none"/>
        </w:rPr>
        <w:t>三、获取采购文件</w:t>
      </w:r>
      <w:bookmarkEnd w:id="48"/>
      <w:bookmarkEnd w:id="49"/>
      <w:bookmarkEnd w:id="50"/>
      <w:bookmarkEnd w:id="51"/>
      <w:bookmarkEnd w:id="52"/>
      <w:bookmarkEnd w:id="53"/>
      <w:bookmarkEnd w:id="54"/>
    </w:p>
    <w:p w14:paraId="6A1E5128">
      <w:pPr>
        <w:widowControl/>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3.1时间：2024年</w:t>
      </w:r>
      <w:r>
        <w:rPr>
          <w:rFonts w:hint="eastAsia" w:ascii="宋体" w:hAnsi="宋体" w:cs="宋体"/>
          <w:color w:val="auto"/>
          <w:spacing w:val="8"/>
          <w:kern w:val="0"/>
          <w:sz w:val="24"/>
          <w:highlight w:val="none"/>
          <w:lang w:val="en-US" w:eastAsia="zh-CN"/>
        </w:rPr>
        <w:t>9</w:t>
      </w:r>
      <w:r>
        <w:rPr>
          <w:rFonts w:hint="eastAsia" w:ascii="宋体" w:hAnsi="宋体" w:cs="宋体"/>
          <w:color w:val="auto"/>
          <w:spacing w:val="8"/>
          <w:kern w:val="0"/>
          <w:sz w:val="24"/>
          <w:highlight w:val="none"/>
        </w:rPr>
        <w:t>月</w:t>
      </w:r>
      <w:r>
        <w:rPr>
          <w:rFonts w:hint="eastAsia" w:ascii="宋体" w:hAnsi="宋体" w:cs="宋体"/>
          <w:color w:val="auto"/>
          <w:spacing w:val="8"/>
          <w:kern w:val="0"/>
          <w:sz w:val="24"/>
          <w:highlight w:val="none"/>
          <w:lang w:val="en-US" w:eastAsia="zh-CN"/>
        </w:rPr>
        <w:t>10</w:t>
      </w:r>
      <w:r>
        <w:rPr>
          <w:rFonts w:hint="eastAsia" w:ascii="宋体" w:hAnsi="宋体" w:cs="宋体"/>
          <w:color w:val="auto"/>
          <w:spacing w:val="8"/>
          <w:kern w:val="0"/>
          <w:sz w:val="24"/>
          <w:highlight w:val="none"/>
        </w:rPr>
        <w:t>日至2024年</w:t>
      </w:r>
      <w:r>
        <w:rPr>
          <w:rFonts w:hint="eastAsia" w:ascii="宋体" w:hAnsi="宋体" w:cs="宋体"/>
          <w:color w:val="auto"/>
          <w:spacing w:val="8"/>
          <w:kern w:val="0"/>
          <w:sz w:val="24"/>
          <w:highlight w:val="none"/>
          <w:lang w:val="en-US" w:eastAsia="zh-CN"/>
        </w:rPr>
        <w:t>9</w:t>
      </w:r>
      <w:r>
        <w:rPr>
          <w:rFonts w:hint="eastAsia" w:ascii="宋体" w:hAnsi="宋体" w:cs="宋体"/>
          <w:color w:val="auto"/>
          <w:spacing w:val="8"/>
          <w:kern w:val="0"/>
          <w:sz w:val="24"/>
          <w:highlight w:val="none"/>
        </w:rPr>
        <w:t>月</w:t>
      </w:r>
      <w:r>
        <w:rPr>
          <w:rFonts w:hint="eastAsia" w:ascii="宋体" w:hAnsi="宋体" w:cs="宋体"/>
          <w:color w:val="auto"/>
          <w:spacing w:val="8"/>
          <w:kern w:val="0"/>
          <w:sz w:val="24"/>
          <w:highlight w:val="none"/>
          <w:lang w:val="en-US" w:eastAsia="zh-CN"/>
        </w:rPr>
        <w:t>18</w:t>
      </w:r>
      <w:r>
        <w:rPr>
          <w:rFonts w:hint="eastAsia" w:ascii="宋体" w:hAnsi="宋体" w:cs="宋体"/>
          <w:color w:val="auto"/>
          <w:spacing w:val="8"/>
          <w:kern w:val="0"/>
          <w:sz w:val="24"/>
          <w:highlight w:val="none"/>
        </w:rPr>
        <w:t>日每天上午</w:t>
      </w:r>
      <w:r>
        <w:rPr>
          <w:rFonts w:ascii="宋体" w:hAnsi="宋体" w:cs="宋体"/>
          <w:color w:val="auto"/>
          <w:spacing w:val="8"/>
          <w:kern w:val="0"/>
          <w:sz w:val="24"/>
          <w:highlight w:val="none"/>
        </w:rPr>
        <w:t>9：00至11:30</w:t>
      </w:r>
      <w:r>
        <w:rPr>
          <w:rFonts w:hint="eastAsia" w:ascii="宋体" w:hAnsi="宋体" w:cs="宋体"/>
          <w:color w:val="auto"/>
          <w:spacing w:val="8"/>
          <w:kern w:val="0"/>
          <w:sz w:val="24"/>
          <w:highlight w:val="none"/>
        </w:rPr>
        <w:t>，下午</w:t>
      </w:r>
      <w:r>
        <w:rPr>
          <w:rFonts w:ascii="宋体" w:hAnsi="宋体" w:cs="宋体"/>
          <w:color w:val="auto"/>
          <w:spacing w:val="8"/>
          <w:kern w:val="0"/>
          <w:sz w:val="24"/>
          <w:highlight w:val="none"/>
        </w:rPr>
        <w:t>14:00至17:00</w:t>
      </w:r>
      <w:r>
        <w:rPr>
          <w:rFonts w:hint="eastAsia" w:ascii="宋体" w:hAnsi="宋体" w:cs="宋体"/>
          <w:color w:val="auto"/>
          <w:spacing w:val="8"/>
          <w:kern w:val="0"/>
          <w:sz w:val="24"/>
          <w:highlight w:val="none"/>
        </w:rPr>
        <w:t>（北京时间，法定节假日除外）</w:t>
      </w:r>
    </w:p>
    <w:p w14:paraId="65193A6E">
      <w:pPr>
        <w:widowControl/>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3.2方式及地点：（1）获取地点：南京市江宁区龙眠大道568号max科技园9栋B座，凡有意参加磋商者，企业法定代表人或授权委托人携带：</w:t>
      </w:r>
      <w:r>
        <w:rPr>
          <w:rFonts w:hint="eastAsia" w:ascii="宋体" w:hAnsi="宋体" w:cs="宋体"/>
          <w:color w:val="auto"/>
          <w:spacing w:val="8"/>
          <w:kern w:val="0"/>
          <w:sz w:val="24"/>
          <w:highlight w:val="none"/>
          <w:lang w:val="en-GB"/>
        </w:rPr>
        <w:t>营业执照（三证合一）复印件加盖公章、</w:t>
      </w:r>
      <w:r>
        <w:rPr>
          <w:rFonts w:hint="eastAsia" w:ascii="宋体" w:hAnsi="宋体" w:cs="宋体"/>
          <w:color w:val="auto"/>
          <w:spacing w:val="8"/>
          <w:kern w:val="0"/>
          <w:sz w:val="24"/>
          <w:highlight w:val="none"/>
        </w:rPr>
        <w:t>法人代表证明或法人代表针对本项目的授权委托书原件(请在授权书中写清楚委托人姓名、电话、邮箱)、法人代表或授权委托人的身份证原件及复印件至现场购买磋商文件，</w:t>
      </w:r>
      <w:bookmarkStart w:id="55" w:name="_Toc28359082"/>
      <w:bookmarkStart w:id="56" w:name="_Toc35393624"/>
      <w:bookmarkStart w:id="57" w:name="_Toc35393793"/>
      <w:bookmarkStart w:id="58" w:name="_Toc28359005"/>
      <w:r>
        <w:rPr>
          <w:rFonts w:hint="eastAsia" w:ascii="宋体" w:hAnsi="宋体" w:cs="宋体"/>
          <w:color w:val="auto"/>
          <w:spacing w:val="8"/>
          <w:kern w:val="0"/>
          <w:sz w:val="24"/>
          <w:highlight w:val="none"/>
        </w:rPr>
        <w:t>售价：100元</w:t>
      </w:r>
      <w:r>
        <w:rPr>
          <w:rFonts w:hint="eastAsia" w:ascii="宋体" w:hAnsi="宋体" w:cs="宋体"/>
          <w:color w:val="auto"/>
          <w:spacing w:val="8"/>
          <w:kern w:val="0"/>
          <w:sz w:val="24"/>
          <w:highlight w:val="none"/>
          <w:lang w:val="en-GB"/>
        </w:rPr>
        <w:t>/</w:t>
      </w:r>
      <w:r>
        <w:rPr>
          <w:rFonts w:hint="eastAsia" w:ascii="宋体" w:hAnsi="宋体" w:cs="宋体"/>
          <w:color w:val="auto"/>
          <w:spacing w:val="8"/>
          <w:kern w:val="0"/>
          <w:sz w:val="24"/>
          <w:highlight w:val="none"/>
        </w:rPr>
        <w:t>份，售后不退</w:t>
      </w:r>
      <w:bookmarkEnd w:id="55"/>
      <w:bookmarkEnd w:id="56"/>
      <w:bookmarkEnd w:id="57"/>
      <w:bookmarkEnd w:id="58"/>
      <w:r>
        <w:rPr>
          <w:rFonts w:hint="eastAsia" w:ascii="宋体" w:hAnsi="宋体" w:cs="宋体"/>
          <w:color w:val="auto"/>
          <w:spacing w:val="8"/>
          <w:kern w:val="0"/>
          <w:sz w:val="24"/>
          <w:highlight w:val="none"/>
        </w:rPr>
        <w:t>。</w:t>
      </w:r>
    </w:p>
    <w:p w14:paraId="23C37E0C">
      <w:pPr>
        <w:widowControl/>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（2）网上报名，须将报名资料：（1）</w:t>
      </w:r>
      <w:r>
        <w:rPr>
          <w:rFonts w:hint="eastAsia" w:ascii="宋体" w:hAnsi="宋体" w:cs="宋体"/>
          <w:color w:val="auto"/>
          <w:spacing w:val="8"/>
          <w:kern w:val="0"/>
          <w:sz w:val="24"/>
          <w:highlight w:val="none"/>
          <w:lang w:val="en-GB"/>
        </w:rPr>
        <w:t>营业执照（三证合一）复印件加盖公章</w:t>
      </w:r>
      <w:r>
        <w:rPr>
          <w:rFonts w:hint="eastAsia" w:ascii="宋体" w:hAnsi="宋体" w:cs="宋体"/>
          <w:color w:val="auto"/>
          <w:spacing w:val="8"/>
          <w:kern w:val="0"/>
          <w:sz w:val="24"/>
          <w:highlight w:val="none"/>
        </w:rPr>
        <w:t>（2）法人代表证明或法人代表针对本项目的授权委托书(请在授权书中写清楚委托人姓名、电话、邮箱)（3）法人代表或授权委托人的身份证复印件。以上加盖公章扫描件及付款信息截图发到（215859451@qq.com）邮箱，并电话通知，联系电话为：18602530317。</w:t>
      </w:r>
    </w:p>
    <w:p w14:paraId="38996CC7">
      <w:pPr>
        <w:widowControl/>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本项目文本制作费转账支付，信息如下：</w:t>
      </w:r>
    </w:p>
    <w:p w14:paraId="187D391B">
      <w:pPr>
        <w:widowControl/>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公司名称：南京陵新项目管理有限公司</w:t>
      </w:r>
    </w:p>
    <w:p w14:paraId="472A4603">
      <w:pPr>
        <w:widowControl/>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账号：3201210011010000017049</w:t>
      </w:r>
    </w:p>
    <w:p w14:paraId="149F5D1D">
      <w:pPr>
        <w:widowControl/>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 xml:space="preserve">开户行：江苏紫金农村商业银行金箔路支行 </w:t>
      </w:r>
    </w:p>
    <w:p w14:paraId="5E49C810">
      <w:pPr>
        <w:widowControl/>
        <w:spacing w:line="360" w:lineRule="auto"/>
        <w:ind w:firstLine="512" w:firstLineChars="200"/>
        <w:rPr>
          <w:rFonts w:hint="eastAsia" w:ascii="宋体" w:hAnsi="宋体" w:cs="宋体"/>
          <w:color w:val="auto"/>
          <w:spacing w:val="8"/>
          <w:kern w:val="0"/>
          <w:sz w:val="24"/>
          <w:highlight w:val="none"/>
        </w:rPr>
      </w:pPr>
      <w:bookmarkStart w:id="59" w:name="_Toc13301"/>
      <w:bookmarkStart w:id="60" w:name="_Toc11353"/>
      <w:bookmarkStart w:id="61" w:name="_Toc35393801"/>
      <w:bookmarkStart w:id="62" w:name="_Toc31202"/>
      <w:bookmarkStart w:id="63" w:name="_Toc28359092"/>
      <w:bookmarkStart w:id="64" w:name="_Toc28359015"/>
      <w:bookmarkStart w:id="65" w:name="_Toc35393632"/>
      <w:r>
        <w:rPr>
          <w:rFonts w:hint="eastAsia" w:ascii="宋体" w:hAnsi="宋体" w:cs="宋体"/>
          <w:color w:val="auto"/>
          <w:spacing w:val="8"/>
          <w:kern w:val="0"/>
          <w:sz w:val="24"/>
          <w:highlight w:val="none"/>
        </w:rPr>
        <w:t>注：1、请采用网上报名的供应商报名费从供应商基本账户转账，不接受个人转账报名。2、供应商转账时备注项目名称，报名供应商须与递交响应文件供应商名称一致。</w:t>
      </w:r>
    </w:p>
    <w:p w14:paraId="4361AF28">
      <w:pPr>
        <w:keepNext/>
        <w:keepLines/>
        <w:numPr>
          <w:ilvl w:val="1"/>
          <w:numId w:val="2"/>
        </w:numPr>
        <w:spacing w:before="120" w:after="120" w:line="360" w:lineRule="auto"/>
        <w:ind w:left="0" w:firstLine="0"/>
        <w:jc w:val="left"/>
        <w:outlineLvl w:val="1"/>
        <w:rPr>
          <w:rFonts w:hint="eastAsia" w:ascii="宋体" w:hAnsi="宋体" w:cs="宋体"/>
          <w:b/>
          <w:bCs/>
          <w:color w:val="auto"/>
          <w:spacing w:val="8"/>
          <w:kern w:val="0"/>
          <w:sz w:val="24"/>
          <w:szCs w:val="32"/>
          <w:highlight w:val="none"/>
        </w:rPr>
      </w:pPr>
      <w:r>
        <w:rPr>
          <w:rFonts w:hint="eastAsia" w:ascii="宋体" w:hAnsi="宋体" w:cs="宋体"/>
          <w:b/>
          <w:bCs/>
          <w:color w:val="auto"/>
          <w:spacing w:val="8"/>
          <w:kern w:val="0"/>
          <w:sz w:val="24"/>
          <w:szCs w:val="32"/>
          <w:highlight w:val="none"/>
        </w:rPr>
        <w:t>四、响应文件提交</w:t>
      </w:r>
      <w:bookmarkEnd w:id="59"/>
      <w:bookmarkEnd w:id="60"/>
      <w:bookmarkEnd w:id="61"/>
      <w:bookmarkEnd w:id="62"/>
      <w:bookmarkEnd w:id="63"/>
      <w:bookmarkEnd w:id="64"/>
      <w:bookmarkEnd w:id="65"/>
    </w:p>
    <w:p w14:paraId="0D8E8F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截止时间：2024年</w:t>
      </w:r>
      <w:r>
        <w:rPr>
          <w:rFonts w:hint="eastAsia" w:ascii="宋体" w:hAnsi="宋体" w:cs="宋体"/>
          <w:color w:val="auto"/>
          <w:sz w:val="24"/>
          <w:highlight w:val="none"/>
          <w:lang w:eastAsia="zh-CN"/>
        </w:rPr>
        <w:t>09月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时30分（北京时间）</w:t>
      </w:r>
    </w:p>
    <w:p w14:paraId="10358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地点：南京市江宁区龙眠大道568号max科技园9栋B座一号开标室</w:t>
      </w:r>
    </w:p>
    <w:p w14:paraId="6699E56E">
      <w:pPr>
        <w:keepNext/>
        <w:keepLines/>
        <w:numPr>
          <w:ilvl w:val="1"/>
          <w:numId w:val="2"/>
        </w:numPr>
        <w:spacing w:before="120" w:after="120" w:line="360" w:lineRule="auto"/>
        <w:ind w:left="0" w:firstLine="0"/>
        <w:jc w:val="left"/>
        <w:outlineLvl w:val="1"/>
        <w:rPr>
          <w:rFonts w:hint="eastAsia" w:ascii="宋体" w:hAnsi="宋体" w:cs="宋体"/>
          <w:b/>
          <w:bCs/>
          <w:color w:val="auto"/>
          <w:spacing w:val="8"/>
          <w:kern w:val="0"/>
          <w:sz w:val="24"/>
          <w:szCs w:val="32"/>
          <w:highlight w:val="none"/>
        </w:rPr>
      </w:pPr>
      <w:bookmarkStart w:id="66" w:name="_Toc35393633"/>
      <w:bookmarkStart w:id="67" w:name="_Toc3081"/>
      <w:bookmarkStart w:id="68" w:name="_Toc28359093"/>
      <w:bookmarkStart w:id="69" w:name="_Toc28359016"/>
      <w:bookmarkStart w:id="70" w:name="_Toc5258"/>
      <w:bookmarkStart w:id="71" w:name="_Toc35393802"/>
      <w:bookmarkStart w:id="72" w:name="_Toc32577"/>
      <w:r>
        <w:rPr>
          <w:rFonts w:hint="eastAsia" w:ascii="宋体" w:hAnsi="宋体" w:cs="宋体"/>
          <w:b/>
          <w:bCs/>
          <w:color w:val="auto"/>
          <w:spacing w:val="8"/>
          <w:kern w:val="0"/>
          <w:sz w:val="24"/>
          <w:szCs w:val="32"/>
          <w:highlight w:val="none"/>
        </w:rPr>
        <w:t>五、开启</w:t>
      </w:r>
      <w:bookmarkEnd w:id="66"/>
      <w:bookmarkEnd w:id="67"/>
      <w:bookmarkEnd w:id="68"/>
      <w:bookmarkEnd w:id="69"/>
      <w:bookmarkEnd w:id="70"/>
      <w:bookmarkEnd w:id="71"/>
      <w:bookmarkEnd w:id="72"/>
    </w:p>
    <w:p w14:paraId="67E6C9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 时间：2024年</w:t>
      </w:r>
      <w:r>
        <w:rPr>
          <w:rFonts w:hint="eastAsia" w:ascii="宋体" w:hAnsi="宋体" w:cs="宋体"/>
          <w:color w:val="auto"/>
          <w:sz w:val="24"/>
          <w:highlight w:val="none"/>
          <w:lang w:eastAsia="zh-CN"/>
        </w:rPr>
        <w:t>09月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时30分（北京时间）</w:t>
      </w:r>
    </w:p>
    <w:p w14:paraId="6D8D4BC4">
      <w:pPr>
        <w:spacing w:line="360" w:lineRule="auto"/>
        <w:ind w:firstLine="480" w:firstLineChars="200"/>
        <w:rPr>
          <w:rFonts w:hint="eastAsia" w:ascii="宋体" w:hAnsi="宋体" w:cs="宋体"/>
          <w:color w:val="auto"/>
          <w:spacing w:val="8"/>
          <w:kern w:val="0"/>
          <w:sz w:val="24"/>
          <w:highlight w:val="none"/>
        </w:rPr>
      </w:pPr>
      <w:r>
        <w:rPr>
          <w:rFonts w:hint="eastAsia" w:ascii="宋体" w:hAnsi="宋体" w:cs="宋体"/>
          <w:color w:val="auto"/>
          <w:sz w:val="24"/>
          <w:highlight w:val="none"/>
        </w:rPr>
        <w:t>5.2 地点：南京市江宁区龙眠大道568号max科技园9栋B座一号开标室</w:t>
      </w:r>
      <w:r>
        <w:rPr>
          <w:rFonts w:hint="eastAsia" w:ascii="宋体" w:hAnsi="宋体" w:cs="宋体"/>
          <w:color w:val="auto"/>
          <w:spacing w:val="8"/>
          <w:kern w:val="0"/>
          <w:sz w:val="24"/>
          <w:highlight w:val="none"/>
        </w:rPr>
        <w:t xml:space="preserve"> </w:t>
      </w:r>
    </w:p>
    <w:p w14:paraId="0EB54125">
      <w:pPr>
        <w:keepNext/>
        <w:keepLines/>
        <w:numPr>
          <w:ilvl w:val="1"/>
          <w:numId w:val="2"/>
        </w:numPr>
        <w:spacing w:before="120" w:after="120" w:line="360" w:lineRule="auto"/>
        <w:ind w:left="0" w:firstLine="0"/>
        <w:jc w:val="left"/>
        <w:outlineLvl w:val="1"/>
        <w:rPr>
          <w:rFonts w:hint="eastAsia" w:ascii="宋体" w:hAnsi="宋体" w:cs="宋体"/>
          <w:b/>
          <w:bCs/>
          <w:color w:val="auto"/>
          <w:spacing w:val="8"/>
          <w:kern w:val="0"/>
          <w:sz w:val="24"/>
          <w:szCs w:val="32"/>
          <w:highlight w:val="none"/>
        </w:rPr>
      </w:pPr>
      <w:bookmarkStart w:id="73" w:name="_Toc25375"/>
      <w:bookmarkStart w:id="74" w:name="_Toc28359017"/>
      <w:bookmarkStart w:id="75" w:name="_Toc35393634"/>
      <w:bookmarkStart w:id="76" w:name="_Toc28359094"/>
      <w:bookmarkStart w:id="77" w:name="_Toc35393803"/>
      <w:bookmarkStart w:id="78" w:name="_Toc12310"/>
      <w:bookmarkStart w:id="79" w:name="_Toc26170"/>
      <w:r>
        <w:rPr>
          <w:rFonts w:hint="eastAsia" w:ascii="宋体" w:hAnsi="宋体" w:cs="宋体"/>
          <w:b/>
          <w:bCs/>
          <w:color w:val="auto"/>
          <w:spacing w:val="8"/>
          <w:kern w:val="0"/>
          <w:sz w:val="24"/>
          <w:szCs w:val="32"/>
          <w:highlight w:val="none"/>
        </w:rPr>
        <w:t>六、公告期限</w:t>
      </w:r>
      <w:bookmarkEnd w:id="73"/>
      <w:bookmarkEnd w:id="74"/>
      <w:bookmarkEnd w:id="75"/>
      <w:bookmarkEnd w:id="76"/>
      <w:bookmarkEnd w:id="77"/>
      <w:bookmarkEnd w:id="78"/>
      <w:bookmarkEnd w:id="79"/>
    </w:p>
    <w:p w14:paraId="74F20802">
      <w:pPr>
        <w:spacing w:line="360" w:lineRule="auto"/>
        <w:ind w:firstLine="54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自本公告发布之日起5个工作日。</w:t>
      </w:r>
    </w:p>
    <w:p w14:paraId="0F71E8C7">
      <w:pPr>
        <w:keepNext/>
        <w:keepLines/>
        <w:numPr>
          <w:ilvl w:val="1"/>
          <w:numId w:val="2"/>
        </w:numPr>
        <w:spacing w:before="120" w:after="120" w:line="360" w:lineRule="auto"/>
        <w:ind w:left="0" w:firstLine="0"/>
        <w:jc w:val="left"/>
        <w:outlineLvl w:val="1"/>
        <w:rPr>
          <w:rFonts w:ascii="宋体" w:hAnsi="宋体" w:cs="宋体"/>
          <w:b/>
          <w:bCs/>
          <w:color w:val="auto"/>
          <w:spacing w:val="8"/>
          <w:kern w:val="0"/>
          <w:sz w:val="24"/>
          <w:szCs w:val="32"/>
          <w:highlight w:val="none"/>
        </w:rPr>
      </w:pPr>
      <w:bookmarkStart w:id="80" w:name="_Toc14302"/>
      <w:bookmarkStart w:id="81" w:name="_Toc18658"/>
      <w:bookmarkStart w:id="82" w:name="_Toc35393635"/>
      <w:bookmarkStart w:id="83" w:name="_Toc35393804"/>
      <w:bookmarkStart w:id="84" w:name="_Toc3797"/>
      <w:r>
        <w:rPr>
          <w:rFonts w:hint="eastAsia" w:ascii="宋体" w:hAnsi="宋体" w:cs="宋体"/>
          <w:b/>
          <w:bCs/>
          <w:color w:val="auto"/>
          <w:spacing w:val="8"/>
          <w:kern w:val="0"/>
          <w:sz w:val="24"/>
          <w:szCs w:val="32"/>
          <w:highlight w:val="none"/>
        </w:rPr>
        <w:t>七、其他补充事宜</w:t>
      </w:r>
      <w:bookmarkEnd w:id="80"/>
      <w:bookmarkEnd w:id="81"/>
      <w:bookmarkEnd w:id="82"/>
      <w:bookmarkEnd w:id="83"/>
      <w:bookmarkEnd w:id="84"/>
    </w:p>
    <w:p w14:paraId="30512D96">
      <w:pPr>
        <w:pStyle w:val="14"/>
        <w:spacing w:line="360" w:lineRule="auto"/>
        <w:ind w:left="0" w:firstLine="512" w:firstLineChars="200"/>
        <w:rPr>
          <w:rFonts w:hint="eastAsia" w:ascii="宋体" w:hAnsi="宋体" w:cs="宋体"/>
          <w:color w:val="FF0000"/>
          <w:spacing w:val="8"/>
          <w:kern w:val="0"/>
          <w:sz w:val="24"/>
          <w:highlight w:val="none"/>
        </w:rPr>
      </w:pPr>
      <w:r>
        <w:rPr>
          <w:rFonts w:hint="eastAsia" w:ascii="宋体" w:hAnsi="宋体" w:cs="宋体"/>
          <w:color w:val="FF0000"/>
          <w:spacing w:val="8"/>
          <w:kern w:val="0"/>
          <w:sz w:val="24"/>
          <w:highlight w:val="none"/>
        </w:rPr>
        <w:t>1、</w:t>
      </w:r>
      <w:r>
        <w:rPr>
          <w:rFonts w:hint="eastAsia" w:ascii="宋体" w:hAnsi="宋体" w:cs="宋体"/>
          <w:b/>
          <w:color w:val="FF0000"/>
          <w:spacing w:val="8"/>
          <w:kern w:val="0"/>
          <w:sz w:val="24"/>
          <w:highlight w:val="none"/>
        </w:rPr>
        <w:t>差额履约担保要求：成交供应商必须在成交结果公示结束后5天内以转帐支票、银行汇票、银行保函或国有全资担保公司开具的履约保函等方式向采购人递交成交差额履约担保，否则取消中标资格。担保金额为最高投标限价（招标控制价）和中标价的差值。退还时间：竣工验收合格，竣工验收合格后7天内退还差额履约担保（不计息）。</w:t>
      </w:r>
    </w:p>
    <w:p w14:paraId="6F76AF63">
      <w:pPr>
        <w:spacing w:line="360" w:lineRule="auto"/>
        <w:ind w:firstLine="512" w:firstLineChars="200"/>
        <w:rPr>
          <w:rFonts w:hint="eastAsia" w:ascii="宋体" w:hAnsi="宋体" w:cs="宋体"/>
          <w:color w:val="auto"/>
          <w:highlight w:val="none"/>
        </w:rPr>
      </w:pPr>
      <w:r>
        <w:rPr>
          <w:rFonts w:ascii="宋体" w:hAnsi="宋体" w:cs="宋体"/>
          <w:color w:val="auto"/>
          <w:spacing w:val="8"/>
          <w:kern w:val="0"/>
          <w:sz w:val="24"/>
          <w:highlight w:val="none"/>
        </w:rPr>
        <w:t>2</w:t>
      </w:r>
      <w:r>
        <w:rPr>
          <w:rFonts w:hint="eastAsia" w:ascii="宋体" w:hAnsi="宋体" w:cs="宋体"/>
          <w:color w:val="auto"/>
          <w:spacing w:val="8"/>
          <w:kern w:val="0"/>
          <w:sz w:val="24"/>
          <w:highlight w:val="none"/>
        </w:rPr>
        <w:t>、本项目落实的政府采购政策本次招标执行政府强制采购节能产品、鼓励环保产品、扶持福利企业、支持中小微企业、支持监狱和戒毒企业、支持残疾人福利性单位、扶持不发达地区和少数民族地区以及限制采购进口产品等相关政策。</w:t>
      </w:r>
    </w:p>
    <w:p w14:paraId="136D247D">
      <w:pPr>
        <w:spacing w:line="360" w:lineRule="auto"/>
        <w:ind w:firstLine="512" w:firstLineChars="200"/>
        <w:rPr>
          <w:rFonts w:hint="eastAsia" w:ascii="宋体" w:hAnsi="宋体" w:cs="宋体"/>
          <w:color w:val="auto"/>
          <w:spacing w:val="8"/>
          <w:kern w:val="0"/>
          <w:sz w:val="24"/>
          <w:highlight w:val="none"/>
        </w:rPr>
      </w:pPr>
      <w:r>
        <w:rPr>
          <w:rFonts w:ascii="宋体" w:hAnsi="宋体" w:cs="宋体"/>
          <w:color w:val="auto"/>
          <w:spacing w:val="8"/>
          <w:kern w:val="0"/>
          <w:sz w:val="24"/>
          <w:highlight w:val="none"/>
        </w:rPr>
        <w:t>3</w:t>
      </w:r>
      <w:r>
        <w:rPr>
          <w:rFonts w:hint="eastAsia" w:ascii="宋体" w:hAnsi="宋体" w:cs="宋体"/>
          <w:color w:val="auto"/>
          <w:spacing w:val="8"/>
          <w:kern w:val="0"/>
          <w:sz w:val="24"/>
          <w:highlight w:val="none"/>
        </w:rPr>
        <w:t>、</w:t>
      </w:r>
      <w:r>
        <w:rPr>
          <w:rFonts w:hint="eastAsia" w:ascii="宋体" w:hAnsi="宋体" w:cs="宋体"/>
          <w:b/>
          <w:bCs/>
          <w:color w:val="auto"/>
          <w:spacing w:val="8"/>
          <w:kern w:val="0"/>
          <w:sz w:val="24"/>
          <w:highlight w:val="none"/>
        </w:rPr>
        <w:t>供应商诚信档案注册登记（南京市政府采购供应商信用记录表暨信用承诺书）</w:t>
      </w:r>
    </w:p>
    <w:p w14:paraId="0786096C">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根据《南京市政府采购供应商信用管理工作暂行办法》（宁财规〔2018〕10号）有关规定，凡在南京地区参加政府采购活动的供应商，应当事先登陆“信用南京”或“南京公共采购信息网”主页“政府采购供应商诚信档案”栏目进行注册登记。由于特殊原因未及时注册的供应商可先行获取招标文件，但必须在提交投标文件截止日两天前办理。</w:t>
      </w:r>
    </w:p>
    <w:p w14:paraId="3DA56B34">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供应商参加本次政府采购活动时，在招标文件发布之日起至递交投标文件截止日前，应先登录“信用南京”在线打印其“南京市政府采购供应商信用记录表暨信用承诺书”，经法定代表人签字、加盖单位公章后作为投标文件的组成部分提交给采购代理机构或采购人。</w:t>
      </w:r>
    </w:p>
    <w:p w14:paraId="6F80282A">
      <w:pPr>
        <w:spacing w:line="360" w:lineRule="auto"/>
        <w:ind w:firstLine="512" w:firstLineChars="200"/>
        <w:rPr>
          <w:rFonts w:hint="eastAsia" w:ascii="宋体" w:hAnsi="宋体" w:cs="宋体"/>
          <w:color w:val="auto"/>
          <w:spacing w:val="8"/>
          <w:kern w:val="0"/>
          <w:sz w:val="24"/>
          <w:highlight w:val="none"/>
        </w:rPr>
      </w:pPr>
      <w:r>
        <w:rPr>
          <w:rFonts w:ascii="宋体" w:hAnsi="宋体" w:cs="宋体"/>
          <w:color w:val="auto"/>
          <w:spacing w:val="8"/>
          <w:kern w:val="0"/>
          <w:sz w:val="24"/>
          <w:highlight w:val="none"/>
        </w:rPr>
        <w:t>4</w:t>
      </w:r>
      <w:r>
        <w:rPr>
          <w:rFonts w:hint="eastAsia" w:ascii="宋体" w:hAnsi="宋体" w:cs="宋体"/>
          <w:color w:val="auto"/>
          <w:spacing w:val="8"/>
          <w:kern w:val="0"/>
          <w:sz w:val="24"/>
          <w:highlight w:val="none"/>
        </w:rPr>
        <w:t xml:space="preserve">、拒绝下述供应商参加本次采购活动： </w:t>
      </w:r>
    </w:p>
    <w:p w14:paraId="2C3504DA">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（1）供应商单位负责人为同一人或者存在直接控股、管理关系的不同供应商，不得参加同一合同项下的政府采购活动。</w:t>
      </w:r>
    </w:p>
    <w:p w14:paraId="7A6920B8">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（2）凡为采购项目提供整体设计、规范编制或者项目管理、监理、检测等服务的供应商，不得再参加本项目的采购活动。</w:t>
      </w:r>
    </w:p>
    <w:p w14:paraId="1B4D8A0B">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（3）供应商被“信用中国”网站(www.creditchina.gov.cn)、“中国政府采购网”(www.ccgp.gov.cn) 列入失信被执行人、重大税收违法案件当事人名单、政府采购严重违法失信行为记录名单。</w:t>
      </w:r>
    </w:p>
    <w:p w14:paraId="46E70299">
      <w:pPr>
        <w:pStyle w:val="9"/>
        <w:spacing w:before="0" w:beforeAutospacing="0" w:after="0" w:afterAutospacing="0"/>
        <w:ind w:firstLine="512" w:firstLineChars="200"/>
        <w:rPr>
          <w:rFonts w:hint="eastAsia"/>
          <w:color w:val="auto"/>
          <w:spacing w:val="8"/>
          <w:highlight w:val="none"/>
        </w:rPr>
      </w:pPr>
      <w:r>
        <w:rPr>
          <w:rFonts w:hint="eastAsia"/>
          <w:color w:val="auto"/>
          <w:spacing w:val="8"/>
          <w:highlight w:val="none"/>
        </w:rPr>
        <w:t>（4）供应商未提供《南京市政府采购供应商信用记录表暨信用承诺书》</w:t>
      </w:r>
    </w:p>
    <w:p w14:paraId="140121D2">
      <w:pPr>
        <w:spacing w:line="360" w:lineRule="auto"/>
        <w:ind w:firstLine="512" w:firstLineChars="200"/>
        <w:rPr>
          <w:rFonts w:hint="eastAsia" w:ascii="宋体" w:hAnsi="宋体" w:cs="宋体"/>
          <w:color w:val="auto"/>
          <w:spacing w:val="8"/>
          <w:kern w:val="0"/>
          <w:sz w:val="24"/>
          <w:highlight w:val="none"/>
        </w:rPr>
      </w:pPr>
      <w:r>
        <w:rPr>
          <w:rFonts w:ascii="宋体" w:hAnsi="宋体" w:cs="宋体"/>
          <w:color w:val="auto"/>
          <w:spacing w:val="8"/>
          <w:kern w:val="0"/>
          <w:sz w:val="24"/>
          <w:highlight w:val="none"/>
        </w:rPr>
        <w:t>5、</w:t>
      </w:r>
      <w:r>
        <w:rPr>
          <w:rFonts w:hint="eastAsia" w:ascii="宋体" w:hAnsi="宋体" w:cs="宋体"/>
          <w:color w:val="auto"/>
          <w:spacing w:val="8"/>
          <w:kern w:val="0"/>
          <w:sz w:val="24"/>
          <w:highlight w:val="none"/>
        </w:rPr>
        <w:t>集中勘察现场或答疑：</w:t>
      </w:r>
    </w:p>
    <w:p w14:paraId="6BB05EDE">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采购人组织现场勘察及标前答疑会；</w:t>
      </w:r>
    </w:p>
    <w:p w14:paraId="12B0A3FF">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时间：2024年</w:t>
      </w:r>
      <w:r>
        <w:rPr>
          <w:rFonts w:hint="eastAsia" w:ascii="宋体" w:hAnsi="宋体" w:cs="宋体"/>
          <w:color w:val="auto"/>
          <w:spacing w:val="8"/>
          <w:kern w:val="0"/>
          <w:sz w:val="24"/>
          <w:highlight w:val="none"/>
          <w:lang w:val="en-US" w:eastAsia="zh-CN"/>
        </w:rPr>
        <w:t>9</w:t>
      </w:r>
      <w:r>
        <w:rPr>
          <w:rFonts w:hint="eastAsia" w:ascii="宋体" w:hAnsi="宋体" w:cs="宋体"/>
          <w:color w:val="auto"/>
          <w:spacing w:val="8"/>
          <w:kern w:val="0"/>
          <w:sz w:val="24"/>
          <w:highlight w:val="none"/>
        </w:rPr>
        <w:t>月</w:t>
      </w:r>
      <w:r>
        <w:rPr>
          <w:rFonts w:hint="eastAsia" w:ascii="宋体" w:hAnsi="宋体" w:cs="宋体"/>
          <w:color w:val="auto"/>
          <w:spacing w:val="8"/>
          <w:kern w:val="0"/>
          <w:sz w:val="24"/>
          <w:highlight w:val="none"/>
          <w:lang w:val="en-US" w:eastAsia="zh-CN"/>
        </w:rPr>
        <w:t>20</w:t>
      </w:r>
      <w:r>
        <w:rPr>
          <w:rFonts w:hint="eastAsia" w:ascii="宋体" w:hAnsi="宋体" w:cs="宋体"/>
          <w:color w:val="auto"/>
          <w:spacing w:val="8"/>
          <w:kern w:val="0"/>
          <w:sz w:val="24"/>
          <w:highlight w:val="none"/>
        </w:rPr>
        <w:t>日</w:t>
      </w:r>
      <w:r>
        <w:rPr>
          <w:rFonts w:hint="eastAsia" w:ascii="宋体" w:hAnsi="宋体" w:cs="宋体"/>
          <w:color w:val="auto"/>
          <w:spacing w:val="8"/>
          <w:kern w:val="0"/>
          <w:sz w:val="24"/>
          <w:highlight w:val="none"/>
          <w:lang w:val="en-US" w:eastAsia="zh-CN"/>
        </w:rPr>
        <w:t>10</w:t>
      </w:r>
      <w:r>
        <w:rPr>
          <w:rFonts w:hint="eastAsia" w:ascii="宋体" w:hAnsi="宋体" w:cs="宋体"/>
          <w:color w:val="auto"/>
          <w:spacing w:val="8"/>
          <w:kern w:val="0"/>
          <w:sz w:val="24"/>
          <w:highlight w:val="none"/>
        </w:rPr>
        <w:t>:00至1</w:t>
      </w:r>
      <w:r>
        <w:rPr>
          <w:rFonts w:hint="eastAsia" w:ascii="宋体" w:hAnsi="宋体" w:cs="宋体"/>
          <w:color w:val="auto"/>
          <w:spacing w:val="8"/>
          <w:kern w:val="0"/>
          <w:sz w:val="24"/>
          <w:highlight w:val="none"/>
          <w:lang w:val="en-US" w:eastAsia="zh-CN"/>
        </w:rPr>
        <w:t>0</w:t>
      </w:r>
      <w:r>
        <w:rPr>
          <w:rFonts w:hint="eastAsia" w:ascii="宋体" w:hAnsi="宋体" w:cs="宋体"/>
          <w:color w:val="auto"/>
          <w:spacing w:val="8"/>
          <w:kern w:val="0"/>
          <w:sz w:val="24"/>
          <w:highlight w:val="none"/>
        </w:rPr>
        <w:t>:30；</w:t>
      </w:r>
    </w:p>
    <w:p w14:paraId="210E43CB">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地址：</w:t>
      </w:r>
      <w:r>
        <w:rPr>
          <w:rFonts w:hint="eastAsia" w:ascii="宋体" w:hAnsi="宋体" w:cs="宋体"/>
          <w:color w:val="auto"/>
          <w:spacing w:val="8"/>
          <w:kern w:val="0"/>
          <w:sz w:val="24"/>
          <w:highlight w:val="none"/>
          <w:lang w:eastAsia="zh-CN"/>
        </w:rPr>
        <w:t>江东中路与纪念馆北路交叉口口袋公园</w:t>
      </w:r>
      <w:r>
        <w:rPr>
          <w:rFonts w:hint="eastAsia" w:ascii="宋体" w:hAnsi="宋体" w:cs="宋体"/>
          <w:color w:val="auto"/>
          <w:spacing w:val="8"/>
          <w:kern w:val="0"/>
          <w:sz w:val="24"/>
          <w:highlight w:val="none"/>
        </w:rPr>
        <w:t>。</w:t>
      </w:r>
    </w:p>
    <w:p w14:paraId="21A18442">
      <w:pPr>
        <w:spacing w:line="360" w:lineRule="auto"/>
        <w:ind w:firstLine="512" w:firstLineChars="200"/>
        <w:rPr>
          <w:rFonts w:hint="eastAsia" w:ascii="宋体" w:hAnsi="宋体" w:cs="宋体"/>
          <w:color w:val="auto"/>
          <w:highlight w:val="none"/>
        </w:rPr>
      </w:pPr>
      <w:r>
        <w:rPr>
          <w:rFonts w:hint="eastAsia" w:ascii="宋体" w:hAnsi="宋体" w:cs="宋体"/>
          <w:color w:val="auto"/>
          <w:spacing w:val="8"/>
          <w:kern w:val="0"/>
          <w:sz w:val="24"/>
          <w:highlight w:val="none"/>
        </w:rPr>
        <w:t>请获取了采购文件的供应商按上述时间、地址自行前往（供应商代表携带法定代表人授权委托书、身份证原件参加），过时不候，不再另行通知。会后采购人将向所有获取采购文件的供应商告知现场答疑情况，答疑内容是采购文件的一部分，未参加标前答疑会或未勘察现场或考察工作不详细的供应商中标后，不得以不完全了解现场情况为理由而向采购人提出任何索赔或其他要求，对此采购人不承担任何责任并将不作任何答复。</w:t>
      </w:r>
    </w:p>
    <w:p w14:paraId="2AD5751E">
      <w:pPr>
        <w:widowControl/>
        <w:tabs>
          <w:tab w:val="left" w:pos="426"/>
        </w:tabs>
        <w:spacing w:line="360" w:lineRule="auto"/>
        <w:outlineLvl w:val="1"/>
        <w:rPr>
          <w:rFonts w:hint="eastAsia" w:ascii="宋体" w:hAnsi="宋体" w:cs="宋体"/>
          <w:b/>
          <w:color w:val="auto"/>
          <w:spacing w:val="8"/>
          <w:kern w:val="0"/>
          <w:sz w:val="24"/>
          <w:szCs w:val="20"/>
          <w:highlight w:val="none"/>
        </w:rPr>
      </w:pPr>
      <w:bookmarkStart w:id="85" w:name="_Toc25234"/>
      <w:bookmarkStart w:id="86" w:name="_Toc35393636"/>
      <w:bookmarkStart w:id="87" w:name="_Toc9135"/>
      <w:bookmarkStart w:id="88" w:name="_Toc28359095"/>
      <w:bookmarkStart w:id="89" w:name="_Toc28359018"/>
      <w:bookmarkStart w:id="90" w:name="_Toc35393805"/>
      <w:bookmarkStart w:id="91" w:name="_Toc13898"/>
      <w:r>
        <w:rPr>
          <w:rFonts w:hint="eastAsia" w:ascii="宋体" w:hAnsi="宋体" w:cs="宋体"/>
          <w:b/>
          <w:color w:val="auto"/>
          <w:spacing w:val="8"/>
          <w:kern w:val="0"/>
          <w:sz w:val="24"/>
          <w:szCs w:val="20"/>
          <w:highlight w:val="none"/>
        </w:rPr>
        <w:t>八、对本次采购提出询问，请按以下方式联系。</w:t>
      </w:r>
      <w:bookmarkEnd w:id="85"/>
      <w:bookmarkEnd w:id="86"/>
      <w:bookmarkEnd w:id="87"/>
      <w:bookmarkEnd w:id="88"/>
      <w:bookmarkEnd w:id="89"/>
      <w:bookmarkEnd w:id="90"/>
      <w:bookmarkEnd w:id="91"/>
    </w:p>
    <w:p w14:paraId="03A4E8F5">
      <w:pPr>
        <w:widowControl w:val="0"/>
        <w:spacing w:after="120"/>
        <w:ind w:firstLine="256" w:firstLineChars="100"/>
        <w:jc w:val="both"/>
        <w:rPr>
          <w:rFonts w:hint="eastAsia" w:ascii="宋体" w:hAnsi="宋体" w:eastAsia="宋体" w:cs="宋体"/>
          <w:color w:val="auto"/>
          <w:spacing w:val="8"/>
          <w:kern w:val="0"/>
          <w:sz w:val="24"/>
          <w:szCs w:val="24"/>
          <w:highlight w:val="none"/>
          <w:lang w:val="en-US" w:eastAsia="zh-CN" w:bidi="ar-SA"/>
        </w:rPr>
      </w:pPr>
      <w:bookmarkStart w:id="92" w:name="_Toc35393806"/>
      <w:bookmarkStart w:id="93" w:name="_Toc28359019"/>
      <w:bookmarkStart w:id="94" w:name="_Toc28359096"/>
      <w:bookmarkStart w:id="95" w:name="_Toc35393637"/>
      <w:r>
        <w:rPr>
          <w:rFonts w:hint="eastAsia" w:ascii="宋体" w:hAnsi="宋体" w:eastAsia="宋体" w:cs="宋体"/>
          <w:color w:val="auto"/>
          <w:spacing w:val="8"/>
          <w:kern w:val="0"/>
          <w:sz w:val="24"/>
          <w:szCs w:val="24"/>
          <w:highlight w:val="none"/>
          <w:lang w:val="en-US" w:eastAsia="zh-CN" w:bidi="ar-SA"/>
        </w:rPr>
        <w:t>8.1</w:t>
      </w:r>
      <w:bookmarkEnd w:id="92"/>
      <w:bookmarkEnd w:id="93"/>
      <w:bookmarkEnd w:id="94"/>
      <w:bookmarkEnd w:id="95"/>
      <w:bookmarkStart w:id="96" w:name="_Toc35393807"/>
      <w:bookmarkStart w:id="97" w:name="_Toc28359020"/>
      <w:bookmarkStart w:id="98" w:name="_Toc28359097"/>
      <w:bookmarkStart w:id="99" w:name="_Toc35393638"/>
      <w:r>
        <w:rPr>
          <w:rFonts w:hint="eastAsia" w:ascii="宋体" w:hAnsi="宋体" w:eastAsia="宋体" w:cs="宋体"/>
          <w:color w:val="auto"/>
          <w:spacing w:val="8"/>
          <w:kern w:val="0"/>
          <w:sz w:val="24"/>
          <w:szCs w:val="24"/>
          <w:highlight w:val="none"/>
          <w:lang w:val="en-US" w:eastAsia="zh-CN" w:bidi="ar-SA"/>
        </w:rPr>
        <w:t>采购人：南京建邺城市建设集团有限公司</w:t>
      </w:r>
    </w:p>
    <w:p w14:paraId="08D2FB83">
      <w:pPr>
        <w:spacing w:line="360" w:lineRule="auto"/>
        <w:ind w:firstLine="512" w:firstLineChars="200"/>
        <w:jc w:val="left"/>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地  址：南京市建邺区南湖东路67号熙乐汇办公楼11楼</w:t>
      </w:r>
    </w:p>
    <w:p w14:paraId="7CFA5899">
      <w:pPr>
        <w:spacing w:line="360" w:lineRule="auto"/>
        <w:ind w:firstLine="512" w:firstLineChars="200"/>
        <w:jc w:val="left"/>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联系方式：王工 025-87787186</w:t>
      </w:r>
    </w:p>
    <w:p w14:paraId="23D625D4">
      <w:pPr>
        <w:spacing w:line="360" w:lineRule="auto"/>
        <w:ind w:firstLine="512" w:firstLineChars="200"/>
        <w:jc w:val="left"/>
        <w:rPr>
          <w:rFonts w:hint="eastAsia" w:ascii="宋体" w:hAnsi="宋体" w:cs="宋体"/>
          <w:color w:val="auto"/>
          <w:spacing w:val="8"/>
          <w:kern w:val="0"/>
          <w:sz w:val="24"/>
          <w:highlight w:val="none"/>
          <w:lang w:val="zh-CN"/>
        </w:rPr>
      </w:pPr>
      <w:r>
        <w:rPr>
          <w:rFonts w:hint="eastAsia" w:ascii="宋体" w:hAnsi="宋体" w:cs="宋体"/>
          <w:color w:val="auto"/>
          <w:spacing w:val="8"/>
          <w:kern w:val="0"/>
          <w:sz w:val="24"/>
          <w:highlight w:val="none"/>
        </w:rPr>
        <w:t>8.</w:t>
      </w:r>
      <w:r>
        <w:rPr>
          <w:rFonts w:hint="eastAsia" w:ascii="宋体" w:hAnsi="宋体" w:cs="宋体"/>
          <w:color w:val="auto"/>
          <w:spacing w:val="8"/>
          <w:kern w:val="0"/>
          <w:sz w:val="24"/>
          <w:highlight w:val="none"/>
          <w:lang w:val="zh-CN"/>
        </w:rPr>
        <w:t>2采购代理机构信息</w:t>
      </w:r>
      <w:bookmarkEnd w:id="96"/>
      <w:bookmarkEnd w:id="97"/>
      <w:bookmarkEnd w:id="98"/>
      <w:bookmarkEnd w:id="99"/>
      <w:r>
        <w:rPr>
          <w:rFonts w:hint="eastAsia" w:ascii="宋体" w:hAnsi="宋体" w:cs="宋体"/>
          <w:color w:val="auto"/>
          <w:spacing w:val="8"/>
          <w:kern w:val="0"/>
          <w:sz w:val="24"/>
          <w:highlight w:val="none"/>
          <w:lang w:val="zh-CN"/>
        </w:rPr>
        <w:t xml:space="preserve">： </w:t>
      </w:r>
    </w:p>
    <w:p w14:paraId="2D5F32BD">
      <w:pPr>
        <w:spacing w:line="360" w:lineRule="auto"/>
        <w:ind w:firstLine="484" w:firstLineChars="202"/>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代理机构：南京陵新项目管理有限公司</w:t>
      </w:r>
    </w:p>
    <w:p w14:paraId="0AAD2ECE">
      <w:pPr>
        <w:spacing w:line="360" w:lineRule="auto"/>
        <w:ind w:firstLine="484" w:firstLineChars="202"/>
        <w:rPr>
          <w:rFonts w:hint="eastAsia" w:ascii="宋体" w:hAnsi="宋体" w:cs="宋体"/>
          <w:bCs/>
          <w:color w:val="auto"/>
          <w:sz w:val="24"/>
          <w:highlight w:val="none"/>
        </w:rPr>
      </w:pPr>
      <w:r>
        <w:rPr>
          <w:rFonts w:hint="eastAsia" w:ascii="宋体" w:hAnsi="宋体" w:cs="宋体"/>
          <w:bCs/>
          <w:color w:val="auto"/>
          <w:sz w:val="24"/>
          <w:highlight w:val="none"/>
        </w:rPr>
        <w:t>联系人：庞立贤</w:t>
      </w:r>
    </w:p>
    <w:p w14:paraId="21A3F85E">
      <w:pPr>
        <w:spacing w:line="360" w:lineRule="auto"/>
        <w:ind w:firstLine="484" w:firstLineChars="202"/>
        <w:rPr>
          <w:rFonts w:hint="eastAsia" w:ascii="宋体" w:hAnsi="宋体" w:cs="宋体"/>
          <w:bCs/>
          <w:color w:val="auto"/>
          <w:sz w:val="24"/>
          <w:highlight w:val="none"/>
        </w:rPr>
      </w:pPr>
      <w:r>
        <w:rPr>
          <w:rFonts w:hint="eastAsia" w:ascii="宋体" w:hAnsi="宋体" w:cs="宋体"/>
          <w:bCs/>
          <w:color w:val="auto"/>
          <w:sz w:val="24"/>
          <w:highlight w:val="none"/>
        </w:rPr>
        <w:t xml:space="preserve">电话：18602530317 </w:t>
      </w:r>
      <w:r>
        <w:rPr>
          <w:rFonts w:ascii="宋体" w:hAnsi="宋体" w:cs="宋体"/>
          <w:color w:val="auto"/>
          <w:spacing w:val="8"/>
          <w:kern w:val="0"/>
          <w:sz w:val="24"/>
          <w:highlight w:val="none"/>
        </w:rPr>
        <w:t xml:space="preserve"> </w:t>
      </w:r>
    </w:p>
    <w:p w14:paraId="27D0B614">
      <w:pPr>
        <w:spacing w:line="360" w:lineRule="auto"/>
        <w:ind w:firstLine="484" w:firstLineChars="202"/>
        <w:rPr>
          <w:rFonts w:hint="eastAsia" w:ascii="宋体" w:hAnsi="宋体" w:cs="宋体"/>
          <w:bCs/>
          <w:color w:val="auto"/>
          <w:sz w:val="24"/>
          <w:highlight w:val="none"/>
        </w:rPr>
      </w:pPr>
      <w:r>
        <w:rPr>
          <w:rFonts w:hint="eastAsia" w:ascii="宋体" w:hAnsi="宋体" w:cs="宋体"/>
          <w:bCs/>
          <w:color w:val="auto"/>
          <w:sz w:val="24"/>
          <w:highlight w:val="none"/>
        </w:rPr>
        <w:t xml:space="preserve">地址：南京市江宁区龙眠大道568号max科技园9栋B座 </w:t>
      </w:r>
    </w:p>
    <w:p w14:paraId="686C8B41">
      <w:pPr>
        <w:spacing w:line="360" w:lineRule="auto"/>
        <w:ind w:firstLine="484" w:firstLineChars="202"/>
        <w:rPr>
          <w:rFonts w:ascii="宋体" w:hAnsi="宋体" w:cs="宋体"/>
          <w:bCs/>
          <w:color w:val="auto"/>
          <w:sz w:val="24"/>
          <w:highlight w:val="none"/>
        </w:rPr>
      </w:pPr>
      <w:r>
        <w:rPr>
          <w:rFonts w:hint="eastAsia" w:ascii="宋体" w:hAnsi="宋体" w:cs="宋体"/>
          <w:bCs/>
          <w:color w:val="auto"/>
          <w:sz w:val="24"/>
          <w:highlight w:val="none"/>
        </w:rPr>
        <w:t>邮政编码：211100</w:t>
      </w:r>
    </w:p>
    <w:p w14:paraId="6C7605E0">
      <w:pPr>
        <w:spacing w:line="360" w:lineRule="auto"/>
        <w:ind w:firstLine="517" w:firstLineChars="202"/>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8.</w:t>
      </w:r>
      <w:bookmarkStart w:id="100" w:name="_Toc28359021"/>
      <w:bookmarkStart w:id="101" w:name="_Toc35393639"/>
      <w:bookmarkStart w:id="102" w:name="_Toc28359098"/>
      <w:bookmarkStart w:id="103" w:name="_Toc35393808"/>
      <w:r>
        <w:rPr>
          <w:rFonts w:hint="eastAsia" w:ascii="宋体" w:hAnsi="宋体" w:cs="宋体"/>
          <w:color w:val="auto"/>
          <w:spacing w:val="8"/>
          <w:kern w:val="0"/>
          <w:sz w:val="24"/>
          <w:highlight w:val="none"/>
        </w:rPr>
        <w:t>3项目联系方式</w:t>
      </w:r>
      <w:bookmarkEnd w:id="100"/>
      <w:bookmarkEnd w:id="101"/>
      <w:bookmarkEnd w:id="102"/>
      <w:bookmarkEnd w:id="103"/>
    </w:p>
    <w:p w14:paraId="5D2844AB">
      <w:pPr>
        <w:spacing w:line="360" w:lineRule="auto"/>
        <w:ind w:firstLine="517" w:firstLineChars="202"/>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 xml:space="preserve">联系人：庞立贤 </w:t>
      </w:r>
    </w:p>
    <w:p w14:paraId="2BCCC470">
      <w:pPr>
        <w:spacing w:line="360" w:lineRule="auto"/>
        <w:ind w:firstLine="484" w:firstLineChars="202"/>
        <w:rPr>
          <w:rFonts w:hint="eastAsia" w:ascii="宋体" w:hAnsi="宋体" w:cs="宋体"/>
          <w:color w:val="auto"/>
          <w:spacing w:val="8"/>
          <w:kern w:val="0"/>
          <w:szCs w:val="20"/>
          <w:highlight w:val="none"/>
        </w:rPr>
      </w:pPr>
      <w:r>
        <w:rPr>
          <w:rFonts w:hint="eastAsia" w:ascii="宋体" w:hAnsi="宋体" w:cs="宋体"/>
          <w:bCs/>
          <w:color w:val="auto"/>
          <w:sz w:val="24"/>
          <w:highlight w:val="none"/>
        </w:rPr>
        <w:t>电话</w:t>
      </w:r>
      <w:r>
        <w:rPr>
          <w:rFonts w:hint="eastAsia" w:ascii="宋体" w:hAnsi="宋体" w:cs="宋体"/>
          <w:color w:val="auto"/>
          <w:spacing w:val="8"/>
          <w:kern w:val="0"/>
          <w:sz w:val="24"/>
          <w:highlight w:val="none"/>
          <w:lang w:val="zh-CN"/>
        </w:rPr>
        <w:t>：18602530317</w:t>
      </w:r>
    </w:p>
    <w:p w14:paraId="11381174">
      <w:pPr>
        <w:spacing w:before="156" w:beforeLines="50" w:after="156" w:afterLines="50" w:line="460" w:lineRule="exact"/>
        <w:jc w:val="center"/>
        <w:outlineLvl w:val="0"/>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bookmarkStart w:id="104" w:name="_Toc2861"/>
      <w:bookmarkStart w:id="105" w:name="_Toc11568"/>
      <w:bookmarkStart w:id="106" w:name="_Toc18831"/>
      <w:r>
        <w:rPr>
          <w:rFonts w:hint="eastAsia" w:ascii="宋体" w:hAnsi="宋体" w:cs="宋体"/>
          <w:color w:val="auto"/>
          <w:sz w:val="32"/>
          <w:szCs w:val="32"/>
          <w:highlight w:val="none"/>
        </w:rPr>
        <w:t>第二章 竞争性磋商须知</w:t>
      </w:r>
      <w:bookmarkEnd w:id="21"/>
      <w:bookmarkEnd w:id="22"/>
      <w:bookmarkEnd w:id="23"/>
      <w:bookmarkEnd w:id="24"/>
      <w:bookmarkEnd w:id="25"/>
      <w:bookmarkEnd w:id="26"/>
      <w:bookmarkEnd w:id="27"/>
      <w:bookmarkEnd w:id="28"/>
      <w:bookmarkEnd w:id="29"/>
      <w:bookmarkEnd w:id="30"/>
      <w:bookmarkEnd w:id="31"/>
      <w:bookmarkEnd w:id="32"/>
      <w:bookmarkEnd w:id="40"/>
      <w:bookmarkEnd w:id="41"/>
      <w:bookmarkEnd w:id="42"/>
      <w:bookmarkEnd w:id="43"/>
      <w:bookmarkEnd w:id="104"/>
      <w:bookmarkEnd w:id="105"/>
      <w:bookmarkEnd w:id="106"/>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98"/>
        <w:gridCol w:w="1356"/>
        <w:gridCol w:w="1397"/>
        <w:gridCol w:w="4982"/>
      </w:tblGrid>
      <w:tr w14:paraId="7ECE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29E9440B">
            <w:pPr>
              <w:jc w:val="center"/>
              <w:rPr>
                <w:rFonts w:hint="eastAsia" w:ascii="宋体" w:hAnsi="宋体" w:cs="宋体"/>
                <w:b/>
                <w:color w:val="auto"/>
                <w:sz w:val="22"/>
                <w:szCs w:val="28"/>
                <w:highlight w:val="none"/>
              </w:rPr>
            </w:pPr>
            <w:bookmarkStart w:id="107" w:name="_Toc28353"/>
            <w:bookmarkStart w:id="108" w:name="_Toc22366"/>
            <w:bookmarkStart w:id="109" w:name="_Toc2932"/>
            <w:bookmarkStart w:id="110" w:name="_Toc32753"/>
            <w:bookmarkStart w:id="111" w:name="_Toc11826"/>
            <w:bookmarkStart w:id="112" w:name="_Toc11048"/>
            <w:bookmarkStart w:id="113" w:name="_Toc10178"/>
            <w:bookmarkStart w:id="114" w:name="_Toc504141737"/>
            <w:bookmarkStart w:id="115" w:name="_Toc32136"/>
            <w:bookmarkStart w:id="116" w:name="_Toc18735"/>
            <w:bookmarkStart w:id="117" w:name="_Toc24504"/>
            <w:bookmarkStart w:id="118" w:name="_Toc8989"/>
            <w:r>
              <w:rPr>
                <w:rFonts w:hint="eastAsia" w:ascii="宋体" w:hAnsi="宋体" w:cs="宋体"/>
                <w:b/>
                <w:color w:val="auto"/>
                <w:sz w:val="22"/>
                <w:szCs w:val="28"/>
                <w:highlight w:val="none"/>
              </w:rPr>
              <w:t>序号</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46EC4E4D">
            <w:pPr>
              <w:jc w:val="center"/>
              <w:rPr>
                <w:rFonts w:hint="eastAsia" w:ascii="宋体" w:hAnsi="宋体" w:cs="宋体"/>
                <w:b/>
                <w:color w:val="auto"/>
                <w:sz w:val="22"/>
                <w:szCs w:val="28"/>
                <w:highlight w:val="none"/>
              </w:rPr>
            </w:pPr>
            <w:r>
              <w:rPr>
                <w:rFonts w:hint="eastAsia" w:ascii="宋体" w:hAnsi="宋体" w:cs="宋体"/>
                <w:b/>
                <w:color w:val="auto"/>
                <w:sz w:val="22"/>
                <w:szCs w:val="28"/>
                <w:highlight w:val="none"/>
              </w:rPr>
              <w:t>项  目</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41DBDCEE">
            <w:pPr>
              <w:jc w:val="center"/>
              <w:rPr>
                <w:rFonts w:hint="eastAsia" w:ascii="宋体" w:hAnsi="宋体" w:cs="宋体"/>
                <w:b/>
                <w:color w:val="auto"/>
                <w:sz w:val="22"/>
                <w:szCs w:val="28"/>
                <w:highlight w:val="none"/>
              </w:rPr>
            </w:pPr>
            <w:r>
              <w:rPr>
                <w:rFonts w:hint="eastAsia" w:ascii="宋体" w:hAnsi="宋体" w:cs="宋体"/>
                <w:b/>
                <w:color w:val="auto"/>
                <w:sz w:val="22"/>
                <w:szCs w:val="28"/>
                <w:highlight w:val="none"/>
              </w:rPr>
              <w:t>内         容</w:t>
            </w:r>
          </w:p>
        </w:tc>
      </w:tr>
      <w:tr w14:paraId="3626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249034FC">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1</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579EECD9">
            <w:pPr>
              <w:jc w:val="center"/>
              <w:rPr>
                <w:rFonts w:hint="eastAsia" w:ascii="宋体" w:hAnsi="宋体" w:cs="宋体"/>
                <w:color w:val="auto"/>
                <w:sz w:val="22"/>
                <w:szCs w:val="28"/>
                <w:highlight w:val="none"/>
              </w:rPr>
            </w:pPr>
            <w:r>
              <w:rPr>
                <w:rFonts w:hint="eastAsia" w:ascii="宋体" w:hAnsi="宋体" w:cs="宋体"/>
                <w:color w:val="auto"/>
                <w:sz w:val="24"/>
                <w:highlight w:val="none"/>
              </w:rPr>
              <w:t>项目编号</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7464E753">
            <w:pPr>
              <w:rPr>
                <w:rFonts w:hint="eastAsia" w:ascii="宋体" w:hAnsi="宋体" w:eastAsia="宋体" w:cs="宋体"/>
                <w:color w:val="auto"/>
                <w:szCs w:val="21"/>
                <w:highlight w:val="none"/>
                <w:lang w:eastAsia="zh-CN"/>
              </w:rPr>
            </w:pPr>
            <w:r>
              <w:rPr>
                <w:rFonts w:hint="eastAsia" w:ascii="宋体" w:hAnsi="宋体" w:cs="宋体"/>
                <w:color w:val="auto"/>
                <w:sz w:val="24"/>
                <w:highlight w:val="none"/>
                <w:lang w:eastAsia="zh-CN"/>
              </w:rPr>
              <w:t>LXZC-20240910-01</w:t>
            </w:r>
          </w:p>
        </w:tc>
      </w:tr>
      <w:tr w14:paraId="5B7E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7952AFD2">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2</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6AF8FF0A">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3896A026">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建邺北部老城区街旁绿地改造（3处口袋公园）项目</w:t>
            </w:r>
          </w:p>
        </w:tc>
      </w:tr>
      <w:tr w14:paraId="2F7E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7BED99AA">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3</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173B833A">
            <w:pPr>
              <w:jc w:val="center"/>
              <w:rPr>
                <w:rFonts w:hint="eastAsia" w:ascii="宋体" w:hAnsi="宋体" w:cs="宋体"/>
                <w:color w:val="auto"/>
                <w:sz w:val="24"/>
                <w:highlight w:val="none"/>
              </w:rPr>
            </w:pPr>
            <w:r>
              <w:rPr>
                <w:rFonts w:hint="eastAsia" w:ascii="宋体" w:hAnsi="宋体" w:cs="宋体"/>
                <w:color w:val="auto"/>
                <w:sz w:val="24"/>
                <w:highlight w:val="none"/>
              </w:rPr>
              <w:t>采购代理机构</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0E3CC24A">
            <w:pPr>
              <w:rPr>
                <w:rFonts w:hint="eastAsia" w:ascii="宋体" w:hAnsi="宋体" w:cs="宋体"/>
                <w:color w:val="auto"/>
                <w:sz w:val="24"/>
                <w:highlight w:val="none"/>
              </w:rPr>
            </w:pPr>
            <w:r>
              <w:rPr>
                <w:rFonts w:hint="eastAsia" w:ascii="宋体" w:hAnsi="宋体" w:cs="宋体"/>
                <w:color w:val="auto"/>
                <w:sz w:val="24"/>
                <w:highlight w:val="none"/>
              </w:rPr>
              <w:t>南京陵新项目管理有限公司</w:t>
            </w:r>
          </w:p>
        </w:tc>
      </w:tr>
      <w:tr w14:paraId="2154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57E916EC">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4</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158534EB">
            <w:pPr>
              <w:jc w:val="center"/>
              <w:rPr>
                <w:rFonts w:hint="eastAsia" w:ascii="宋体" w:hAnsi="宋体" w:cs="宋体"/>
                <w:color w:val="auto"/>
                <w:sz w:val="24"/>
                <w:highlight w:val="none"/>
              </w:rPr>
            </w:pPr>
            <w:r>
              <w:rPr>
                <w:rFonts w:hint="eastAsia" w:ascii="宋体" w:hAnsi="宋体" w:cs="宋体"/>
                <w:color w:val="auto"/>
                <w:sz w:val="24"/>
                <w:highlight w:val="none"/>
              </w:rPr>
              <w:t>采购代理机构地址</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25D02B4F">
            <w:pPr>
              <w:rPr>
                <w:rFonts w:hint="eastAsia" w:ascii="宋体" w:hAnsi="宋体" w:cs="宋体"/>
                <w:color w:val="auto"/>
                <w:sz w:val="24"/>
                <w:highlight w:val="none"/>
              </w:rPr>
            </w:pPr>
            <w:r>
              <w:rPr>
                <w:rFonts w:hint="eastAsia" w:ascii="宋体" w:hAnsi="宋体" w:cs="宋体"/>
                <w:color w:val="auto"/>
                <w:sz w:val="24"/>
                <w:highlight w:val="none"/>
              </w:rPr>
              <w:t>南京市江宁区龙眠大道568号max科技园9栋B座</w:t>
            </w:r>
          </w:p>
        </w:tc>
      </w:tr>
      <w:tr w14:paraId="716B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3BBB5274">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5</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2F0D4DA7">
            <w:pPr>
              <w:jc w:val="center"/>
              <w:rPr>
                <w:rFonts w:hint="eastAsia" w:ascii="宋体" w:hAnsi="宋体" w:cs="宋体"/>
                <w:color w:val="auto"/>
                <w:sz w:val="24"/>
                <w:highlight w:val="none"/>
              </w:rPr>
            </w:pPr>
            <w:r>
              <w:rPr>
                <w:rFonts w:hint="eastAsia" w:ascii="宋体" w:hAnsi="宋体" w:cs="宋体"/>
                <w:color w:val="auto"/>
                <w:sz w:val="24"/>
                <w:highlight w:val="none"/>
              </w:rPr>
              <w:t>磋商文件获取方法</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1852A2A2">
            <w:pPr>
              <w:rPr>
                <w:rFonts w:hint="eastAsia" w:ascii="宋体" w:hAnsi="宋体" w:cs="宋体"/>
                <w:color w:val="auto"/>
                <w:sz w:val="24"/>
                <w:highlight w:val="none"/>
              </w:rPr>
            </w:pPr>
            <w:r>
              <w:rPr>
                <w:rFonts w:hint="eastAsia" w:ascii="宋体" w:hAnsi="宋体" w:cs="宋体"/>
                <w:color w:val="auto"/>
                <w:sz w:val="24"/>
                <w:highlight w:val="none"/>
              </w:rPr>
              <w:t>（1）获取地点：南京市江宁区龙眠大道568号max科技园9栋B座，凡有意参加磋商者，企业法定代表人或授权委托人携带：</w:t>
            </w:r>
            <w:r>
              <w:rPr>
                <w:rFonts w:hint="eastAsia" w:ascii="宋体" w:hAnsi="宋体" w:cs="宋体"/>
                <w:color w:val="auto"/>
                <w:sz w:val="24"/>
                <w:highlight w:val="none"/>
                <w:lang w:val="en-GB"/>
              </w:rPr>
              <w:t>营业执照（三证合一）复印件加盖公章、</w:t>
            </w:r>
            <w:r>
              <w:rPr>
                <w:rFonts w:hint="eastAsia" w:ascii="宋体" w:hAnsi="宋体" w:cs="宋体"/>
                <w:color w:val="auto"/>
                <w:sz w:val="24"/>
                <w:highlight w:val="none"/>
              </w:rPr>
              <w:t>法人代表证明或法人代表针对本项目的授权委托书原件(请在授权书中写清楚委托人姓名、电话、邮箱)、法人代表或授权委托人的身份证原件及复印件至现场购买磋商文件，售价：100元</w:t>
            </w:r>
            <w:r>
              <w:rPr>
                <w:rFonts w:hint="eastAsia" w:ascii="宋体" w:hAnsi="宋体" w:cs="宋体"/>
                <w:color w:val="auto"/>
                <w:sz w:val="24"/>
                <w:highlight w:val="none"/>
                <w:lang w:val="en-GB"/>
              </w:rPr>
              <w:t>/</w:t>
            </w:r>
            <w:r>
              <w:rPr>
                <w:rFonts w:hint="eastAsia" w:ascii="宋体" w:hAnsi="宋体" w:cs="宋体"/>
                <w:color w:val="auto"/>
                <w:sz w:val="24"/>
                <w:highlight w:val="none"/>
              </w:rPr>
              <w:t>份，售后不退。</w:t>
            </w:r>
          </w:p>
          <w:p w14:paraId="661ECDF6">
            <w:pPr>
              <w:rPr>
                <w:rFonts w:hint="eastAsia" w:ascii="宋体" w:hAnsi="宋体" w:cs="宋体"/>
                <w:color w:val="auto"/>
                <w:sz w:val="24"/>
                <w:highlight w:val="none"/>
              </w:rPr>
            </w:pPr>
            <w:r>
              <w:rPr>
                <w:rFonts w:hint="eastAsia" w:ascii="宋体" w:hAnsi="宋体" w:cs="宋体"/>
                <w:color w:val="auto"/>
                <w:sz w:val="24"/>
                <w:highlight w:val="none"/>
              </w:rPr>
              <w:t>（2）网上报名，须将报名资料：（1）</w:t>
            </w:r>
            <w:r>
              <w:rPr>
                <w:rFonts w:hint="eastAsia" w:ascii="宋体" w:hAnsi="宋体" w:cs="宋体"/>
                <w:color w:val="auto"/>
                <w:sz w:val="24"/>
                <w:highlight w:val="none"/>
                <w:lang w:val="en-GB"/>
              </w:rPr>
              <w:t>营业执照（三证合一）复印件加盖公章</w:t>
            </w:r>
            <w:r>
              <w:rPr>
                <w:rFonts w:hint="eastAsia" w:ascii="宋体" w:hAnsi="宋体" w:cs="宋体"/>
                <w:color w:val="auto"/>
                <w:sz w:val="24"/>
                <w:highlight w:val="none"/>
              </w:rPr>
              <w:t>（2）法人代表证明或法人代表针对本项目的授权委托书(请在授权书中写清楚委托人姓名、电话、邮箱)（3）法人代表或授权委托人的身份证复印件。以上加盖公章扫描件及付款信息截图发到（215859451@qq.com）邮箱，并电话通知，联系电话为：18602530317。</w:t>
            </w:r>
          </w:p>
          <w:p w14:paraId="3DE1733B">
            <w:pPr>
              <w:rPr>
                <w:rFonts w:hint="eastAsia" w:ascii="宋体" w:hAnsi="宋体" w:cs="宋体"/>
                <w:color w:val="auto"/>
                <w:sz w:val="24"/>
                <w:highlight w:val="none"/>
              </w:rPr>
            </w:pPr>
            <w:r>
              <w:rPr>
                <w:rFonts w:hint="eastAsia" w:ascii="宋体" w:hAnsi="宋体" w:cs="宋体"/>
                <w:color w:val="auto"/>
                <w:sz w:val="24"/>
                <w:highlight w:val="none"/>
              </w:rPr>
              <w:t>本项目文本制作费转账支付，信息如下：</w:t>
            </w:r>
          </w:p>
          <w:p w14:paraId="350825CC">
            <w:pPr>
              <w:rPr>
                <w:rFonts w:hint="eastAsia" w:ascii="宋体" w:hAnsi="宋体" w:cs="宋体"/>
                <w:color w:val="auto"/>
                <w:sz w:val="24"/>
                <w:highlight w:val="none"/>
              </w:rPr>
            </w:pPr>
            <w:r>
              <w:rPr>
                <w:rFonts w:hint="eastAsia" w:ascii="宋体" w:hAnsi="宋体" w:cs="宋体"/>
                <w:color w:val="auto"/>
                <w:sz w:val="24"/>
                <w:highlight w:val="none"/>
              </w:rPr>
              <w:t>公司名称：南京陵新项目管理有限公司</w:t>
            </w:r>
          </w:p>
          <w:p w14:paraId="4437D69F">
            <w:pPr>
              <w:rPr>
                <w:rFonts w:hint="eastAsia" w:ascii="宋体" w:hAnsi="宋体" w:cs="宋体"/>
                <w:color w:val="auto"/>
                <w:sz w:val="24"/>
                <w:highlight w:val="none"/>
              </w:rPr>
            </w:pPr>
            <w:r>
              <w:rPr>
                <w:rFonts w:hint="eastAsia" w:ascii="宋体" w:hAnsi="宋体" w:cs="宋体"/>
                <w:color w:val="auto"/>
                <w:sz w:val="24"/>
                <w:highlight w:val="none"/>
              </w:rPr>
              <w:t>账号：3201210011010000017049</w:t>
            </w:r>
          </w:p>
          <w:p w14:paraId="790985D1">
            <w:pPr>
              <w:rPr>
                <w:rFonts w:hint="eastAsia" w:ascii="宋体" w:hAnsi="宋体" w:cs="宋体"/>
                <w:color w:val="auto"/>
                <w:sz w:val="24"/>
                <w:highlight w:val="none"/>
              </w:rPr>
            </w:pPr>
            <w:r>
              <w:rPr>
                <w:rFonts w:hint="eastAsia" w:ascii="宋体" w:hAnsi="宋体" w:cs="宋体"/>
                <w:color w:val="auto"/>
                <w:sz w:val="24"/>
                <w:highlight w:val="none"/>
              </w:rPr>
              <w:t>开户行：江苏紫金农村商业银行金箔路支行</w:t>
            </w:r>
          </w:p>
        </w:tc>
      </w:tr>
      <w:tr w14:paraId="716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10CE969E">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6</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69FF91C3">
            <w:pPr>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52BB17AA">
            <w:pPr>
              <w:rPr>
                <w:rFonts w:hint="eastAsia" w:ascii="宋体" w:hAnsi="宋体" w:cs="宋体"/>
                <w:color w:val="auto"/>
                <w:sz w:val="24"/>
                <w:highlight w:val="none"/>
              </w:rPr>
            </w:pPr>
            <w:r>
              <w:rPr>
                <w:rFonts w:hint="eastAsia" w:ascii="宋体" w:hAnsi="宋体" w:cs="宋体"/>
                <w:color w:val="FF0000"/>
                <w:spacing w:val="8"/>
                <w:kern w:val="0"/>
                <w:sz w:val="24"/>
                <w:highlight w:val="none"/>
                <w:u w:val="single"/>
              </w:rPr>
              <w:t xml:space="preserve"> </w:t>
            </w:r>
            <w:r>
              <w:rPr>
                <w:rFonts w:hint="eastAsia" w:ascii="宋体" w:hAnsi="宋体" w:cs="宋体"/>
                <w:color w:val="FF0000"/>
                <w:spacing w:val="8"/>
                <w:kern w:val="0"/>
                <w:sz w:val="24"/>
                <w:highlight w:val="none"/>
                <w:u w:val="single"/>
                <w:lang w:val="en-US" w:eastAsia="zh-CN"/>
              </w:rPr>
              <w:t>328</w:t>
            </w:r>
            <w:r>
              <w:rPr>
                <w:rFonts w:hint="eastAsia" w:ascii="宋体" w:hAnsi="宋体" w:cs="宋体"/>
                <w:color w:val="auto"/>
                <w:sz w:val="24"/>
                <w:highlight w:val="none"/>
              </w:rPr>
              <w:t>万元人民币 （超过此控制价，作废标处理）</w:t>
            </w:r>
          </w:p>
        </w:tc>
      </w:tr>
      <w:tr w14:paraId="4067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20B1A6ED">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7</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719A30EF">
            <w:pPr>
              <w:jc w:val="center"/>
              <w:rPr>
                <w:rFonts w:hint="eastAsia" w:ascii="宋体" w:hAnsi="宋体" w:cs="宋体"/>
                <w:color w:val="auto"/>
                <w:sz w:val="24"/>
                <w:highlight w:val="none"/>
              </w:rPr>
            </w:pPr>
            <w:r>
              <w:rPr>
                <w:rFonts w:hint="eastAsia" w:ascii="宋体" w:hAnsi="宋体" w:cs="宋体"/>
                <w:color w:val="auto"/>
                <w:sz w:val="24"/>
                <w:highlight w:val="none"/>
              </w:rPr>
              <w:t>磋商有效期</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3C58648D">
            <w:pPr>
              <w:rPr>
                <w:rFonts w:hint="eastAsia" w:ascii="宋体" w:hAnsi="宋体" w:cs="宋体"/>
                <w:color w:val="auto"/>
                <w:sz w:val="24"/>
                <w:highlight w:val="none"/>
              </w:rPr>
            </w:pPr>
            <w:r>
              <w:rPr>
                <w:rFonts w:hint="eastAsia" w:ascii="宋体" w:hAnsi="宋体" w:cs="宋体"/>
                <w:color w:val="auto"/>
                <w:sz w:val="24"/>
                <w:highlight w:val="none"/>
              </w:rPr>
              <w:t>磋商之日起90天</w:t>
            </w:r>
          </w:p>
        </w:tc>
      </w:tr>
      <w:tr w14:paraId="6D84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02BFD9B2">
            <w:pPr>
              <w:widowControl/>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8</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143D78B9">
            <w:pPr>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工期</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6BC5375D">
            <w:pPr>
              <w:rPr>
                <w:rFonts w:hint="eastAsia" w:ascii="宋体" w:hAnsi="宋体" w:eastAsia="宋体" w:cs="宋体"/>
                <w:color w:val="auto"/>
                <w:sz w:val="24"/>
                <w:highlight w:val="none"/>
                <w:lang w:eastAsia="zh-CN"/>
              </w:rPr>
            </w:pPr>
            <w:r>
              <w:rPr>
                <w:rFonts w:hint="eastAsia" w:ascii="宋体" w:hAnsi="宋体" w:cs="宋体"/>
                <w:color w:val="FF0000"/>
                <w:sz w:val="24"/>
                <w:highlight w:val="none"/>
              </w:rPr>
              <w:t>项目合同工期</w:t>
            </w:r>
            <w:r>
              <w:rPr>
                <w:rFonts w:hint="eastAsia" w:ascii="宋体" w:hAnsi="宋体" w:cs="宋体"/>
                <w:color w:val="FF0000"/>
                <w:sz w:val="24"/>
                <w:highlight w:val="none"/>
                <w:lang w:val="en-US" w:eastAsia="zh-CN"/>
              </w:rPr>
              <w:t>90</w:t>
            </w:r>
            <w:r>
              <w:rPr>
                <w:rFonts w:hint="eastAsia" w:ascii="宋体" w:hAnsi="宋体" w:cs="宋体"/>
                <w:color w:val="FF0000"/>
                <w:sz w:val="24"/>
                <w:highlight w:val="none"/>
                <w:lang w:eastAsia="zh-CN"/>
              </w:rPr>
              <w:t>日历天</w:t>
            </w:r>
          </w:p>
        </w:tc>
      </w:tr>
      <w:tr w14:paraId="4461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40" w:type="pct"/>
            <w:vMerge w:val="restart"/>
            <w:tcBorders>
              <w:top w:val="single" w:color="auto" w:sz="4" w:space="0"/>
              <w:left w:val="single" w:color="auto" w:sz="4" w:space="0"/>
              <w:bottom w:val="single" w:color="auto" w:sz="4" w:space="0"/>
              <w:right w:val="single" w:color="auto" w:sz="4" w:space="0"/>
            </w:tcBorders>
            <w:noWrap w:val="0"/>
            <w:vAlign w:val="center"/>
          </w:tcPr>
          <w:p w14:paraId="098CE13F">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9</w:t>
            </w:r>
          </w:p>
        </w:tc>
        <w:tc>
          <w:tcPr>
            <w:tcW w:w="567" w:type="pct"/>
            <w:vMerge w:val="restart"/>
            <w:tcBorders>
              <w:top w:val="single" w:color="auto" w:sz="4" w:space="0"/>
              <w:left w:val="single" w:color="auto" w:sz="4" w:space="0"/>
              <w:bottom w:val="single" w:color="auto" w:sz="4" w:space="0"/>
              <w:right w:val="single" w:color="auto" w:sz="4" w:space="0"/>
            </w:tcBorders>
            <w:noWrap w:val="0"/>
            <w:vAlign w:val="center"/>
          </w:tcPr>
          <w:p w14:paraId="46D15E72">
            <w:pPr>
              <w:jc w:val="center"/>
              <w:rPr>
                <w:rFonts w:hint="eastAsia" w:ascii="宋体" w:hAnsi="宋体" w:cs="宋体"/>
                <w:color w:val="auto"/>
                <w:sz w:val="22"/>
                <w:szCs w:val="28"/>
                <w:highlight w:val="none"/>
              </w:rPr>
            </w:pPr>
            <w:r>
              <w:rPr>
                <w:rFonts w:hint="eastAsia" w:ascii="宋体" w:hAnsi="宋体" w:cs="宋体"/>
                <w:color w:val="auto"/>
                <w:sz w:val="24"/>
                <w:highlight w:val="none"/>
              </w:rPr>
              <w:t>代理机构银行账户</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472BC9E9">
            <w:pPr>
              <w:jc w:val="center"/>
              <w:rPr>
                <w:rFonts w:hint="eastAsia" w:ascii="宋体" w:hAnsi="宋体" w:cs="宋体"/>
                <w:color w:val="auto"/>
                <w:sz w:val="24"/>
                <w:highlight w:val="none"/>
              </w:rPr>
            </w:pPr>
            <w:r>
              <w:rPr>
                <w:rFonts w:hint="eastAsia" w:ascii="宋体" w:hAnsi="宋体" w:cs="宋体"/>
                <w:color w:val="auto"/>
                <w:sz w:val="24"/>
                <w:highlight w:val="none"/>
                <w:lang w:val="zh-CN"/>
              </w:rPr>
              <w:t>户名</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1D4E985D">
            <w:pPr>
              <w:rPr>
                <w:rFonts w:hint="eastAsia" w:ascii="宋体" w:hAnsi="宋体" w:cs="宋体"/>
                <w:color w:val="auto"/>
                <w:sz w:val="24"/>
                <w:highlight w:val="none"/>
              </w:rPr>
            </w:pPr>
            <w:r>
              <w:rPr>
                <w:rFonts w:hint="eastAsia" w:ascii="宋体" w:hAnsi="宋体" w:cs="宋体"/>
                <w:color w:val="auto"/>
                <w:sz w:val="24"/>
                <w:highlight w:val="none"/>
              </w:rPr>
              <w:t>南京陵新项目管理有限公司</w:t>
            </w:r>
          </w:p>
        </w:tc>
      </w:tr>
      <w:tr w14:paraId="2377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14:paraId="333EC8B7">
            <w:pPr>
              <w:widowControl/>
              <w:jc w:val="left"/>
              <w:rPr>
                <w:rFonts w:hint="eastAsia" w:ascii="宋体" w:hAnsi="宋体" w:cs="宋体"/>
                <w:color w:val="auto"/>
                <w:sz w:val="22"/>
                <w:szCs w:val="28"/>
                <w:highlight w:val="none"/>
              </w:rPr>
            </w:pPr>
          </w:p>
        </w:tc>
        <w:tc>
          <w:tcPr>
            <w:tcW w:w="567" w:type="pct"/>
            <w:vMerge w:val="continue"/>
            <w:tcBorders>
              <w:top w:val="single" w:color="auto" w:sz="4" w:space="0"/>
              <w:left w:val="single" w:color="auto" w:sz="4" w:space="0"/>
              <w:bottom w:val="single" w:color="auto" w:sz="4" w:space="0"/>
              <w:right w:val="single" w:color="auto" w:sz="4" w:space="0"/>
            </w:tcBorders>
            <w:noWrap w:val="0"/>
            <w:vAlign w:val="center"/>
          </w:tcPr>
          <w:p w14:paraId="5B1926AA">
            <w:pPr>
              <w:widowControl/>
              <w:jc w:val="left"/>
              <w:rPr>
                <w:rFonts w:hint="eastAsia" w:ascii="宋体" w:hAnsi="宋体" w:cs="宋体"/>
                <w:color w:val="auto"/>
                <w:sz w:val="22"/>
                <w:szCs w:val="28"/>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64D0DC72">
            <w:pPr>
              <w:jc w:val="center"/>
              <w:rPr>
                <w:rFonts w:hint="eastAsia" w:ascii="宋体" w:hAnsi="宋体" w:cs="宋体"/>
                <w:color w:val="auto"/>
                <w:sz w:val="24"/>
                <w:highlight w:val="none"/>
              </w:rPr>
            </w:pPr>
            <w:r>
              <w:rPr>
                <w:rFonts w:hint="eastAsia" w:ascii="宋体" w:hAnsi="宋体" w:cs="宋体"/>
                <w:color w:val="auto"/>
                <w:sz w:val="24"/>
                <w:highlight w:val="none"/>
                <w:lang w:val="zh-CN"/>
              </w:rPr>
              <w:t>开户行</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697F6D1C">
            <w:pPr>
              <w:rPr>
                <w:rFonts w:hint="eastAsia" w:ascii="宋体" w:hAnsi="宋体" w:cs="宋体"/>
                <w:color w:val="auto"/>
                <w:sz w:val="24"/>
                <w:highlight w:val="none"/>
              </w:rPr>
            </w:pPr>
            <w:r>
              <w:rPr>
                <w:rFonts w:hint="eastAsia" w:ascii="宋体" w:hAnsi="宋体" w:cs="宋体"/>
                <w:color w:val="auto"/>
                <w:sz w:val="24"/>
                <w:highlight w:val="none"/>
              </w:rPr>
              <w:t>江苏紫金农村商业银行金箔路支行</w:t>
            </w:r>
          </w:p>
        </w:tc>
      </w:tr>
      <w:tr w14:paraId="481C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14:paraId="7B7D27E6">
            <w:pPr>
              <w:widowControl/>
              <w:jc w:val="left"/>
              <w:rPr>
                <w:rFonts w:hint="eastAsia" w:ascii="宋体" w:hAnsi="宋体" w:cs="宋体"/>
                <w:color w:val="auto"/>
                <w:sz w:val="22"/>
                <w:szCs w:val="28"/>
                <w:highlight w:val="none"/>
              </w:rPr>
            </w:pPr>
          </w:p>
        </w:tc>
        <w:tc>
          <w:tcPr>
            <w:tcW w:w="567" w:type="pct"/>
            <w:vMerge w:val="continue"/>
            <w:tcBorders>
              <w:top w:val="single" w:color="auto" w:sz="4" w:space="0"/>
              <w:left w:val="single" w:color="auto" w:sz="4" w:space="0"/>
              <w:bottom w:val="single" w:color="auto" w:sz="4" w:space="0"/>
              <w:right w:val="single" w:color="auto" w:sz="4" w:space="0"/>
            </w:tcBorders>
            <w:noWrap w:val="0"/>
            <w:vAlign w:val="center"/>
          </w:tcPr>
          <w:p w14:paraId="10FBE9FA">
            <w:pPr>
              <w:widowControl/>
              <w:jc w:val="left"/>
              <w:rPr>
                <w:rFonts w:hint="eastAsia" w:ascii="宋体" w:hAnsi="宋体" w:cs="宋体"/>
                <w:color w:val="auto"/>
                <w:sz w:val="22"/>
                <w:szCs w:val="28"/>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070D03DB">
            <w:pPr>
              <w:jc w:val="center"/>
              <w:rPr>
                <w:rFonts w:hint="eastAsia" w:ascii="宋体" w:hAnsi="宋体" w:cs="宋体"/>
                <w:color w:val="auto"/>
                <w:sz w:val="24"/>
                <w:highlight w:val="none"/>
              </w:rPr>
            </w:pPr>
            <w:r>
              <w:rPr>
                <w:rFonts w:hint="eastAsia" w:ascii="宋体" w:hAnsi="宋体" w:cs="宋体"/>
                <w:color w:val="auto"/>
                <w:sz w:val="24"/>
                <w:highlight w:val="none"/>
                <w:lang w:val="zh-CN"/>
              </w:rPr>
              <w:t>账号</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060DBB62">
            <w:pPr>
              <w:rPr>
                <w:rFonts w:hint="eastAsia" w:ascii="宋体" w:hAnsi="宋体" w:cs="宋体"/>
                <w:color w:val="auto"/>
                <w:sz w:val="24"/>
                <w:highlight w:val="none"/>
              </w:rPr>
            </w:pPr>
            <w:r>
              <w:rPr>
                <w:rFonts w:hint="eastAsia" w:ascii="宋体" w:hAnsi="宋体" w:cs="宋体"/>
                <w:color w:val="auto"/>
                <w:sz w:val="24"/>
                <w:highlight w:val="none"/>
              </w:rPr>
              <w:t>3201210011010000017049</w:t>
            </w:r>
          </w:p>
        </w:tc>
      </w:tr>
      <w:tr w14:paraId="3769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0" w:type="pct"/>
            <w:vMerge w:val="restart"/>
            <w:tcBorders>
              <w:top w:val="single" w:color="auto" w:sz="4" w:space="0"/>
              <w:left w:val="single" w:color="auto" w:sz="4" w:space="0"/>
              <w:right w:val="single" w:color="auto" w:sz="4" w:space="0"/>
            </w:tcBorders>
            <w:noWrap w:val="0"/>
            <w:vAlign w:val="center"/>
          </w:tcPr>
          <w:p w14:paraId="35D989C4">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10</w:t>
            </w:r>
          </w:p>
        </w:tc>
        <w:tc>
          <w:tcPr>
            <w:tcW w:w="567" w:type="pct"/>
            <w:vMerge w:val="restart"/>
            <w:tcBorders>
              <w:top w:val="single" w:color="auto" w:sz="4" w:space="0"/>
              <w:left w:val="single" w:color="auto" w:sz="4" w:space="0"/>
              <w:right w:val="single" w:color="auto" w:sz="4" w:space="0"/>
            </w:tcBorders>
            <w:noWrap w:val="0"/>
            <w:vAlign w:val="center"/>
          </w:tcPr>
          <w:p w14:paraId="62E57CBB">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响应性文件递交信息</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7D07D364">
            <w:pPr>
              <w:jc w:val="center"/>
              <w:rPr>
                <w:rFonts w:hint="eastAsia" w:ascii="宋体" w:hAnsi="宋体" w:cs="宋体"/>
                <w:color w:val="auto"/>
                <w:sz w:val="24"/>
                <w:highlight w:val="none"/>
              </w:rPr>
            </w:pPr>
            <w:r>
              <w:rPr>
                <w:rFonts w:hint="eastAsia" w:ascii="宋体" w:hAnsi="宋体" w:cs="宋体"/>
                <w:color w:val="auto"/>
                <w:sz w:val="24"/>
                <w:highlight w:val="none"/>
              </w:rPr>
              <w:t>时间</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2F54A7AC">
            <w:pPr>
              <w:rPr>
                <w:rFonts w:hint="eastAsia" w:ascii="宋体" w:hAnsi="宋体" w:cs="宋体"/>
                <w:color w:val="auto"/>
                <w:sz w:val="24"/>
                <w:highlight w:val="none"/>
              </w:rPr>
            </w:pPr>
            <w:r>
              <w:rPr>
                <w:rFonts w:hint="eastAsia" w:ascii="宋体" w:hAnsi="宋体" w:cs="宋体"/>
                <w:color w:val="auto"/>
                <w:sz w:val="24"/>
                <w:highlight w:val="none"/>
              </w:rPr>
              <w:t>2024年</w:t>
            </w:r>
            <w:r>
              <w:rPr>
                <w:rFonts w:hint="eastAsia" w:ascii="宋体" w:hAnsi="宋体" w:cs="宋体"/>
                <w:color w:val="auto"/>
                <w:sz w:val="24"/>
                <w:highlight w:val="none"/>
                <w:lang w:eastAsia="zh-CN"/>
              </w:rPr>
              <w:t>09月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时30分</w:t>
            </w:r>
          </w:p>
        </w:tc>
      </w:tr>
      <w:tr w14:paraId="7857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40" w:type="pct"/>
            <w:vMerge w:val="continue"/>
            <w:tcBorders>
              <w:left w:val="single" w:color="auto" w:sz="4" w:space="0"/>
              <w:right w:val="single" w:color="auto" w:sz="4" w:space="0"/>
            </w:tcBorders>
            <w:noWrap w:val="0"/>
            <w:vAlign w:val="center"/>
          </w:tcPr>
          <w:p w14:paraId="08F8AD07">
            <w:pPr>
              <w:widowControl/>
              <w:jc w:val="left"/>
              <w:rPr>
                <w:rFonts w:hint="eastAsia" w:ascii="宋体" w:hAnsi="宋体" w:cs="宋体"/>
                <w:color w:val="auto"/>
                <w:sz w:val="22"/>
                <w:szCs w:val="28"/>
                <w:highlight w:val="none"/>
              </w:rPr>
            </w:pPr>
          </w:p>
        </w:tc>
        <w:tc>
          <w:tcPr>
            <w:tcW w:w="567" w:type="pct"/>
            <w:vMerge w:val="continue"/>
            <w:tcBorders>
              <w:left w:val="single" w:color="auto" w:sz="4" w:space="0"/>
              <w:right w:val="single" w:color="auto" w:sz="4" w:space="0"/>
            </w:tcBorders>
            <w:noWrap w:val="0"/>
            <w:vAlign w:val="center"/>
          </w:tcPr>
          <w:p w14:paraId="5ADB57E6">
            <w:pPr>
              <w:widowControl/>
              <w:jc w:val="left"/>
              <w:rPr>
                <w:rFonts w:hint="eastAsia" w:ascii="宋体" w:hAnsi="宋体" w:cs="宋体"/>
                <w:color w:val="auto"/>
                <w:sz w:val="22"/>
                <w:szCs w:val="28"/>
                <w:highlight w:val="none"/>
              </w:rPr>
            </w:pPr>
          </w:p>
        </w:tc>
        <w:tc>
          <w:tcPr>
            <w:tcW w:w="700" w:type="pct"/>
            <w:tcBorders>
              <w:top w:val="single" w:color="auto" w:sz="4" w:space="0"/>
              <w:left w:val="single" w:color="auto" w:sz="4" w:space="0"/>
              <w:right w:val="single" w:color="auto" w:sz="4" w:space="0"/>
            </w:tcBorders>
            <w:noWrap w:val="0"/>
            <w:vAlign w:val="center"/>
          </w:tcPr>
          <w:p w14:paraId="42629141">
            <w:pPr>
              <w:jc w:val="center"/>
              <w:rPr>
                <w:rFonts w:hint="eastAsia" w:ascii="宋体" w:hAnsi="宋体" w:cs="宋体"/>
                <w:color w:val="auto"/>
                <w:sz w:val="24"/>
                <w:highlight w:val="none"/>
              </w:rPr>
            </w:pPr>
            <w:r>
              <w:rPr>
                <w:rFonts w:hint="eastAsia" w:ascii="宋体" w:hAnsi="宋体" w:cs="宋体"/>
                <w:color w:val="auto"/>
                <w:sz w:val="24"/>
                <w:highlight w:val="none"/>
              </w:rPr>
              <w:t>地点</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265D9CFE">
            <w:pPr>
              <w:rPr>
                <w:rFonts w:ascii="宋体" w:hAnsi="宋体" w:cs="宋体"/>
                <w:color w:val="auto"/>
                <w:sz w:val="24"/>
                <w:highlight w:val="none"/>
              </w:rPr>
            </w:pPr>
            <w:r>
              <w:rPr>
                <w:rFonts w:hint="eastAsia" w:ascii="宋体" w:hAnsi="宋体" w:cs="宋体"/>
                <w:color w:val="auto"/>
                <w:sz w:val="24"/>
                <w:highlight w:val="none"/>
              </w:rPr>
              <w:t>南京市江宁区龙眠大道568号max科技园9栋B座一号开标室</w:t>
            </w:r>
          </w:p>
        </w:tc>
      </w:tr>
      <w:tr w14:paraId="0CA5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14:paraId="245EEF1F">
            <w:pPr>
              <w:spacing w:line="440" w:lineRule="exact"/>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11</w:t>
            </w:r>
          </w:p>
        </w:tc>
        <w:tc>
          <w:tcPr>
            <w:tcW w:w="1267" w:type="pct"/>
            <w:gridSpan w:val="2"/>
            <w:tcBorders>
              <w:top w:val="single" w:color="auto" w:sz="4" w:space="0"/>
              <w:left w:val="single" w:color="auto" w:sz="4" w:space="0"/>
              <w:bottom w:val="single" w:color="auto" w:sz="4" w:space="0"/>
              <w:right w:val="single" w:color="auto" w:sz="4" w:space="0"/>
            </w:tcBorders>
            <w:noWrap w:val="0"/>
            <w:vAlign w:val="center"/>
          </w:tcPr>
          <w:p w14:paraId="63F4B68B">
            <w:pPr>
              <w:jc w:val="center"/>
              <w:rPr>
                <w:rFonts w:hint="eastAsia" w:ascii="宋体" w:hAnsi="宋体" w:cs="宋体"/>
                <w:color w:val="auto"/>
                <w:sz w:val="24"/>
                <w:highlight w:val="none"/>
              </w:rPr>
            </w:pPr>
            <w:r>
              <w:rPr>
                <w:rFonts w:hint="eastAsia" w:ascii="宋体" w:hAnsi="宋体" w:cs="宋体"/>
                <w:color w:val="auto"/>
                <w:sz w:val="24"/>
                <w:highlight w:val="none"/>
              </w:rPr>
              <w:t>响应性文件份数</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65A706F5">
            <w:pPr>
              <w:rPr>
                <w:rFonts w:hint="eastAsia" w:ascii="宋体" w:hAnsi="宋体" w:cs="宋体"/>
                <w:color w:val="auto"/>
                <w:sz w:val="24"/>
                <w:highlight w:val="none"/>
              </w:rPr>
            </w:pPr>
            <w:r>
              <w:rPr>
                <w:rFonts w:hint="eastAsia" w:ascii="宋体" w:hAnsi="宋体" w:cs="宋体"/>
                <w:color w:val="auto"/>
                <w:sz w:val="24"/>
                <w:highlight w:val="none"/>
              </w:rPr>
              <w:t>一式伍份（壹份正本、肆份副本），每份磋商响应文件须清楚标明“正本”或“副本”字样。电子版磋商响应文件（U盘）壹份（随纸质文件一并提交）。当纸质副本文件、电子版文件和纸质正本文件不一致时，以纸质正本文件为准。</w:t>
            </w:r>
          </w:p>
        </w:tc>
      </w:tr>
      <w:tr w14:paraId="6801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40" w:type="pct"/>
            <w:vMerge w:val="restart"/>
            <w:tcBorders>
              <w:top w:val="single" w:color="auto" w:sz="4" w:space="0"/>
              <w:left w:val="single" w:color="auto" w:sz="4" w:space="0"/>
              <w:bottom w:val="single" w:color="auto" w:sz="4" w:space="0"/>
              <w:right w:val="single" w:color="auto" w:sz="4" w:space="0"/>
            </w:tcBorders>
            <w:noWrap w:val="0"/>
            <w:vAlign w:val="center"/>
          </w:tcPr>
          <w:p w14:paraId="7C60FABD">
            <w:pPr>
              <w:spacing w:line="440" w:lineRule="exact"/>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12</w:t>
            </w:r>
          </w:p>
        </w:tc>
        <w:tc>
          <w:tcPr>
            <w:tcW w:w="567" w:type="pct"/>
            <w:vMerge w:val="restart"/>
            <w:tcBorders>
              <w:top w:val="single" w:color="auto" w:sz="4" w:space="0"/>
              <w:left w:val="single" w:color="auto" w:sz="4" w:space="0"/>
              <w:bottom w:val="single" w:color="auto" w:sz="4" w:space="0"/>
              <w:right w:val="single" w:color="auto" w:sz="4" w:space="0"/>
            </w:tcBorders>
            <w:noWrap w:val="0"/>
            <w:vAlign w:val="center"/>
          </w:tcPr>
          <w:p w14:paraId="49921AAD">
            <w:pPr>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磋商信息</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6C8256C6">
            <w:pPr>
              <w:jc w:val="center"/>
              <w:rPr>
                <w:rFonts w:hint="eastAsia" w:ascii="宋体" w:hAnsi="宋体" w:cs="宋体"/>
                <w:color w:val="auto"/>
                <w:sz w:val="24"/>
                <w:highlight w:val="none"/>
              </w:rPr>
            </w:pPr>
            <w:r>
              <w:rPr>
                <w:rFonts w:hint="eastAsia" w:ascii="宋体" w:hAnsi="宋体" w:cs="宋体"/>
                <w:color w:val="auto"/>
                <w:sz w:val="24"/>
                <w:highlight w:val="none"/>
              </w:rPr>
              <w:t>时间</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56F6B788">
            <w:pPr>
              <w:rPr>
                <w:rFonts w:hint="eastAsia" w:ascii="宋体" w:hAnsi="宋体" w:cs="宋体"/>
                <w:color w:val="auto"/>
                <w:sz w:val="24"/>
                <w:highlight w:val="none"/>
              </w:rPr>
            </w:pPr>
            <w:r>
              <w:rPr>
                <w:rFonts w:hint="eastAsia" w:ascii="宋体" w:hAnsi="宋体" w:cs="宋体"/>
                <w:color w:val="auto"/>
                <w:sz w:val="24"/>
                <w:highlight w:val="none"/>
              </w:rPr>
              <w:t>2024年</w:t>
            </w:r>
            <w:r>
              <w:rPr>
                <w:rFonts w:hint="eastAsia" w:ascii="宋体" w:hAnsi="宋体" w:cs="宋体"/>
                <w:color w:val="auto"/>
                <w:sz w:val="24"/>
                <w:highlight w:val="none"/>
                <w:lang w:eastAsia="zh-CN"/>
              </w:rPr>
              <w:t>09月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时30分</w:t>
            </w:r>
          </w:p>
        </w:tc>
      </w:tr>
      <w:tr w14:paraId="3ADA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14:paraId="4792F27C">
            <w:pPr>
              <w:widowControl/>
              <w:jc w:val="left"/>
              <w:rPr>
                <w:rFonts w:hint="eastAsia" w:ascii="宋体" w:hAnsi="宋体" w:cs="宋体"/>
                <w:color w:val="auto"/>
                <w:sz w:val="22"/>
                <w:szCs w:val="28"/>
                <w:highlight w:val="none"/>
              </w:rPr>
            </w:pPr>
          </w:p>
        </w:tc>
        <w:tc>
          <w:tcPr>
            <w:tcW w:w="567" w:type="pct"/>
            <w:vMerge w:val="continue"/>
            <w:tcBorders>
              <w:top w:val="single" w:color="auto" w:sz="4" w:space="0"/>
              <w:left w:val="single" w:color="auto" w:sz="4" w:space="0"/>
              <w:bottom w:val="single" w:color="auto" w:sz="4" w:space="0"/>
              <w:right w:val="single" w:color="auto" w:sz="4" w:space="0"/>
            </w:tcBorders>
            <w:noWrap w:val="0"/>
            <w:vAlign w:val="center"/>
          </w:tcPr>
          <w:p w14:paraId="5B72AE38">
            <w:pPr>
              <w:widowControl/>
              <w:jc w:val="left"/>
              <w:rPr>
                <w:rFonts w:hint="eastAsia" w:ascii="宋体" w:hAnsi="宋体" w:cs="宋体"/>
                <w:color w:val="auto"/>
                <w:sz w:val="22"/>
                <w:szCs w:val="28"/>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073061CB">
            <w:pPr>
              <w:jc w:val="center"/>
              <w:rPr>
                <w:rFonts w:hint="eastAsia" w:ascii="宋体" w:hAnsi="宋体" w:cs="宋体"/>
                <w:color w:val="auto"/>
                <w:sz w:val="24"/>
                <w:highlight w:val="none"/>
              </w:rPr>
            </w:pPr>
            <w:r>
              <w:rPr>
                <w:rFonts w:hint="eastAsia" w:ascii="宋体" w:hAnsi="宋体" w:cs="宋体"/>
                <w:color w:val="auto"/>
                <w:sz w:val="24"/>
                <w:highlight w:val="none"/>
              </w:rPr>
              <w:t>地点</w:t>
            </w:r>
          </w:p>
        </w:tc>
        <w:tc>
          <w:tcPr>
            <w:tcW w:w="3293" w:type="pct"/>
            <w:gridSpan w:val="2"/>
            <w:tcBorders>
              <w:top w:val="single" w:color="auto" w:sz="4" w:space="0"/>
              <w:left w:val="single" w:color="auto" w:sz="4" w:space="0"/>
              <w:bottom w:val="single" w:color="auto" w:sz="4" w:space="0"/>
              <w:right w:val="single" w:color="auto" w:sz="4" w:space="0"/>
            </w:tcBorders>
            <w:noWrap w:val="0"/>
            <w:vAlign w:val="center"/>
          </w:tcPr>
          <w:p w14:paraId="6DD5209E">
            <w:pPr>
              <w:rPr>
                <w:rFonts w:hint="eastAsia" w:ascii="宋体" w:hAnsi="宋体" w:cs="宋体"/>
                <w:color w:val="auto"/>
                <w:sz w:val="24"/>
                <w:highlight w:val="none"/>
              </w:rPr>
            </w:pPr>
            <w:r>
              <w:rPr>
                <w:rFonts w:hint="eastAsia" w:ascii="宋体" w:hAnsi="宋体" w:cs="宋体"/>
                <w:color w:val="auto"/>
                <w:sz w:val="24"/>
                <w:highlight w:val="none"/>
              </w:rPr>
              <w:t>南京市江宁区龙眠大道568号max科技园9栋B座</w:t>
            </w:r>
          </w:p>
        </w:tc>
      </w:tr>
      <w:tr w14:paraId="6922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40" w:type="pct"/>
            <w:vMerge w:val="restart"/>
            <w:tcBorders>
              <w:top w:val="single" w:color="auto" w:sz="4" w:space="0"/>
              <w:left w:val="single" w:color="auto" w:sz="4" w:space="0"/>
              <w:right w:val="single" w:color="auto" w:sz="4" w:space="0"/>
            </w:tcBorders>
            <w:noWrap w:val="0"/>
            <w:vAlign w:val="center"/>
          </w:tcPr>
          <w:p w14:paraId="6192B708">
            <w:pPr>
              <w:spacing w:line="440" w:lineRule="exact"/>
              <w:jc w:val="center"/>
              <w:rPr>
                <w:rFonts w:hint="eastAsia" w:ascii="宋体" w:hAnsi="宋体" w:cs="宋体"/>
                <w:color w:val="auto"/>
                <w:sz w:val="22"/>
                <w:szCs w:val="28"/>
                <w:highlight w:val="none"/>
              </w:rPr>
            </w:pPr>
            <w:r>
              <w:rPr>
                <w:rFonts w:hint="eastAsia" w:ascii="宋体" w:hAnsi="宋体" w:cs="宋体"/>
                <w:color w:val="auto"/>
                <w:sz w:val="22"/>
                <w:szCs w:val="28"/>
                <w:highlight w:val="none"/>
              </w:rPr>
              <w:t>13</w:t>
            </w:r>
          </w:p>
        </w:tc>
        <w:tc>
          <w:tcPr>
            <w:tcW w:w="567" w:type="pct"/>
            <w:vMerge w:val="restart"/>
            <w:tcBorders>
              <w:top w:val="single" w:color="auto" w:sz="4" w:space="0"/>
              <w:left w:val="single" w:color="auto" w:sz="4" w:space="0"/>
              <w:right w:val="single" w:color="auto" w:sz="4" w:space="0"/>
            </w:tcBorders>
            <w:noWrap w:val="0"/>
            <w:vAlign w:val="center"/>
          </w:tcPr>
          <w:p w14:paraId="1016BD50">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联系</w:t>
            </w:r>
          </w:p>
          <w:p w14:paraId="7E3C591E">
            <w:pPr>
              <w:spacing w:line="440" w:lineRule="exact"/>
              <w:jc w:val="center"/>
              <w:rPr>
                <w:rFonts w:hint="eastAsia" w:ascii="宋体" w:hAnsi="宋体" w:cs="宋体"/>
                <w:color w:val="auto"/>
                <w:sz w:val="22"/>
                <w:szCs w:val="28"/>
                <w:highlight w:val="none"/>
              </w:rPr>
            </w:pPr>
            <w:r>
              <w:rPr>
                <w:rFonts w:hint="eastAsia" w:ascii="宋体" w:hAnsi="宋体" w:cs="宋体"/>
                <w:color w:val="auto"/>
                <w:sz w:val="24"/>
                <w:highlight w:val="none"/>
              </w:rPr>
              <w:t>事项</w:t>
            </w:r>
          </w:p>
        </w:tc>
        <w:tc>
          <w:tcPr>
            <w:tcW w:w="700" w:type="pct"/>
            <w:vMerge w:val="restart"/>
            <w:tcBorders>
              <w:top w:val="single" w:color="auto" w:sz="4" w:space="0"/>
              <w:left w:val="single" w:color="auto" w:sz="4" w:space="0"/>
              <w:right w:val="single" w:color="auto" w:sz="4" w:space="0"/>
            </w:tcBorders>
            <w:noWrap w:val="0"/>
            <w:vAlign w:val="center"/>
          </w:tcPr>
          <w:p w14:paraId="5490013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采购单位</w:t>
            </w:r>
          </w:p>
        </w:tc>
        <w:tc>
          <w:tcPr>
            <w:tcW w:w="721" w:type="pct"/>
            <w:tcBorders>
              <w:top w:val="single" w:color="auto" w:sz="4" w:space="0"/>
              <w:left w:val="single" w:color="auto" w:sz="4" w:space="0"/>
              <w:bottom w:val="single" w:color="auto" w:sz="4" w:space="0"/>
              <w:right w:val="single" w:color="auto" w:sz="4" w:space="0"/>
            </w:tcBorders>
            <w:noWrap w:val="0"/>
            <w:vAlign w:val="center"/>
          </w:tcPr>
          <w:p w14:paraId="4C74E9E7">
            <w:pP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572" w:type="pct"/>
            <w:tcBorders>
              <w:top w:val="single" w:color="auto" w:sz="4" w:space="0"/>
              <w:left w:val="single" w:color="auto" w:sz="4" w:space="0"/>
              <w:bottom w:val="single" w:color="auto" w:sz="4" w:space="0"/>
              <w:right w:val="single" w:color="auto" w:sz="4" w:space="0"/>
            </w:tcBorders>
            <w:noWrap w:val="0"/>
            <w:vAlign w:val="center"/>
          </w:tcPr>
          <w:p w14:paraId="5177B7D6">
            <w:pPr>
              <w:rPr>
                <w:rFonts w:hint="eastAsia" w:ascii="宋体" w:hAnsi="宋体" w:cs="宋体"/>
                <w:color w:val="auto"/>
                <w:sz w:val="24"/>
                <w:highlight w:val="none"/>
              </w:rPr>
            </w:pPr>
            <w:r>
              <w:rPr>
                <w:rFonts w:hint="eastAsia" w:ascii="宋体" w:hAnsi="宋体" w:cs="宋体"/>
                <w:color w:val="auto"/>
                <w:sz w:val="24"/>
                <w:highlight w:val="none"/>
              </w:rPr>
              <w:t>王工</w:t>
            </w:r>
          </w:p>
        </w:tc>
      </w:tr>
      <w:tr w14:paraId="471F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40" w:type="pct"/>
            <w:vMerge w:val="continue"/>
            <w:tcBorders>
              <w:left w:val="single" w:color="auto" w:sz="4" w:space="0"/>
              <w:right w:val="single" w:color="auto" w:sz="4" w:space="0"/>
            </w:tcBorders>
            <w:noWrap w:val="0"/>
            <w:vAlign w:val="center"/>
          </w:tcPr>
          <w:p w14:paraId="48802282">
            <w:pPr>
              <w:spacing w:line="440" w:lineRule="exact"/>
              <w:jc w:val="center"/>
              <w:rPr>
                <w:rFonts w:hint="eastAsia" w:ascii="宋体" w:hAnsi="宋体" w:cs="宋体"/>
                <w:color w:val="auto"/>
                <w:sz w:val="22"/>
                <w:szCs w:val="28"/>
                <w:highlight w:val="none"/>
              </w:rPr>
            </w:pPr>
          </w:p>
        </w:tc>
        <w:tc>
          <w:tcPr>
            <w:tcW w:w="567" w:type="pct"/>
            <w:vMerge w:val="continue"/>
            <w:tcBorders>
              <w:left w:val="single" w:color="auto" w:sz="4" w:space="0"/>
              <w:right w:val="single" w:color="auto" w:sz="4" w:space="0"/>
            </w:tcBorders>
            <w:noWrap w:val="0"/>
            <w:vAlign w:val="center"/>
          </w:tcPr>
          <w:p w14:paraId="18E74CF6">
            <w:pPr>
              <w:spacing w:line="440" w:lineRule="exact"/>
              <w:jc w:val="center"/>
              <w:rPr>
                <w:rFonts w:hint="eastAsia" w:ascii="宋体" w:hAnsi="宋体" w:cs="宋体"/>
                <w:color w:val="auto"/>
                <w:sz w:val="22"/>
                <w:szCs w:val="28"/>
                <w:highlight w:val="none"/>
              </w:rPr>
            </w:pPr>
          </w:p>
        </w:tc>
        <w:tc>
          <w:tcPr>
            <w:tcW w:w="700" w:type="pct"/>
            <w:vMerge w:val="continue"/>
            <w:tcBorders>
              <w:left w:val="single" w:color="auto" w:sz="4" w:space="0"/>
              <w:bottom w:val="single" w:color="auto" w:sz="4" w:space="0"/>
              <w:right w:val="single" w:color="auto" w:sz="4" w:space="0"/>
            </w:tcBorders>
            <w:noWrap w:val="0"/>
            <w:vAlign w:val="center"/>
          </w:tcPr>
          <w:p w14:paraId="1D508ECE">
            <w:pPr>
              <w:spacing w:line="440" w:lineRule="exact"/>
              <w:jc w:val="center"/>
              <w:rPr>
                <w:rFonts w:hint="eastAsia" w:ascii="宋体" w:hAnsi="宋体" w:cs="宋体"/>
                <w:color w:val="auto"/>
                <w:sz w:val="24"/>
                <w:highlight w:val="none"/>
              </w:rPr>
            </w:pPr>
          </w:p>
        </w:tc>
        <w:tc>
          <w:tcPr>
            <w:tcW w:w="721" w:type="pct"/>
            <w:tcBorders>
              <w:top w:val="single" w:color="auto" w:sz="4" w:space="0"/>
              <w:left w:val="single" w:color="auto" w:sz="4" w:space="0"/>
              <w:bottom w:val="single" w:color="auto" w:sz="4" w:space="0"/>
              <w:right w:val="single" w:color="auto" w:sz="4" w:space="0"/>
            </w:tcBorders>
            <w:noWrap w:val="0"/>
            <w:vAlign w:val="center"/>
          </w:tcPr>
          <w:p w14:paraId="16169CB8">
            <w:pP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2572" w:type="pct"/>
            <w:tcBorders>
              <w:top w:val="single" w:color="auto" w:sz="4" w:space="0"/>
              <w:left w:val="single" w:color="auto" w:sz="4" w:space="0"/>
              <w:bottom w:val="single" w:color="auto" w:sz="4" w:space="0"/>
              <w:right w:val="single" w:color="auto" w:sz="4" w:space="0"/>
            </w:tcBorders>
            <w:noWrap w:val="0"/>
            <w:vAlign w:val="center"/>
          </w:tcPr>
          <w:p w14:paraId="3F8F4FCD">
            <w:pPr>
              <w:rPr>
                <w:rFonts w:hint="eastAsia" w:ascii="宋体" w:hAnsi="宋体" w:cs="宋体"/>
                <w:color w:val="auto"/>
                <w:sz w:val="24"/>
                <w:highlight w:val="none"/>
              </w:rPr>
            </w:pPr>
            <w:r>
              <w:rPr>
                <w:rFonts w:hint="eastAsia" w:ascii="宋体" w:hAnsi="宋体" w:cs="宋体"/>
                <w:color w:val="auto"/>
                <w:sz w:val="24"/>
                <w:highlight w:val="none"/>
              </w:rPr>
              <w:t>025-87787186</w:t>
            </w:r>
          </w:p>
        </w:tc>
      </w:tr>
      <w:tr w14:paraId="288A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40" w:type="pct"/>
            <w:vMerge w:val="continue"/>
            <w:tcBorders>
              <w:left w:val="single" w:color="auto" w:sz="4" w:space="0"/>
              <w:right w:val="single" w:color="auto" w:sz="4" w:space="0"/>
            </w:tcBorders>
            <w:noWrap w:val="0"/>
            <w:vAlign w:val="center"/>
          </w:tcPr>
          <w:p w14:paraId="367E876D">
            <w:pPr>
              <w:spacing w:line="440" w:lineRule="exact"/>
              <w:jc w:val="center"/>
              <w:rPr>
                <w:rFonts w:hint="eastAsia" w:ascii="宋体" w:hAnsi="宋体" w:cs="宋体"/>
                <w:color w:val="auto"/>
                <w:sz w:val="22"/>
                <w:szCs w:val="28"/>
                <w:highlight w:val="none"/>
              </w:rPr>
            </w:pPr>
          </w:p>
        </w:tc>
        <w:tc>
          <w:tcPr>
            <w:tcW w:w="567" w:type="pct"/>
            <w:vMerge w:val="continue"/>
            <w:tcBorders>
              <w:left w:val="single" w:color="auto" w:sz="4" w:space="0"/>
              <w:right w:val="single" w:color="auto" w:sz="4" w:space="0"/>
            </w:tcBorders>
            <w:noWrap w:val="0"/>
            <w:vAlign w:val="center"/>
          </w:tcPr>
          <w:p w14:paraId="3B4EC200">
            <w:pPr>
              <w:spacing w:line="440" w:lineRule="exact"/>
              <w:jc w:val="center"/>
              <w:rPr>
                <w:rFonts w:hint="eastAsia" w:ascii="宋体" w:hAnsi="宋体" w:cs="宋体"/>
                <w:color w:val="auto"/>
                <w:sz w:val="22"/>
                <w:szCs w:val="28"/>
                <w:highlight w:val="none"/>
              </w:rPr>
            </w:pPr>
          </w:p>
        </w:tc>
        <w:tc>
          <w:tcPr>
            <w:tcW w:w="700" w:type="pct"/>
            <w:vMerge w:val="restart"/>
            <w:tcBorders>
              <w:top w:val="single" w:color="auto" w:sz="4" w:space="0"/>
              <w:left w:val="single" w:color="auto" w:sz="4" w:space="0"/>
              <w:right w:val="single" w:color="auto" w:sz="4" w:space="0"/>
            </w:tcBorders>
            <w:noWrap w:val="0"/>
            <w:vAlign w:val="center"/>
          </w:tcPr>
          <w:p w14:paraId="6C5861BB">
            <w:pPr>
              <w:jc w:val="center"/>
              <w:rPr>
                <w:rFonts w:hint="eastAsia" w:ascii="宋体" w:hAnsi="宋体" w:cs="宋体"/>
                <w:color w:val="auto"/>
                <w:sz w:val="24"/>
                <w:highlight w:val="none"/>
              </w:rPr>
            </w:pPr>
            <w:r>
              <w:rPr>
                <w:rFonts w:hint="eastAsia" w:ascii="宋体" w:hAnsi="宋体" w:cs="宋体"/>
                <w:color w:val="auto"/>
                <w:sz w:val="24"/>
                <w:highlight w:val="none"/>
              </w:rPr>
              <w:t>采购代理机构</w:t>
            </w:r>
          </w:p>
        </w:tc>
        <w:tc>
          <w:tcPr>
            <w:tcW w:w="721" w:type="pct"/>
            <w:tcBorders>
              <w:top w:val="single" w:color="auto" w:sz="4" w:space="0"/>
              <w:left w:val="single" w:color="auto" w:sz="4" w:space="0"/>
              <w:bottom w:val="single" w:color="auto" w:sz="4" w:space="0"/>
              <w:right w:val="single" w:color="auto" w:sz="4" w:space="0"/>
            </w:tcBorders>
            <w:noWrap w:val="0"/>
            <w:vAlign w:val="center"/>
          </w:tcPr>
          <w:p w14:paraId="6C18B183">
            <w:pP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572" w:type="pct"/>
            <w:tcBorders>
              <w:top w:val="single" w:color="auto" w:sz="4" w:space="0"/>
              <w:left w:val="single" w:color="auto" w:sz="4" w:space="0"/>
              <w:bottom w:val="single" w:color="auto" w:sz="4" w:space="0"/>
              <w:right w:val="single" w:color="auto" w:sz="4" w:space="0"/>
            </w:tcBorders>
            <w:noWrap w:val="0"/>
            <w:vAlign w:val="center"/>
          </w:tcPr>
          <w:p w14:paraId="30E6616E">
            <w:pPr>
              <w:rPr>
                <w:rFonts w:hint="eastAsia" w:ascii="宋体" w:hAnsi="宋体" w:cs="宋体"/>
                <w:color w:val="auto"/>
                <w:sz w:val="24"/>
                <w:highlight w:val="none"/>
              </w:rPr>
            </w:pPr>
            <w:r>
              <w:rPr>
                <w:rFonts w:hint="eastAsia" w:ascii="宋体" w:hAnsi="宋体" w:cs="宋体"/>
                <w:color w:val="auto"/>
                <w:sz w:val="24"/>
                <w:highlight w:val="none"/>
              </w:rPr>
              <w:t>庞立贤</w:t>
            </w:r>
          </w:p>
        </w:tc>
      </w:tr>
      <w:tr w14:paraId="60B5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40" w:type="pct"/>
            <w:vMerge w:val="continue"/>
            <w:tcBorders>
              <w:left w:val="single" w:color="auto" w:sz="4" w:space="0"/>
              <w:right w:val="single" w:color="auto" w:sz="4" w:space="0"/>
            </w:tcBorders>
            <w:noWrap w:val="0"/>
            <w:vAlign w:val="center"/>
          </w:tcPr>
          <w:p w14:paraId="1B4C0976">
            <w:pPr>
              <w:widowControl/>
              <w:jc w:val="left"/>
              <w:rPr>
                <w:rFonts w:hint="eastAsia" w:ascii="宋体" w:hAnsi="宋体" w:cs="宋体"/>
                <w:color w:val="auto"/>
                <w:sz w:val="22"/>
                <w:szCs w:val="28"/>
                <w:highlight w:val="none"/>
              </w:rPr>
            </w:pPr>
          </w:p>
        </w:tc>
        <w:tc>
          <w:tcPr>
            <w:tcW w:w="567" w:type="pct"/>
            <w:vMerge w:val="continue"/>
            <w:tcBorders>
              <w:left w:val="single" w:color="auto" w:sz="4" w:space="0"/>
              <w:right w:val="single" w:color="auto" w:sz="4" w:space="0"/>
            </w:tcBorders>
            <w:noWrap w:val="0"/>
            <w:vAlign w:val="center"/>
          </w:tcPr>
          <w:p w14:paraId="0BD965E1">
            <w:pPr>
              <w:widowControl/>
              <w:jc w:val="center"/>
              <w:rPr>
                <w:rFonts w:hint="eastAsia" w:ascii="宋体" w:hAnsi="宋体" w:cs="宋体"/>
                <w:color w:val="auto"/>
                <w:sz w:val="22"/>
                <w:szCs w:val="28"/>
                <w:highlight w:val="none"/>
              </w:rPr>
            </w:pPr>
          </w:p>
        </w:tc>
        <w:tc>
          <w:tcPr>
            <w:tcW w:w="700" w:type="pct"/>
            <w:vMerge w:val="continue"/>
            <w:tcBorders>
              <w:left w:val="single" w:color="auto" w:sz="4" w:space="0"/>
              <w:right w:val="single" w:color="auto" w:sz="4" w:space="0"/>
            </w:tcBorders>
            <w:noWrap w:val="0"/>
            <w:vAlign w:val="center"/>
          </w:tcPr>
          <w:p w14:paraId="1EF00224">
            <w:pPr>
              <w:widowControl/>
              <w:jc w:val="center"/>
              <w:rPr>
                <w:rFonts w:hint="eastAsia" w:ascii="宋体" w:hAnsi="宋体" w:cs="宋体"/>
                <w:color w:val="auto"/>
                <w:sz w:val="24"/>
                <w:highlight w:val="none"/>
              </w:rPr>
            </w:pPr>
          </w:p>
        </w:tc>
        <w:tc>
          <w:tcPr>
            <w:tcW w:w="721" w:type="pct"/>
            <w:tcBorders>
              <w:top w:val="single" w:color="auto" w:sz="4" w:space="0"/>
              <w:left w:val="single" w:color="auto" w:sz="4" w:space="0"/>
              <w:bottom w:val="single" w:color="auto" w:sz="4" w:space="0"/>
              <w:right w:val="single" w:color="auto" w:sz="4" w:space="0"/>
            </w:tcBorders>
            <w:noWrap w:val="0"/>
            <w:vAlign w:val="center"/>
          </w:tcPr>
          <w:p w14:paraId="41D3AFB1">
            <w:pP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2572" w:type="pct"/>
            <w:tcBorders>
              <w:top w:val="single" w:color="auto" w:sz="4" w:space="0"/>
              <w:left w:val="single" w:color="auto" w:sz="4" w:space="0"/>
              <w:bottom w:val="single" w:color="auto" w:sz="4" w:space="0"/>
              <w:right w:val="single" w:color="auto" w:sz="4" w:space="0"/>
            </w:tcBorders>
            <w:noWrap w:val="0"/>
            <w:vAlign w:val="center"/>
          </w:tcPr>
          <w:p w14:paraId="409590BC">
            <w:pPr>
              <w:rPr>
                <w:rFonts w:ascii="宋体" w:hAnsi="宋体" w:cs="宋体"/>
                <w:color w:val="auto"/>
                <w:sz w:val="24"/>
                <w:highlight w:val="none"/>
              </w:rPr>
            </w:pPr>
            <w:r>
              <w:rPr>
                <w:rFonts w:hint="eastAsia" w:ascii="宋体" w:hAnsi="宋体" w:cs="宋体"/>
                <w:color w:val="auto"/>
                <w:sz w:val="24"/>
                <w:highlight w:val="none"/>
              </w:rPr>
              <w:t>18602530317</w:t>
            </w:r>
          </w:p>
        </w:tc>
      </w:tr>
      <w:tr w14:paraId="2992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40" w:type="pct"/>
            <w:vMerge w:val="restart"/>
            <w:tcBorders>
              <w:left w:val="single" w:color="auto" w:sz="4" w:space="0"/>
              <w:right w:val="single" w:color="auto" w:sz="4" w:space="0"/>
            </w:tcBorders>
            <w:noWrap w:val="0"/>
            <w:vAlign w:val="center"/>
          </w:tcPr>
          <w:p w14:paraId="757F4288">
            <w:pPr>
              <w:widowControl/>
              <w:jc w:val="cente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p>
        </w:tc>
        <w:tc>
          <w:tcPr>
            <w:tcW w:w="567" w:type="pct"/>
            <w:vMerge w:val="restart"/>
            <w:tcBorders>
              <w:left w:val="single" w:color="auto" w:sz="4" w:space="0"/>
              <w:right w:val="single" w:color="auto" w:sz="4" w:space="0"/>
            </w:tcBorders>
            <w:noWrap w:val="0"/>
            <w:vAlign w:val="center"/>
          </w:tcPr>
          <w:p w14:paraId="6CD4964F">
            <w:pPr>
              <w:widowControl/>
              <w:jc w:val="center"/>
              <w:rPr>
                <w:rFonts w:hint="eastAsia" w:ascii="宋体" w:hAnsi="宋体" w:cs="宋体"/>
                <w:color w:val="auto"/>
                <w:sz w:val="24"/>
                <w:highlight w:val="none"/>
              </w:rPr>
            </w:pPr>
            <w:r>
              <w:rPr>
                <w:rFonts w:hint="eastAsia" w:ascii="宋体" w:hAnsi="宋体" w:cs="宋体"/>
                <w:color w:val="auto"/>
                <w:sz w:val="24"/>
                <w:highlight w:val="none"/>
              </w:rPr>
              <w:t>其他事项</w:t>
            </w:r>
          </w:p>
        </w:tc>
        <w:tc>
          <w:tcPr>
            <w:tcW w:w="700" w:type="pct"/>
            <w:tcBorders>
              <w:left w:val="single" w:color="auto" w:sz="4" w:space="0"/>
              <w:right w:val="single" w:color="auto" w:sz="4" w:space="0"/>
            </w:tcBorders>
            <w:noWrap w:val="0"/>
            <w:vAlign w:val="center"/>
          </w:tcPr>
          <w:p w14:paraId="70172845">
            <w:pPr>
              <w:widowControl/>
              <w:jc w:val="center"/>
              <w:rPr>
                <w:rFonts w:hint="eastAsia" w:ascii="宋体" w:hAnsi="宋体" w:cs="宋体"/>
                <w:color w:val="auto"/>
                <w:sz w:val="24"/>
                <w:highlight w:val="none"/>
              </w:rPr>
            </w:pPr>
            <w:r>
              <w:rPr>
                <w:rFonts w:hint="eastAsia" w:ascii="宋体" w:hAnsi="宋体" w:cs="宋体"/>
                <w:color w:val="auto"/>
                <w:sz w:val="24"/>
                <w:highlight w:val="none"/>
              </w:rPr>
              <w:t>差额履约担保</w:t>
            </w:r>
          </w:p>
        </w:tc>
        <w:tc>
          <w:tcPr>
            <w:tcW w:w="3293" w:type="pct"/>
            <w:gridSpan w:val="2"/>
            <w:tcBorders>
              <w:top w:val="single" w:color="auto" w:sz="4" w:space="0"/>
              <w:left w:val="single" w:color="auto" w:sz="4" w:space="0"/>
              <w:right w:val="single" w:color="auto" w:sz="4" w:space="0"/>
            </w:tcBorders>
            <w:noWrap w:val="0"/>
            <w:vAlign w:val="center"/>
          </w:tcPr>
          <w:p w14:paraId="5015689D">
            <w:pPr>
              <w:rPr>
                <w:rFonts w:hint="eastAsia" w:ascii="宋体" w:hAnsi="宋体" w:cs="宋体"/>
                <w:color w:val="auto"/>
                <w:sz w:val="24"/>
                <w:highlight w:val="none"/>
              </w:rPr>
            </w:pPr>
            <w:r>
              <w:rPr>
                <w:rFonts w:hint="eastAsia" w:ascii="宋体" w:hAnsi="宋体" w:cs="宋体"/>
                <w:color w:val="FF0000"/>
                <w:sz w:val="24"/>
                <w:highlight w:val="none"/>
              </w:rPr>
              <w:t>差额履约担保要求：成交供应商必须在成交结果公示结束后 5 天内以转帐支票、银行汇票、银行保函或国有全资担保公司开具的履约保函等方式向采购人递交成交差额履约担保，否则取消中标资格。担保金额为最高投标限价（招标控制价）和中标价的差值。退还时间：竣工验收合格，竣工验收合格后7天内退还差额履约担保（不计息）。</w:t>
            </w:r>
          </w:p>
        </w:tc>
      </w:tr>
      <w:tr w14:paraId="61D0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40" w:type="pct"/>
            <w:vMerge w:val="continue"/>
            <w:tcBorders>
              <w:left w:val="single" w:color="auto" w:sz="4" w:space="0"/>
              <w:right w:val="single" w:color="auto" w:sz="4" w:space="0"/>
            </w:tcBorders>
            <w:noWrap w:val="0"/>
            <w:vAlign w:val="center"/>
          </w:tcPr>
          <w:p w14:paraId="6026A7EE">
            <w:pPr>
              <w:widowControl/>
              <w:jc w:val="center"/>
              <w:rPr>
                <w:rFonts w:hint="eastAsia" w:ascii="宋体" w:hAnsi="宋体" w:cs="宋体"/>
                <w:color w:val="auto"/>
                <w:sz w:val="24"/>
                <w:highlight w:val="none"/>
              </w:rPr>
            </w:pPr>
          </w:p>
        </w:tc>
        <w:tc>
          <w:tcPr>
            <w:tcW w:w="567" w:type="pct"/>
            <w:vMerge w:val="continue"/>
            <w:tcBorders>
              <w:left w:val="single" w:color="auto" w:sz="4" w:space="0"/>
              <w:right w:val="single" w:color="auto" w:sz="4" w:space="0"/>
            </w:tcBorders>
            <w:noWrap w:val="0"/>
            <w:vAlign w:val="center"/>
          </w:tcPr>
          <w:p w14:paraId="4AB9607F">
            <w:pPr>
              <w:widowControl/>
              <w:jc w:val="center"/>
              <w:rPr>
                <w:rFonts w:hint="eastAsia" w:ascii="宋体" w:hAnsi="宋体" w:cs="宋体"/>
                <w:color w:val="auto"/>
                <w:sz w:val="24"/>
                <w:highlight w:val="none"/>
              </w:rPr>
            </w:pPr>
          </w:p>
        </w:tc>
        <w:tc>
          <w:tcPr>
            <w:tcW w:w="700" w:type="pct"/>
            <w:tcBorders>
              <w:left w:val="single" w:color="auto" w:sz="4" w:space="0"/>
              <w:right w:val="single" w:color="auto" w:sz="4" w:space="0"/>
            </w:tcBorders>
            <w:noWrap w:val="0"/>
            <w:vAlign w:val="center"/>
          </w:tcPr>
          <w:p w14:paraId="195BCAA3">
            <w:pPr>
              <w:widowControl/>
              <w:jc w:val="center"/>
              <w:rPr>
                <w:rFonts w:hint="eastAsia" w:ascii="宋体" w:hAnsi="宋体" w:cs="宋体"/>
                <w:color w:val="auto"/>
                <w:sz w:val="24"/>
                <w:highlight w:val="none"/>
              </w:rPr>
            </w:pPr>
            <w:r>
              <w:rPr>
                <w:rFonts w:hint="eastAsia" w:ascii="宋体" w:hAnsi="宋体" w:cs="宋体"/>
                <w:color w:val="auto"/>
                <w:sz w:val="24"/>
                <w:highlight w:val="none"/>
              </w:rPr>
              <w:t>招标代理服务费</w:t>
            </w:r>
          </w:p>
        </w:tc>
        <w:tc>
          <w:tcPr>
            <w:tcW w:w="3293" w:type="pct"/>
            <w:gridSpan w:val="2"/>
            <w:tcBorders>
              <w:left w:val="single" w:color="auto" w:sz="4" w:space="0"/>
              <w:bottom w:val="single" w:color="auto" w:sz="4" w:space="0"/>
              <w:right w:val="single" w:color="auto" w:sz="4" w:space="0"/>
            </w:tcBorders>
            <w:noWrap w:val="0"/>
            <w:vAlign w:val="center"/>
          </w:tcPr>
          <w:p w14:paraId="7B0F6180">
            <w:pPr>
              <w:rPr>
                <w:rFonts w:hint="eastAsia" w:ascii="宋体" w:hAnsi="宋体" w:cs="宋体"/>
                <w:color w:val="auto"/>
                <w:sz w:val="24"/>
                <w:highlight w:val="none"/>
              </w:rPr>
            </w:pPr>
            <w:r>
              <w:rPr>
                <w:rFonts w:hint="eastAsia" w:ascii="宋体" w:hAnsi="宋体" w:cs="宋体"/>
                <w:color w:val="auto"/>
                <w:sz w:val="24"/>
                <w:highlight w:val="none"/>
              </w:rPr>
              <w:t>招标代理服务费以中标价为基数，参照国家计委【计价格（2002）1980号】文件的收费标准的7</w:t>
            </w:r>
            <w:r>
              <w:rPr>
                <w:rFonts w:ascii="宋体" w:hAnsi="宋体" w:cs="宋体"/>
                <w:color w:val="auto"/>
                <w:sz w:val="24"/>
                <w:highlight w:val="none"/>
              </w:rPr>
              <w:t>0%收取，</w:t>
            </w:r>
            <w:r>
              <w:rPr>
                <w:rFonts w:hint="eastAsia" w:ascii="宋体" w:hAnsi="宋体" w:cs="宋体"/>
                <w:color w:val="auto"/>
                <w:sz w:val="24"/>
                <w:highlight w:val="none"/>
              </w:rPr>
              <w:t>由成交供应商支付。</w:t>
            </w:r>
          </w:p>
        </w:tc>
      </w:tr>
    </w:tbl>
    <w:p w14:paraId="1F0217B8">
      <w:pPr>
        <w:autoSpaceDE w:val="0"/>
        <w:autoSpaceDN w:val="0"/>
        <w:adjustRightInd w:val="0"/>
        <w:spacing w:line="360" w:lineRule="auto"/>
        <w:ind w:firstLine="420"/>
        <w:rPr>
          <w:rFonts w:hint="eastAsia" w:ascii="宋体" w:hAnsi="宋体" w:cs="宋体"/>
          <w:b/>
          <w:bCs/>
          <w:color w:val="auto"/>
          <w:szCs w:val="21"/>
          <w:highlight w:val="none"/>
          <w:lang w:val="zh-CN"/>
        </w:rPr>
      </w:pPr>
    </w:p>
    <w:p w14:paraId="492263E8">
      <w:pPr>
        <w:autoSpaceDE w:val="0"/>
        <w:autoSpaceDN w:val="0"/>
        <w:adjustRightInd w:val="0"/>
        <w:spacing w:line="360" w:lineRule="auto"/>
        <w:ind w:firstLine="420"/>
        <w:rPr>
          <w:rFonts w:hint="eastAsia" w:ascii="宋体" w:hAnsi="宋体" w:cs="宋体"/>
          <w:b/>
          <w:bCs/>
          <w:color w:val="auto"/>
          <w:szCs w:val="21"/>
          <w:highlight w:val="none"/>
          <w:lang w:val="zh-CN"/>
        </w:rPr>
      </w:pPr>
      <w:bookmarkStart w:id="119" w:name="_Toc16617191"/>
      <w:bookmarkStart w:id="120" w:name="_Toc27072"/>
      <w:bookmarkStart w:id="121" w:name="_Toc8617"/>
      <w:bookmarkStart w:id="122" w:name="_Toc30782"/>
    </w:p>
    <w:p w14:paraId="64192250">
      <w:pPr>
        <w:autoSpaceDE w:val="0"/>
        <w:autoSpaceDN w:val="0"/>
        <w:adjustRightInd w:val="0"/>
        <w:spacing w:line="360" w:lineRule="auto"/>
        <w:ind w:firstLine="420"/>
        <w:outlineLvl w:val="1"/>
        <w:rPr>
          <w:rFonts w:hint="eastAsia" w:ascii="宋体" w:hAnsi="宋体" w:cs="宋体"/>
          <w:b/>
          <w:bCs/>
          <w:color w:val="auto"/>
          <w:sz w:val="24"/>
          <w:highlight w:val="none"/>
          <w:lang w:val="zh-CN"/>
        </w:rPr>
      </w:pPr>
      <w:r>
        <w:rPr>
          <w:rFonts w:hint="eastAsia" w:ascii="宋体" w:hAnsi="宋体" w:cs="宋体"/>
          <w:b/>
          <w:bCs/>
          <w:color w:val="auto"/>
          <w:szCs w:val="21"/>
          <w:highlight w:val="none"/>
          <w:lang w:val="zh-CN"/>
        </w:rPr>
        <w:br w:type="page"/>
      </w:r>
      <w:bookmarkStart w:id="123" w:name="_Toc275"/>
      <w:bookmarkStart w:id="124" w:name="_Toc7269"/>
      <w:bookmarkStart w:id="125" w:name="_Toc15139"/>
      <w:r>
        <w:rPr>
          <w:rFonts w:hint="eastAsia" w:ascii="宋体" w:hAnsi="宋体" w:cs="宋体"/>
          <w:b/>
          <w:bCs/>
          <w:color w:val="auto"/>
          <w:sz w:val="24"/>
          <w:highlight w:val="none"/>
          <w:lang w:val="zh-CN"/>
        </w:rPr>
        <w:t>一、总则</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CAE36EA">
      <w:pPr>
        <w:autoSpaceDE w:val="0"/>
        <w:autoSpaceDN w:val="0"/>
        <w:adjustRightInd w:val="0"/>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1.适用法律</w:t>
      </w:r>
    </w:p>
    <w:p w14:paraId="0E4FE134">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1.1 《中华人民共和国政府采购法》、《中华人民共和国政府采购法实施条例》、《政府采购竞争性磋商采购方式管理暂行办法》等有关法律、规章和规定等。</w:t>
      </w:r>
    </w:p>
    <w:p w14:paraId="5E852C0B">
      <w:pPr>
        <w:autoSpaceDE w:val="0"/>
        <w:autoSpaceDN w:val="0"/>
        <w:adjustRightInd w:val="0"/>
        <w:spacing w:line="360" w:lineRule="auto"/>
        <w:ind w:firstLine="420"/>
        <w:rPr>
          <w:rFonts w:hint="eastAsia" w:ascii="宋体" w:hAnsi="宋体" w:cs="宋体"/>
          <w:b/>
          <w:color w:val="auto"/>
          <w:sz w:val="24"/>
          <w:highlight w:val="none"/>
          <w:lang w:val="zh-CN"/>
        </w:rPr>
      </w:pPr>
      <w:r>
        <w:rPr>
          <w:rFonts w:hint="eastAsia" w:ascii="宋体" w:hAnsi="宋体" w:cs="宋体"/>
          <w:b/>
          <w:color w:val="auto"/>
          <w:sz w:val="24"/>
          <w:highlight w:val="none"/>
          <w:lang w:val="zh-CN"/>
        </w:rPr>
        <w:t>2、定义</w:t>
      </w:r>
    </w:p>
    <w:p w14:paraId="4A6AEC4A">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2.1 “</w:t>
      </w:r>
      <w:r>
        <w:rPr>
          <w:rFonts w:hint="eastAsia" w:ascii="宋体" w:hAnsi="宋体" w:cs="宋体"/>
          <w:bCs/>
          <w:color w:val="auto"/>
          <w:sz w:val="24"/>
          <w:highlight w:val="none"/>
          <w:lang w:val="zh-CN"/>
        </w:rPr>
        <w:t>供应商</w:t>
      </w:r>
      <w:r>
        <w:rPr>
          <w:rFonts w:hint="eastAsia" w:ascii="宋体" w:hAnsi="宋体" w:cs="宋体"/>
          <w:color w:val="auto"/>
          <w:sz w:val="24"/>
          <w:highlight w:val="none"/>
          <w:lang w:val="zh-CN"/>
        </w:rPr>
        <w:t>”</w:t>
      </w:r>
      <w:r>
        <w:rPr>
          <w:rFonts w:hint="eastAsia" w:ascii="宋体" w:hAnsi="宋体" w:cs="宋体"/>
          <w:color w:val="auto"/>
          <w:sz w:val="24"/>
          <w:highlight w:val="none"/>
        </w:rPr>
        <w:t>是指参加磋商竞争，并符合采购文件规定资格条件的法人、其他组织或者自然人。</w:t>
      </w:r>
    </w:p>
    <w:p w14:paraId="1A4E32E6">
      <w:pPr>
        <w:autoSpaceDE w:val="0"/>
        <w:autoSpaceDN w:val="0"/>
        <w:adjustRightInd w:val="0"/>
        <w:spacing w:line="360" w:lineRule="auto"/>
        <w:ind w:firstLine="420"/>
        <w:rPr>
          <w:rFonts w:hint="eastAsia" w:ascii="宋体" w:hAnsi="宋体" w:cs="宋体"/>
          <w:b/>
          <w:color w:val="auto"/>
          <w:sz w:val="24"/>
          <w:highlight w:val="none"/>
          <w:lang w:val="zh-CN"/>
        </w:rPr>
      </w:pPr>
      <w:r>
        <w:rPr>
          <w:rFonts w:hint="eastAsia" w:ascii="宋体" w:hAnsi="宋体" w:cs="宋体"/>
          <w:color w:val="auto"/>
          <w:sz w:val="24"/>
          <w:highlight w:val="none"/>
          <w:lang w:val="zh-CN"/>
        </w:rPr>
        <w:t>2.2 “服务”指本采购文件中所述</w:t>
      </w:r>
      <w:r>
        <w:rPr>
          <w:rFonts w:hint="eastAsia" w:ascii="宋体" w:hAnsi="宋体" w:cs="宋体"/>
          <w:bCs/>
          <w:color w:val="auto"/>
          <w:sz w:val="24"/>
          <w:highlight w:val="none"/>
          <w:lang w:val="zh-CN"/>
        </w:rPr>
        <w:t>产品</w:t>
      </w:r>
      <w:r>
        <w:rPr>
          <w:rFonts w:hint="eastAsia" w:ascii="宋体" w:hAnsi="宋体" w:cs="宋体"/>
          <w:color w:val="auto"/>
          <w:sz w:val="24"/>
          <w:highlight w:val="none"/>
          <w:lang w:val="zh-CN"/>
        </w:rPr>
        <w:t>及相关服务。</w:t>
      </w:r>
    </w:p>
    <w:p w14:paraId="445D9871">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2.3 “采购人或使用单位”是指使用服务的单位。</w:t>
      </w:r>
    </w:p>
    <w:p w14:paraId="08E4078A">
      <w:pPr>
        <w:autoSpaceDE w:val="0"/>
        <w:autoSpaceDN w:val="0"/>
        <w:adjustRightInd w:val="0"/>
        <w:spacing w:line="360" w:lineRule="auto"/>
        <w:ind w:firstLine="420"/>
        <w:rPr>
          <w:rFonts w:hint="eastAsia" w:ascii="宋体" w:hAnsi="宋体" w:cs="宋体"/>
          <w:b/>
          <w:color w:val="auto"/>
          <w:sz w:val="24"/>
          <w:highlight w:val="none"/>
          <w:lang w:val="zh-CN"/>
        </w:rPr>
      </w:pPr>
      <w:r>
        <w:rPr>
          <w:rFonts w:hint="eastAsia" w:ascii="宋体" w:hAnsi="宋体" w:cs="宋体"/>
          <w:b/>
          <w:color w:val="auto"/>
          <w:sz w:val="24"/>
          <w:highlight w:val="none"/>
          <w:lang w:val="zh-CN"/>
        </w:rPr>
        <w:t>3．政策功能</w:t>
      </w:r>
    </w:p>
    <w:p w14:paraId="3BD9EF9B">
      <w:pPr>
        <w:autoSpaceDE w:val="0"/>
        <w:autoSpaceDN w:val="0"/>
        <w:adjustRightInd w:val="0"/>
        <w:spacing w:line="360" w:lineRule="auto"/>
        <w:ind w:firstLine="420"/>
        <w:rPr>
          <w:rFonts w:hint="eastAsia" w:ascii="宋体" w:hAnsi="宋体" w:cs="宋体"/>
          <w:b/>
          <w:bCs/>
          <w:color w:val="auto"/>
          <w:sz w:val="24"/>
          <w:highlight w:val="none"/>
          <w:lang w:val="zh-CN"/>
        </w:rPr>
      </w:pPr>
      <w:r>
        <w:rPr>
          <w:rFonts w:hint="eastAsia" w:ascii="宋体" w:hAnsi="宋体" w:cs="宋体"/>
          <w:color w:val="auto"/>
          <w:sz w:val="24"/>
          <w:highlight w:val="none"/>
          <w:lang w:val="zh-CN"/>
        </w:rPr>
        <w:t>3.1</w:t>
      </w:r>
      <w:r>
        <w:rPr>
          <w:rFonts w:hint="eastAsia" w:ascii="宋体" w:hAnsi="宋体" w:cs="宋体"/>
          <w:b/>
          <w:bCs/>
          <w:color w:val="auto"/>
          <w:sz w:val="24"/>
          <w:highlight w:val="none"/>
        </w:rPr>
        <w:t xml:space="preserve"> </w:t>
      </w:r>
      <w:r>
        <w:rPr>
          <w:rFonts w:hint="eastAsia" w:ascii="宋体" w:hAnsi="宋体" w:cs="宋体"/>
          <w:color w:val="auto"/>
          <w:sz w:val="24"/>
          <w:highlight w:val="none"/>
          <w:lang w:val="zh-CN"/>
        </w:rPr>
        <w:t>中小企业、监狱企业、残疾人福利性单位相关政策</w:t>
      </w:r>
    </w:p>
    <w:p w14:paraId="03D4EEB5">
      <w:pPr>
        <w:autoSpaceDE w:val="0"/>
        <w:autoSpaceDN w:val="0"/>
        <w:adjustRightInd w:val="0"/>
        <w:spacing w:line="360" w:lineRule="auto"/>
        <w:ind w:firstLine="420"/>
        <w:rPr>
          <w:rFonts w:hint="eastAsia" w:ascii="宋体" w:hAnsi="宋体" w:cs="宋体"/>
          <w:bCs/>
          <w:color w:val="auto"/>
          <w:sz w:val="24"/>
          <w:highlight w:val="none"/>
        </w:rPr>
      </w:pPr>
      <w:r>
        <w:rPr>
          <w:rFonts w:hint="eastAsia" w:ascii="宋体" w:hAnsi="宋体" w:cs="宋体"/>
          <w:bCs/>
          <w:color w:val="auto"/>
          <w:sz w:val="24"/>
          <w:highlight w:val="none"/>
        </w:rPr>
        <w:t>（1）中小企业划型标准按照《关于印发中小企业划型标准规定的通知（工信部联企业〔2011〕300号）》文的相关规定认定。</w:t>
      </w:r>
    </w:p>
    <w:p w14:paraId="6E753070">
      <w:pPr>
        <w:autoSpaceDE w:val="0"/>
        <w:autoSpaceDN w:val="0"/>
        <w:adjustRightInd w:val="0"/>
        <w:spacing w:line="360" w:lineRule="auto"/>
        <w:ind w:firstLine="420"/>
        <w:rPr>
          <w:rFonts w:hint="eastAsia" w:ascii="宋体" w:hAnsi="宋体" w:cs="宋体"/>
          <w:bCs/>
          <w:color w:val="auto"/>
          <w:sz w:val="24"/>
          <w:highlight w:val="none"/>
        </w:rPr>
      </w:pPr>
      <w:r>
        <w:rPr>
          <w:rFonts w:hint="eastAsia" w:ascii="宋体" w:hAnsi="宋体" w:cs="宋体"/>
          <w:bCs/>
          <w:color w:val="auto"/>
          <w:sz w:val="24"/>
          <w:highlight w:val="none"/>
        </w:rPr>
        <w:t>（2）根据《政府采购促进中小企业发展暂行办法》的相关规定，本项目对小型和微型企业产品的价格给予5%的扣除，对联合投标企业产品的价格给予2%的扣除（联合协议中约定，小型、微型企业的协议合同金额占到联合体协议合同总金额30%以上的，可给予联合体2%的价格扣除），以扣除后的价格作为评审价格。</w:t>
      </w:r>
    </w:p>
    <w:p w14:paraId="269267E6">
      <w:pPr>
        <w:autoSpaceDE w:val="0"/>
        <w:autoSpaceDN w:val="0"/>
        <w:adjustRightInd w:val="0"/>
        <w:spacing w:line="360" w:lineRule="auto"/>
        <w:ind w:firstLine="420"/>
        <w:rPr>
          <w:rFonts w:hint="eastAsia" w:ascii="宋体" w:hAnsi="宋体" w:cs="宋体"/>
          <w:bCs/>
          <w:color w:val="auto"/>
          <w:sz w:val="24"/>
          <w:highlight w:val="none"/>
        </w:rPr>
      </w:pPr>
      <w:r>
        <w:rPr>
          <w:rFonts w:hint="eastAsia" w:ascii="宋体" w:hAnsi="宋体" w:cs="宋体"/>
          <w:bCs/>
          <w:color w:val="auto"/>
          <w:sz w:val="24"/>
          <w:highlight w:val="none"/>
        </w:rPr>
        <w:t>（3）根据《财库〔2014〕68号》监狱企业视同小型、微型企业，享受中小企业发展的政府采购政策（监狱企业参加政府采购活动时，应当提供由省级以上监狱管理局、戒毒管理局（含新疆生产建设兵团）出具的属于监狱企业的证明文件）。</w:t>
      </w:r>
    </w:p>
    <w:p w14:paraId="22111213">
      <w:pPr>
        <w:autoSpaceDE w:val="0"/>
        <w:autoSpaceDN w:val="0"/>
        <w:adjustRightInd w:val="0"/>
        <w:spacing w:line="360" w:lineRule="auto"/>
        <w:ind w:firstLine="420"/>
        <w:rPr>
          <w:rFonts w:hint="eastAsia" w:ascii="宋体" w:hAnsi="宋体" w:cs="宋体"/>
          <w:bCs/>
          <w:color w:val="auto"/>
          <w:sz w:val="24"/>
          <w:highlight w:val="none"/>
        </w:rPr>
      </w:pPr>
      <w:r>
        <w:rPr>
          <w:rFonts w:hint="eastAsia" w:ascii="宋体" w:hAnsi="宋体" w:cs="宋体"/>
          <w:bCs/>
          <w:color w:val="auto"/>
          <w:sz w:val="24"/>
          <w:highlight w:val="none"/>
        </w:rPr>
        <w:t>（4）根据《财库〔2017〕141号》符合条件的残疾人福利性单位视同小型、微型企业，享受中小企业发展的政府采购政策。残疾人福利性单位属于小型、微型企业的，不重复享受政策。</w:t>
      </w:r>
    </w:p>
    <w:p w14:paraId="12076F0A">
      <w:pPr>
        <w:autoSpaceDE w:val="0"/>
        <w:autoSpaceDN w:val="0"/>
        <w:adjustRightInd w:val="0"/>
        <w:spacing w:line="360" w:lineRule="auto"/>
        <w:ind w:firstLine="420"/>
        <w:rPr>
          <w:rFonts w:hint="eastAsia" w:ascii="宋体" w:hAnsi="宋体" w:cs="宋体"/>
          <w:bCs/>
          <w:color w:val="auto"/>
          <w:sz w:val="24"/>
          <w:highlight w:val="none"/>
        </w:rPr>
      </w:pPr>
      <w:r>
        <w:rPr>
          <w:rFonts w:hint="eastAsia" w:ascii="宋体" w:hAnsi="宋体" w:cs="宋体"/>
          <w:bCs/>
          <w:color w:val="auto"/>
          <w:sz w:val="24"/>
          <w:highlight w:val="none"/>
        </w:rPr>
        <w:t>（5）小型、微型企业提供中型或大型企业制造的货物的，视同为中型或大型企业。参加政府采购活动的中小企业应当按“关于印发《政府采购促进中小企业发展暂行办法》的通知[财库〔2011〕181号]” 和《财库〔2017〕141号》规定提供</w:t>
      </w:r>
      <w:r>
        <w:rPr>
          <w:rFonts w:hint="eastAsia" w:ascii="宋体" w:hAnsi="宋体" w:cs="宋体"/>
          <w:color w:val="auto"/>
          <w:sz w:val="24"/>
          <w:highlight w:val="none"/>
        </w:rPr>
        <w:t>《中小企业声明函》和《残疾人福利性单位声明函》。</w:t>
      </w:r>
      <w:r>
        <w:rPr>
          <w:rFonts w:hint="eastAsia" w:ascii="宋体" w:hAnsi="宋体" w:cs="宋体"/>
          <w:bCs/>
          <w:color w:val="auto"/>
          <w:sz w:val="24"/>
          <w:highlight w:val="none"/>
        </w:rPr>
        <w:t>未提供上述资料的报价，其价格不予扣除。</w:t>
      </w:r>
    </w:p>
    <w:p w14:paraId="38A47761">
      <w:pPr>
        <w:spacing w:line="360" w:lineRule="auto"/>
        <w:ind w:firstLine="470" w:firstLineChars="196"/>
        <w:rPr>
          <w:rFonts w:hint="eastAsia" w:ascii="宋体" w:hAnsi="宋体" w:cs="宋体"/>
          <w:color w:val="auto"/>
          <w:sz w:val="24"/>
          <w:highlight w:val="none"/>
          <w:lang w:val="zh-CN"/>
        </w:rPr>
      </w:pPr>
      <w:r>
        <w:rPr>
          <w:rFonts w:hint="eastAsia" w:ascii="宋体" w:hAnsi="宋体" w:cs="宋体"/>
          <w:color w:val="auto"/>
          <w:sz w:val="24"/>
          <w:highlight w:val="none"/>
          <w:lang w:val="zh-CN"/>
        </w:rPr>
        <w:t>3.2 强制采购节能产品、信息安全产品，优先采购环境标志产品</w:t>
      </w:r>
      <w:r>
        <w:rPr>
          <w:rFonts w:hint="eastAsia" w:ascii="宋体" w:hAnsi="宋体" w:cs="宋体"/>
          <w:b/>
          <w:bCs/>
          <w:color w:val="auto"/>
          <w:sz w:val="24"/>
          <w:highlight w:val="none"/>
          <w:lang w:val="zh-CN"/>
        </w:rPr>
        <w:t>。</w:t>
      </w:r>
      <w:r>
        <w:rPr>
          <w:rFonts w:hint="eastAsia" w:ascii="宋体" w:hAnsi="宋体" w:cs="宋体"/>
          <w:color w:val="auto"/>
          <w:sz w:val="24"/>
          <w:highlight w:val="none"/>
          <w:lang w:val="zh-CN"/>
        </w:rPr>
        <w:t>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14:paraId="05B0E91D">
      <w:pPr>
        <w:tabs>
          <w:tab w:val="left" w:pos="525"/>
          <w:tab w:val="left" w:pos="945"/>
        </w:tabs>
        <w:spacing w:line="360" w:lineRule="auto"/>
        <w:ind w:firstLine="420"/>
        <w:rPr>
          <w:rFonts w:hint="eastAsia" w:ascii="宋体" w:hAnsi="宋体" w:cs="宋体"/>
          <w:bCs/>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bCs/>
          <w:color w:val="auto"/>
          <w:sz w:val="24"/>
          <w:highlight w:val="none"/>
        </w:rPr>
        <w:t>提供的产品属于信息安全产品的，供应商应当选择经国家认证的信息安全产品，并提供由中国信息安全认证中心按国家标准认证颁发的有效认证证书复印件。</w:t>
      </w:r>
    </w:p>
    <w:p w14:paraId="7CECCCEF">
      <w:pPr>
        <w:autoSpaceDE w:val="0"/>
        <w:autoSpaceDN w:val="0"/>
        <w:adjustRightInd w:val="0"/>
        <w:snapToGrid w:val="0"/>
        <w:spacing w:line="360" w:lineRule="auto"/>
        <w:ind w:firstLine="420"/>
        <w:rPr>
          <w:rFonts w:hint="eastAsia" w:ascii="宋体" w:hAnsi="宋体" w:cs="宋体"/>
          <w:bCs/>
          <w:color w:val="auto"/>
          <w:sz w:val="24"/>
          <w:highlight w:val="none"/>
        </w:rPr>
      </w:pPr>
      <w:r>
        <w:rPr>
          <w:rFonts w:hint="eastAsia" w:ascii="宋体" w:hAnsi="宋体" w:cs="宋体"/>
          <w:bCs/>
          <w:color w:val="auto"/>
          <w:sz w:val="24"/>
          <w:highlight w:val="none"/>
        </w:rPr>
        <w:t>（2）提供的产品属于政府强制采购节能产品的，供应商应当选择《节能产品政府采购清单》中的产品，并提供有效的节能产品认证证书复印件。</w:t>
      </w:r>
    </w:p>
    <w:p w14:paraId="10C60AE8">
      <w:pPr>
        <w:spacing w:line="360" w:lineRule="auto"/>
        <w:ind w:firstLine="470" w:firstLineChars="196"/>
        <w:rPr>
          <w:rFonts w:hint="eastAsia" w:ascii="宋体" w:hAnsi="宋体" w:cs="宋体"/>
          <w:b/>
          <w:color w:val="auto"/>
          <w:sz w:val="24"/>
          <w:highlight w:val="none"/>
          <w:lang w:val="zh-CN"/>
        </w:rPr>
      </w:pPr>
      <w:r>
        <w:rPr>
          <w:rFonts w:hint="eastAsia" w:ascii="宋体" w:hAnsi="宋体" w:cs="宋体"/>
          <w:bCs/>
          <w:color w:val="auto"/>
          <w:sz w:val="24"/>
          <w:highlight w:val="none"/>
        </w:rPr>
        <w:t>（3）提供的产品属于环境标志产品的,供应商应当选择《环境标志产品政府采购清单》中的,且经过认证的环境标志产品投标,并提供有效的环境标志产品认证证书复印件</w:t>
      </w:r>
      <w:r>
        <w:rPr>
          <w:rFonts w:hint="eastAsia" w:ascii="宋体" w:hAnsi="宋体" w:cs="宋体"/>
          <w:b/>
          <w:color w:val="auto"/>
          <w:sz w:val="24"/>
          <w:highlight w:val="none"/>
          <w:lang w:val="zh-CN"/>
        </w:rPr>
        <w:t>。</w:t>
      </w:r>
    </w:p>
    <w:p w14:paraId="5A285B4B">
      <w:pPr>
        <w:autoSpaceDE w:val="0"/>
        <w:autoSpaceDN w:val="0"/>
        <w:adjustRightInd w:val="0"/>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4.参与竞争性磋商供应商资格条件：</w:t>
      </w:r>
      <w:r>
        <w:rPr>
          <w:rFonts w:hint="eastAsia" w:ascii="宋体" w:hAnsi="宋体" w:cs="宋体"/>
          <w:bCs/>
          <w:color w:val="auto"/>
          <w:sz w:val="24"/>
          <w:highlight w:val="none"/>
          <w:lang w:val="zh-CN"/>
        </w:rPr>
        <w:t>满足《中华人民共和国政府采购法》规定，供应商提供《南京市政府采购供应商信用记录表暨信用承诺书》（格式见响应性文件格式模板，原件）</w:t>
      </w:r>
    </w:p>
    <w:p w14:paraId="161162DD">
      <w:pPr>
        <w:autoSpaceDE w:val="0"/>
        <w:autoSpaceDN w:val="0"/>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4.1采购人根据采购项目的特殊要求规定的特定条件：</w:t>
      </w:r>
    </w:p>
    <w:p w14:paraId="3D900F9F">
      <w:pPr>
        <w:widowControl/>
        <w:spacing w:line="360" w:lineRule="auto"/>
        <w:ind w:firstLine="480" w:firstLineChars="200"/>
        <w:rPr>
          <w:rFonts w:hint="eastAsia" w:ascii="宋体" w:hAnsi="宋体" w:cs="宋体"/>
          <w:bCs/>
          <w:color w:val="FF0000"/>
          <w:sz w:val="24"/>
          <w:highlight w:val="none"/>
          <w:lang w:val="en-GB"/>
        </w:rPr>
      </w:pPr>
      <w:r>
        <w:rPr>
          <w:rFonts w:hint="eastAsia" w:ascii="宋体" w:hAnsi="宋体" w:cs="宋体"/>
          <w:bCs/>
          <w:color w:val="FF0000"/>
          <w:sz w:val="24"/>
          <w:highlight w:val="none"/>
          <w:lang w:val="en-GB"/>
        </w:rPr>
        <w:t>（1）供应商资质等级及范围：</w:t>
      </w:r>
      <w:r>
        <w:rPr>
          <w:rFonts w:hint="eastAsia" w:ascii="宋体" w:hAnsi="宋体" w:cs="宋体"/>
          <w:bCs/>
          <w:color w:val="FF0000"/>
          <w:sz w:val="24"/>
          <w:highlight w:val="none"/>
          <w:u w:val="single"/>
          <w:lang w:val="en-GB"/>
        </w:rPr>
        <w:t>具有施工总承包市政公用工程三级（含）以上资质并且具有有效的安全生产许可证</w:t>
      </w:r>
      <w:r>
        <w:rPr>
          <w:rFonts w:hint="eastAsia" w:ascii="宋体" w:hAnsi="宋体" w:cs="宋体"/>
          <w:bCs/>
          <w:color w:val="FF0000"/>
          <w:sz w:val="24"/>
          <w:highlight w:val="none"/>
          <w:lang w:val="en-GB"/>
        </w:rPr>
        <w:t>（提供资质证书</w:t>
      </w:r>
      <w:r>
        <w:rPr>
          <w:rFonts w:hint="eastAsia" w:ascii="宋体" w:hAnsi="宋体" w:cs="宋体"/>
          <w:bCs/>
          <w:color w:val="FF0000"/>
          <w:sz w:val="24"/>
          <w:highlight w:val="none"/>
        </w:rPr>
        <w:t>及</w:t>
      </w:r>
      <w:r>
        <w:rPr>
          <w:rFonts w:hint="eastAsia" w:ascii="宋体" w:hAnsi="宋体" w:cs="宋体"/>
          <w:bCs/>
          <w:color w:val="FF0000"/>
          <w:sz w:val="24"/>
          <w:highlight w:val="none"/>
          <w:lang w:val="en-GB"/>
        </w:rPr>
        <w:t>安全生产许可证复印件并加盖公章，</w:t>
      </w:r>
      <w:r>
        <w:rPr>
          <w:rFonts w:hint="eastAsia" w:ascii="宋体" w:hAnsi="宋体" w:cs="宋体"/>
          <w:bCs/>
          <w:color w:val="FF0000"/>
          <w:sz w:val="24"/>
          <w:highlight w:val="none"/>
        </w:rPr>
        <w:t>原件备查</w:t>
      </w:r>
      <w:r>
        <w:rPr>
          <w:rFonts w:hint="eastAsia" w:ascii="宋体" w:hAnsi="宋体" w:cs="宋体"/>
          <w:bCs/>
          <w:color w:val="FF0000"/>
          <w:sz w:val="24"/>
          <w:highlight w:val="none"/>
          <w:lang w:val="en-GB"/>
        </w:rPr>
        <w:t>）；</w:t>
      </w:r>
    </w:p>
    <w:p w14:paraId="232D68EB">
      <w:pPr>
        <w:widowControl/>
        <w:spacing w:line="360" w:lineRule="auto"/>
        <w:ind w:firstLine="480" w:firstLineChars="200"/>
        <w:rPr>
          <w:rFonts w:hint="eastAsia" w:ascii="宋体" w:hAnsi="宋体" w:cs="宋体"/>
          <w:bCs/>
          <w:color w:val="FF0000"/>
          <w:sz w:val="24"/>
          <w:highlight w:val="none"/>
          <w:lang w:val="en-GB"/>
        </w:rPr>
      </w:pPr>
      <w:r>
        <w:rPr>
          <w:rFonts w:hint="eastAsia" w:ascii="宋体" w:hAnsi="宋体" w:cs="宋体"/>
          <w:bCs/>
          <w:color w:val="FF0000"/>
          <w:sz w:val="24"/>
          <w:highlight w:val="none"/>
          <w:lang w:val="en-GB"/>
        </w:rPr>
        <w:t>（2）项目经理资质类别和等级：</w:t>
      </w:r>
      <w:r>
        <w:rPr>
          <w:rFonts w:hint="eastAsia" w:ascii="宋体" w:hAnsi="宋体" w:cs="宋体"/>
          <w:bCs/>
          <w:color w:val="FF0000"/>
          <w:sz w:val="24"/>
          <w:highlight w:val="none"/>
          <w:u w:val="single"/>
          <w:lang w:val="en-GB"/>
        </w:rPr>
        <w:t>具有注册建造师</w:t>
      </w:r>
      <w:r>
        <w:rPr>
          <w:rFonts w:hint="eastAsia" w:ascii="宋体" w:hAnsi="宋体" w:cs="宋体"/>
          <w:bCs/>
          <w:color w:val="FF0000"/>
          <w:sz w:val="24"/>
          <w:highlight w:val="none"/>
          <w:u w:val="single"/>
        </w:rPr>
        <w:t>市政公用</w:t>
      </w:r>
      <w:r>
        <w:rPr>
          <w:rFonts w:hint="eastAsia" w:ascii="宋体" w:hAnsi="宋体" w:cs="宋体"/>
          <w:bCs/>
          <w:color w:val="FF0000"/>
          <w:sz w:val="24"/>
          <w:highlight w:val="none"/>
          <w:u w:val="single"/>
          <w:lang w:val="en-GB"/>
        </w:rPr>
        <w:t>工程</w:t>
      </w:r>
      <w:r>
        <w:rPr>
          <w:rFonts w:hint="eastAsia" w:ascii="宋体" w:hAnsi="宋体" w:cs="宋体"/>
          <w:bCs/>
          <w:color w:val="FF0000"/>
          <w:sz w:val="24"/>
          <w:highlight w:val="none"/>
          <w:u w:val="single"/>
        </w:rPr>
        <w:t>二</w:t>
      </w:r>
      <w:r>
        <w:rPr>
          <w:rFonts w:hint="eastAsia" w:ascii="宋体" w:hAnsi="宋体" w:cs="宋体"/>
          <w:bCs/>
          <w:color w:val="FF0000"/>
          <w:sz w:val="24"/>
          <w:highlight w:val="none"/>
          <w:u w:val="single"/>
          <w:lang w:val="en-GB"/>
        </w:rPr>
        <w:t>级及以上，并且具有有效期内的安全生产考核B证</w:t>
      </w:r>
      <w:r>
        <w:rPr>
          <w:rFonts w:hint="eastAsia" w:ascii="宋体" w:hAnsi="宋体" w:cs="宋体"/>
          <w:bCs/>
          <w:color w:val="FF0000"/>
          <w:sz w:val="24"/>
          <w:highlight w:val="none"/>
          <w:lang w:val="en-GB"/>
        </w:rPr>
        <w:t>（提供证书及安全生产考核B类证书</w:t>
      </w:r>
      <w:r>
        <w:rPr>
          <w:rFonts w:hint="eastAsia" w:ascii="宋体" w:hAnsi="宋体" w:cs="宋体"/>
          <w:bCs/>
          <w:color w:val="FF0000"/>
          <w:sz w:val="24"/>
          <w:highlight w:val="none"/>
        </w:rPr>
        <w:t>复印件</w:t>
      </w:r>
      <w:r>
        <w:rPr>
          <w:rFonts w:hint="eastAsia" w:ascii="宋体" w:hAnsi="宋体" w:cs="宋体"/>
          <w:bCs/>
          <w:color w:val="FF0000"/>
          <w:sz w:val="24"/>
          <w:highlight w:val="none"/>
          <w:lang w:val="en-GB"/>
        </w:rPr>
        <w:t>并加盖公章，</w:t>
      </w:r>
      <w:r>
        <w:rPr>
          <w:rFonts w:hint="eastAsia" w:ascii="宋体" w:hAnsi="宋体" w:cs="宋体"/>
          <w:bCs/>
          <w:color w:val="FF0000"/>
          <w:sz w:val="24"/>
          <w:highlight w:val="none"/>
        </w:rPr>
        <w:t>原件备查</w:t>
      </w:r>
      <w:r>
        <w:rPr>
          <w:rFonts w:hint="eastAsia" w:ascii="宋体" w:hAnsi="宋体" w:cs="宋体"/>
          <w:bCs/>
          <w:color w:val="FF0000"/>
          <w:sz w:val="24"/>
          <w:highlight w:val="none"/>
          <w:lang w:val="en-GB"/>
        </w:rPr>
        <w:t>）；</w:t>
      </w:r>
    </w:p>
    <w:p w14:paraId="0661043C">
      <w:pPr>
        <w:widowControl/>
        <w:spacing w:line="360" w:lineRule="auto"/>
        <w:ind w:firstLine="480" w:firstLineChars="200"/>
        <w:rPr>
          <w:rFonts w:hint="eastAsia" w:ascii="宋体" w:hAnsi="宋体" w:cs="宋体"/>
          <w:bCs/>
          <w:color w:val="FF0000"/>
          <w:sz w:val="24"/>
          <w:highlight w:val="none"/>
        </w:rPr>
      </w:pPr>
      <w:r>
        <w:rPr>
          <w:rFonts w:hint="eastAsia" w:ascii="宋体" w:hAnsi="宋体" w:cs="宋体"/>
          <w:bCs/>
          <w:color w:val="FF0000"/>
          <w:sz w:val="24"/>
          <w:highlight w:val="none"/>
          <w:lang w:val="en-GB"/>
        </w:rPr>
        <w:t>（3）供应商业绩：2021年8月1日（含）以来供应商承担过类似园林绿化业绩；</w:t>
      </w:r>
    </w:p>
    <w:p w14:paraId="1FE6E5C8">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注：业绩需提供中标通知书、施工合同、竣工验收合格证明资料复印件加盖公章，原件核查，</w:t>
      </w:r>
      <w:r>
        <w:rPr>
          <w:rFonts w:hint="eastAsia" w:ascii="宋体" w:hAnsi="宋体" w:cs="宋体"/>
          <w:bCs/>
          <w:color w:val="auto"/>
          <w:sz w:val="24"/>
          <w:highlight w:val="none"/>
        </w:rPr>
        <w:t>时间以竣工验收证明的竣工验收时间为准</w:t>
      </w:r>
      <w:r>
        <w:rPr>
          <w:rFonts w:hint="eastAsia" w:ascii="宋体" w:hAnsi="宋体" w:cs="宋体"/>
          <w:bCs/>
          <w:color w:val="auto"/>
          <w:sz w:val="24"/>
          <w:highlight w:val="none"/>
          <w:lang w:val="en-GB"/>
        </w:rPr>
        <w:t>，三者缺一不可，否</w:t>
      </w:r>
      <w:r>
        <w:rPr>
          <w:rFonts w:hint="eastAsia" w:ascii="宋体" w:hAnsi="宋体" w:eastAsia="宋体" w:cs="宋体"/>
          <w:bCs/>
          <w:color w:val="auto"/>
          <w:sz w:val="24"/>
          <w:highlight w:val="none"/>
          <w:lang w:val="en-GB"/>
        </w:rPr>
        <w:t>则资格审查不通过。</w:t>
      </w:r>
    </w:p>
    <w:p w14:paraId="60DBFE8F">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4</w:t>
      </w:r>
      <w:r>
        <w:rPr>
          <w:rFonts w:hint="eastAsia" w:ascii="宋体" w:hAnsi="宋体" w:cs="宋体"/>
          <w:bCs/>
          <w:color w:val="auto"/>
          <w:sz w:val="24"/>
          <w:highlight w:val="none"/>
          <w:lang w:val="en-GB"/>
        </w:rPr>
        <w:t>）供应商必须提供社保机构出具的近半年（2024年0</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en-GB"/>
        </w:rPr>
        <w:t>月-2024年0</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val="en-GB"/>
        </w:rPr>
        <w:t>月）供应商为授权委托人和项目负责人缴纳的养老保险缴费证明材料并加盖社保中心公章或社保中心参保缴费证明电子专用章（具有可验证的二维码或验证码），加盖社保中心参保缴费证明电子专用章的社保材料可视为原件，若项目组成员属退休人员、现役军人、事业单位编制人员等客观原因无法提供养老保险金缴费证明，必须出具相关证明材料。</w:t>
      </w:r>
    </w:p>
    <w:p w14:paraId="57E2AAB7">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5</w:t>
      </w:r>
      <w:r>
        <w:rPr>
          <w:rFonts w:hint="eastAsia" w:ascii="宋体" w:hAnsi="宋体" w:cs="宋体"/>
          <w:bCs/>
          <w:color w:val="auto"/>
          <w:sz w:val="24"/>
          <w:highlight w:val="none"/>
          <w:lang w:val="en-GB"/>
        </w:rPr>
        <w:t xml:space="preserve">）项目负责人必须满足下列条件（提供承诺书原件）：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a. 项目负责人不得同时在两个或者两个以上单位受聘或者执业（包括但不限于以下两种情况）：</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w:t>
      </w:r>
      <w:r>
        <w:rPr>
          <w:rFonts w:hint="eastAsia" w:ascii="宋体" w:hAnsi="宋体" w:cs="宋体"/>
          <w:bCs/>
          <w:color w:val="auto"/>
          <w:sz w:val="24"/>
          <w:highlight w:val="none"/>
          <w:lang w:val="en-GB"/>
        </w:rPr>
        <w:fldChar w:fldCharType="begin"/>
      </w:r>
      <w:r>
        <w:rPr>
          <w:rFonts w:hint="eastAsia" w:ascii="宋体" w:hAnsi="宋体" w:cs="宋体"/>
          <w:bCs/>
          <w:color w:val="auto"/>
          <w:sz w:val="24"/>
          <w:highlight w:val="none"/>
          <w:lang w:val="en-GB"/>
        </w:rPr>
        <w:instrText xml:space="preserve"> = 1 \* GB3 </w:instrText>
      </w:r>
      <w:r>
        <w:rPr>
          <w:rFonts w:hint="eastAsia" w:ascii="宋体" w:hAnsi="宋体" w:cs="宋体"/>
          <w:bCs/>
          <w:color w:val="auto"/>
          <w:sz w:val="24"/>
          <w:highlight w:val="none"/>
          <w:lang w:val="en-GB"/>
        </w:rPr>
        <w:fldChar w:fldCharType="separate"/>
      </w:r>
      <w:r>
        <w:rPr>
          <w:rFonts w:hint="eastAsia" w:ascii="宋体" w:hAnsi="宋体" w:cs="宋体"/>
          <w:bCs/>
          <w:color w:val="auto"/>
          <w:sz w:val="24"/>
          <w:highlight w:val="none"/>
          <w:lang w:val="en-GB"/>
        </w:rPr>
        <w:t>①</w:t>
      </w:r>
      <w:r>
        <w:rPr>
          <w:rFonts w:hint="eastAsia" w:ascii="宋体" w:hAnsi="宋体" w:cs="宋体"/>
          <w:bCs/>
          <w:color w:val="auto"/>
          <w:sz w:val="24"/>
          <w:highlight w:val="none"/>
          <w:lang w:val="en-GB"/>
        </w:rPr>
        <w:fldChar w:fldCharType="end"/>
      </w:r>
      <w:r>
        <w:rPr>
          <w:rFonts w:hint="eastAsia" w:ascii="宋体" w:hAnsi="宋体" w:cs="宋体"/>
          <w:bCs/>
          <w:color w:val="auto"/>
          <w:sz w:val="24"/>
          <w:highlight w:val="none"/>
          <w:lang w:val="en-GB"/>
        </w:rPr>
        <w:t xml:space="preserve">同时在两个及以上单位签订劳动合同或交纳社会保险；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w:t>
      </w:r>
      <w:r>
        <w:rPr>
          <w:rFonts w:hint="eastAsia" w:ascii="宋体" w:hAnsi="宋体" w:cs="宋体"/>
          <w:bCs/>
          <w:color w:val="auto"/>
          <w:sz w:val="24"/>
          <w:highlight w:val="none"/>
          <w:lang w:val="en-GB"/>
        </w:rPr>
        <w:fldChar w:fldCharType="begin"/>
      </w:r>
      <w:r>
        <w:rPr>
          <w:rFonts w:hint="eastAsia" w:ascii="宋体" w:hAnsi="宋体" w:cs="宋体"/>
          <w:bCs/>
          <w:color w:val="auto"/>
          <w:sz w:val="24"/>
          <w:highlight w:val="none"/>
          <w:lang w:val="en-GB"/>
        </w:rPr>
        <w:instrText xml:space="preserve"> = 2 \* GB3 </w:instrText>
      </w:r>
      <w:r>
        <w:rPr>
          <w:rFonts w:hint="eastAsia" w:ascii="宋体" w:hAnsi="宋体" w:cs="宋体"/>
          <w:bCs/>
          <w:color w:val="auto"/>
          <w:sz w:val="24"/>
          <w:highlight w:val="none"/>
          <w:lang w:val="en-GB"/>
        </w:rPr>
        <w:fldChar w:fldCharType="separate"/>
      </w:r>
      <w:r>
        <w:rPr>
          <w:rFonts w:hint="eastAsia" w:ascii="宋体" w:hAnsi="宋体" w:cs="宋体"/>
          <w:bCs/>
          <w:color w:val="auto"/>
          <w:sz w:val="24"/>
          <w:highlight w:val="none"/>
          <w:lang w:val="en-GB"/>
        </w:rPr>
        <w:t>②</w:t>
      </w:r>
      <w:r>
        <w:rPr>
          <w:rFonts w:hint="eastAsia" w:ascii="宋体" w:hAnsi="宋体" w:cs="宋体"/>
          <w:bCs/>
          <w:color w:val="auto"/>
          <w:sz w:val="24"/>
          <w:highlight w:val="none"/>
          <w:lang w:val="en-GB"/>
        </w:rPr>
        <w:fldChar w:fldCharType="end"/>
      </w:r>
      <w:r>
        <w:rPr>
          <w:rFonts w:hint="eastAsia" w:ascii="宋体" w:hAnsi="宋体" w:cs="宋体"/>
          <w:bCs/>
          <w:color w:val="auto"/>
          <w:sz w:val="24"/>
          <w:highlight w:val="none"/>
          <w:lang w:val="en-GB"/>
        </w:rPr>
        <w:t xml:space="preserve">将本人执（职）业资格证书同时注册在两个及以上单位。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b. 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 文、同一施工地点分段发包或分期施工的情况且总的工程规模在项目负责人执业范围之内；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c. 项目负责人无行贿犯罪行为记录；或者有行贿犯罪行为记录，但自记录之日起已超过5年的。</w:t>
      </w:r>
    </w:p>
    <w:p w14:paraId="18AFA995">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6</w:t>
      </w:r>
      <w:r>
        <w:rPr>
          <w:rFonts w:hint="eastAsia" w:ascii="宋体" w:hAnsi="宋体" w:cs="宋体"/>
          <w:bCs/>
          <w:color w:val="auto"/>
          <w:sz w:val="24"/>
          <w:highlight w:val="none"/>
          <w:lang w:val="en-GB"/>
        </w:rPr>
        <w:t>）</w:t>
      </w:r>
      <w:r>
        <w:rPr>
          <w:rFonts w:hint="eastAsia" w:ascii="宋体" w:hAnsi="宋体" w:eastAsia="宋体" w:cs="宋体"/>
          <w:bCs/>
          <w:color w:val="auto"/>
          <w:sz w:val="24"/>
          <w:highlight w:val="none"/>
          <w:lang w:val="en-GB"/>
        </w:rPr>
        <w:t>资格审查时，若投标人或项目负责人是被红牌、黄牌警示的单位和责任人，并在警示期内，将作资格审查不通过处理（红、黄牌警示信息均以南京市公共资源交易中心网上发布的信息为准</w:t>
      </w:r>
      <w:r>
        <w:rPr>
          <w:rFonts w:hint="eastAsia" w:ascii="宋体" w:hAnsi="宋体" w:eastAsia="宋体" w:cs="宋体"/>
          <w:bCs/>
          <w:color w:val="auto"/>
          <w:sz w:val="24"/>
          <w:highlight w:val="none"/>
          <w:lang w:val="en-GB" w:eastAsia="zh-CN"/>
        </w:rPr>
        <w:t>）</w:t>
      </w:r>
      <w:r>
        <w:rPr>
          <w:rFonts w:hint="eastAsia" w:ascii="宋体" w:hAnsi="宋体" w:cs="宋体"/>
          <w:bCs/>
          <w:color w:val="auto"/>
          <w:sz w:val="24"/>
          <w:highlight w:val="none"/>
          <w:lang w:val="en-GB"/>
        </w:rPr>
        <w:t>。。</w:t>
      </w:r>
    </w:p>
    <w:p w14:paraId="7E739CA0">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7</w:t>
      </w:r>
      <w:r>
        <w:rPr>
          <w:rFonts w:hint="eastAsia" w:ascii="宋体" w:hAnsi="宋体" w:cs="宋体"/>
          <w:bCs/>
          <w:color w:val="auto"/>
          <w:sz w:val="24"/>
          <w:highlight w:val="none"/>
          <w:lang w:val="en-GB"/>
        </w:rPr>
        <w:t>）本项目要求项目负责人无在建工程（提供承诺书原件加盖公章，格式自拟）。</w:t>
      </w:r>
    </w:p>
    <w:p w14:paraId="3190B767">
      <w:pPr>
        <w:widowControl/>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8）</w:t>
      </w:r>
      <w:r>
        <w:rPr>
          <w:rFonts w:hint="eastAsia" w:ascii="宋体" w:hAnsi="宋体" w:cs="宋体"/>
          <w:bCs/>
          <w:color w:val="auto"/>
          <w:sz w:val="24"/>
          <w:highlight w:val="none"/>
          <w:lang w:val="en-GB"/>
        </w:rPr>
        <w:t>本章2.1第（5）条所称重大违法记录，是指供应商因违法经营受到刑事处罚或者责令停产停业、吊销许可证或者执照、较大数额罚款等行政处罚。</w:t>
      </w:r>
    </w:p>
    <w:p w14:paraId="069C13CA">
      <w:pPr>
        <w:autoSpaceDE w:val="0"/>
        <w:autoSpaceDN w:val="0"/>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4.2拒绝下述供应商参加本次采购活动</w:t>
      </w:r>
    </w:p>
    <w:p w14:paraId="4088F6E1">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（1）供应商单位负责人为同一人或者存在直接控股、管理关系的不同供应商，不得参加同一合同项下的政府采购活动。</w:t>
      </w:r>
    </w:p>
    <w:p w14:paraId="37BB6569">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（2）凡为采购项目提供整体设计、规范编制或者项目管理、监理、检测等服务的供应商，不得再参加本项目的采购活动。</w:t>
      </w:r>
    </w:p>
    <w:p w14:paraId="770CC246">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（3）供应商被“信用中国”网站（www.creditchina.gov.cn）、“中国政府采购网"(www.ccgp.gov.cn)列入失信被执行人、重大税收违法案件当事人名单、政府采购严重违法失信行为记录名单。</w:t>
      </w:r>
    </w:p>
    <w:p w14:paraId="21109623">
      <w:pPr>
        <w:autoSpaceDE w:val="0"/>
        <w:autoSpaceDN w:val="0"/>
        <w:adjustRightIn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（4）供应商未提供《南京市政府采购供应商信用记录表暨信用承诺书》</w:t>
      </w:r>
    </w:p>
    <w:p w14:paraId="3359FDC5">
      <w:pPr>
        <w:spacing w:line="360" w:lineRule="auto"/>
        <w:ind w:firstLine="482" w:firstLineChars="200"/>
        <w:rPr>
          <w:rFonts w:hint="eastAsia" w:ascii="宋体" w:hAnsi="宋体" w:cs="宋体"/>
          <w:color w:val="auto"/>
          <w:spacing w:val="8"/>
          <w:kern w:val="0"/>
          <w:sz w:val="24"/>
          <w:highlight w:val="none"/>
        </w:rPr>
      </w:pPr>
      <w:r>
        <w:rPr>
          <w:rFonts w:hint="eastAsia" w:ascii="宋体" w:hAnsi="宋体" w:cs="宋体"/>
          <w:b/>
          <w:bCs/>
          <w:color w:val="auto"/>
          <w:kern w:val="0"/>
          <w:sz w:val="24"/>
          <w:highlight w:val="none"/>
        </w:rPr>
        <w:t>4.3</w:t>
      </w:r>
      <w:r>
        <w:rPr>
          <w:rFonts w:hint="eastAsia" w:ascii="宋体" w:hAnsi="宋体" w:cs="宋体"/>
          <w:b/>
          <w:bCs/>
          <w:color w:val="auto"/>
          <w:spacing w:val="8"/>
          <w:kern w:val="0"/>
          <w:sz w:val="24"/>
          <w:highlight w:val="none"/>
        </w:rPr>
        <w:t>供应商诚信档案注册登记（南京市政府采购供应商信用记录表暨信用承诺书）</w:t>
      </w:r>
    </w:p>
    <w:p w14:paraId="28B81EC8">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根据《南京市政府采购供应商信用管理工作暂行办法》（宁财规〔2018〕10号）有关规定，凡在南京地区参加政府采购活动的供应商，应当事先登陆“信用南京”或“南京公共采购信息网”主页“政府采购供应商诚信档案”栏目进行注册登记。由于特殊原因未及时注册的供应商可先行获取招标文件，但必须在提交投标文件截止日两天前办理。</w:t>
      </w:r>
    </w:p>
    <w:p w14:paraId="6C692655">
      <w:pPr>
        <w:spacing w:line="360" w:lineRule="auto"/>
        <w:ind w:firstLine="512" w:firstLineChars="200"/>
        <w:rPr>
          <w:rFonts w:hint="eastAsia" w:ascii="宋体" w:hAnsi="宋体" w:cs="宋体"/>
          <w:color w:val="auto"/>
          <w:sz w:val="24"/>
          <w:highlight w:val="none"/>
        </w:rPr>
      </w:pPr>
      <w:r>
        <w:rPr>
          <w:rFonts w:hint="eastAsia" w:ascii="宋体" w:hAnsi="宋体" w:cs="宋体"/>
          <w:color w:val="auto"/>
          <w:spacing w:val="8"/>
          <w:kern w:val="0"/>
          <w:sz w:val="24"/>
          <w:highlight w:val="none"/>
        </w:rPr>
        <w:t>供应商参加本次政府采购活动时，在招标文件发布之日起至递交投标文件截止日前，应先登录“信用南京”在线打印其“南京市政府采购供应商信用记录表暨信用承诺书”，经法定代表人签字、加盖单位公章后作为投标文件的组成部分提交给采购代理机构或采购人。</w:t>
      </w:r>
    </w:p>
    <w:p w14:paraId="533E178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5.供应商的义务及注意事项</w:t>
      </w:r>
    </w:p>
    <w:p w14:paraId="3E2C1F8F">
      <w:pPr>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rPr>
        <w:t>5.1</w:t>
      </w:r>
      <w:r>
        <w:rPr>
          <w:rFonts w:hint="eastAsia" w:ascii="宋体" w:hAnsi="宋体" w:cs="宋体"/>
          <w:b/>
          <w:color w:val="auto"/>
          <w:sz w:val="24"/>
          <w:highlight w:val="none"/>
          <w:lang w:val="zh-CN"/>
        </w:rPr>
        <w:t>集中现场</w:t>
      </w:r>
      <w:r>
        <w:rPr>
          <w:rFonts w:hint="eastAsia" w:ascii="宋体" w:hAnsi="宋体" w:cs="宋体"/>
          <w:b/>
          <w:color w:val="auto"/>
          <w:sz w:val="24"/>
          <w:highlight w:val="none"/>
        </w:rPr>
        <w:t>答疑/勘察</w:t>
      </w:r>
      <w:r>
        <w:rPr>
          <w:rFonts w:hint="eastAsia" w:ascii="宋体" w:hAnsi="宋体" w:cs="宋体"/>
          <w:b/>
          <w:color w:val="auto"/>
          <w:sz w:val="24"/>
          <w:highlight w:val="none"/>
          <w:lang w:val="zh-CN"/>
        </w:rPr>
        <w:t>：</w:t>
      </w:r>
    </w:p>
    <w:p w14:paraId="029E4D70">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集中勘察现场或答疑：</w:t>
      </w:r>
    </w:p>
    <w:p w14:paraId="4D2FC0E6">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采购人组织现场勘察及标前答疑会；</w:t>
      </w:r>
    </w:p>
    <w:p w14:paraId="714553A2">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时间：2024年</w:t>
      </w:r>
      <w:r>
        <w:rPr>
          <w:rFonts w:hint="eastAsia" w:ascii="宋体" w:hAnsi="宋体" w:cs="宋体"/>
          <w:color w:val="auto"/>
          <w:spacing w:val="8"/>
          <w:kern w:val="0"/>
          <w:sz w:val="24"/>
          <w:highlight w:val="none"/>
          <w:lang w:val="en-US" w:eastAsia="zh-CN"/>
        </w:rPr>
        <w:t>9</w:t>
      </w:r>
      <w:r>
        <w:rPr>
          <w:rFonts w:hint="eastAsia" w:ascii="宋体" w:hAnsi="宋体" w:cs="宋体"/>
          <w:color w:val="auto"/>
          <w:spacing w:val="8"/>
          <w:kern w:val="0"/>
          <w:sz w:val="24"/>
          <w:highlight w:val="none"/>
        </w:rPr>
        <w:t>月</w:t>
      </w:r>
      <w:r>
        <w:rPr>
          <w:rFonts w:hint="eastAsia" w:ascii="宋体" w:hAnsi="宋体" w:cs="宋体"/>
          <w:color w:val="auto"/>
          <w:spacing w:val="8"/>
          <w:kern w:val="0"/>
          <w:sz w:val="24"/>
          <w:highlight w:val="none"/>
          <w:lang w:val="en-US" w:eastAsia="zh-CN"/>
        </w:rPr>
        <w:t>20</w:t>
      </w:r>
      <w:r>
        <w:rPr>
          <w:rFonts w:hint="eastAsia" w:ascii="宋体" w:hAnsi="宋体" w:cs="宋体"/>
          <w:color w:val="auto"/>
          <w:spacing w:val="8"/>
          <w:kern w:val="0"/>
          <w:sz w:val="24"/>
          <w:highlight w:val="none"/>
        </w:rPr>
        <w:t>日1</w:t>
      </w:r>
      <w:r>
        <w:rPr>
          <w:rFonts w:hint="eastAsia" w:ascii="宋体" w:hAnsi="宋体" w:cs="宋体"/>
          <w:color w:val="auto"/>
          <w:spacing w:val="8"/>
          <w:kern w:val="0"/>
          <w:sz w:val="24"/>
          <w:highlight w:val="none"/>
          <w:lang w:val="en-US" w:eastAsia="zh-CN"/>
        </w:rPr>
        <w:t>0</w:t>
      </w:r>
      <w:r>
        <w:rPr>
          <w:rFonts w:hint="eastAsia" w:ascii="宋体" w:hAnsi="宋体" w:cs="宋体"/>
          <w:color w:val="auto"/>
          <w:spacing w:val="8"/>
          <w:kern w:val="0"/>
          <w:sz w:val="24"/>
          <w:highlight w:val="none"/>
        </w:rPr>
        <w:t>:00至1</w:t>
      </w:r>
      <w:r>
        <w:rPr>
          <w:rFonts w:hint="eastAsia" w:ascii="宋体" w:hAnsi="宋体" w:cs="宋体"/>
          <w:color w:val="auto"/>
          <w:spacing w:val="8"/>
          <w:kern w:val="0"/>
          <w:sz w:val="24"/>
          <w:highlight w:val="none"/>
          <w:lang w:val="en-US" w:eastAsia="zh-CN"/>
        </w:rPr>
        <w:t>0</w:t>
      </w:r>
      <w:r>
        <w:rPr>
          <w:rFonts w:hint="eastAsia" w:ascii="宋体" w:hAnsi="宋体" w:cs="宋体"/>
          <w:color w:val="auto"/>
          <w:spacing w:val="8"/>
          <w:kern w:val="0"/>
          <w:sz w:val="24"/>
          <w:highlight w:val="none"/>
        </w:rPr>
        <w:t>:30；</w:t>
      </w:r>
    </w:p>
    <w:p w14:paraId="0599A377">
      <w:pPr>
        <w:spacing w:line="360" w:lineRule="auto"/>
        <w:ind w:firstLine="512" w:firstLineChars="200"/>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地址：</w:t>
      </w:r>
      <w:r>
        <w:rPr>
          <w:rFonts w:hint="eastAsia" w:ascii="宋体" w:hAnsi="宋体" w:cs="宋体"/>
          <w:color w:val="auto"/>
          <w:spacing w:val="8"/>
          <w:kern w:val="0"/>
          <w:sz w:val="24"/>
          <w:highlight w:val="none"/>
          <w:lang w:eastAsia="zh-CN"/>
        </w:rPr>
        <w:t>江东中路与纪念馆北路交叉口口袋公园</w:t>
      </w:r>
      <w:r>
        <w:rPr>
          <w:rFonts w:hint="eastAsia" w:ascii="宋体" w:hAnsi="宋体" w:cs="宋体"/>
          <w:color w:val="auto"/>
          <w:spacing w:val="8"/>
          <w:kern w:val="0"/>
          <w:sz w:val="24"/>
          <w:highlight w:val="none"/>
        </w:rPr>
        <w:t>。</w:t>
      </w:r>
    </w:p>
    <w:p w14:paraId="0B0978B0">
      <w:pPr>
        <w:spacing w:line="360" w:lineRule="auto"/>
        <w:ind w:firstLine="512" w:firstLineChars="200"/>
        <w:rPr>
          <w:rFonts w:hint="eastAsia" w:ascii="宋体" w:hAnsi="宋体" w:cs="宋体"/>
          <w:color w:val="auto"/>
          <w:sz w:val="24"/>
          <w:highlight w:val="none"/>
        </w:rPr>
      </w:pPr>
      <w:r>
        <w:rPr>
          <w:rFonts w:hint="eastAsia" w:ascii="宋体" w:hAnsi="宋体" w:cs="宋体"/>
          <w:color w:val="auto"/>
          <w:spacing w:val="8"/>
          <w:kern w:val="0"/>
          <w:sz w:val="24"/>
          <w:highlight w:val="none"/>
        </w:rPr>
        <w:t>请获取了采购文件的供应商按上述时间、地址自行前往（供应商代表携带法定代表人授权委托书、身份证原件参加），过时不候，不再另行通知。会后采购人将向所有获取采购文件的供应商告知现场答疑情况，答疑内容是采购文件的一部分，未参加标前答疑会或未勘察现场或考察工作不详细的供应商中标后，不得以不完全了解现场情况为理由而向采购人提出任何索赔或其他要求，对此采购人不承担任何责任并将不作任何答复。</w:t>
      </w:r>
    </w:p>
    <w:p w14:paraId="48E8657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5.2 义务</w:t>
      </w:r>
    </w:p>
    <w:p w14:paraId="423F26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5.2.1供应商应当认真阅读本磋商文件，完全明了本项目之名称、用途、数量、质量和提供服务时间，完全明了应具备的资格条件。</w:t>
      </w:r>
    </w:p>
    <w:p w14:paraId="2249D9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5.2.2供应商应当按照磋商文件的要求编制响应性文件。响应性文件应对磋商文件提出的实质性要求和条件作出完全响应。</w:t>
      </w:r>
    </w:p>
    <w:p w14:paraId="55EF9E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5.2.3供应商应在磋商截止时间前，将密封的响应性文件送达磋商地点。</w:t>
      </w:r>
    </w:p>
    <w:p w14:paraId="02E4CF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5.2.4供应商不得相互串通报价，不得排挤其他供应商的公平竞争，损害采购人或者其他供应商的合法权益。供应商不得与采购人串通磋商，损害国家利益，公众利益或者他人的合法权益。</w:t>
      </w:r>
    </w:p>
    <w:p w14:paraId="24ACC1C4">
      <w:pPr>
        <w:widowControl w:val="0"/>
        <w:spacing w:line="360" w:lineRule="auto"/>
        <w:ind w:lef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5.2.5供应商在磋商截止时间前，对所递交的响应性文件可以补充、修改或者撤回，并书面通知代理机构。补充、修改的内容为响应性文件的组成部分。</w:t>
      </w:r>
    </w:p>
    <w:p w14:paraId="137CB29E">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5.3 注意事项</w:t>
      </w:r>
    </w:p>
    <w:p w14:paraId="70B05F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5.3.1本项目采购方式是</w:t>
      </w:r>
      <w:r>
        <w:rPr>
          <w:rFonts w:hint="eastAsia" w:ascii="宋体" w:hAnsi="宋体" w:cs="宋体"/>
          <w:bCs/>
          <w:color w:val="auto"/>
          <w:sz w:val="24"/>
          <w:highlight w:val="none"/>
        </w:rPr>
        <w:t>竞争性磋商</w:t>
      </w:r>
      <w:r>
        <w:rPr>
          <w:rFonts w:hint="eastAsia" w:ascii="宋体" w:hAnsi="宋体" w:cs="宋体"/>
          <w:color w:val="auto"/>
          <w:sz w:val="24"/>
          <w:highlight w:val="none"/>
        </w:rPr>
        <w:t>，整个项目是一个整体、不可分割。</w:t>
      </w:r>
    </w:p>
    <w:p w14:paraId="076746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5.3.2验收标准</w:t>
      </w:r>
    </w:p>
    <w:p w14:paraId="023D8B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5.3.2.1磋商文件中明确的标准和技术要求，未明确部分按照国家最新的相关标准；</w:t>
      </w:r>
    </w:p>
    <w:p w14:paraId="7CB97E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5.3.2.2供应商随响应性文件提供的货物制造国制造及验收的官方标准或货物验收大纲，经采购单位确认后，将作为对货物的验收依据之一；</w:t>
      </w:r>
    </w:p>
    <w:p w14:paraId="6BF14C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5.3.2.3供应商在澄清响应文件时作出的承诺，经采购单位确认后，将作为对货物的验收依据之一；</w:t>
      </w:r>
    </w:p>
    <w:p w14:paraId="76E61A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5.3.2.4项目完毕后，由采购单位组织按国家相关标准进行验收。</w:t>
      </w:r>
    </w:p>
    <w:p w14:paraId="5C3D27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5.3.3供应商应认真阅读磋商文件中所有的事项、格式、条款和规范等要求，如果没有按照磋商文件要求提交全部资料，或者没有对磋商文件作出实质性响应，相应风险应由供应商承担，包括作无效磋商处理。</w:t>
      </w:r>
    </w:p>
    <w:p w14:paraId="4D6B7D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5.3.4任何供应商中标，须保证所供货物能通过当地有关职能部门验收，否则采购单位有权拒绝支付合同款项。</w:t>
      </w:r>
    </w:p>
    <w:p w14:paraId="163141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5.3.5供应商应保证采购人在使用该货物或其任何一部分时不受第三方提出侵犯其专利权、版权、商标权或其他权利的起诉。一旦出现侵权，供应商应承担全部责任。</w:t>
      </w:r>
    </w:p>
    <w:p w14:paraId="2268A307">
      <w:pPr>
        <w:tabs>
          <w:tab w:val="left" w:pos="1260"/>
        </w:tabs>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6.磋商文件的澄清、修改</w:t>
      </w:r>
    </w:p>
    <w:p w14:paraId="5601A0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6.1任何要求对磋商文件进行澄清的供应商，应在磋商文件规定的响应性文件提交</w:t>
      </w:r>
      <w:r>
        <w:rPr>
          <w:rFonts w:hint="eastAsia" w:ascii="宋体" w:hAnsi="宋体" w:cs="宋体"/>
          <w:bCs/>
          <w:color w:val="auto"/>
          <w:sz w:val="24"/>
          <w:highlight w:val="none"/>
        </w:rPr>
        <w:t>截止日期五天前</w:t>
      </w:r>
      <w:r>
        <w:rPr>
          <w:rFonts w:hint="eastAsia" w:ascii="宋体" w:hAnsi="宋体" w:cs="宋体"/>
          <w:color w:val="auto"/>
          <w:sz w:val="24"/>
          <w:highlight w:val="none"/>
        </w:rPr>
        <w:t>按磋商文件中的联系方式以书面形式通知代理机构，代理机构将及时予以答复；在磋商文件公布期间，代理机构可主动对磋商文件进行澄清，磋商文件实质性变动的除外。</w:t>
      </w:r>
    </w:p>
    <w:p w14:paraId="4237FA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磋商文件公布期间如有实质性变动的，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14:paraId="19A6431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7．磋商保证金</w:t>
      </w:r>
    </w:p>
    <w:p w14:paraId="54AB6FB5">
      <w:pPr>
        <w:spacing w:line="360" w:lineRule="auto"/>
        <w:ind w:firstLine="480" w:firstLineChars="200"/>
        <w:rPr>
          <w:rFonts w:hint="eastAsia" w:ascii="宋体" w:hAnsi="宋体" w:cs="宋体"/>
          <w:b/>
          <w:color w:val="auto"/>
          <w:sz w:val="24"/>
          <w:highlight w:val="none"/>
          <w:lang w:val="zh-CN"/>
        </w:rPr>
      </w:pPr>
      <w:r>
        <w:rPr>
          <w:rFonts w:hint="eastAsia" w:ascii="宋体" w:hAnsi="宋体" w:cs="宋体"/>
          <w:bCs/>
          <w:color w:val="auto"/>
          <w:sz w:val="24"/>
          <w:highlight w:val="none"/>
          <w:lang w:val="zh-CN"/>
        </w:rPr>
        <w:t>无</w:t>
      </w:r>
    </w:p>
    <w:p w14:paraId="347ED07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8.磋商有效期</w:t>
      </w:r>
    </w:p>
    <w:p w14:paraId="29E57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8.1磋商有效期为磋商文件规定的磋商之日后90天。</w:t>
      </w:r>
    </w:p>
    <w:p w14:paraId="07DD58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8.2在特殊情况下，代理机构于原磋商有效期满之前，可向供应商提出延长磋商有效期的要求。供应商可以拒绝代理机构的这种要求。同意延长的供应商既不能要求也不允许修改其响应性文件。</w:t>
      </w:r>
    </w:p>
    <w:p w14:paraId="7821F82D">
      <w:pPr>
        <w:autoSpaceDE w:val="0"/>
        <w:autoSpaceDN w:val="0"/>
        <w:adjustRightInd w:val="0"/>
        <w:spacing w:line="360" w:lineRule="auto"/>
        <w:ind w:firstLine="479" w:firstLineChars="199"/>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9．磋商费用</w:t>
      </w:r>
    </w:p>
    <w:p w14:paraId="69BBA53D">
      <w:pPr>
        <w:autoSpaceDE w:val="0"/>
        <w:autoSpaceDN w:val="0"/>
        <w:adjustRightIn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供应商</w:t>
      </w:r>
      <w:r>
        <w:rPr>
          <w:rFonts w:hint="eastAsia" w:ascii="宋体" w:hAnsi="宋体" w:cs="宋体"/>
          <w:color w:val="auto"/>
          <w:sz w:val="24"/>
          <w:highlight w:val="none"/>
          <w:lang w:val="zh-CN"/>
        </w:rPr>
        <w:t>应承担所有与准备和参加磋商有关的费用，代理机构和采购人在任何情况下均无义务和责任承担这些费用。</w:t>
      </w:r>
    </w:p>
    <w:p w14:paraId="66AD6BFF">
      <w:pPr>
        <w:spacing w:line="360" w:lineRule="auto"/>
        <w:ind w:firstLine="482" w:firstLineChars="200"/>
        <w:outlineLvl w:val="1"/>
        <w:rPr>
          <w:rFonts w:hint="eastAsia" w:ascii="宋体" w:hAnsi="宋体" w:cs="宋体"/>
          <w:b/>
          <w:color w:val="auto"/>
          <w:sz w:val="24"/>
          <w:highlight w:val="none"/>
        </w:rPr>
      </w:pPr>
      <w:bookmarkStart w:id="126" w:name="_Toc504141738"/>
      <w:bookmarkStart w:id="127" w:name="_Toc4853"/>
      <w:bookmarkStart w:id="128" w:name="_Toc12641"/>
      <w:bookmarkStart w:id="129" w:name="_Toc16181"/>
      <w:bookmarkStart w:id="130" w:name="_Toc23524"/>
      <w:bookmarkStart w:id="131" w:name="_Toc5467"/>
      <w:bookmarkStart w:id="132" w:name="_Toc345336137"/>
      <w:bookmarkStart w:id="133" w:name="_Toc3329"/>
      <w:bookmarkStart w:id="134" w:name="_Toc15276"/>
      <w:bookmarkStart w:id="135" w:name="_Toc28108"/>
      <w:bookmarkStart w:id="136" w:name="_Toc8640"/>
      <w:bookmarkStart w:id="137" w:name="_Toc20699"/>
      <w:bookmarkStart w:id="138" w:name="_Toc12217"/>
      <w:bookmarkStart w:id="139" w:name="_Toc27537"/>
      <w:bookmarkStart w:id="140" w:name="_Toc26901"/>
      <w:bookmarkStart w:id="141" w:name="_Toc25711"/>
      <w:bookmarkStart w:id="142" w:name="_Toc23699"/>
      <w:bookmarkStart w:id="143" w:name="_Toc10774"/>
      <w:bookmarkStart w:id="144" w:name="_Toc16617192"/>
      <w:r>
        <w:rPr>
          <w:rFonts w:hint="eastAsia" w:ascii="宋体" w:hAnsi="宋体" w:cs="宋体"/>
          <w:b/>
          <w:color w:val="auto"/>
          <w:sz w:val="24"/>
          <w:highlight w:val="none"/>
        </w:rPr>
        <w:t>二、响应性文件的编制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3321D5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10.响应性文件的语言、计量单位、货币和编制</w:t>
      </w:r>
    </w:p>
    <w:p w14:paraId="5764EA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10.1供应商提交的响应性文件、技术文件和资料，以及供应商与代理机构就有关磋商的所有来往函电均应使用中文。响应性文件中若有英文或其他语言文字的资料，应提供相应的中文翻译资料。</w:t>
      </w:r>
      <w:r>
        <w:rPr>
          <w:rFonts w:hint="eastAsia" w:ascii="宋体" w:hAnsi="宋体" w:cs="宋体"/>
          <w:color w:val="auto"/>
          <w:sz w:val="24"/>
          <w:highlight w:val="none"/>
          <w:lang w:val="zh-CN"/>
        </w:rPr>
        <w:t>对不同文本磋商响应文件的解释发生异议的，以中文文本为准。</w:t>
      </w:r>
    </w:p>
    <w:p w14:paraId="2C8398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10.2供应商所使用的计量单位应为国家法定计量单位。</w:t>
      </w:r>
    </w:p>
    <w:p w14:paraId="3B78956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10.3供应商应用人民币报价。</w:t>
      </w:r>
      <w:r>
        <w:rPr>
          <w:rFonts w:hint="eastAsia" w:ascii="宋体" w:hAnsi="宋体" w:cs="宋体"/>
          <w:color w:val="auto"/>
          <w:sz w:val="24"/>
          <w:highlight w:val="none"/>
          <w:lang w:val="zh-CN"/>
        </w:rPr>
        <w:t>报价产品如果是进口产品的，应提供人民币与美元之间的汇率；报价单位为“元”。</w:t>
      </w:r>
    </w:p>
    <w:p w14:paraId="77FA088F">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10.4 磋商响应文件应字迹清楚、内容齐全、不得涂改。如有修改，修改处须有供应商公章或磋商专用章和法定代表人或其授权磋商代表签字。</w:t>
      </w:r>
    </w:p>
    <w:p w14:paraId="7DE79296">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10.5 磋商响应文件应按照竞争性磋商文件规定的顺序，统一用A4规格幅面打印、装订成册并编制目录，由于编排混乱导致磋商响应文件被误读或查找不到，责任由供应商承担。</w:t>
      </w:r>
    </w:p>
    <w:p w14:paraId="773C7E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10.6 供应商应在磋商响应文件中写清相应的项目编号、项目名称、供应商全称、地址、电话、传真等。</w:t>
      </w:r>
    </w:p>
    <w:p w14:paraId="1473143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11.响应性文件的组成</w:t>
      </w:r>
    </w:p>
    <w:p w14:paraId="0F68F07C">
      <w:pPr>
        <w:autoSpaceDE w:val="0"/>
        <w:autoSpaceDN w:val="0"/>
        <w:adjustRightIn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lang w:val="zh-CN"/>
        </w:rPr>
        <w:t xml:space="preserve">11.1 </w:t>
      </w:r>
      <w:r>
        <w:rPr>
          <w:rFonts w:hint="eastAsia" w:ascii="宋体" w:hAnsi="宋体" w:cs="宋体"/>
          <w:color w:val="auto"/>
          <w:sz w:val="24"/>
          <w:highlight w:val="none"/>
        </w:rPr>
        <w:t>供应商应当根据竞争性磋商文件要求编制磋商响应文件，并根据自己的商务能力、技术水平对竞争性磋商文件提出的要求和条件逐条标明是否响应。</w:t>
      </w:r>
    </w:p>
    <w:p w14:paraId="4DF6AD8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11.2</w:t>
      </w:r>
      <w:r>
        <w:rPr>
          <w:rFonts w:hint="eastAsia" w:ascii="宋体" w:hAnsi="宋体" w:cs="宋体"/>
          <w:color w:val="auto"/>
          <w:sz w:val="24"/>
          <w:highlight w:val="none"/>
          <w:lang w:val="zh-CN"/>
        </w:rPr>
        <w:t>磋商响应文件由商务部分、技术部分、价格部分，以及其他部分组成。</w:t>
      </w:r>
    </w:p>
    <w:p w14:paraId="2B6B024A">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b/>
          <w:color w:val="auto"/>
          <w:sz w:val="24"/>
          <w:highlight w:val="none"/>
        </w:rPr>
        <w:t>12.响应性文件的商务部分</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商务部分是证明供应商有资格参加磋商和成交后有能力履行合同的文件，</w:t>
      </w:r>
      <w:r>
        <w:rPr>
          <w:rFonts w:hint="eastAsia" w:ascii="宋体" w:hAnsi="宋体" w:cs="宋体"/>
          <w:color w:val="auto"/>
          <w:sz w:val="24"/>
          <w:highlight w:val="none"/>
        </w:rPr>
        <w:t>这些文件应能满足竞争性磋商采购的要求</w:t>
      </w:r>
      <w:r>
        <w:rPr>
          <w:rFonts w:hint="eastAsia" w:ascii="宋体" w:hAnsi="宋体" w:cs="宋体"/>
          <w:color w:val="auto"/>
          <w:sz w:val="24"/>
          <w:highlight w:val="none"/>
          <w:lang w:val="zh-CN"/>
        </w:rPr>
        <w:t>，包括但不限于下列文件，其中加</w:t>
      </w:r>
      <w:r>
        <w:rPr>
          <w:rFonts w:hint="eastAsia" w:ascii="宋体" w:hAnsi="宋体" w:cs="宋体"/>
          <w:b/>
          <w:color w:val="auto"/>
          <w:sz w:val="24"/>
          <w:highlight w:val="none"/>
        </w:rPr>
        <w:t>*</w:t>
      </w:r>
      <w:r>
        <w:rPr>
          <w:rFonts w:hint="eastAsia" w:ascii="宋体" w:hAnsi="宋体" w:cs="宋体"/>
          <w:color w:val="auto"/>
          <w:sz w:val="24"/>
          <w:highlight w:val="none"/>
          <w:lang w:val="zh-CN"/>
        </w:rPr>
        <w:t>项目不得有缺失或无效。</w:t>
      </w:r>
    </w:p>
    <w:p w14:paraId="574B09A0">
      <w:pPr>
        <w:widowControl/>
        <w:adjustRightIn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b/>
          <w:color w:val="auto"/>
          <w:kern w:val="0"/>
          <w:sz w:val="24"/>
          <w:highlight w:val="none"/>
        </w:rPr>
        <w:t>*</w:t>
      </w:r>
      <w:r>
        <w:rPr>
          <w:rFonts w:hint="eastAsia" w:ascii="宋体" w:hAnsi="宋体" w:cs="宋体"/>
          <w:color w:val="auto"/>
          <w:kern w:val="0"/>
          <w:sz w:val="24"/>
          <w:highlight w:val="none"/>
          <w:lang w:val="zh-CN"/>
        </w:rPr>
        <w:t>磋商申请及声明；</w:t>
      </w:r>
    </w:p>
    <w:p w14:paraId="62C10D08">
      <w:pPr>
        <w:widowControl/>
        <w:adjustRightIn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法定代表人授权委托书及授权代表身份证复印件；</w:t>
      </w:r>
    </w:p>
    <w:p w14:paraId="16BFBCED">
      <w:pPr>
        <w:widowControl/>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（3）</w:t>
      </w:r>
      <w:r>
        <w:rPr>
          <w:rFonts w:hint="eastAsia" w:ascii="宋体" w:hAnsi="宋体" w:cs="宋体"/>
          <w:b/>
          <w:color w:val="auto"/>
          <w:kern w:val="0"/>
          <w:sz w:val="24"/>
          <w:highlight w:val="none"/>
          <w:lang w:val="zh-CN"/>
        </w:rPr>
        <w:t>*</w:t>
      </w:r>
      <w:r>
        <w:rPr>
          <w:rFonts w:hint="eastAsia" w:ascii="宋体" w:hAnsi="宋体" w:cs="宋体"/>
          <w:color w:val="auto"/>
          <w:sz w:val="24"/>
          <w:highlight w:val="none"/>
          <w:lang w:val="zh-CN"/>
        </w:rPr>
        <w:t>第二章规定的证明文件（复印件）并加盖公章；</w:t>
      </w:r>
    </w:p>
    <w:p w14:paraId="3369745E">
      <w:pPr>
        <w:widowControl/>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（4）</w:t>
      </w:r>
      <w:r>
        <w:rPr>
          <w:rFonts w:hint="eastAsia" w:ascii="宋体" w:hAnsi="宋体" w:cs="宋体"/>
          <w:b/>
          <w:color w:val="auto"/>
          <w:kern w:val="0"/>
          <w:sz w:val="24"/>
          <w:highlight w:val="none"/>
          <w:lang w:val="zh-CN"/>
        </w:rPr>
        <w:t>*</w:t>
      </w:r>
      <w:r>
        <w:rPr>
          <w:rFonts w:hint="eastAsia" w:ascii="宋体" w:hAnsi="宋体" w:cs="宋体"/>
          <w:color w:val="auto"/>
          <w:sz w:val="24"/>
          <w:highlight w:val="none"/>
        </w:rPr>
        <w:t>南京市政府采购供应商信用记录表暨信用承诺书</w:t>
      </w:r>
      <w:r>
        <w:rPr>
          <w:rFonts w:hint="eastAsia" w:ascii="宋体" w:hAnsi="宋体" w:cs="宋体"/>
          <w:color w:val="auto"/>
          <w:sz w:val="24"/>
          <w:highlight w:val="none"/>
          <w:lang w:val="zh-CN"/>
        </w:rPr>
        <w:t>；</w:t>
      </w:r>
    </w:p>
    <w:p w14:paraId="4DE676A3">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5</w:t>
      </w:r>
      <w:r>
        <w:rPr>
          <w:rFonts w:hint="eastAsia" w:ascii="宋体" w:hAnsi="宋体" w:cs="宋体"/>
          <w:bCs/>
          <w:color w:val="auto"/>
          <w:kern w:val="0"/>
          <w:sz w:val="24"/>
          <w:highlight w:val="none"/>
          <w:lang w:val="zh-CN"/>
        </w:rPr>
        <w:t>）*</w:t>
      </w:r>
      <w:r>
        <w:rPr>
          <w:rFonts w:hint="eastAsia" w:ascii="宋体" w:hAnsi="宋体" w:cs="宋体"/>
          <w:color w:val="auto"/>
          <w:sz w:val="24"/>
          <w:highlight w:val="none"/>
        </w:rPr>
        <w:t>《磋商报价汇总表》</w:t>
      </w:r>
    </w:p>
    <w:p w14:paraId="79B5F33A">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）供应商认为需要提供的其他证明文件和商务资料。</w:t>
      </w:r>
    </w:p>
    <w:p w14:paraId="32795F36">
      <w:pPr>
        <w:autoSpaceDE w:val="0"/>
        <w:autoSpaceDN w:val="0"/>
        <w:adjustRightInd w:val="0"/>
        <w:spacing w:line="360" w:lineRule="auto"/>
        <w:ind w:firstLine="42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响应货物如果属于节能产品和环境标志产品，应在响应文件中予以明确标注，并提供相应证书的复印件。否则，磋商评审时不予认可。</w:t>
      </w:r>
    </w:p>
    <w:p w14:paraId="1A1060BA">
      <w:pPr>
        <w:spacing w:line="360" w:lineRule="auto"/>
        <w:ind w:firstLine="420"/>
        <w:rPr>
          <w:rFonts w:hint="eastAsia" w:ascii="宋体" w:hAnsi="宋体" w:cs="宋体"/>
          <w:b/>
          <w:color w:val="auto"/>
          <w:sz w:val="24"/>
          <w:highlight w:val="none"/>
        </w:rPr>
      </w:pPr>
      <w:r>
        <w:rPr>
          <w:rFonts w:hint="eastAsia" w:ascii="宋体" w:hAnsi="宋体" w:cs="宋体"/>
          <w:b/>
          <w:color w:val="auto"/>
          <w:sz w:val="24"/>
          <w:highlight w:val="none"/>
        </w:rPr>
        <w:t>13.报价部分</w:t>
      </w:r>
    </w:p>
    <w:p w14:paraId="596960D7">
      <w:pPr>
        <w:autoSpaceDE w:val="0"/>
        <w:autoSpaceDN w:val="0"/>
        <w:adjustRightInd w:val="0"/>
        <w:spacing w:line="360" w:lineRule="auto"/>
        <w:ind w:firstLine="420"/>
        <w:rPr>
          <w:rFonts w:hint="eastAsia" w:ascii="宋体" w:hAnsi="宋体" w:cs="宋体"/>
          <w:color w:val="auto"/>
          <w:sz w:val="24"/>
          <w:highlight w:val="none"/>
          <w:lang w:val="zh-CN"/>
        </w:rPr>
      </w:pPr>
      <w:bookmarkStart w:id="145" w:name="_Toc6584"/>
      <w:bookmarkStart w:id="146" w:name="_Toc10660"/>
      <w:bookmarkStart w:id="147" w:name="_Toc18799"/>
      <w:bookmarkStart w:id="148" w:name="_Toc18928"/>
      <w:bookmarkStart w:id="149" w:name="_Toc504141739"/>
      <w:bookmarkStart w:id="150" w:name="_Toc10318"/>
      <w:bookmarkStart w:id="151" w:name="_Toc6319"/>
      <w:bookmarkStart w:id="152" w:name="_Toc21818"/>
      <w:bookmarkStart w:id="153" w:name="_Toc30439"/>
      <w:bookmarkStart w:id="154" w:name="_Toc19095"/>
      <w:bookmarkStart w:id="155" w:name="_Toc18002"/>
      <w:bookmarkStart w:id="156" w:name="_Toc28102"/>
      <w:bookmarkStart w:id="157" w:name="_Toc26559"/>
      <w:bookmarkStart w:id="158" w:name="_Toc25657"/>
      <w:bookmarkStart w:id="159" w:name="_Toc4248"/>
      <w:bookmarkStart w:id="160" w:name="_Toc16489"/>
      <w:bookmarkStart w:id="161" w:name="_Toc2556"/>
      <w:bookmarkStart w:id="162" w:name="_Toc345336138"/>
      <w:bookmarkStart w:id="163" w:name="_Toc16617193"/>
      <w:bookmarkStart w:id="164" w:name="_Toc32189"/>
      <w:r>
        <w:rPr>
          <w:rFonts w:hint="eastAsia" w:ascii="宋体" w:hAnsi="宋体" w:cs="宋体"/>
          <w:color w:val="auto"/>
          <w:sz w:val="24"/>
          <w:highlight w:val="none"/>
        </w:rPr>
        <w:t>13.1</w:t>
      </w:r>
      <w:r>
        <w:rPr>
          <w:rFonts w:hint="eastAsia" w:ascii="宋体" w:hAnsi="宋体" w:cs="宋体"/>
          <w:color w:val="auto"/>
          <w:sz w:val="24"/>
          <w:highlight w:val="none"/>
          <w:lang w:val="zh-CN"/>
        </w:rPr>
        <w:t xml:space="preserve">供应商根据技术要求及本企业水平最终确定磋商总报价。投标报价应包括完成竞争性磋商文件所确定的委托业务所需的全部费用。采购人认为供应商对各种影响报价的现场因素等已有充分了解，故任何因忽视、误解或服务时间延长等导致的费用追加的申请将不被接受。 </w:t>
      </w:r>
    </w:p>
    <w:p w14:paraId="47F05D6A">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13.2</w:t>
      </w:r>
      <w:r>
        <w:rPr>
          <w:rFonts w:hint="eastAsia" w:ascii="宋体" w:hAnsi="宋体" w:cs="宋体"/>
          <w:color w:val="auto"/>
          <w:sz w:val="24"/>
          <w:highlight w:val="none"/>
          <w:lang w:val="zh-CN"/>
        </w:rPr>
        <w:t>投标报价应是竞争性磋商文件所确定的招标范围内的全部工作内容的价格体现。其包含施工所需的人工、辅材（地材）、机械、管理费、利润、施工所必须的措施费（包括但不限于施工围挡、机械进出场、二次搬运、抽水、发电、材料调运、人工辅助配合、人工降效）、规费、税金、施工规范及政策性文件规定的各项应有费用。</w:t>
      </w:r>
    </w:p>
    <w:p w14:paraId="6475E7C5">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13.3</w:t>
      </w:r>
      <w:r>
        <w:rPr>
          <w:rFonts w:hint="eastAsia" w:ascii="宋体" w:hAnsi="宋体" w:cs="宋体"/>
          <w:color w:val="auto"/>
          <w:sz w:val="24"/>
          <w:highlight w:val="none"/>
          <w:lang w:val="zh-CN"/>
        </w:rPr>
        <w:t>投标报价的计价方法按《建设工程工程量清单计价规范》（GB50500-2013）执行。</w:t>
      </w:r>
    </w:p>
    <w:p w14:paraId="6667C0CE">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13.4</w:t>
      </w:r>
      <w:r>
        <w:rPr>
          <w:rFonts w:hint="eastAsia" w:ascii="宋体" w:hAnsi="宋体" w:cs="宋体"/>
          <w:color w:val="auto"/>
          <w:sz w:val="24"/>
          <w:highlight w:val="none"/>
          <w:lang w:val="zh-CN"/>
        </w:rPr>
        <w:t>可参考的工程计价表和有关文件</w:t>
      </w:r>
    </w:p>
    <w:p w14:paraId="7191BB86">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《江苏省建筑与装饰工程计价表》（2014）、《江苏省安装工程计价表》（2014）、《江苏省建设工程费用定额》（2014）及现行政策性文件等。</w:t>
      </w:r>
    </w:p>
    <w:p w14:paraId="28B4727B">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13.5</w:t>
      </w:r>
      <w:r>
        <w:rPr>
          <w:rFonts w:hint="eastAsia" w:ascii="宋体" w:hAnsi="宋体" w:cs="宋体"/>
          <w:color w:val="auto"/>
          <w:sz w:val="24"/>
          <w:highlight w:val="none"/>
          <w:lang w:val="zh-CN"/>
        </w:rPr>
        <w:t>现行的信息指导价；现行的政策性文件和规定（另有约定除外）。</w:t>
      </w:r>
    </w:p>
    <w:p w14:paraId="2EBF23DD">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13.6</w:t>
      </w:r>
      <w:r>
        <w:rPr>
          <w:rFonts w:hint="eastAsia" w:ascii="宋体" w:hAnsi="宋体" w:cs="宋体"/>
          <w:color w:val="auto"/>
          <w:sz w:val="24"/>
          <w:highlight w:val="none"/>
          <w:lang w:val="zh-CN"/>
        </w:rPr>
        <w:t>投标报价编制要求</w:t>
      </w:r>
    </w:p>
    <w:p w14:paraId="71548F80">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a、工程量清单中的每一子目均需填入单价或价格，且只允许有一个报价；</w:t>
      </w:r>
    </w:p>
    <w:p w14:paraId="7C52DF9C">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b、不可竞争的费用计取执行《建设工程工程量清单计价规范》（GB50500-2013）文件，本工程各项取费标准执行《关于执行《江苏省建设工程费用定额》（2014年）的通知》（苏建价[2014]299号，详见工程量清单）；其它有权部门规定须缴纳的费用应计取，否则视同在其他报价中； </w:t>
      </w:r>
    </w:p>
    <w:p w14:paraId="095E718B">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c、投标报价按照竞争性磋商文件提供的施工图纸、工程量清单及编制总说明，以及本竞争性磋商文件要求进行报价； </w:t>
      </w:r>
    </w:p>
    <w:p w14:paraId="66EB72BE">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d、由于设计变更或经同意签证的工程量可以调整； </w:t>
      </w:r>
    </w:p>
    <w:p w14:paraId="294DBD35">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e、供应商须结合施工现场实际情况，充分考虑现场不利因素所造成机械进退场，转移等可能增加的费用等风险，计入投标报价中；</w:t>
      </w:r>
    </w:p>
    <w:p w14:paraId="2946D220">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f、施工期间可能发生的费用诸如：排污费（非规费中工程排污费）、夜间施工增加费、地上障碍物处理费、赶工措施费、成品及半成品（含原貌）保护及恢复费、特殊条件下施工增加费、市容、城建、治安、人口管理等费用由供应商自行考虑，计入报价；</w:t>
      </w:r>
    </w:p>
    <w:p w14:paraId="3F858434">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g、供应商应结合该工程的特点和特殊环境要求，在投标报价中充分考虑对材料的堆放、二次搬运、人工机械的降效，以及所采取的特殊措施而增加的费用和风险进行自报；</w:t>
      </w:r>
    </w:p>
    <w:p w14:paraId="64DE4975">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h、临时设施等费用由供应商自行测算，含在投标总价中。</w:t>
      </w:r>
    </w:p>
    <w:p w14:paraId="18A2BD5C">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13.7</w:t>
      </w:r>
      <w:r>
        <w:rPr>
          <w:rFonts w:hint="eastAsia" w:ascii="宋体" w:hAnsi="宋体" w:cs="宋体"/>
          <w:color w:val="auto"/>
          <w:sz w:val="24"/>
          <w:highlight w:val="none"/>
          <w:lang w:val="zh-CN"/>
        </w:rPr>
        <w:t>供应商应充分考虑到市场价格变动，以及项目实施过程中的不可预见因素，一旦成交，投标单价不变。</w:t>
      </w:r>
    </w:p>
    <w:p w14:paraId="34924746">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13.8</w:t>
      </w:r>
      <w:r>
        <w:rPr>
          <w:rFonts w:hint="eastAsia" w:ascii="宋体" w:hAnsi="宋体" w:cs="宋体"/>
          <w:color w:val="auto"/>
          <w:sz w:val="24"/>
          <w:highlight w:val="none"/>
          <w:lang w:val="zh-CN"/>
        </w:rPr>
        <w:t>经磋商后，如果成交价低于供应商在响应文件报价的，分项报价同比例调整。</w:t>
      </w:r>
    </w:p>
    <w:p w14:paraId="508CF8F5">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三、响应性文件递交</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9A396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 响应性文件应于规定时间内递交至代理机构指定的地点。</w:t>
      </w:r>
    </w:p>
    <w:p w14:paraId="3F7E61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响应性文件应装订成册，密封封装，封面注明项目编号、项目名称、供应商名称、地址、电话等。响应性文件须法人代表或授权代表</w:t>
      </w:r>
      <w:r>
        <w:rPr>
          <w:rFonts w:hint="eastAsia" w:ascii="宋体" w:hAnsi="宋体" w:cs="宋体"/>
          <w:bCs/>
          <w:color w:val="auto"/>
          <w:sz w:val="24"/>
          <w:highlight w:val="none"/>
          <w:u w:val="single"/>
        </w:rPr>
        <w:t>签署</w:t>
      </w:r>
      <w:r>
        <w:rPr>
          <w:rFonts w:hint="eastAsia" w:ascii="宋体" w:hAnsi="宋体" w:cs="宋体"/>
          <w:color w:val="auto"/>
          <w:sz w:val="24"/>
          <w:highlight w:val="none"/>
        </w:rPr>
        <w:t>。</w:t>
      </w:r>
    </w:p>
    <w:p w14:paraId="6134E7B4">
      <w:pPr>
        <w:autoSpaceDE w:val="0"/>
        <w:autoSpaceDN w:val="0"/>
        <w:adjustRightInd w:val="0"/>
        <w:spacing w:line="360" w:lineRule="auto"/>
        <w:ind w:firstLine="420"/>
        <w:rPr>
          <w:rFonts w:hint="eastAsia" w:ascii="宋体" w:hAnsi="宋体" w:cs="宋体"/>
          <w:b/>
          <w:bCs/>
          <w:color w:val="auto"/>
          <w:sz w:val="24"/>
          <w:highlight w:val="none"/>
          <w:lang w:val="zh-CN"/>
        </w:rPr>
      </w:pPr>
      <w:r>
        <w:rPr>
          <w:rFonts w:hint="eastAsia" w:ascii="宋体" w:hAnsi="宋体" w:cs="宋体"/>
          <w:color w:val="auto"/>
          <w:sz w:val="24"/>
          <w:highlight w:val="none"/>
        </w:rPr>
        <w:t>17.</w:t>
      </w:r>
      <w:r>
        <w:rPr>
          <w:rFonts w:hint="eastAsia" w:ascii="宋体" w:hAnsi="宋体" w:cs="宋体"/>
          <w:b/>
          <w:bCs/>
          <w:color w:val="auto"/>
          <w:sz w:val="24"/>
          <w:highlight w:val="none"/>
          <w:lang w:val="zh-CN"/>
        </w:rPr>
        <w:t>有下列情形之一的磋商响应文件将拒收：</w:t>
      </w:r>
    </w:p>
    <w:p w14:paraId="1713A614">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（1）未按竞争性磋商文件要求密封的；</w:t>
      </w:r>
    </w:p>
    <w:p w14:paraId="420C602E">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（2）在竞争性磋商文件要求提交磋商响应文件的截止时间之后送达的等。</w:t>
      </w:r>
    </w:p>
    <w:p w14:paraId="41118B25">
      <w:pPr>
        <w:tabs>
          <w:tab w:val="left" w:pos="5355"/>
        </w:tabs>
        <w:autoSpaceDE w:val="0"/>
        <w:autoSpaceDN w:val="0"/>
        <w:adjustRightInd w:val="0"/>
        <w:spacing w:line="360" w:lineRule="auto"/>
        <w:ind w:firstLine="420"/>
        <w:rPr>
          <w:rFonts w:hint="eastAsia" w:ascii="宋体" w:hAnsi="宋体" w:cs="宋体"/>
          <w:b/>
          <w:bCs/>
          <w:color w:val="auto"/>
          <w:sz w:val="24"/>
          <w:highlight w:val="none"/>
          <w:lang w:val="zh-CN"/>
        </w:rPr>
      </w:pPr>
      <w:r>
        <w:rPr>
          <w:rFonts w:hint="eastAsia" w:ascii="宋体" w:hAnsi="宋体" w:cs="宋体"/>
          <w:color w:val="auto"/>
          <w:sz w:val="24"/>
          <w:highlight w:val="none"/>
          <w:lang w:val="zh-CN"/>
        </w:rPr>
        <w:t>18.</w:t>
      </w:r>
      <w:r>
        <w:rPr>
          <w:rFonts w:hint="eastAsia" w:ascii="宋体" w:hAnsi="宋体" w:cs="宋体"/>
          <w:b/>
          <w:bCs/>
          <w:color w:val="auto"/>
          <w:sz w:val="24"/>
          <w:highlight w:val="none"/>
          <w:lang w:val="zh-CN"/>
        </w:rPr>
        <w:t xml:space="preserve"> 诚实信用</w:t>
      </w:r>
    </w:p>
    <w:p w14:paraId="072850E9">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18.1 供应商之间不得相互串通报价，不得妨碍其他供应商的公平竞争，不得损害采购人或者其他供应商的合法权益。</w:t>
      </w:r>
    </w:p>
    <w:p w14:paraId="25CAF177">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18.2 供应商不得以向代理机构工作人员、磋商小组成员行贿或者采取其他不正当手段谋取成交。</w:t>
      </w:r>
    </w:p>
    <w:p w14:paraId="43FF37C3">
      <w:pPr>
        <w:spacing w:line="360" w:lineRule="auto"/>
        <w:ind w:firstLine="482" w:firstLineChars="200"/>
        <w:outlineLvl w:val="1"/>
        <w:rPr>
          <w:rFonts w:hint="eastAsia" w:ascii="宋体" w:hAnsi="宋体" w:cs="宋体"/>
          <w:b/>
          <w:color w:val="auto"/>
          <w:sz w:val="24"/>
          <w:highlight w:val="none"/>
        </w:rPr>
      </w:pPr>
      <w:bookmarkStart w:id="165" w:name="_Toc16693"/>
      <w:bookmarkStart w:id="166" w:name="_Toc12247"/>
      <w:bookmarkStart w:id="167" w:name="_Toc16617194"/>
      <w:bookmarkStart w:id="168" w:name="_Toc16553"/>
      <w:bookmarkStart w:id="169" w:name="_Toc239"/>
      <w:bookmarkStart w:id="170" w:name="_Toc11328"/>
      <w:bookmarkStart w:id="171" w:name="_Toc15216"/>
      <w:bookmarkStart w:id="172" w:name="_Toc21664"/>
      <w:bookmarkStart w:id="173" w:name="_Toc322"/>
      <w:bookmarkStart w:id="174" w:name="_Toc27195"/>
      <w:bookmarkStart w:id="175" w:name="_Toc9375"/>
      <w:bookmarkStart w:id="176" w:name="_Toc17487"/>
      <w:bookmarkStart w:id="177" w:name="_Toc504141740"/>
      <w:bookmarkStart w:id="178" w:name="_Toc20962"/>
      <w:bookmarkStart w:id="179" w:name="_Toc26494"/>
      <w:bookmarkStart w:id="180" w:name="_Toc11097"/>
      <w:bookmarkStart w:id="181" w:name="_Toc24371"/>
      <w:bookmarkStart w:id="182" w:name="_Toc815"/>
      <w:bookmarkStart w:id="183" w:name="_Toc14003"/>
      <w:bookmarkStart w:id="184" w:name="_Toc345336139"/>
      <w:r>
        <w:rPr>
          <w:rFonts w:hint="eastAsia" w:ascii="宋体" w:hAnsi="宋体" w:cs="宋体"/>
          <w:b/>
          <w:color w:val="auto"/>
          <w:sz w:val="24"/>
          <w:highlight w:val="none"/>
        </w:rPr>
        <w:t>四、磋商</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6333D3A">
      <w:pPr>
        <w:autoSpaceDE w:val="0"/>
        <w:autoSpaceDN w:val="0"/>
        <w:adjustRightInd w:val="0"/>
        <w:spacing w:line="360" w:lineRule="auto"/>
        <w:ind w:firstLine="420"/>
        <w:rPr>
          <w:rFonts w:hint="eastAsia" w:ascii="宋体" w:hAnsi="宋体" w:cs="宋体"/>
          <w:b/>
          <w:bCs/>
          <w:color w:val="auto"/>
          <w:sz w:val="24"/>
          <w:highlight w:val="none"/>
          <w:lang w:val="zh-CN"/>
        </w:rPr>
      </w:pPr>
      <w:bookmarkStart w:id="185" w:name="_Toc345336140"/>
      <w:r>
        <w:rPr>
          <w:rFonts w:hint="eastAsia" w:ascii="宋体" w:hAnsi="宋体" w:cs="宋体"/>
          <w:b/>
          <w:bCs/>
          <w:color w:val="auto"/>
          <w:sz w:val="24"/>
          <w:highlight w:val="none"/>
          <w:lang w:val="zh-CN"/>
        </w:rPr>
        <w:t>19、磋商组织</w:t>
      </w:r>
    </w:p>
    <w:p w14:paraId="3E2B729C">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19.1 在递交磋商响应文件时间截止后，代理机构在规定的时间和地点组织磋商小组分别与供应商进行磋商。</w:t>
      </w:r>
    </w:p>
    <w:p w14:paraId="5B35A332">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19.2 磋商工作由代理机构负责组织，具体磋商事务由依法组建的磋商小组负责。</w:t>
      </w:r>
    </w:p>
    <w:p w14:paraId="6FA77FC5">
      <w:pPr>
        <w:autoSpaceDE w:val="0"/>
        <w:autoSpaceDN w:val="0"/>
        <w:adjustRightInd w:val="0"/>
        <w:spacing w:line="360" w:lineRule="auto"/>
        <w:ind w:firstLine="420"/>
        <w:rPr>
          <w:rFonts w:hint="eastAsia" w:ascii="宋体" w:hAnsi="宋体" w:cs="宋体"/>
          <w:b/>
          <w:color w:val="auto"/>
          <w:sz w:val="24"/>
          <w:highlight w:val="none"/>
          <w:lang w:val="zh-CN"/>
        </w:rPr>
      </w:pPr>
      <w:r>
        <w:rPr>
          <w:rFonts w:hint="eastAsia" w:ascii="宋体" w:hAnsi="宋体" w:cs="宋体"/>
          <w:b/>
          <w:color w:val="auto"/>
          <w:sz w:val="24"/>
          <w:highlight w:val="none"/>
          <w:lang w:val="zh-CN"/>
        </w:rPr>
        <w:t>20、磋商程序</w:t>
      </w:r>
    </w:p>
    <w:p w14:paraId="6153EE33">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20.1 采购代理机构对磋商供应商进行资格性审查、符合性审查，并将审查结果书面报给磋商小组。</w:t>
      </w:r>
    </w:p>
    <w:p w14:paraId="46C46762">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20.2 磋商小组审阅供应商所递交的响应性文件，凡不具备资格条件的供应商不得进入磋商程序。</w:t>
      </w:r>
    </w:p>
    <w:p w14:paraId="7C520F69">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20.3 磋商小组所有成员集中与单一供应商分别就竞争性磋商采购项目的商务和价格进行磋商。</w:t>
      </w:r>
    </w:p>
    <w:p w14:paraId="16131DEC">
      <w:pPr>
        <w:autoSpaceDE w:val="0"/>
        <w:autoSpaceDN w:val="0"/>
        <w:adjustRightInd w:val="0"/>
        <w:spacing w:line="360" w:lineRule="auto"/>
        <w:ind w:firstLine="420"/>
        <w:rPr>
          <w:rFonts w:hint="eastAsia" w:ascii="宋体" w:hAnsi="宋体" w:cs="宋体"/>
          <w:b/>
          <w:color w:val="auto"/>
          <w:sz w:val="24"/>
          <w:highlight w:val="none"/>
          <w:lang w:val="zh-CN"/>
        </w:rPr>
      </w:pPr>
      <w:r>
        <w:rPr>
          <w:rFonts w:hint="eastAsia" w:ascii="宋体" w:hAnsi="宋体" w:cs="宋体"/>
          <w:color w:val="auto"/>
          <w:sz w:val="24"/>
          <w:highlight w:val="none"/>
          <w:lang w:val="zh-CN"/>
        </w:rPr>
        <w:t>20.4 磋商小组制定一个符合采购人要求的最优方案，或直接根据响应性文件要求所有供应商在规定时间内作最后报价。</w:t>
      </w:r>
    </w:p>
    <w:p w14:paraId="69C1D294">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sz w:val="24"/>
          <w:highlight w:val="none"/>
          <w:lang w:val="zh-CN"/>
        </w:rPr>
        <w:t>20.5 出现下列情形之一的磋商响应文件按照无效处理：</w:t>
      </w:r>
    </w:p>
    <w:p w14:paraId="0BF15D19">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（1）未按照磋商文件规定要求密封、签署、盖章的；</w:t>
      </w:r>
    </w:p>
    <w:p w14:paraId="78980720">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（2）不具备磋商文件中规定资格要求或未实质性响应磋商文件的；</w:t>
      </w:r>
    </w:p>
    <w:p w14:paraId="48878116">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（3）投标报价超过磋商文件中规定的预算金额或者最高限价的；</w:t>
      </w:r>
    </w:p>
    <w:p w14:paraId="22499DDF">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（4）非实质性指标负偏离超过允许最大数量的；</w:t>
      </w:r>
    </w:p>
    <w:p w14:paraId="129281E6">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（5）标准配置或标准要求有漏项的；</w:t>
      </w:r>
    </w:p>
    <w:p w14:paraId="0BA11E6D">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（6）不同供应商的磋商响应文件异常一致或者投标报价呈规律性差异；</w:t>
      </w:r>
    </w:p>
    <w:p w14:paraId="611F4F63">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（7）不同供应商的磋商响应文件载明的项目管理班子成员出现同一人的；</w:t>
      </w:r>
    </w:p>
    <w:p w14:paraId="10A8D91D">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（8）不同供应商的磋商响应文件相互混装的；</w:t>
      </w:r>
    </w:p>
    <w:p w14:paraId="1DE80192">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（9）不同供应商使用同一个人或者企业资金交纳磋商保证金或者投标保函的反担保的；</w:t>
      </w:r>
    </w:p>
    <w:p w14:paraId="25118D12">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（10）不同供应商聘请同一人为其投标提供技术或者经济咨询服务的；</w:t>
      </w:r>
    </w:p>
    <w:p w14:paraId="780DD704">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（11）不同供应商的磋商响应文件由同一单位或者个人编制；</w:t>
      </w:r>
    </w:p>
    <w:p w14:paraId="2A435438">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（12）不同供应商委托同一单位或者个人办理投标事宜；</w:t>
      </w:r>
    </w:p>
    <w:p w14:paraId="5B14289A">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（13）不同供应商的法定代表人或委托代理人有夫妻、直系血亲关系的；</w:t>
      </w:r>
    </w:p>
    <w:p w14:paraId="0FEA5450">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（14）不同供应商的负责人为同一人或者存在控股、管理关系的；</w:t>
      </w:r>
    </w:p>
    <w:p w14:paraId="6386F19B">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（15）不同供应商的磋商保证金从同一单位或者个人的账户转出。</w:t>
      </w:r>
    </w:p>
    <w:p w14:paraId="5321C27E">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（16）不同供应商的委托代理人(或法定代表人、项目经理、项目总监、项目负责人等)在采购文件发布日上月至投标截止日当月在同一单位缴纳社会保险的；</w:t>
      </w:r>
    </w:p>
    <w:p w14:paraId="621995E1">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（17）不具备竞争性磋商文件中规定资格条件的；（仅审查采购人根据采购项目的特殊要求规定供应商的特定条件）；</w:t>
      </w:r>
    </w:p>
    <w:p w14:paraId="53376CB6">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（18）未实质性响应采购文件要求的；(出现重要条件不响应达到 3 个及以上的，且被磋商小组认定为质量和服务不能满足本项目要求，构成实质性不响应的。)</w:t>
      </w:r>
    </w:p>
    <w:p w14:paraId="0F2B642D">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（19）报价超过磋商文件中规定的预算金额或者最高限价的；</w:t>
      </w:r>
    </w:p>
    <w:p w14:paraId="27010DF6">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snapToGrid w:val="0"/>
          <w:color w:val="auto"/>
          <w:sz w:val="24"/>
          <w:highlight w:val="none"/>
        </w:rPr>
        <w:t>（20）与磋商文件提供的工程量清单中的项目编码、项目名称、项目特征、计量单位、工程量不一致的；</w:t>
      </w:r>
    </w:p>
    <w:p w14:paraId="174B6EB1">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（21）不符合法律、法规和竞争性磋商文件规定的其他实质性要求的。</w:t>
      </w:r>
    </w:p>
    <w:p w14:paraId="5704A2CA">
      <w:pPr>
        <w:autoSpaceDE w:val="0"/>
        <w:autoSpaceDN w:val="0"/>
        <w:adjustRightInd w:val="0"/>
        <w:spacing w:line="360" w:lineRule="auto"/>
        <w:ind w:firstLine="420"/>
        <w:rPr>
          <w:rFonts w:hint="eastAsia" w:ascii="宋体" w:hAnsi="宋体" w:cs="宋体"/>
          <w:b/>
          <w:bCs/>
          <w:color w:val="auto"/>
          <w:sz w:val="24"/>
          <w:highlight w:val="none"/>
        </w:rPr>
      </w:pPr>
      <w:bookmarkStart w:id="186" w:name="_Toc450643042"/>
      <w:r>
        <w:rPr>
          <w:rFonts w:hint="eastAsia" w:ascii="宋体" w:hAnsi="宋体" w:cs="宋体"/>
          <w:b/>
          <w:color w:val="auto"/>
          <w:sz w:val="24"/>
          <w:highlight w:val="none"/>
          <w:lang w:val="zh-CN"/>
        </w:rPr>
        <w:t xml:space="preserve">20.6 </w:t>
      </w:r>
      <w:r>
        <w:rPr>
          <w:rFonts w:hint="eastAsia" w:ascii="宋体" w:hAnsi="宋体" w:cs="宋体"/>
          <w:b/>
          <w:bCs/>
          <w:color w:val="auto"/>
          <w:sz w:val="24"/>
          <w:highlight w:val="none"/>
        </w:rPr>
        <w:t>出现下列情形之一的磋商终止，无成交供应商：</w:t>
      </w:r>
      <w:bookmarkEnd w:id="186"/>
    </w:p>
    <w:p w14:paraId="79715CF1">
      <w:pPr>
        <w:autoSpaceDE w:val="0"/>
        <w:autoSpaceDN w:val="0"/>
        <w:adjustRightInd w:val="0"/>
        <w:spacing w:line="360" w:lineRule="auto"/>
        <w:ind w:firstLine="420"/>
        <w:rPr>
          <w:rFonts w:hint="eastAsia" w:ascii="宋体" w:hAnsi="宋体" w:cs="宋体"/>
          <w:b/>
          <w:bCs/>
          <w:color w:val="auto"/>
          <w:sz w:val="24"/>
          <w:highlight w:val="none"/>
          <w:lang w:val="zh-CN"/>
        </w:rPr>
      </w:pPr>
      <w:bookmarkStart w:id="187" w:name="_Toc450643043"/>
      <w:r>
        <w:rPr>
          <w:rFonts w:hint="eastAsia" w:ascii="宋体" w:hAnsi="宋体" w:cs="宋体"/>
          <w:bCs/>
          <w:color w:val="auto"/>
          <w:sz w:val="24"/>
          <w:highlight w:val="none"/>
          <w:lang w:val="zh-CN"/>
        </w:rPr>
        <w:t>（1）所有供应商的磋商响应文件被磋商小组认定为无效的；</w:t>
      </w:r>
      <w:bookmarkEnd w:id="187"/>
    </w:p>
    <w:p w14:paraId="0BF11AB9">
      <w:pPr>
        <w:autoSpaceDE w:val="0"/>
        <w:autoSpaceDN w:val="0"/>
        <w:adjustRightInd w:val="0"/>
        <w:spacing w:line="360" w:lineRule="auto"/>
        <w:ind w:firstLine="420"/>
        <w:rPr>
          <w:rFonts w:hint="eastAsia" w:ascii="宋体" w:hAnsi="宋体" w:cs="宋体"/>
          <w:b/>
          <w:bCs/>
          <w:color w:val="auto"/>
          <w:sz w:val="24"/>
          <w:highlight w:val="none"/>
          <w:lang w:val="zh-CN"/>
        </w:rPr>
      </w:pPr>
      <w:bookmarkStart w:id="188" w:name="_Toc450643044"/>
      <w:r>
        <w:rPr>
          <w:rFonts w:hint="eastAsia" w:ascii="宋体" w:hAnsi="宋体" w:cs="宋体"/>
          <w:bCs/>
          <w:color w:val="auto"/>
          <w:sz w:val="24"/>
          <w:highlight w:val="none"/>
          <w:lang w:val="zh-CN"/>
        </w:rPr>
        <w:t>（2）</w:t>
      </w:r>
      <w:r>
        <w:rPr>
          <w:rFonts w:hint="eastAsia" w:ascii="宋体" w:hAnsi="宋体" w:cs="宋体"/>
          <w:color w:val="auto"/>
          <w:sz w:val="24"/>
          <w:highlight w:val="none"/>
          <w:lang w:val="zh-CN"/>
        </w:rPr>
        <w:t>出现影响采购公正的违法、违规行为的；</w:t>
      </w:r>
      <w:bookmarkEnd w:id="188"/>
    </w:p>
    <w:p w14:paraId="2F8204DE">
      <w:pPr>
        <w:autoSpaceDE w:val="0"/>
        <w:autoSpaceDN w:val="0"/>
        <w:adjustRightInd w:val="0"/>
        <w:spacing w:line="360" w:lineRule="auto"/>
        <w:ind w:firstLine="420"/>
        <w:rPr>
          <w:rFonts w:hint="eastAsia" w:ascii="宋体" w:hAnsi="宋体" w:cs="宋体"/>
          <w:bCs/>
          <w:color w:val="auto"/>
          <w:sz w:val="24"/>
          <w:highlight w:val="none"/>
          <w:lang w:val="zh-CN"/>
        </w:rPr>
      </w:pPr>
      <w:bookmarkStart w:id="189" w:name="_Toc450643045"/>
      <w:r>
        <w:rPr>
          <w:rFonts w:hint="eastAsia" w:ascii="宋体" w:hAnsi="宋体" w:cs="宋体"/>
          <w:bCs/>
          <w:color w:val="auto"/>
          <w:sz w:val="24"/>
          <w:highlight w:val="none"/>
          <w:lang w:val="zh-CN"/>
        </w:rPr>
        <w:t>（3）供应商的最终报价超过采购预算，且采购人不能支付的；</w:t>
      </w:r>
      <w:bookmarkEnd w:id="189"/>
    </w:p>
    <w:p w14:paraId="460217FE">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（4）因重大变故，采购任务取消的；</w:t>
      </w:r>
    </w:p>
    <w:p w14:paraId="353D749A">
      <w:pPr>
        <w:autoSpaceDE w:val="0"/>
        <w:autoSpaceDN w:val="0"/>
        <w:adjustRightInd w:val="0"/>
        <w:spacing w:line="360" w:lineRule="auto"/>
        <w:ind w:firstLine="420"/>
        <w:rPr>
          <w:rFonts w:hint="eastAsia" w:ascii="宋体" w:hAnsi="宋体" w:cs="宋体"/>
          <w:b/>
          <w:bCs/>
          <w:color w:val="auto"/>
          <w:sz w:val="24"/>
          <w:highlight w:val="none"/>
          <w:lang w:val="zh-CN"/>
        </w:rPr>
      </w:pPr>
      <w:r>
        <w:rPr>
          <w:rFonts w:hint="eastAsia" w:ascii="宋体" w:hAnsi="宋体" w:cs="宋体"/>
          <w:color w:val="auto"/>
          <w:sz w:val="24"/>
          <w:highlight w:val="none"/>
          <w:lang w:val="zh-CN"/>
        </w:rPr>
        <w:t>（5）采购人需求发生重大变化暂时不能确定或供应商提供的服务不能满足需求等。</w:t>
      </w:r>
    </w:p>
    <w:p w14:paraId="2539BFD0">
      <w:pPr>
        <w:autoSpaceDE w:val="0"/>
        <w:autoSpaceDN w:val="0"/>
        <w:adjustRightInd w:val="0"/>
        <w:spacing w:line="360" w:lineRule="auto"/>
        <w:ind w:firstLine="420"/>
        <w:rPr>
          <w:rFonts w:hint="eastAsia" w:ascii="宋体" w:hAnsi="宋体" w:cs="宋体"/>
          <w:b/>
          <w:color w:val="auto"/>
          <w:sz w:val="24"/>
          <w:highlight w:val="none"/>
          <w:lang w:val="zh-CN"/>
        </w:rPr>
      </w:pPr>
      <w:r>
        <w:rPr>
          <w:rFonts w:hint="eastAsia" w:ascii="宋体" w:hAnsi="宋体" w:cs="宋体"/>
          <w:b/>
          <w:color w:val="auto"/>
          <w:sz w:val="24"/>
          <w:highlight w:val="none"/>
          <w:lang w:val="zh-CN"/>
        </w:rPr>
        <w:t>21、</w:t>
      </w:r>
      <w:r>
        <w:rPr>
          <w:rFonts w:hint="eastAsia" w:ascii="宋体" w:hAnsi="宋体" w:cs="宋体"/>
          <w:b/>
          <w:bCs/>
          <w:color w:val="auto"/>
          <w:kern w:val="0"/>
          <w:sz w:val="24"/>
          <w:highlight w:val="none"/>
          <w:lang w:val="zh-CN"/>
        </w:rPr>
        <w:t>评分方法和标准。</w:t>
      </w:r>
    </w:p>
    <w:p w14:paraId="664772DA">
      <w:pPr>
        <w:widowControl/>
        <w:adjustRightInd w:val="0"/>
        <w:snapToGrid w:val="0"/>
        <w:spacing w:line="360" w:lineRule="auto"/>
        <w:ind w:firstLine="480" w:firstLineChars="200"/>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21.1 </w:t>
      </w:r>
      <w:r>
        <w:rPr>
          <w:rFonts w:hint="eastAsia" w:ascii="宋体" w:hAnsi="宋体" w:cs="宋体"/>
          <w:color w:val="auto"/>
          <w:kern w:val="0"/>
          <w:sz w:val="24"/>
          <w:highlight w:val="none"/>
          <w:lang w:val="zh-CN"/>
        </w:rPr>
        <w:t>采用综合评分法。即</w:t>
      </w:r>
      <w:r>
        <w:rPr>
          <w:rFonts w:hint="eastAsia" w:ascii="宋体" w:hAnsi="宋体" w:cs="宋体"/>
          <w:color w:val="auto"/>
          <w:kern w:val="0"/>
          <w:sz w:val="24"/>
          <w:highlight w:val="none"/>
        </w:rPr>
        <w:t>在满足磋商文件实质性要求前提下，按照磋商文件中规定的各项因素进行综合评审后，以评审总得分最高的供应商作为成交候选供应商或者成交供应商的评分方法。</w:t>
      </w:r>
    </w:p>
    <w:p w14:paraId="123292D2">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kern w:val="0"/>
          <w:sz w:val="24"/>
          <w:highlight w:val="none"/>
          <w:lang w:val="zh-CN"/>
        </w:rPr>
        <w:t xml:space="preserve">21.2 </w:t>
      </w:r>
      <w:r>
        <w:rPr>
          <w:rFonts w:hint="eastAsia" w:ascii="宋体" w:hAnsi="宋体" w:cs="宋体"/>
          <w:color w:val="auto"/>
          <w:kern w:val="0"/>
          <w:sz w:val="24"/>
          <w:highlight w:val="none"/>
        </w:rPr>
        <w:t>综合评分的</w:t>
      </w:r>
      <w:r>
        <w:rPr>
          <w:rFonts w:hint="eastAsia" w:ascii="宋体" w:hAnsi="宋体" w:cs="宋体"/>
          <w:color w:val="auto"/>
          <w:kern w:val="0"/>
          <w:sz w:val="24"/>
          <w:highlight w:val="none"/>
          <w:lang w:val="zh-CN"/>
        </w:rPr>
        <w:t>主要因素是：</w:t>
      </w:r>
      <w:r>
        <w:rPr>
          <w:rFonts w:hint="eastAsia" w:ascii="宋体" w:hAnsi="宋体" w:cs="宋体"/>
          <w:b/>
          <w:color w:val="auto"/>
          <w:kern w:val="0"/>
          <w:sz w:val="24"/>
          <w:highlight w:val="none"/>
        </w:rPr>
        <w:t>详见评标标准</w:t>
      </w:r>
      <w:r>
        <w:rPr>
          <w:rFonts w:hint="eastAsia" w:ascii="宋体" w:hAnsi="宋体" w:cs="宋体"/>
          <w:b/>
          <w:color w:val="auto"/>
          <w:sz w:val="24"/>
          <w:highlight w:val="none"/>
        </w:rPr>
        <w:t>。</w:t>
      </w:r>
    </w:p>
    <w:bookmarkEnd w:id="185"/>
    <w:p w14:paraId="52770A86">
      <w:pPr>
        <w:autoSpaceDE w:val="0"/>
        <w:autoSpaceDN w:val="0"/>
        <w:adjustRightInd w:val="0"/>
        <w:spacing w:line="360" w:lineRule="auto"/>
        <w:ind w:firstLine="42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22、确定成交供应商</w:t>
      </w:r>
    </w:p>
    <w:p w14:paraId="561A5033">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sz w:val="24"/>
          <w:highlight w:val="none"/>
          <w:lang w:val="zh-CN"/>
        </w:rPr>
        <w:t>22.1综合比较与评价后按照得分高低顺序对供应商进行排列。</w:t>
      </w:r>
      <w:r>
        <w:rPr>
          <w:rFonts w:hint="eastAsia" w:ascii="宋体" w:hAnsi="宋体" w:cs="宋体"/>
          <w:color w:val="auto"/>
          <w:sz w:val="24"/>
          <w:highlight w:val="none"/>
        </w:rPr>
        <w:t>得分相同的，按磋商报价由低到高顺序排列。得分且磋商报价相同的，按技术指标优劣顺序排列。</w:t>
      </w:r>
      <w:r>
        <w:rPr>
          <w:rFonts w:hint="eastAsia" w:ascii="宋体" w:hAnsi="宋体" w:cs="宋体"/>
          <w:b/>
          <w:color w:val="auto"/>
          <w:sz w:val="24"/>
          <w:highlight w:val="none"/>
          <w:lang w:val="zh-CN"/>
        </w:rPr>
        <w:t>综合排名第一名的供应商确定为成交供应商。</w:t>
      </w:r>
      <w:r>
        <w:rPr>
          <w:rFonts w:hint="eastAsia" w:ascii="宋体" w:hAnsi="宋体" w:cs="宋体"/>
          <w:color w:val="auto"/>
          <w:sz w:val="24"/>
          <w:highlight w:val="none"/>
        </w:rPr>
        <w:t>磋商小组认为，排在前面的成交候选供应商的最低报价或者某些分项报价明显不合理或者低于成本，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0E7543BA">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zh-CN"/>
        </w:rPr>
        <w:t>22.2 成交供应商确定后，将在原采购公告发布媒体上发布公告，向成交供应商发出成交通知书。</w:t>
      </w:r>
      <w:r>
        <w:rPr>
          <w:rFonts w:hint="eastAsia" w:ascii="宋体" w:hAnsi="宋体" w:cs="宋体"/>
          <w:color w:val="auto"/>
          <w:sz w:val="24"/>
          <w:highlight w:val="none"/>
        </w:rPr>
        <w:t>成交供应商应按成交通知书规定的时间、地点与采购单位、政府代理机构签订政府采购合同。成交供应商</w:t>
      </w:r>
      <w:r>
        <w:rPr>
          <w:rFonts w:hint="eastAsia" w:ascii="宋体" w:hAnsi="宋体" w:cs="宋体"/>
          <w:color w:val="auto"/>
          <w:sz w:val="24"/>
          <w:highlight w:val="none"/>
          <w:lang w:val="zh-CN"/>
        </w:rPr>
        <w:t>的磋商保证金将自动转为履约保证金，</w:t>
      </w:r>
      <w:r>
        <w:rPr>
          <w:rFonts w:hint="eastAsia" w:ascii="宋体" w:hAnsi="宋体" w:cs="宋体"/>
          <w:color w:val="auto"/>
          <w:sz w:val="24"/>
          <w:highlight w:val="none"/>
        </w:rPr>
        <w:t>并在项目经采购人验收合格后10个工作日内无息退付。</w:t>
      </w:r>
    </w:p>
    <w:p w14:paraId="37619B18">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22.3 成交通知书对采购人和成交供应商具有同等法律效力。</w:t>
      </w:r>
    </w:p>
    <w:p w14:paraId="6B358CF6">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zh-CN"/>
        </w:rPr>
        <w:t xml:space="preserve">22.4 </w:t>
      </w:r>
      <w:r>
        <w:rPr>
          <w:rFonts w:hint="eastAsia" w:ascii="宋体" w:hAnsi="宋体" w:cs="宋体"/>
          <w:color w:val="auto"/>
          <w:sz w:val="24"/>
          <w:highlight w:val="none"/>
        </w:rPr>
        <w:t>成交通知书发出后，采购人或成交供应商拒绝签订合同的，拒绝签订合同的一方应至少向另一方支付与保证金相等的补偿金，以及为磋商过程所发生的有关费用和双方商定的其他补偿。</w:t>
      </w:r>
    </w:p>
    <w:p w14:paraId="5A6975C0">
      <w:pPr>
        <w:autoSpaceDE w:val="0"/>
        <w:autoSpaceDN w:val="0"/>
        <w:adjustRightIn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 xml:space="preserve">22.5 </w:t>
      </w:r>
      <w:r>
        <w:rPr>
          <w:rFonts w:hint="eastAsia" w:ascii="宋体" w:hAnsi="宋体" w:cs="宋体"/>
          <w:b/>
          <w:color w:val="auto"/>
          <w:sz w:val="24"/>
          <w:highlight w:val="none"/>
        </w:rPr>
        <w:t>成交通知书发出后，成交供应商除发生法律规定的不能预见、不能避免并不能克服的客观情况外不得放弃或拒绝签订合同的。放弃或拒绝签订合同的，磋商保证金不予退还，情节严重的财政部门将其列入不良行为名单。</w:t>
      </w:r>
    </w:p>
    <w:p w14:paraId="39C4AC00">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22.6 代理机构对未成交的供应商不作未成交原因的解释。</w:t>
      </w:r>
    </w:p>
    <w:p w14:paraId="30D569A4">
      <w:pPr>
        <w:autoSpaceDE w:val="0"/>
        <w:autoSpaceDN w:val="0"/>
        <w:adjustRightIn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22.7 所有磋商响应文件都将作为档案保存，不论成交与否，代理机构均不退回。</w:t>
      </w:r>
    </w:p>
    <w:p w14:paraId="1FEB3EAC">
      <w:pPr>
        <w:autoSpaceDE w:val="0"/>
        <w:autoSpaceDN w:val="0"/>
        <w:adjustRightInd w:val="0"/>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lang w:val="zh-CN"/>
        </w:rPr>
        <w:t>23、</w:t>
      </w:r>
      <w:r>
        <w:rPr>
          <w:rFonts w:hint="eastAsia" w:ascii="宋体" w:hAnsi="宋体" w:cs="宋体"/>
          <w:b/>
          <w:color w:val="auto"/>
          <w:sz w:val="24"/>
          <w:highlight w:val="none"/>
        </w:rPr>
        <w:t>编写磋商（评审）报告</w:t>
      </w:r>
    </w:p>
    <w:p w14:paraId="5C874772">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磋商小组根据磋商过程和结果编写磋商（评审）报告。</w:t>
      </w:r>
    </w:p>
    <w:p w14:paraId="1CBD8A77">
      <w:pPr>
        <w:autoSpaceDE w:val="0"/>
        <w:autoSpaceDN w:val="0"/>
        <w:adjustRightInd w:val="0"/>
        <w:spacing w:line="360" w:lineRule="auto"/>
        <w:ind w:firstLine="420"/>
        <w:outlineLvl w:val="1"/>
        <w:rPr>
          <w:rFonts w:hint="eastAsia" w:ascii="宋体" w:hAnsi="宋体" w:cs="宋体"/>
          <w:b/>
          <w:bCs/>
          <w:color w:val="auto"/>
          <w:sz w:val="24"/>
          <w:highlight w:val="none"/>
          <w:lang w:val="zh-CN"/>
        </w:rPr>
      </w:pPr>
      <w:bookmarkStart w:id="190" w:name="_Toc26392"/>
      <w:bookmarkStart w:id="191" w:name="_Toc1202"/>
      <w:bookmarkStart w:id="192" w:name="_Toc2456"/>
      <w:bookmarkStart w:id="193" w:name="_Toc22312"/>
      <w:bookmarkStart w:id="194" w:name="_Toc29768"/>
      <w:bookmarkStart w:id="195" w:name="_Toc22672"/>
      <w:bookmarkStart w:id="196" w:name="_Toc5356"/>
      <w:bookmarkStart w:id="197" w:name="_Toc5114"/>
      <w:bookmarkStart w:id="198" w:name="_Toc16617195"/>
      <w:bookmarkStart w:id="199" w:name="_Toc18338"/>
      <w:bookmarkStart w:id="200" w:name="_Toc504141741"/>
      <w:bookmarkStart w:id="201" w:name="_Toc879"/>
      <w:bookmarkStart w:id="202" w:name="_Toc20289"/>
      <w:bookmarkStart w:id="203" w:name="_Toc19082"/>
      <w:bookmarkStart w:id="204" w:name="_Toc14752"/>
      <w:bookmarkStart w:id="205" w:name="_Toc10463"/>
      <w:bookmarkStart w:id="206" w:name="_Toc12144"/>
      <w:bookmarkStart w:id="207" w:name="_Toc11320"/>
      <w:bookmarkStart w:id="208" w:name="_Toc9350"/>
      <w:r>
        <w:rPr>
          <w:rFonts w:hint="eastAsia" w:ascii="宋体" w:hAnsi="宋体" w:cs="宋体"/>
          <w:b/>
          <w:color w:val="auto"/>
          <w:sz w:val="24"/>
          <w:highlight w:val="none"/>
          <w:lang w:val="zh-CN"/>
        </w:rPr>
        <w:t>五、</w:t>
      </w:r>
      <w:r>
        <w:rPr>
          <w:rFonts w:hint="eastAsia" w:ascii="宋体" w:hAnsi="宋体" w:cs="宋体"/>
          <w:b/>
          <w:bCs/>
          <w:color w:val="auto"/>
          <w:sz w:val="24"/>
          <w:highlight w:val="none"/>
          <w:lang w:val="zh-CN"/>
        </w:rPr>
        <w:t>签订合同</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DB86363">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24</w:t>
      </w:r>
      <w:r>
        <w:rPr>
          <w:rFonts w:hint="eastAsia" w:ascii="宋体" w:hAnsi="宋体" w:cs="宋体"/>
          <w:color w:val="auto"/>
          <w:sz w:val="24"/>
          <w:highlight w:val="none"/>
          <w:lang w:val="zh-CN"/>
        </w:rPr>
        <w:t>.</w:t>
      </w:r>
      <w:r>
        <w:rPr>
          <w:rFonts w:hint="eastAsia" w:ascii="宋体" w:hAnsi="宋体" w:cs="宋体"/>
          <w:color w:val="auto"/>
          <w:sz w:val="24"/>
          <w:highlight w:val="none"/>
        </w:rPr>
        <w:t>1 成交供应商应当</w:t>
      </w:r>
      <w:r>
        <w:rPr>
          <w:rFonts w:hint="eastAsia" w:ascii="宋体" w:hAnsi="宋体" w:cs="宋体"/>
          <w:color w:val="auto"/>
          <w:sz w:val="24"/>
          <w:highlight w:val="none"/>
          <w:lang w:val="zh-CN"/>
        </w:rPr>
        <w:t>自成交通知书发出之日起三十日内，</w:t>
      </w:r>
      <w:r>
        <w:rPr>
          <w:rFonts w:hint="eastAsia" w:ascii="宋体" w:hAnsi="宋体" w:cs="宋体"/>
          <w:color w:val="auto"/>
          <w:sz w:val="24"/>
          <w:highlight w:val="none"/>
        </w:rPr>
        <w:t>与采购人签订政府采购合同，所签订的合同不得对竞争性磋商文件和竞争性磋商响应文件作实质性修改。</w:t>
      </w:r>
    </w:p>
    <w:p w14:paraId="739D57AA">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24</w:t>
      </w:r>
      <w:r>
        <w:rPr>
          <w:rFonts w:hint="eastAsia" w:ascii="宋体" w:hAnsi="宋体" w:cs="宋体"/>
          <w:color w:val="auto"/>
          <w:sz w:val="24"/>
          <w:highlight w:val="none"/>
          <w:lang w:val="zh-CN"/>
        </w:rPr>
        <w:t xml:space="preserve">.2 </w:t>
      </w:r>
      <w:r>
        <w:rPr>
          <w:rFonts w:hint="eastAsia" w:ascii="宋体" w:hAnsi="宋体" w:cs="宋体"/>
          <w:color w:val="auto"/>
          <w:sz w:val="24"/>
          <w:highlight w:val="none"/>
        </w:rPr>
        <w:t>采购人不得向成交供应商提出任何不合理的要求作为签订合同的条件，不得与成交供应商私下订立背离合同实质性内容的协议。</w:t>
      </w:r>
    </w:p>
    <w:p w14:paraId="1672CC3E">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24.3 成交供应商因不可抗力或者自身原因不能履行政府采购合同的，采购人可以视情与排位在成交供应商之后第一位的成交候选供应商签订政府采购合同，以此类推。</w:t>
      </w:r>
    </w:p>
    <w:p w14:paraId="1720C653">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24.4 政府采购合同履行中，采购人需追加与合同标的相同的服务的，在不改变合同其他条款的前提下，可以与供应商协商签订补充合同，但所有补充合同的采购金额不得超过原合同采购金额的百分之十。</w:t>
      </w:r>
    </w:p>
    <w:p w14:paraId="04B8571D">
      <w:pPr>
        <w:autoSpaceDE w:val="0"/>
        <w:autoSpaceDN w:val="0"/>
        <w:adjustRightInd w:val="0"/>
        <w:spacing w:line="360" w:lineRule="auto"/>
        <w:ind w:firstLine="420"/>
        <w:outlineLvl w:val="1"/>
        <w:rPr>
          <w:rFonts w:hint="eastAsia" w:ascii="宋体" w:hAnsi="宋体" w:cs="宋体"/>
          <w:b/>
          <w:bCs/>
          <w:color w:val="auto"/>
          <w:sz w:val="24"/>
          <w:highlight w:val="none"/>
          <w:lang w:val="zh-CN"/>
        </w:rPr>
      </w:pPr>
      <w:bookmarkStart w:id="209" w:name="_Toc23900"/>
      <w:bookmarkStart w:id="210" w:name="_Toc24231"/>
      <w:bookmarkStart w:id="211" w:name="_Toc27223"/>
      <w:bookmarkStart w:id="212" w:name="_Toc20220"/>
      <w:bookmarkStart w:id="213" w:name="_Toc22173"/>
      <w:bookmarkStart w:id="214" w:name="_Toc30584"/>
      <w:bookmarkStart w:id="215" w:name="_Toc504141742"/>
      <w:bookmarkStart w:id="216" w:name="_Toc3731"/>
      <w:bookmarkStart w:id="217" w:name="_Toc450643046"/>
      <w:bookmarkStart w:id="218" w:name="_Toc21561"/>
      <w:bookmarkStart w:id="219" w:name="_Toc24468"/>
      <w:bookmarkStart w:id="220" w:name="_Toc27385"/>
      <w:bookmarkStart w:id="221" w:name="_Toc12860"/>
      <w:bookmarkStart w:id="222" w:name="_Toc19411"/>
      <w:bookmarkStart w:id="223" w:name="_Toc8345"/>
      <w:bookmarkStart w:id="224" w:name="_Toc27584"/>
      <w:bookmarkStart w:id="225" w:name="_Toc6436"/>
      <w:bookmarkStart w:id="226" w:name="_Toc26200"/>
      <w:bookmarkStart w:id="227" w:name="_Toc5437"/>
      <w:bookmarkStart w:id="228" w:name="_Toc459106792"/>
      <w:bookmarkStart w:id="229" w:name="_Toc16617196"/>
      <w:r>
        <w:rPr>
          <w:rFonts w:hint="eastAsia" w:ascii="宋体" w:hAnsi="宋体" w:cs="宋体"/>
          <w:b/>
          <w:bCs/>
          <w:color w:val="auto"/>
          <w:sz w:val="24"/>
          <w:highlight w:val="none"/>
          <w:lang w:val="zh-CN"/>
        </w:rPr>
        <w:t>六、质疑和投诉</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3E6A3E5">
      <w:pPr>
        <w:autoSpaceDE w:val="0"/>
        <w:autoSpaceDN w:val="0"/>
        <w:adjustRightInd w:val="0"/>
        <w:spacing w:line="360" w:lineRule="auto"/>
        <w:ind w:firstLine="42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25、质疑</w:t>
      </w:r>
    </w:p>
    <w:p w14:paraId="71566042">
      <w:pPr>
        <w:autoSpaceDE w:val="0"/>
        <w:autoSpaceDN w:val="0"/>
        <w:adjustRightInd w:val="0"/>
        <w:spacing w:line="360" w:lineRule="auto"/>
        <w:ind w:firstLine="420"/>
        <w:rPr>
          <w:rFonts w:hint="eastAsia" w:ascii="宋体" w:hAnsi="宋体" w:cs="宋体"/>
          <w:b/>
          <w:color w:val="auto"/>
          <w:sz w:val="24"/>
          <w:highlight w:val="none"/>
          <w:lang w:val="zh-CN"/>
        </w:rPr>
      </w:pPr>
      <w:r>
        <w:rPr>
          <w:rFonts w:hint="eastAsia" w:ascii="宋体" w:hAnsi="宋体" w:cs="宋体"/>
          <w:color w:val="auto"/>
          <w:sz w:val="24"/>
          <w:highlight w:val="none"/>
          <w:lang w:val="zh-CN"/>
        </w:rPr>
        <w:t xml:space="preserve">25.1 </w:t>
      </w:r>
      <w:r>
        <w:rPr>
          <w:rFonts w:hint="eastAsia" w:ascii="宋体" w:hAnsi="宋体" w:cs="宋体"/>
          <w:color w:val="auto"/>
          <w:sz w:val="24"/>
          <w:highlight w:val="none"/>
        </w:rPr>
        <w:t>磋商供应商对磋商活动事项有疑问的，可以向</w:t>
      </w:r>
      <w:r>
        <w:rPr>
          <w:rFonts w:hint="eastAsia" w:ascii="宋体" w:hAnsi="宋体" w:cs="宋体"/>
          <w:color w:val="auto"/>
          <w:sz w:val="24"/>
          <w:highlight w:val="none"/>
          <w:lang w:val="zh-CN"/>
        </w:rPr>
        <w:t>采购代理机构</w:t>
      </w:r>
      <w:r>
        <w:rPr>
          <w:rFonts w:hint="eastAsia" w:ascii="宋体" w:hAnsi="宋体" w:cs="宋体"/>
          <w:color w:val="auto"/>
          <w:sz w:val="24"/>
          <w:highlight w:val="none"/>
        </w:rPr>
        <w:t>提出询问，</w:t>
      </w:r>
      <w:r>
        <w:rPr>
          <w:rFonts w:hint="eastAsia" w:ascii="宋体" w:hAnsi="宋体" w:cs="宋体"/>
          <w:color w:val="auto"/>
          <w:sz w:val="24"/>
          <w:highlight w:val="none"/>
          <w:lang w:val="zh-CN"/>
        </w:rPr>
        <w:t>采购代理机构</w:t>
      </w:r>
      <w:r>
        <w:rPr>
          <w:rFonts w:hint="eastAsia" w:ascii="宋体" w:hAnsi="宋体" w:cs="宋体"/>
          <w:color w:val="auto"/>
          <w:sz w:val="24"/>
          <w:highlight w:val="none"/>
        </w:rPr>
        <w:t>将及时作出答复，但答复的内容不涉及商业秘密。</w:t>
      </w:r>
    </w:p>
    <w:p w14:paraId="44186578">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25.2 </w:t>
      </w:r>
      <w:r>
        <w:rPr>
          <w:rFonts w:hint="eastAsia" w:ascii="宋体" w:hAnsi="宋体" w:cs="宋体"/>
          <w:color w:val="auto"/>
          <w:sz w:val="24"/>
          <w:highlight w:val="none"/>
        </w:rPr>
        <w:t>磋商供应商认为磋商文件、磋商过程和成交结果使自己的合法权益受到损害的，可以在知道或者应知其权益受到损害之日起</w:t>
      </w:r>
      <w:r>
        <w:rPr>
          <w:rFonts w:hint="eastAsia" w:ascii="宋体" w:hAnsi="宋体" w:cs="宋体"/>
          <w:b/>
          <w:color w:val="auto"/>
          <w:sz w:val="24"/>
          <w:highlight w:val="none"/>
        </w:rPr>
        <w:t>7个工作日</w:t>
      </w:r>
      <w:r>
        <w:rPr>
          <w:rFonts w:hint="eastAsia" w:ascii="宋体" w:hAnsi="宋体" w:cs="宋体"/>
          <w:color w:val="auto"/>
          <w:sz w:val="24"/>
          <w:highlight w:val="none"/>
        </w:rPr>
        <w:t>内，以书面形式一次性向</w:t>
      </w:r>
      <w:r>
        <w:rPr>
          <w:rFonts w:hint="eastAsia" w:ascii="宋体" w:hAnsi="宋体" w:cs="宋体"/>
          <w:color w:val="auto"/>
          <w:sz w:val="24"/>
          <w:highlight w:val="none"/>
          <w:lang w:val="zh-CN"/>
        </w:rPr>
        <w:t>采购代理机构</w:t>
      </w:r>
      <w:r>
        <w:rPr>
          <w:rFonts w:hint="eastAsia" w:ascii="宋体" w:hAnsi="宋体" w:cs="宋体"/>
          <w:color w:val="auto"/>
          <w:sz w:val="24"/>
          <w:highlight w:val="none"/>
        </w:rPr>
        <w:t>提出全部质疑，但需对质疑内容的真实性承担责任。</w:t>
      </w:r>
    </w:p>
    <w:p w14:paraId="78518571">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25.3 质疑文件应包括以下主要内容，并</w:t>
      </w:r>
      <w:r>
        <w:rPr>
          <w:rFonts w:hint="eastAsia" w:ascii="宋体" w:hAnsi="宋体" w:cs="宋体"/>
          <w:color w:val="auto"/>
          <w:sz w:val="24"/>
          <w:highlight w:val="none"/>
        </w:rPr>
        <w:t>按照“谁主张、谁举证”的原则，附上相关证明材料。否则，代理机构不予受理：</w:t>
      </w:r>
    </w:p>
    <w:p w14:paraId="1A694A03">
      <w:pPr>
        <w:autoSpaceDE w:val="0"/>
        <w:autoSpaceDN w:val="0"/>
        <w:adjustRightInd w:val="0"/>
        <w:spacing w:line="360" w:lineRule="auto"/>
        <w:ind w:left="420" w:leftChars="200"/>
        <w:rPr>
          <w:rFonts w:hint="eastAsia" w:ascii="宋体" w:hAnsi="宋体" w:cs="宋体"/>
          <w:color w:val="auto"/>
          <w:sz w:val="24"/>
          <w:highlight w:val="none"/>
          <w:lang w:val="zh-CN"/>
        </w:rPr>
      </w:pPr>
      <w:r>
        <w:rPr>
          <w:rFonts w:hint="eastAsia" w:ascii="宋体" w:hAnsi="宋体" w:cs="宋体"/>
          <w:color w:val="auto"/>
          <w:sz w:val="24"/>
          <w:highlight w:val="none"/>
        </w:rPr>
        <w:t>（1）质疑项目名称、项目编号、包号、磋商公告发布时间、磋商时间；</w:t>
      </w:r>
    </w:p>
    <w:p w14:paraId="202B3CBD">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（2）具体的质疑事项及法律依据（具体条款）；</w:t>
      </w:r>
    </w:p>
    <w:p w14:paraId="243179C0">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（3）质疑相关证明文件或证明材料，如果涉及到产品功能或技术指标的，应出具相关制造商的证明文件（友情提示：</w:t>
      </w:r>
      <w:r>
        <w:rPr>
          <w:rFonts w:hint="eastAsia" w:ascii="宋体" w:hAnsi="宋体" w:cs="宋体"/>
          <w:color w:val="auto"/>
          <w:sz w:val="24"/>
          <w:highlight w:val="none"/>
        </w:rPr>
        <w:t>供应商全部产品线中没有满足技术需求要求的产品才可以对采购产品提出质疑，并提出</w:t>
      </w:r>
      <w:r>
        <w:rPr>
          <w:rFonts w:hint="eastAsia" w:ascii="宋体" w:hAnsi="宋体" w:cs="宋体"/>
          <w:b/>
          <w:bCs/>
          <w:color w:val="auto"/>
          <w:sz w:val="24"/>
          <w:highlight w:val="none"/>
        </w:rPr>
        <w:t>修改理由</w:t>
      </w:r>
      <w:r>
        <w:rPr>
          <w:rFonts w:hint="eastAsia" w:ascii="宋体" w:hAnsi="宋体" w:cs="宋体"/>
          <w:color w:val="auto"/>
          <w:sz w:val="24"/>
          <w:highlight w:val="none"/>
        </w:rPr>
        <w:t>和</w:t>
      </w:r>
      <w:r>
        <w:rPr>
          <w:rFonts w:hint="eastAsia" w:ascii="宋体" w:hAnsi="宋体" w:cs="宋体"/>
          <w:b/>
          <w:bCs/>
          <w:color w:val="auto"/>
          <w:sz w:val="24"/>
          <w:highlight w:val="none"/>
        </w:rPr>
        <w:t>修改建议</w:t>
      </w:r>
      <w:r>
        <w:rPr>
          <w:rFonts w:hint="eastAsia" w:ascii="宋体" w:hAnsi="宋体" w:cs="宋体"/>
          <w:color w:val="auto"/>
          <w:sz w:val="24"/>
          <w:highlight w:val="none"/>
          <w:lang w:val="zh-CN"/>
        </w:rPr>
        <w:t>）；</w:t>
      </w:r>
    </w:p>
    <w:p w14:paraId="424084B5">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（4）质疑供应商名称、地址、联系方式</w:t>
      </w:r>
      <w:r>
        <w:rPr>
          <w:rFonts w:hint="eastAsia" w:ascii="宋体" w:hAnsi="宋体" w:cs="宋体"/>
          <w:color w:val="auto"/>
          <w:sz w:val="24"/>
          <w:highlight w:val="none"/>
        </w:rPr>
        <w:t>（包括手机、传真号码）</w:t>
      </w:r>
      <w:r>
        <w:rPr>
          <w:rFonts w:hint="eastAsia" w:ascii="宋体" w:hAnsi="宋体" w:cs="宋体"/>
          <w:color w:val="auto"/>
          <w:sz w:val="24"/>
          <w:highlight w:val="none"/>
          <w:lang w:val="zh-CN"/>
        </w:rPr>
        <w:t>；</w:t>
      </w:r>
    </w:p>
    <w:p w14:paraId="76201923">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（5）法定代表人</w:t>
      </w:r>
      <w:r>
        <w:rPr>
          <w:rFonts w:hint="eastAsia" w:ascii="宋体" w:hAnsi="宋体" w:cs="宋体"/>
          <w:color w:val="auto"/>
          <w:sz w:val="24"/>
          <w:highlight w:val="none"/>
        </w:rPr>
        <w:t>签署本人姓名或印盖本人姓名章并加盖单位公章，</w:t>
      </w:r>
      <w:r>
        <w:rPr>
          <w:rFonts w:hint="eastAsia" w:ascii="宋体" w:hAnsi="宋体" w:cs="宋体"/>
          <w:color w:val="auto"/>
          <w:sz w:val="24"/>
          <w:highlight w:val="none"/>
          <w:lang w:val="zh-CN"/>
        </w:rPr>
        <w:t>或</w:t>
      </w:r>
      <w:r>
        <w:rPr>
          <w:rFonts w:hint="eastAsia" w:ascii="宋体" w:hAnsi="宋体" w:cs="宋体"/>
          <w:color w:val="auto"/>
          <w:sz w:val="24"/>
          <w:highlight w:val="none"/>
        </w:rPr>
        <w:t>由参加采购项目的</w:t>
      </w:r>
      <w:r>
        <w:rPr>
          <w:rFonts w:hint="eastAsia" w:ascii="宋体" w:hAnsi="宋体" w:cs="宋体"/>
          <w:color w:val="auto"/>
          <w:sz w:val="24"/>
          <w:highlight w:val="none"/>
          <w:lang w:val="zh-CN"/>
        </w:rPr>
        <w:t>授权委托代理人</w:t>
      </w:r>
      <w:r>
        <w:rPr>
          <w:rFonts w:hint="eastAsia" w:ascii="宋体" w:hAnsi="宋体" w:cs="宋体"/>
          <w:color w:val="auto"/>
          <w:sz w:val="24"/>
          <w:highlight w:val="none"/>
        </w:rPr>
        <w:t>签署本人姓名或印盖本人姓名章并加盖单位公章</w:t>
      </w:r>
      <w:r>
        <w:rPr>
          <w:rFonts w:hint="eastAsia" w:ascii="宋体" w:hAnsi="宋体" w:cs="宋体"/>
          <w:color w:val="auto"/>
          <w:sz w:val="24"/>
          <w:highlight w:val="none"/>
          <w:lang w:val="zh-CN"/>
        </w:rPr>
        <w:t>等。</w:t>
      </w:r>
    </w:p>
    <w:p w14:paraId="695E35FC">
      <w:pPr>
        <w:autoSpaceDE w:val="0"/>
        <w:autoSpaceDN w:val="0"/>
        <w:adjustRightIn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zh-CN"/>
        </w:rPr>
        <w:t>25.4 供应商不得虚假质疑和恶意质疑，并对质疑内容的真实性承担责任。</w:t>
      </w:r>
      <w:r>
        <w:rPr>
          <w:rFonts w:hint="eastAsia" w:ascii="宋体" w:hAnsi="宋体" w:cs="宋体"/>
          <w:color w:val="auto"/>
          <w:sz w:val="24"/>
          <w:highlight w:val="none"/>
        </w:rPr>
        <w:t>供应商或者其他利害关系人通过捏造事实、伪造证明材料等方式提出异议或投诉，阻碍政府采购活动正常进行的，属于严重不良行为，代理机构将提请财政部门将其列入不良行为记录名单，并依法予以处罚。</w:t>
      </w:r>
    </w:p>
    <w:p w14:paraId="7C73CD1E">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rPr>
        <w:t>25.5 采购代理机构在收到磋商供应商的书面质疑后7个工作日内作出答复，并以书面形式通知质疑磋商供应商和其他有关磋商供应商，但答复的内容不涉及商业秘密。</w:t>
      </w:r>
    </w:p>
    <w:p w14:paraId="2A48FAF4">
      <w:pPr>
        <w:autoSpaceDE w:val="0"/>
        <w:autoSpaceDN w:val="0"/>
        <w:adjustRightInd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26、</w:t>
      </w:r>
      <w:r>
        <w:rPr>
          <w:rFonts w:hint="eastAsia" w:ascii="宋体" w:hAnsi="宋体" w:cs="宋体"/>
          <w:b/>
          <w:bCs/>
          <w:color w:val="auto"/>
          <w:sz w:val="24"/>
          <w:highlight w:val="none"/>
          <w:lang w:val="zh-CN"/>
        </w:rPr>
        <w:t>投诉</w:t>
      </w:r>
    </w:p>
    <w:p w14:paraId="7D2FECBA">
      <w:pPr>
        <w:autoSpaceDE w:val="0"/>
        <w:autoSpaceDN w:val="0"/>
        <w:adjustRightInd w:val="0"/>
        <w:spacing w:line="360" w:lineRule="auto"/>
        <w:ind w:firstLine="420"/>
        <w:rPr>
          <w:rFonts w:hint="eastAsia" w:ascii="宋体" w:hAnsi="宋体" w:cs="宋体"/>
          <w:color w:val="auto"/>
          <w:sz w:val="24"/>
          <w:highlight w:val="none"/>
        </w:rPr>
        <w:sectPr>
          <w:headerReference r:id="rId3" w:type="default"/>
          <w:footerReference r:id="rId4" w:type="default"/>
          <w:pgSz w:w="11906" w:h="16838"/>
          <w:pgMar w:top="1418" w:right="1133" w:bottom="1247" w:left="1304" w:header="851" w:footer="992" w:gutter="0"/>
          <w:cols w:space="720" w:num="1"/>
          <w:docGrid w:type="lines" w:linePitch="312" w:charSpace="0"/>
        </w:sectPr>
      </w:pPr>
      <w:r>
        <w:rPr>
          <w:rFonts w:hint="eastAsia" w:ascii="宋体" w:hAnsi="宋体" w:cs="宋体"/>
          <w:color w:val="auto"/>
          <w:sz w:val="24"/>
          <w:highlight w:val="none"/>
          <w:lang w:val="zh-CN"/>
        </w:rPr>
        <w:t>质疑供应商对代理机构的答复不满意，或代理机构未在规定的时间内作出答复的，可以在答复期满后</w:t>
      </w:r>
      <w:r>
        <w:rPr>
          <w:rFonts w:hint="eastAsia" w:ascii="宋体" w:hAnsi="宋体" w:cs="宋体"/>
          <w:b/>
          <w:bCs/>
          <w:color w:val="auto"/>
          <w:sz w:val="24"/>
          <w:highlight w:val="none"/>
          <w:lang w:val="zh-CN"/>
        </w:rPr>
        <w:t>十五个工作日内</w:t>
      </w:r>
      <w:r>
        <w:rPr>
          <w:rFonts w:hint="eastAsia" w:ascii="宋体" w:hAnsi="宋体" w:cs="宋体"/>
          <w:color w:val="auto"/>
          <w:sz w:val="24"/>
          <w:highlight w:val="none"/>
          <w:lang w:val="zh-CN"/>
        </w:rPr>
        <w:t>向同级财政部门投诉。</w:t>
      </w:r>
      <w:r>
        <w:rPr>
          <w:rFonts w:hint="eastAsia" w:ascii="宋体" w:hAnsi="宋体" w:cs="宋体"/>
          <w:color w:val="auto"/>
          <w:sz w:val="24"/>
          <w:highlight w:val="none"/>
        </w:rPr>
        <w:t xml:space="preserve">   </w:t>
      </w:r>
    </w:p>
    <w:p w14:paraId="691DDAF8">
      <w:pPr>
        <w:spacing w:before="156" w:beforeLines="50" w:after="156" w:afterLines="50" w:line="460" w:lineRule="exact"/>
        <w:jc w:val="center"/>
        <w:outlineLvl w:val="0"/>
        <w:rPr>
          <w:rFonts w:hint="eastAsia" w:ascii="宋体" w:hAnsi="宋体" w:cs="宋体"/>
          <w:color w:val="auto"/>
          <w:sz w:val="32"/>
          <w:szCs w:val="32"/>
          <w:highlight w:val="none"/>
        </w:rPr>
      </w:pPr>
      <w:bookmarkStart w:id="230" w:name="_Toc20681"/>
      <w:bookmarkStart w:id="231" w:name="_Toc25177"/>
      <w:bookmarkStart w:id="232" w:name="_Toc19584"/>
      <w:bookmarkStart w:id="233" w:name="_Toc12568"/>
      <w:bookmarkStart w:id="234" w:name="_Toc2779"/>
      <w:bookmarkStart w:id="235" w:name="_Toc24683"/>
      <w:bookmarkStart w:id="236" w:name="_Toc3473"/>
      <w:bookmarkStart w:id="237" w:name="_Toc6589"/>
      <w:bookmarkStart w:id="238" w:name="_Toc32507"/>
      <w:bookmarkStart w:id="239" w:name="_Toc504141743"/>
      <w:bookmarkStart w:id="240" w:name="_Toc14966"/>
      <w:bookmarkStart w:id="241" w:name="_Toc458771607"/>
      <w:bookmarkStart w:id="242" w:name="_Toc7744"/>
      <w:bookmarkStart w:id="243" w:name="_Toc6548"/>
      <w:bookmarkStart w:id="244" w:name="_Toc11434"/>
      <w:bookmarkStart w:id="245" w:name="_Toc13396"/>
      <w:bookmarkStart w:id="246" w:name="_Toc22792"/>
      <w:bookmarkStart w:id="247" w:name="_Toc2825"/>
      <w:bookmarkStart w:id="248" w:name="_Toc10425"/>
      <w:r>
        <w:rPr>
          <w:rFonts w:hint="eastAsia" w:ascii="宋体" w:hAnsi="宋体" w:cs="宋体"/>
          <w:color w:val="auto"/>
          <w:sz w:val="32"/>
          <w:szCs w:val="32"/>
          <w:highlight w:val="none"/>
        </w:rPr>
        <w:t>第三章 磋商项目</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hint="eastAsia" w:ascii="宋体" w:hAnsi="宋体" w:cs="宋体"/>
          <w:color w:val="auto"/>
          <w:sz w:val="32"/>
          <w:szCs w:val="32"/>
          <w:highlight w:val="none"/>
        </w:rPr>
        <w:t>报价清单</w:t>
      </w:r>
      <w:bookmarkEnd w:id="246"/>
      <w:bookmarkEnd w:id="247"/>
      <w:bookmarkEnd w:id="248"/>
      <w:bookmarkStart w:id="249" w:name="_Toc500148752"/>
      <w:bookmarkStart w:id="250" w:name="_Toc19659"/>
      <w:bookmarkStart w:id="251" w:name="_Toc20162"/>
      <w:bookmarkStart w:id="252" w:name="_Toc491694066"/>
      <w:bookmarkStart w:id="253" w:name="_Toc2952"/>
      <w:bookmarkStart w:id="254" w:name="_Toc504141744"/>
      <w:bookmarkStart w:id="255" w:name="_Toc467448228"/>
      <w:bookmarkStart w:id="256" w:name="_Toc492583517"/>
      <w:bookmarkStart w:id="257" w:name="_Toc495502112"/>
      <w:bookmarkStart w:id="258" w:name="_Toc454576872"/>
      <w:bookmarkStart w:id="259" w:name="_Toc31932"/>
      <w:bookmarkStart w:id="260" w:name="_Toc490947152"/>
      <w:bookmarkStart w:id="261" w:name="_Toc3836"/>
      <w:bookmarkStart w:id="262" w:name="_Toc465862084"/>
    </w:p>
    <w:p w14:paraId="33F01906">
      <w:pPr>
        <w:autoSpaceDE w:val="0"/>
        <w:autoSpaceDN w:val="0"/>
        <w:adjustRightInd w:val="0"/>
        <w:ind w:firstLine="420"/>
        <w:rPr>
          <w:rFonts w:hint="eastAsia" w:ascii="宋体" w:hAnsi="宋体" w:cs="宋体"/>
          <w:color w:val="auto"/>
          <w:sz w:val="24"/>
          <w:highlight w:val="none"/>
          <w:lang w:val="zh-CN"/>
        </w:rPr>
      </w:pPr>
    </w:p>
    <w:p w14:paraId="60C4DC9D">
      <w:pPr>
        <w:autoSpaceDE w:val="0"/>
        <w:autoSpaceDN w:val="0"/>
        <w:adjustRightInd w:val="0"/>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详见附件：</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工程量清单</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16A0CD3F">
      <w:pPr>
        <w:autoSpaceDE w:val="0"/>
        <w:autoSpaceDN w:val="0"/>
        <w:adjustRightInd w:val="0"/>
        <w:ind w:firstLine="420"/>
        <w:rPr>
          <w:rFonts w:hint="eastAsia" w:ascii="宋体" w:hAnsi="宋体" w:cs="宋体"/>
          <w:color w:val="auto"/>
          <w:szCs w:val="21"/>
          <w:highlight w:val="none"/>
          <w:lang w:val="zh-CN"/>
        </w:rPr>
        <w:sectPr>
          <w:headerReference r:id="rId5" w:type="default"/>
          <w:footerReference r:id="rId6" w:type="default"/>
          <w:footerReference r:id="rId7" w:type="even"/>
          <w:pgSz w:w="11906" w:h="16838"/>
          <w:pgMar w:top="1418" w:right="1133" w:bottom="1247" w:left="1304" w:header="851" w:footer="992" w:gutter="0"/>
          <w:cols w:space="720" w:num="1"/>
          <w:docGrid w:type="lines" w:linePitch="312" w:charSpace="0"/>
        </w:sectPr>
      </w:pPr>
    </w:p>
    <w:p w14:paraId="3D791059">
      <w:pPr>
        <w:spacing w:before="120" w:beforeLines="50" w:after="120" w:afterLines="50" w:line="460" w:lineRule="exact"/>
        <w:jc w:val="center"/>
        <w:outlineLvl w:val="0"/>
        <w:rPr>
          <w:rFonts w:hint="eastAsia" w:ascii="宋体" w:hAnsi="宋体" w:cs="宋体"/>
          <w:color w:val="auto"/>
          <w:sz w:val="32"/>
          <w:szCs w:val="32"/>
          <w:highlight w:val="none"/>
        </w:rPr>
      </w:pPr>
      <w:bookmarkStart w:id="263" w:name="_Toc19382"/>
      <w:bookmarkStart w:id="264" w:name="_Toc19472"/>
      <w:bookmarkStart w:id="265" w:name="_Toc504141751"/>
      <w:bookmarkStart w:id="266" w:name="_Toc13855"/>
      <w:bookmarkStart w:id="267" w:name="_Toc15461"/>
      <w:bookmarkStart w:id="268" w:name="_Toc24092"/>
      <w:bookmarkStart w:id="269" w:name="_Toc529864561"/>
      <w:bookmarkStart w:id="270" w:name="_Toc9174"/>
      <w:bookmarkStart w:id="271" w:name="_Toc4141"/>
      <w:bookmarkStart w:id="272" w:name="_Toc29294"/>
      <w:bookmarkStart w:id="273" w:name="_Toc25218"/>
      <w:bookmarkStart w:id="274" w:name="_Toc24094"/>
      <w:bookmarkStart w:id="275" w:name="_Toc14352"/>
      <w:bookmarkStart w:id="276" w:name="_Toc11659"/>
      <w:bookmarkStart w:id="277" w:name="_Toc24900"/>
      <w:bookmarkStart w:id="278" w:name="_Toc23360"/>
      <w:bookmarkStart w:id="279" w:name="_Toc28898"/>
      <w:bookmarkStart w:id="280" w:name="_Toc21270"/>
      <w:r>
        <w:rPr>
          <w:rFonts w:hint="eastAsia" w:ascii="宋体" w:hAnsi="宋体" w:cs="宋体"/>
          <w:color w:val="auto"/>
          <w:sz w:val="32"/>
          <w:szCs w:val="32"/>
          <w:highlight w:val="none"/>
        </w:rPr>
        <w:t>第四章 评分标准</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3310B44">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本项目采用</w:t>
      </w:r>
      <w:r>
        <w:rPr>
          <w:rFonts w:hint="eastAsia" w:ascii="宋体" w:hAnsi="宋体" w:cs="宋体"/>
          <w:b/>
          <w:bCs/>
          <w:color w:val="auto"/>
          <w:sz w:val="24"/>
          <w:highlight w:val="none"/>
          <w:lang w:val="zh-CN"/>
        </w:rPr>
        <w:t>综合评分法</w:t>
      </w:r>
      <w:r>
        <w:rPr>
          <w:rFonts w:hint="eastAsia" w:ascii="宋体" w:hAnsi="宋体" w:cs="宋体"/>
          <w:color w:val="auto"/>
          <w:sz w:val="24"/>
          <w:highlight w:val="none"/>
          <w:lang w:val="zh-CN"/>
        </w:rPr>
        <w:t>。综合评分法是指在满足采购文件实质性要求前提下，按照采购文件中规定的各项因素进行综合评审后，以总得分最高的响应供应商人作为成交供应商的方法。</w:t>
      </w:r>
      <w:r>
        <w:rPr>
          <w:rFonts w:hint="eastAsia" w:ascii="宋体" w:hAnsi="宋体" w:cs="宋体"/>
          <w:color w:val="auto"/>
          <w:sz w:val="24"/>
          <w:highlight w:val="none"/>
        </w:rPr>
        <w:t>本次采购得分最高者为成交供应商。</w:t>
      </w:r>
    </w:p>
    <w:tbl>
      <w:tblPr>
        <w:tblStyle w:val="10"/>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181"/>
        <w:gridCol w:w="7403"/>
        <w:gridCol w:w="806"/>
      </w:tblGrid>
      <w:tr w14:paraId="1456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72FF39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23843D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7403" w:type="dxa"/>
            <w:tcBorders>
              <w:top w:val="single" w:color="auto" w:sz="4" w:space="0"/>
              <w:left w:val="single" w:color="auto" w:sz="4" w:space="0"/>
              <w:bottom w:val="single" w:color="auto" w:sz="4" w:space="0"/>
              <w:right w:val="single" w:color="auto" w:sz="4" w:space="0"/>
            </w:tcBorders>
            <w:noWrap w:val="0"/>
            <w:vAlign w:val="center"/>
          </w:tcPr>
          <w:p w14:paraId="789EDC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F534B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295D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5B4C4727">
            <w:pPr>
              <w:spacing w:line="360" w:lineRule="auto"/>
              <w:jc w:val="center"/>
              <w:rPr>
                <w:rFonts w:hint="eastAsia" w:ascii="宋体" w:hAnsi="宋体" w:eastAsia="宋体" w:cs="宋体"/>
                <w:color w:val="auto"/>
                <w:sz w:val="21"/>
                <w:szCs w:val="21"/>
                <w:highlight w:val="none"/>
              </w:rPr>
            </w:pPr>
            <w:bookmarkStart w:id="281" w:name="OLE_LINK2"/>
            <w:bookmarkStart w:id="282" w:name="OLE_LINK1"/>
            <w:bookmarkStart w:id="283" w:name="_Hlk401005359"/>
            <w:bookmarkStart w:id="284" w:name="OLE_LINK4"/>
            <w:bookmarkStart w:id="285" w:name="OLE_LINK3"/>
            <w:r>
              <w:rPr>
                <w:rFonts w:hint="eastAsia" w:ascii="宋体" w:hAnsi="宋体" w:eastAsia="宋体" w:cs="宋体"/>
                <w:color w:val="auto"/>
                <w:sz w:val="21"/>
                <w:szCs w:val="21"/>
                <w:highlight w:val="none"/>
              </w:rPr>
              <w:t>1</w:t>
            </w:r>
          </w:p>
        </w:tc>
        <w:tc>
          <w:tcPr>
            <w:tcW w:w="1181" w:type="dxa"/>
            <w:tcBorders>
              <w:top w:val="single" w:color="auto" w:sz="4" w:space="0"/>
              <w:left w:val="single" w:color="auto" w:sz="4" w:space="0"/>
              <w:right w:val="single" w:color="auto" w:sz="4" w:space="0"/>
            </w:tcBorders>
            <w:noWrap w:val="0"/>
            <w:vAlign w:val="center"/>
          </w:tcPr>
          <w:p w14:paraId="4D89A4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68403E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（70分）</w:t>
            </w:r>
          </w:p>
        </w:tc>
        <w:tc>
          <w:tcPr>
            <w:tcW w:w="7403" w:type="dxa"/>
            <w:tcBorders>
              <w:top w:val="single" w:color="auto" w:sz="4" w:space="0"/>
              <w:left w:val="single" w:color="auto" w:sz="4" w:space="0"/>
              <w:bottom w:val="single" w:color="auto" w:sz="4" w:space="0"/>
              <w:right w:val="single" w:color="auto" w:sz="4" w:space="0"/>
            </w:tcBorders>
            <w:noWrap w:val="0"/>
            <w:vAlign w:val="center"/>
          </w:tcPr>
          <w:p w14:paraId="4BCBF8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采用低价优先法计算，即满足磋商文件要求且最后报价最低的供应商的价</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格为磋商基准价，其价格分为满分。其他供应商的价格分统一按照下列公式计算：磋商报价得分=（磋商基准价/最后磋商报价）×70(小数点后四舍五入保留两位)</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8E387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70分</w:t>
            </w:r>
          </w:p>
        </w:tc>
      </w:tr>
      <w:tr w14:paraId="3C1C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blHeader/>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7B5F97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81" w:type="dxa"/>
            <w:tcBorders>
              <w:top w:val="single" w:color="auto" w:sz="4" w:space="0"/>
              <w:left w:val="single" w:color="auto" w:sz="4" w:space="0"/>
              <w:right w:val="single" w:color="auto" w:sz="4" w:space="0"/>
            </w:tcBorders>
            <w:noWrap w:val="0"/>
            <w:vAlign w:val="center"/>
          </w:tcPr>
          <w:p w14:paraId="2BFB5D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业绩（4分）</w:t>
            </w:r>
          </w:p>
        </w:tc>
        <w:tc>
          <w:tcPr>
            <w:tcW w:w="7403" w:type="dxa"/>
            <w:tcBorders>
              <w:top w:val="single" w:color="auto" w:sz="4" w:space="0"/>
              <w:left w:val="single" w:color="auto" w:sz="4" w:space="0"/>
              <w:bottom w:val="single" w:color="auto" w:sz="4" w:space="0"/>
              <w:right w:val="single" w:color="auto" w:sz="4" w:space="0"/>
            </w:tcBorders>
            <w:noWrap w:val="0"/>
            <w:vAlign w:val="center"/>
          </w:tcPr>
          <w:p w14:paraId="337824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企业业绩：2021年8月1日（含）以来供应商承担过类似园林绿化业绩每提供一个得 2分，最高得4分。（满分4分）</w:t>
            </w:r>
          </w:p>
          <w:p w14:paraId="6867B6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注：资审业绩与评标标准业绩可兼得。业绩需提供中标通知书、施工合同、竣工验收合格证明资料复印件加盖公章，原件核查，时间以竣工验收证明的竣工验收时间为准，三者缺一不可，否则不得分。</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4F15C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r>
      <w:tr w14:paraId="06FF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4" w:hRule="atLeast"/>
          <w:tblHeader/>
          <w:jc w:val="center"/>
        </w:trPr>
        <w:tc>
          <w:tcPr>
            <w:tcW w:w="772" w:type="dxa"/>
            <w:tcBorders>
              <w:top w:val="single" w:color="auto" w:sz="4" w:space="0"/>
              <w:left w:val="single" w:color="auto" w:sz="4" w:space="0"/>
              <w:right w:val="single" w:color="auto" w:sz="4" w:space="0"/>
            </w:tcBorders>
            <w:noWrap w:val="0"/>
            <w:vAlign w:val="center"/>
          </w:tcPr>
          <w:p w14:paraId="115A12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81" w:type="dxa"/>
            <w:tcBorders>
              <w:top w:val="single" w:color="auto" w:sz="4" w:space="0"/>
              <w:left w:val="single" w:color="auto" w:sz="4" w:space="0"/>
              <w:right w:val="single" w:color="auto" w:sz="4" w:space="0"/>
            </w:tcBorders>
            <w:noWrap w:val="0"/>
            <w:vAlign w:val="center"/>
          </w:tcPr>
          <w:p w14:paraId="22E760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403" w:type="dxa"/>
            <w:tcBorders>
              <w:top w:val="single" w:color="auto" w:sz="4" w:space="0"/>
              <w:left w:val="single" w:color="auto" w:sz="4" w:space="0"/>
              <w:right w:val="single" w:color="auto" w:sz="4" w:space="0"/>
            </w:tcBorders>
            <w:noWrap w:val="0"/>
            <w:vAlign w:val="center"/>
          </w:tcPr>
          <w:p w14:paraId="2BC10C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供应商拟投入本项目组成员应包括：</w:t>
            </w:r>
          </w:p>
          <w:p w14:paraId="5D7F9768">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拟派项目负责人：具有园林绿化专业职称得1分。(专业以职称证书为准，如职称证书反映不出园林绿化专业则以学历证书专业为准) 。（提供有效期内的证书复印件加盖公章，原件核查）</w:t>
            </w:r>
            <w:bookmarkStart w:id="4432" w:name="_GoBack"/>
            <w:bookmarkEnd w:id="4432"/>
          </w:p>
          <w:p w14:paraId="1D81EB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施工员1</w:t>
            </w:r>
            <w:r>
              <w:rPr>
                <w:rFonts w:hint="eastAsia" w:ascii="宋体" w:hAnsi="宋体" w:eastAsia="宋体" w:cs="宋体"/>
                <w:color w:val="auto"/>
                <w:sz w:val="21"/>
                <w:szCs w:val="21"/>
                <w:highlight w:val="none"/>
              </w:rPr>
              <w:t>名：具有</w:t>
            </w:r>
            <w:r>
              <w:rPr>
                <w:rFonts w:hint="eastAsia" w:ascii="宋体" w:hAnsi="宋体" w:eastAsia="宋体" w:cs="宋体"/>
                <w:color w:val="auto"/>
                <w:sz w:val="21"/>
                <w:szCs w:val="21"/>
                <w:highlight w:val="none"/>
                <w:lang w:val="en-US" w:eastAsia="zh-CN"/>
              </w:rPr>
              <w:t>市政工程施工员岗位培训考核合格证</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分/人。（提供有效期内的证书复印件加盖公章，原件核查）</w:t>
            </w:r>
          </w:p>
          <w:p w14:paraId="18D5E4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）安全人员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名：具有有效的安全生产考核合格证(C 类)得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分/人。（提供有效期内的证书复印件加盖公章，原件核查）</w:t>
            </w:r>
          </w:p>
          <w:p w14:paraId="2E6496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）造价人员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名：具有注册造价工程师</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级及以上的得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分/人。（提供有效期内的证书复印件加盖公章，原件核查）</w:t>
            </w:r>
          </w:p>
          <w:p w14:paraId="391EC5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）资料员1名：具有资料员岗位培训考核合格证得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分。（提供有效期内的证书复印件加盖公章，原件核查）</w:t>
            </w:r>
          </w:p>
          <w:p w14:paraId="21F7C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以上成员不重复计分，提供项目负责人和项目组成员与供应商签订的有效劳动合同及社保机构出具的近6个月 (2024年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月至 2024年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供应商为项目负责人与项目组成员缴纳的养老保险金的缴费证明材料加盖社保中心章或社保中心参保缴费证明电子专用章[具有可验证的二维码或验证码]。若属企业退休人员、现役军人等客观原因无法提供养老保险金缴费证明，必须出具相关证明材料复印件加盖公章。</w:t>
            </w:r>
          </w:p>
          <w:p w14:paraId="23D6FF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其他工程建设类注册执业资格包括：注册造价工程师、国家注册监理工程师、注册建筑师、注册结构工程师及其他勘察设计注册工程师等工程建设类注册执业资格。</w:t>
            </w:r>
          </w:p>
          <w:p w14:paraId="5BCD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备注：具有可验证的二维码（或验证码）的电子证书视为原件</w:t>
            </w:r>
          </w:p>
        </w:tc>
        <w:tc>
          <w:tcPr>
            <w:tcW w:w="806" w:type="dxa"/>
            <w:tcBorders>
              <w:top w:val="single" w:color="auto" w:sz="4" w:space="0"/>
              <w:left w:val="single" w:color="auto" w:sz="4" w:space="0"/>
              <w:right w:val="single" w:color="auto" w:sz="4" w:space="0"/>
            </w:tcBorders>
            <w:noWrap w:val="0"/>
            <w:vAlign w:val="center"/>
          </w:tcPr>
          <w:p w14:paraId="6FD43AC9">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9E8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772" w:type="dxa"/>
            <w:tcBorders>
              <w:top w:val="single" w:color="auto" w:sz="4" w:space="0"/>
              <w:left w:val="single" w:color="auto" w:sz="4" w:space="0"/>
              <w:right w:val="single" w:color="auto" w:sz="4" w:space="0"/>
            </w:tcBorders>
            <w:noWrap w:val="0"/>
            <w:vAlign w:val="center"/>
          </w:tcPr>
          <w:p w14:paraId="696D917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81" w:type="dxa"/>
            <w:tcBorders>
              <w:top w:val="single" w:color="auto" w:sz="4" w:space="0"/>
              <w:left w:val="single" w:color="auto" w:sz="4" w:space="0"/>
              <w:right w:val="single" w:color="auto" w:sz="4" w:space="0"/>
            </w:tcBorders>
            <w:noWrap w:val="0"/>
            <w:vAlign w:val="center"/>
          </w:tcPr>
          <w:p w14:paraId="1B50815A">
            <w:p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施工设备（6分）</w:t>
            </w:r>
          </w:p>
        </w:tc>
        <w:tc>
          <w:tcPr>
            <w:tcW w:w="7403" w:type="dxa"/>
            <w:tcBorders>
              <w:top w:val="single" w:color="auto" w:sz="4" w:space="0"/>
              <w:left w:val="single" w:color="auto" w:sz="4" w:space="0"/>
              <w:right w:val="single" w:color="auto" w:sz="4" w:space="0"/>
            </w:tcBorders>
            <w:noWrap w:val="0"/>
            <w:vAlign w:val="center"/>
          </w:tcPr>
          <w:p w14:paraId="43AB1B6B">
            <w:pPr>
              <w:spacing w:line="360" w:lineRule="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具有自备运输货车</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载客客车1辆</w:t>
            </w:r>
            <w:r>
              <w:rPr>
                <w:rFonts w:hint="eastAsia" w:ascii="宋体" w:hAnsi="宋体" w:eastAsia="宋体" w:cs="宋体"/>
                <w:color w:val="auto"/>
                <w:sz w:val="21"/>
                <w:szCs w:val="21"/>
                <w:highlight w:val="none"/>
                <w:lang w:val="en-US" w:eastAsia="zh-CN"/>
              </w:rPr>
              <w:t>、挖掘机1</w:t>
            </w:r>
            <w:r>
              <w:rPr>
                <w:rFonts w:hint="default" w:ascii="宋体" w:hAnsi="宋体" w:eastAsia="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、割灌机5台、水泵5台、</w:t>
            </w:r>
            <w:r>
              <w:rPr>
                <w:rFonts w:hint="default" w:ascii="宋体" w:hAnsi="宋体" w:eastAsia="宋体" w:cs="宋体"/>
                <w:color w:val="auto"/>
                <w:sz w:val="21"/>
                <w:szCs w:val="21"/>
                <w:highlight w:val="none"/>
                <w:lang w:val="en-US" w:eastAsia="zh-CN"/>
              </w:rPr>
              <w:t>炮雾车2台</w:t>
            </w:r>
            <w:r>
              <w:rPr>
                <w:rFonts w:hint="eastAsia" w:ascii="宋体" w:hAnsi="宋体" w:eastAsia="宋体" w:cs="宋体"/>
                <w:color w:val="auto"/>
                <w:sz w:val="21"/>
                <w:szCs w:val="21"/>
                <w:highlight w:val="none"/>
                <w:lang w:val="en-US" w:eastAsia="zh-CN"/>
              </w:rPr>
              <w:t>、油锯10</w:t>
            </w:r>
            <w:r>
              <w:rPr>
                <w:rFonts w:hint="default" w:ascii="宋体" w:hAnsi="宋体" w:eastAsia="宋体" w:cs="宋体"/>
                <w:color w:val="auto"/>
                <w:sz w:val="21"/>
                <w:szCs w:val="21"/>
                <w:highlight w:val="none"/>
                <w:lang w:val="en-US" w:eastAsia="zh-CN"/>
              </w:rPr>
              <w:t>台</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以上设备完全满足者得</w:t>
            </w: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每一项数量不能全部满足</w:t>
            </w:r>
            <w:r>
              <w:rPr>
                <w:rFonts w:hint="eastAsia" w:ascii="宋体" w:hAnsi="宋体" w:eastAsia="宋体" w:cs="宋体"/>
                <w:color w:val="auto"/>
                <w:sz w:val="21"/>
                <w:szCs w:val="21"/>
                <w:highlight w:val="none"/>
                <w:lang w:val="en-US" w:eastAsia="zh-CN"/>
              </w:rPr>
              <w:t>该项</w:t>
            </w:r>
            <w:r>
              <w:rPr>
                <w:rFonts w:hint="default" w:ascii="宋体" w:hAnsi="宋体" w:eastAsia="宋体" w:cs="宋体"/>
                <w:color w:val="auto"/>
                <w:sz w:val="21"/>
                <w:szCs w:val="21"/>
                <w:highlight w:val="none"/>
                <w:lang w:val="en-US" w:eastAsia="zh-CN"/>
              </w:rPr>
              <w:t>扣</w:t>
            </w:r>
            <w:r>
              <w:rPr>
                <w:rFonts w:hint="eastAsia" w:ascii="宋体" w:hAnsi="宋体" w:eastAsia="宋体" w:cs="宋体"/>
                <w:color w:val="auto"/>
                <w:sz w:val="21"/>
                <w:szCs w:val="21"/>
                <w:highlight w:val="none"/>
                <w:lang w:val="en-US" w:eastAsia="zh-CN"/>
              </w:rPr>
              <w:t>0.5</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需提供购买发票等证明材料</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复印件加盖公章</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原件备查</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w:t>
            </w:r>
          </w:p>
        </w:tc>
        <w:tc>
          <w:tcPr>
            <w:tcW w:w="806" w:type="dxa"/>
            <w:tcBorders>
              <w:top w:val="single" w:color="auto" w:sz="4" w:space="0"/>
              <w:left w:val="single" w:color="auto" w:sz="4" w:space="0"/>
              <w:right w:val="single" w:color="auto" w:sz="4" w:space="0"/>
            </w:tcBorders>
            <w:noWrap w:val="0"/>
            <w:vAlign w:val="center"/>
          </w:tcPr>
          <w:p w14:paraId="6A6330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CA6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2" w:type="dxa"/>
            <w:vMerge w:val="restart"/>
            <w:tcBorders>
              <w:top w:val="single" w:color="auto" w:sz="4" w:space="0"/>
              <w:left w:val="single" w:color="auto" w:sz="4" w:space="0"/>
              <w:right w:val="single" w:color="auto" w:sz="4" w:space="0"/>
            </w:tcBorders>
            <w:noWrap w:val="0"/>
            <w:vAlign w:val="center"/>
          </w:tcPr>
          <w:p w14:paraId="1FA0F002">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181" w:type="dxa"/>
            <w:vMerge w:val="restart"/>
            <w:tcBorders>
              <w:top w:val="single" w:color="auto" w:sz="4" w:space="0"/>
              <w:left w:val="single" w:color="auto" w:sz="4" w:space="0"/>
              <w:right w:val="single" w:color="auto" w:sz="4" w:space="0"/>
            </w:tcBorders>
            <w:noWrap w:val="0"/>
            <w:vAlign w:val="center"/>
          </w:tcPr>
          <w:p w14:paraId="3B0E74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403" w:type="dxa"/>
            <w:tcBorders>
              <w:top w:val="single" w:color="auto" w:sz="4" w:space="0"/>
              <w:left w:val="single" w:color="auto" w:sz="4" w:space="0"/>
              <w:right w:val="single" w:color="auto" w:sz="4" w:space="0"/>
            </w:tcBorders>
            <w:noWrap w:val="0"/>
            <w:vAlign w:val="center"/>
          </w:tcPr>
          <w:p w14:paraId="4793140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本项目提供的项目总体技术方案、项目组织方案的合理性、完整性、针对性，以及与周边绿化景观的衔接、对接、实施计划安排的科学性等进行酌情评分（主要包含：技术方案科学合理、结合实际，可操作性强，有完善的项目组织方案、实施计划等）：表述清晰、完整、严谨、措施先进、具体得3分；不提供不得分。</w:t>
            </w:r>
          </w:p>
        </w:tc>
        <w:tc>
          <w:tcPr>
            <w:tcW w:w="806" w:type="dxa"/>
            <w:vMerge w:val="restart"/>
            <w:tcBorders>
              <w:top w:val="single" w:color="auto" w:sz="4" w:space="0"/>
              <w:left w:val="single" w:color="auto" w:sz="4" w:space="0"/>
              <w:right w:val="single" w:color="auto" w:sz="4" w:space="0"/>
            </w:tcBorders>
            <w:noWrap w:val="0"/>
            <w:vAlign w:val="center"/>
          </w:tcPr>
          <w:p w14:paraId="15A2D15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48C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blHeader/>
          <w:jc w:val="center"/>
        </w:trPr>
        <w:tc>
          <w:tcPr>
            <w:tcW w:w="772" w:type="dxa"/>
            <w:vMerge w:val="continue"/>
            <w:tcBorders>
              <w:left w:val="single" w:color="auto" w:sz="4" w:space="0"/>
              <w:right w:val="single" w:color="auto" w:sz="4" w:space="0"/>
            </w:tcBorders>
            <w:noWrap w:val="0"/>
            <w:vAlign w:val="center"/>
          </w:tcPr>
          <w:p w14:paraId="0D833100">
            <w:pPr>
              <w:spacing w:line="360" w:lineRule="auto"/>
              <w:jc w:val="center"/>
              <w:rPr>
                <w:rFonts w:hint="eastAsia" w:ascii="宋体" w:hAnsi="宋体" w:eastAsia="宋体" w:cs="宋体"/>
                <w:color w:val="auto"/>
                <w:sz w:val="21"/>
                <w:szCs w:val="21"/>
                <w:highlight w:val="none"/>
              </w:rPr>
            </w:pPr>
          </w:p>
        </w:tc>
        <w:tc>
          <w:tcPr>
            <w:tcW w:w="1181" w:type="dxa"/>
            <w:vMerge w:val="continue"/>
            <w:tcBorders>
              <w:left w:val="single" w:color="auto" w:sz="4" w:space="0"/>
              <w:right w:val="single" w:color="auto" w:sz="4" w:space="0"/>
            </w:tcBorders>
            <w:noWrap w:val="0"/>
            <w:vAlign w:val="center"/>
          </w:tcPr>
          <w:p w14:paraId="23FAE22C">
            <w:pPr>
              <w:spacing w:line="360" w:lineRule="auto"/>
              <w:jc w:val="center"/>
              <w:rPr>
                <w:rFonts w:hint="eastAsia" w:ascii="宋体" w:hAnsi="宋体" w:eastAsia="宋体" w:cs="宋体"/>
                <w:color w:val="auto"/>
                <w:sz w:val="21"/>
                <w:szCs w:val="21"/>
                <w:highlight w:val="none"/>
              </w:rPr>
            </w:pPr>
          </w:p>
        </w:tc>
        <w:tc>
          <w:tcPr>
            <w:tcW w:w="7403" w:type="dxa"/>
            <w:tcBorders>
              <w:top w:val="single" w:color="auto" w:sz="4" w:space="0"/>
              <w:left w:val="single" w:color="auto" w:sz="4" w:space="0"/>
              <w:right w:val="single" w:color="auto" w:sz="4" w:space="0"/>
            </w:tcBorders>
            <w:noWrap w:val="0"/>
            <w:vAlign w:val="center"/>
          </w:tcPr>
          <w:p w14:paraId="6740D3E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绿化施工方案（包含质量控制、进度控制、合同控制等）的全面性、科学性、针对性、可行性、合理性等进行酌情评分：表述清晰、完整、严谨、措施先进、具体得3分；不提供不得分。</w:t>
            </w:r>
          </w:p>
        </w:tc>
        <w:tc>
          <w:tcPr>
            <w:tcW w:w="806" w:type="dxa"/>
            <w:vMerge w:val="continue"/>
            <w:tcBorders>
              <w:left w:val="single" w:color="auto" w:sz="4" w:space="0"/>
              <w:right w:val="single" w:color="auto" w:sz="4" w:space="0"/>
            </w:tcBorders>
            <w:noWrap w:val="0"/>
            <w:vAlign w:val="center"/>
          </w:tcPr>
          <w:p w14:paraId="33C083AA">
            <w:pPr>
              <w:spacing w:line="360" w:lineRule="auto"/>
              <w:jc w:val="center"/>
              <w:rPr>
                <w:rFonts w:hint="eastAsia" w:ascii="宋体" w:hAnsi="宋体" w:eastAsia="宋体" w:cs="宋体"/>
                <w:color w:val="auto"/>
                <w:sz w:val="21"/>
                <w:szCs w:val="21"/>
                <w:highlight w:val="none"/>
              </w:rPr>
            </w:pPr>
          </w:p>
        </w:tc>
      </w:tr>
      <w:tr w14:paraId="427D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blHeader/>
          <w:jc w:val="center"/>
        </w:trPr>
        <w:tc>
          <w:tcPr>
            <w:tcW w:w="772" w:type="dxa"/>
            <w:vMerge w:val="continue"/>
            <w:tcBorders>
              <w:left w:val="single" w:color="auto" w:sz="4" w:space="0"/>
              <w:right w:val="single" w:color="auto" w:sz="4" w:space="0"/>
            </w:tcBorders>
            <w:noWrap w:val="0"/>
            <w:vAlign w:val="center"/>
          </w:tcPr>
          <w:p w14:paraId="0D9FDA36">
            <w:pPr>
              <w:spacing w:line="360" w:lineRule="auto"/>
              <w:jc w:val="center"/>
              <w:rPr>
                <w:rFonts w:hint="eastAsia" w:ascii="宋体" w:hAnsi="宋体" w:eastAsia="宋体" w:cs="宋体"/>
                <w:color w:val="auto"/>
                <w:sz w:val="21"/>
                <w:szCs w:val="21"/>
                <w:highlight w:val="none"/>
              </w:rPr>
            </w:pPr>
          </w:p>
        </w:tc>
        <w:tc>
          <w:tcPr>
            <w:tcW w:w="1181" w:type="dxa"/>
            <w:vMerge w:val="continue"/>
            <w:tcBorders>
              <w:left w:val="single" w:color="auto" w:sz="4" w:space="0"/>
              <w:right w:val="single" w:color="auto" w:sz="4" w:space="0"/>
            </w:tcBorders>
            <w:noWrap w:val="0"/>
            <w:vAlign w:val="center"/>
          </w:tcPr>
          <w:p w14:paraId="267F6FF5">
            <w:pPr>
              <w:spacing w:line="360" w:lineRule="auto"/>
              <w:jc w:val="center"/>
              <w:rPr>
                <w:rFonts w:hint="eastAsia" w:ascii="宋体" w:hAnsi="宋体" w:eastAsia="宋体" w:cs="宋体"/>
                <w:color w:val="auto"/>
                <w:sz w:val="21"/>
                <w:szCs w:val="21"/>
                <w:highlight w:val="none"/>
              </w:rPr>
            </w:pPr>
          </w:p>
        </w:tc>
        <w:tc>
          <w:tcPr>
            <w:tcW w:w="7403" w:type="dxa"/>
            <w:tcBorders>
              <w:top w:val="single" w:color="auto" w:sz="4" w:space="0"/>
              <w:left w:val="single" w:color="auto" w:sz="4" w:space="0"/>
              <w:right w:val="single" w:color="auto" w:sz="4" w:space="0"/>
            </w:tcBorders>
            <w:noWrap w:val="0"/>
            <w:vAlign w:val="center"/>
          </w:tcPr>
          <w:p w14:paraId="34DA5E19">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在道路周边安全疏导方案、安全保障措施、安全组织方案的科学性、全面性、针对性、具体性及可行性等酌情评分：表述清晰、完整、严谨、措施先进、具体得3分；不提供不得分。；</w:t>
            </w:r>
          </w:p>
        </w:tc>
        <w:tc>
          <w:tcPr>
            <w:tcW w:w="806" w:type="dxa"/>
            <w:vMerge w:val="continue"/>
            <w:tcBorders>
              <w:left w:val="single" w:color="auto" w:sz="4" w:space="0"/>
              <w:right w:val="single" w:color="auto" w:sz="4" w:space="0"/>
            </w:tcBorders>
            <w:noWrap w:val="0"/>
            <w:vAlign w:val="center"/>
          </w:tcPr>
          <w:p w14:paraId="7D7987CC">
            <w:pPr>
              <w:spacing w:line="360" w:lineRule="auto"/>
              <w:jc w:val="center"/>
              <w:rPr>
                <w:rFonts w:hint="eastAsia" w:ascii="宋体" w:hAnsi="宋体" w:eastAsia="宋体" w:cs="宋体"/>
                <w:color w:val="auto"/>
                <w:sz w:val="21"/>
                <w:szCs w:val="21"/>
                <w:highlight w:val="none"/>
              </w:rPr>
            </w:pPr>
          </w:p>
        </w:tc>
      </w:tr>
      <w:tr w14:paraId="630D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blHeader/>
          <w:jc w:val="center"/>
        </w:trPr>
        <w:tc>
          <w:tcPr>
            <w:tcW w:w="772" w:type="dxa"/>
            <w:vMerge w:val="continue"/>
            <w:tcBorders>
              <w:left w:val="single" w:color="auto" w:sz="4" w:space="0"/>
              <w:right w:val="single" w:color="auto" w:sz="4" w:space="0"/>
            </w:tcBorders>
            <w:noWrap w:val="0"/>
            <w:vAlign w:val="center"/>
          </w:tcPr>
          <w:p w14:paraId="2F9A2D31">
            <w:pPr>
              <w:spacing w:line="360" w:lineRule="auto"/>
              <w:jc w:val="center"/>
              <w:rPr>
                <w:rFonts w:hint="eastAsia" w:ascii="宋体" w:hAnsi="宋体" w:eastAsia="宋体" w:cs="宋体"/>
                <w:color w:val="auto"/>
                <w:sz w:val="21"/>
                <w:szCs w:val="21"/>
                <w:highlight w:val="none"/>
              </w:rPr>
            </w:pPr>
          </w:p>
        </w:tc>
        <w:tc>
          <w:tcPr>
            <w:tcW w:w="1181" w:type="dxa"/>
            <w:vMerge w:val="continue"/>
            <w:tcBorders>
              <w:left w:val="single" w:color="auto" w:sz="4" w:space="0"/>
              <w:right w:val="single" w:color="auto" w:sz="4" w:space="0"/>
            </w:tcBorders>
            <w:noWrap w:val="0"/>
            <w:vAlign w:val="center"/>
          </w:tcPr>
          <w:p w14:paraId="4FC985F6">
            <w:pPr>
              <w:spacing w:line="360" w:lineRule="auto"/>
              <w:jc w:val="center"/>
              <w:rPr>
                <w:rFonts w:hint="eastAsia" w:ascii="宋体" w:hAnsi="宋体" w:eastAsia="宋体" w:cs="宋体"/>
                <w:color w:val="auto"/>
                <w:sz w:val="21"/>
                <w:szCs w:val="21"/>
                <w:highlight w:val="none"/>
              </w:rPr>
            </w:pPr>
          </w:p>
        </w:tc>
        <w:tc>
          <w:tcPr>
            <w:tcW w:w="7403" w:type="dxa"/>
            <w:tcBorders>
              <w:top w:val="single" w:color="auto" w:sz="4" w:space="0"/>
              <w:left w:val="single" w:color="auto" w:sz="4" w:space="0"/>
              <w:right w:val="single" w:color="auto" w:sz="4" w:space="0"/>
            </w:tcBorders>
            <w:noWrap w:val="0"/>
            <w:vAlign w:val="center"/>
          </w:tcPr>
          <w:p w14:paraId="1DEB9C38">
            <w:pPr>
              <w:spacing w:line="360" w:lineRule="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根据投标人提供的养护服务管理制度进行评分。</w:t>
            </w:r>
            <w:r>
              <w:rPr>
                <w:rFonts w:hint="eastAsia" w:ascii="宋体" w:hAnsi="宋体" w:eastAsia="宋体" w:cs="宋体"/>
                <w:color w:val="auto"/>
                <w:sz w:val="21"/>
                <w:szCs w:val="21"/>
                <w:highlight w:val="none"/>
                <w:lang w:val="en-US" w:eastAsia="zh-CN"/>
              </w:rPr>
              <w:t>表述清晰、完整、严谨、措施先进、具体得3分；不提供不得分。</w:t>
            </w:r>
          </w:p>
        </w:tc>
        <w:tc>
          <w:tcPr>
            <w:tcW w:w="806" w:type="dxa"/>
            <w:vMerge w:val="continue"/>
            <w:tcBorders>
              <w:left w:val="single" w:color="auto" w:sz="4" w:space="0"/>
              <w:right w:val="single" w:color="auto" w:sz="4" w:space="0"/>
            </w:tcBorders>
            <w:noWrap w:val="0"/>
            <w:vAlign w:val="center"/>
          </w:tcPr>
          <w:p w14:paraId="714C819B">
            <w:pPr>
              <w:spacing w:line="360" w:lineRule="auto"/>
              <w:jc w:val="center"/>
              <w:rPr>
                <w:rFonts w:hint="eastAsia" w:ascii="宋体" w:hAnsi="宋体" w:eastAsia="宋体" w:cs="宋体"/>
                <w:color w:val="auto"/>
                <w:sz w:val="21"/>
                <w:szCs w:val="21"/>
                <w:highlight w:val="none"/>
              </w:rPr>
            </w:pPr>
          </w:p>
        </w:tc>
      </w:tr>
      <w:tr w14:paraId="31C1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blHeader/>
          <w:jc w:val="center"/>
        </w:trPr>
        <w:tc>
          <w:tcPr>
            <w:tcW w:w="772" w:type="dxa"/>
            <w:vMerge w:val="continue"/>
            <w:tcBorders>
              <w:left w:val="single" w:color="auto" w:sz="4" w:space="0"/>
              <w:right w:val="single" w:color="auto" w:sz="4" w:space="0"/>
            </w:tcBorders>
            <w:noWrap w:val="0"/>
            <w:vAlign w:val="center"/>
          </w:tcPr>
          <w:p w14:paraId="66379A71">
            <w:pPr>
              <w:spacing w:line="360" w:lineRule="auto"/>
              <w:jc w:val="center"/>
              <w:rPr>
                <w:rFonts w:hint="eastAsia" w:ascii="宋体" w:hAnsi="宋体" w:eastAsia="宋体" w:cs="宋体"/>
                <w:color w:val="auto"/>
                <w:sz w:val="21"/>
                <w:szCs w:val="21"/>
                <w:highlight w:val="none"/>
              </w:rPr>
            </w:pPr>
          </w:p>
        </w:tc>
        <w:tc>
          <w:tcPr>
            <w:tcW w:w="1181" w:type="dxa"/>
            <w:vMerge w:val="continue"/>
            <w:tcBorders>
              <w:left w:val="single" w:color="auto" w:sz="4" w:space="0"/>
              <w:right w:val="single" w:color="auto" w:sz="4" w:space="0"/>
            </w:tcBorders>
            <w:noWrap w:val="0"/>
            <w:vAlign w:val="center"/>
          </w:tcPr>
          <w:p w14:paraId="19A027EA">
            <w:pPr>
              <w:spacing w:line="360" w:lineRule="auto"/>
              <w:jc w:val="center"/>
              <w:rPr>
                <w:rFonts w:hint="eastAsia" w:ascii="宋体" w:hAnsi="宋体" w:eastAsia="宋体" w:cs="宋体"/>
                <w:color w:val="auto"/>
                <w:sz w:val="21"/>
                <w:szCs w:val="21"/>
                <w:highlight w:val="none"/>
              </w:rPr>
            </w:pPr>
          </w:p>
        </w:tc>
        <w:tc>
          <w:tcPr>
            <w:tcW w:w="7403" w:type="dxa"/>
            <w:tcBorders>
              <w:top w:val="single" w:color="auto" w:sz="4" w:space="0"/>
              <w:left w:val="single" w:color="auto" w:sz="4" w:space="0"/>
              <w:right w:val="single" w:color="auto" w:sz="4" w:space="0"/>
            </w:tcBorders>
            <w:noWrap w:val="0"/>
            <w:vAlign w:val="center"/>
          </w:tcPr>
          <w:p w14:paraId="230E498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比各供应商投标投标文件提供的应急预案（抢险抗灾方案、突发性应急方案等，包含防汛、防台、扫雪、防冻等专项方案）等酌情评分，应急预案（包括但不限于：1.确定承诺响应时间；2.保证足额的人员、车辆、机械、设备、物资等；3.制定突发事件的处理预案等）：表述清晰、完整、严谨、措施先进、具体得3分；不提供不得分。</w:t>
            </w:r>
          </w:p>
        </w:tc>
        <w:tc>
          <w:tcPr>
            <w:tcW w:w="806" w:type="dxa"/>
            <w:vMerge w:val="continue"/>
            <w:tcBorders>
              <w:left w:val="single" w:color="auto" w:sz="4" w:space="0"/>
              <w:right w:val="single" w:color="auto" w:sz="4" w:space="0"/>
            </w:tcBorders>
            <w:noWrap w:val="0"/>
            <w:vAlign w:val="center"/>
          </w:tcPr>
          <w:p w14:paraId="7DCF409C">
            <w:pPr>
              <w:spacing w:line="360" w:lineRule="auto"/>
              <w:jc w:val="center"/>
              <w:rPr>
                <w:rFonts w:hint="eastAsia" w:ascii="宋体" w:hAnsi="宋体" w:eastAsia="宋体" w:cs="宋体"/>
                <w:color w:val="auto"/>
                <w:sz w:val="21"/>
                <w:szCs w:val="21"/>
                <w:highlight w:val="none"/>
              </w:rPr>
            </w:pPr>
          </w:p>
        </w:tc>
      </w:tr>
      <w:tr w14:paraId="1BB6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9356" w:type="dxa"/>
            <w:gridSpan w:val="3"/>
            <w:tcBorders>
              <w:top w:val="single" w:color="auto" w:sz="4" w:space="0"/>
              <w:left w:val="single" w:color="auto" w:sz="4" w:space="0"/>
              <w:bottom w:val="single" w:color="auto" w:sz="4" w:space="0"/>
              <w:right w:val="single" w:color="auto" w:sz="4" w:space="0"/>
            </w:tcBorders>
            <w:noWrap w:val="0"/>
            <w:vAlign w:val="center"/>
          </w:tcPr>
          <w:p w14:paraId="5F2B23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1A2F2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r>
      <w:bookmarkEnd w:id="281"/>
      <w:bookmarkEnd w:id="282"/>
      <w:bookmarkEnd w:id="283"/>
      <w:bookmarkEnd w:id="284"/>
      <w:bookmarkEnd w:id="285"/>
    </w:tbl>
    <w:p w14:paraId="3DDDF3E8">
      <w:pPr>
        <w:rPr>
          <w:rFonts w:hint="eastAsia" w:ascii="宋体" w:hAnsi="宋体" w:cs="宋体"/>
          <w:b/>
          <w:color w:val="auto"/>
          <w:sz w:val="24"/>
          <w:highlight w:val="none"/>
        </w:rPr>
      </w:pPr>
    </w:p>
    <w:p w14:paraId="6906D323">
      <w:pPr>
        <w:rPr>
          <w:rFonts w:hint="eastAsia" w:ascii="宋体" w:hAnsi="宋体" w:cs="宋体"/>
          <w:b/>
          <w:color w:val="auto"/>
          <w:sz w:val="24"/>
          <w:highlight w:val="none"/>
        </w:rPr>
      </w:pPr>
      <w:r>
        <w:rPr>
          <w:rFonts w:hint="eastAsia" w:ascii="宋体" w:hAnsi="宋体" w:cs="宋体"/>
          <w:b/>
          <w:color w:val="auto"/>
          <w:sz w:val="24"/>
          <w:highlight w:val="none"/>
        </w:rPr>
        <w:t>说明：</w:t>
      </w:r>
    </w:p>
    <w:p w14:paraId="4B5596D4">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1、对国家认定的节能产品和环保产品分别给予投标价的5%、5%价格扣除，用扣除后的价格参与评审（特别说明：节能、环保产品必须纳入“中国政府采购网http://www.ccgp.gov.cn”等官方网站“节能、环保产品查询系统”，且以提供的证书复印件为准）。</w:t>
      </w:r>
    </w:p>
    <w:p w14:paraId="583F0B0D">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2、对小型或微型企业产品价格给予5%的扣除，用扣除后的价格参与评审。</w:t>
      </w:r>
    </w:p>
    <w:p w14:paraId="2527B967">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3、大中型企业和自然人、法人或者其他组织与小型、微型企业组成联合体共同参与投标，如果联合体协议中约定，小型、微型企业的协议合同金额占到联合体协议合同总金额的30%以上的，给予联合体2%的的价格扣除。联合体各方均为小型、微型企业的，连合同视同为小型、微型企业享受5%的价格扣除，用扣除后的价格参与评审。小企业（含小型、微型企业）应当符合以下条件：</w:t>
      </w:r>
    </w:p>
    <w:p w14:paraId="41EAF064">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（1）供应商为小企业，且符合中小企业划分标准；</w:t>
      </w:r>
    </w:p>
    <w:p w14:paraId="42766A40">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（2）提供本企业制造的货物、承担的工程或者服务，或者提供其他小企业制造的货物。如果提供的货物为大中型企业注册商标的货物，视同大中型企业。</w:t>
      </w:r>
    </w:p>
    <w:p w14:paraId="330FE8FC">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4、监狱和戒毒企业的价格扣除：</w:t>
      </w:r>
    </w:p>
    <w:p w14:paraId="2EA183F3">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（1）本项目对监狱和戒毒企业（简称监狱企业），给予5%的价格扣除，用扣除后的价格参与评审。</w:t>
      </w:r>
    </w:p>
    <w:p w14:paraId="2F3AFA57">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（2）监狱企业需提供由省级以上监狱管理局、戒毒管理局（含新疆生产建设兵团）出具的属于监狱企业的证明文件。</w:t>
      </w:r>
    </w:p>
    <w:p w14:paraId="47AE82E5">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（3）监狱企业标准请参照《关于政府采购支持监狱企业发展有关问题的通知》（财库[2014]68号）</w:t>
      </w:r>
    </w:p>
    <w:p w14:paraId="6FC77746">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5、残疾人福利性单位的价格扣除</w:t>
      </w:r>
    </w:p>
    <w:p w14:paraId="2D71C798">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（1）本项目对残疾人福利单位，给予5%的价格扣除，用扣除后的价格参与评审。</w:t>
      </w:r>
    </w:p>
    <w:p w14:paraId="5FDB3B5E">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（2）残疾人福利单位需按照采购文件要求提供《残疾人福利单位申明函》</w:t>
      </w:r>
    </w:p>
    <w:p w14:paraId="06D0E3DA">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（3）残疾人福利单位标准请参照《关于促进残疾人就业政府采购政策的通知》（财库[2017]141号）</w:t>
      </w:r>
    </w:p>
    <w:p w14:paraId="4F4AAD73">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6、监狱企业、残疾人福利单位属于小型、微型的，不重复享受政策。</w:t>
      </w:r>
    </w:p>
    <w:p w14:paraId="5CB9ABED">
      <w:pPr>
        <w:pStyle w:val="14"/>
        <w:spacing w:line="360" w:lineRule="auto"/>
        <w:ind w:left="0" w:firstLine="422" w:firstLineChars="176"/>
        <w:rPr>
          <w:rFonts w:hint="eastAsia" w:ascii="宋体" w:hAnsi="宋体" w:cs="宋体"/>
          <w:color w:val="auto"/>
          <w:sz w:val="24"/>
          <w:highlight w:val="none"/>
        </w:rPr>
      </w:pPr>
      <w:r>
        <w:rPr>
          <w:rFonts w:hint="eastAsia" w:ascii="宋体" w:hAnsi="宋体" w:cs="宋体"/>
          <w:color w:val="auto"/>
          <w:sz w:val="24"/>
          <w:highlight w:val="none"/>
        </w:rPr>
        <w:t>7、其他工程建设类注册执业资格包括：注册造价工程师、国家注册监理工程师、注册建筑师、注册结构工程师及其他勘察设计注册工程师等工程建设类注册执业资格。</w:t>
      </w:r>
    </w:p>
    <w:p w14:paraId="357810E2">
      <w:pPr>
        <w:jc w:val="center"/>
        <w:rPr>
          <w:rFonts w:hint="eastAsia" w:ascii="宋体" w:hAnsi="宋体" w:cs="宋体"/>
          <w:b/>
          <w:color w:val="auto"/>
          <w:sz w:val="30"/>
          <w:szCs w:val="30"/>
          <w:highlight w:val="none"/>
        </w:rPr>
      </w:pPr>
      <w:bookmarkStart w:id="286" w:name="_Toc5832"/>
      <w:bookmarkStart w:id="287" w:name="_Toc26164"/>
      <w:bookmarkStart w:id="288" w:name="_Toc32024"/>
      <w:bookmarkStart w:id="289" w:name="_Toc13172"/>
      <w:bookmarkStart w:id="290" w:name="_Toc30268"/>
      <w:bookmarkStart w:id="291" w:name="_Toc16157"/>
      <w:bookmarkStart w:id="292" w:name="_Toc32113"/>
      <w:bookmarkStart w:id="293" w:name="_Toc12107"/>
      <w:bookmarkStart w:id="294" w:name="_Toc2495"/>
      <w:bookmarkStart w:id="295" w:name="_Toc8849"/>
      <w:bookmarkStart w:id="296" w:name="_Toc17293"/>
      <w:bookmarkStart w:id="297" w:name="_Toc11253"/>
      <w:bookmarkStart w:id="298" w:name="_Toc21762"/>
      <w:bookmarkStart w:id="299" w:name="_Toc504141752"/>
      <w:r>
        <w:rPr>
          <w:rFonts w:hint="eastAsia" w:ascii="宋体" w:hAnsi="宋体" w:cs="宋体"/>
          <w:b/>
          <w:color w:val="auto"/>
          <w:sz w:val="24"/>
          <w:highlight w:val="none"/>
        </w:rPr>
        <w:br w:type="page"/>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Start w:id="300" w:name="_Toc24823"/>
    </w:p>
    <w:p w14:paraId="4E684CD6">
      <w:pPr>
        <w:spacing w:before="120" w:beforeLines="50" w:after="120" w:afterLines="50" w:line="460" w:lineRule="exact"/>
        <w:jc w:val="center"/>
        <w:outlineLvl w:val="0"/>
        <w:rPr>
          <w:rFonts w:hint="eastAsia" w:ascii="宋体" w:hAnsi="宋体" w:cs="宋体"/>
          <w:color w:val="auto"/>
          <w:sz w:val="32"/>
          <w:szCs w:val="32"/>
          <w:highlight w:val="none"/>
        </w:rPr>
      </w:pPr>
      <w:bookmarkStart w:id="301" w:name="_Toc19101"/>
      <w:bookmarkStart w:id="302" w:name="_Toc9502"/>
      <w:bookmarkStart w:id="303" w:name="_Toc28480"/>
      <w:r>
        <w:rPr>
          <w:rFonts w:hint="eastAsia" w:ascii="宋体" w:hAnsi="宋体" w:cs="宋体"/>
          <w:color w:val="auto"/>
          <w:sz w:val="32"/>
          <w:szCs w:val="32"/>
          <w:highlight w:val="none"/>
        </w:rPr>
        <w:t>第五章</w:t>
      </w:r>
      <w:bookmarkEnd w:id="300"/>
      <w:r>
        <w:rPr>
          <w:rFonts w:hint="eastAsia" w:ascii="宋体" w:hAnsi="宋体" w:cs="宋体"/>
          <w:color w:val="auto"/>
          <w:sz w:val="32"/>
          <w:szCs w:val="32"/>
          <w:highlight w:val="none"/>
        </w:rPr>
        <w:t xml:space="preserve"> 合同格式</w:t>
      </w:r>
      <w:bookmarkEnd w:id="301"/>
      <w:bookmarkEnd w:id="302"/>
      <w:bookmarkEnd w:id="303"/>
    </w:p>
    <w:p w14:paraId="7A19C8F8">
      <w:pPr>
        <w:jc w:val="left"/>
        <w:rPr>
          <w:rFonts w:hint="eastAsia" w:ascii="宋体" w:hAnsi="宋体" w:cs="宋体"/>
          <w:color w:val="auto"/>
          <w:szCs w:val="21"/>
          <w:highlight w:val="none"/>
        </w:rPr>
      </w:pPr>
    </w:p>
    <w:p w14:paraId="427CFBF6">
      <w:pPr>
        <w:kinsoku w:val="0"/>
        <w:autoSpaceDE w:val="0"/>
        <w:autoSpaceDN w:val="0"/>
        <w:adjustRightInd w:val="0"/>
        <w:snapToGrid w:val="0"/>
        <w:spacing w:line="560" w:lineRule="exact"/>
        <w:rPr>
          <w:bCs/>
          <w:color w:val="auto"/>
          <w:sz w:val="28"/>
          <w:szCs w:val="28"/>
          <w:highlight w:val="none"/>
        </w:rPr>
      </w:pPr>
      <w:bookmarkStart w:id="304" w:name="_Toc20712_WPSOffice_Level1"/>
      <w:bookmarkStart w:id="305" w:name="_Toc504141753"/>
      <w:bookmarkStart w:id="306" w:name="_Toc31670"/>
      <w:bookmarkStart w:id="307" w:name="_Toc23352"/>
      <w:bookmarkStart w:id="308" w:name="_Toc3107"/>
      <w:bookmarkStart w:id="309" w:name="_Toc14875"/>
      <w:bookmarkStart w:id="310" w:name="_Toc24037"/>
      <w:bookmarkStart w:id="311" w:name="_Toc11999"/>
      <w:bookmarkStart w:id="312" w:name="_Toc31393"/>
      <w:r>
        <w:rPr>
          <w:rFonts w:hint="eastAsia" w:ascii="宋体" w:hAnsi="宋体" w:cs="宋体"/>
          <w:color w:val="auto"/>
          <w:szCs w:val="21"/>
          <w:highlight w:val="none"/>
        </w:rPr>
        <w:t xml:space="preserve"> </w:t>
      </w:r>
    </w:p>
    <w:p w14:paraId="42BDBCF5">
      <w:pPr>
        <w:jc w:val="center"/>
        <w:rPr>
          <w:color w:val="auto"/>
          <w:highlight w:val="none"/>
        </w:rPr>
      </w:pPr>
    </w:p>
    <w:p w14:paraId="52D8AD61">
      <w:pPr>
        <w:widowControl w:val="0"/>
        <w:autoSpaceDE w:val="0"/>
        <w:autoSpaceDN w:val="0"/>
        <w:adjustRightInd w:val="0"/>
        <w:spacing w:before="100" w:after="100" w:line="280" w:lineRule="exact"/>
        <w:ind w:left="0" w:right="0"/>
        <w:jc w:val="left"/>
        <w:rPr>
          <w:rFonts w:ascii="宋体" w:hAnsi="Times New Roman" w:eastAsia="宋体" w:cs="Times New Roman"/>
          <w:color w:val="auto"/>
          <w:kern w:val="0"/>
          <w:sz w:val="44"/>
          <w:szCs w:val="44"/>
          <w:highlight w:val="none"/>
          <w:lang w:val="en-US" w:eastAsia="zh-CN" w:bidi="ar-SA"/>
        </w:rPr>
      </w:pPr>
      <w:bookmarkStart w:id="313" w:name="gxebdItem_contractCondition"/>
    </w:p>
    <w:p w14:paraId="3F75C474">
      <w:pPr>
        <w:widowControl w:val="0"/>
        <w:spacing w:line="360" w:lineRule="auto"/>
        <w:jc w:val="left"/>
        <w:rPr>
          <w:rFonts w:ascii="宋体" w:hAnsi="宋体" w:eastAsia="宋体" w:cs="宋体"/>
          <w:bCs/>
          <w:color w:val="auto"/>
          <w:kern w:val="2"/>
          <w:sz w:val="44"/>
          <w:szCs w:val="44"/>
          <w:highlight w:val="none"/>
          <w:lang w:val="en-US" w:eastAsia="zh-CN" w:bidi="ar-SA"/>
        </w:rPr>
      </w:pPr>
      <w:r>
        <w:rPr>
          <w:rFonts w:hint="eastAsia" w:ascii="宋体" w:hAnsi="宋体" w:eastAsia="宋体" w:cs="宋体"/>
          <w:bCs/>
          <w:color w:val="auto"/>
          <w:kern w:val="2"/>
          <w:sz w:val="44"/>
          <w:szCs w:val="44"/>
          <w:highlight w:val="none"/>
          <w:lang w:val="en-US" w:eastAsia="zh-CN" w:bidi="ar-SA"/>
        </w:rPr>
        <w:t>（GF—2020—2605）</w:t>
      </w:r>
    </w:p>
    <w:p w14:paraId="2A93FFF6">
      <w:pPr>
        <w:widowControl w:val="0"/>
        <w:spacing w:line="360" w:lineRule="auto"/>
        <w:ind w:firstLine="482"/>
        <w:jc w:val="center"/>
        <w:rPr>
          <w:rFonts w:ascii="宋体" w:hAnsi="宋体" w:eastAsia="宋体" w:cs="宋体"/>
          <w:b/>
          <w:color w:val="auto"/>
          <w:kern w:val="2"/>
          <w:sz w:val="22"/>
          <w:szCs w:val="22"/>
          <w:highlight w:val="none"/>
          <w:lang w:val="en-US" w:eastAsia="zh-CN" w:bidi="ar-SA"/>
        </w:rPr>
      </w:pPr>
    </w:p>
    <w:p w14:paraId="20654709">
      <w:pPr>
        <w:widowControl w:val="0"/>
        <w:spacing w:line="360" w:lineRule="auto"/>
        <w:jc w:val="left"/>
        <w:rPr>
          <w:rFonts w:ascii="宋体" w:hAnsi="宋体" w:eastAsia="宋体" w:cs="宋体"/>
          <w:bCs/>
          <w:color w:val="auto"/>
          <w:kern w:val="2"/>
          <w:sz w:val="22"/>
          <w:szCs w:val="22"/>
          <w:highlight w:val="none"/>
          <w:lang w:val="en-US" w:eastAsia="zh-CN" w:bidi="ar-SA"/>
        </w:rPr>
      </w:pPr>
    </w:p>
    <w:p w14:paraId="36DF9E6C">
      <w:pPr>
        <w:widowControl w:val="0"/>
        <w:spacing w:line="360" w:lineRule="auto"/>
        <w:jc w:val="center"/>
        <w:rPr>
          <w:rFonts w:ascii="宋体" w:hAnsi="宋体" w:eastAsia="宋体" w:cs="宋体"/>
          <w:b/>
          <w:color w:val="auto"/>
          <w:kern w:val="2"/>
          <w:sz w:val="22"/>
          <w:szCs w:val="22"/>
          <w:highlight w:val="none"/>
          <w:lang w:val="en-US" w:eastAsia="zh-CN" w:bidi="ar-SA"/>
        </w:rPr>
      </w:pPr>
    </w:p>
    <w:p w14:paraId="715EC54E">
      <w:pPr>
        <w:widowControl w:val="0"/>
        <w:spacing w:line="360" w:lineRule="auto"/>
        <w:jc w:val="center"/>
        <w:rPr>
          <w:rFonts w:ascii="宋体" w:hAnsi="宋体" w:eastAsia="宋体" w:cs="宋体"/>
          <w:b/>
          <w:color w:val="auto"/>
          <w:kern w:val="2"/>
          <w:sz w:val="22"/>
          <w:szCs w:val="22"/>
          <w:highlight w:val="none"/>
          <w:lang w:val="en-US" w:eastAsia="zh-CN" w:bidi="ar-SA"/>
        </w:rPr>
      </w:pPr>
    </w:p>
    <w:p w14:paraId="6978E3EF">
      <w:pPr>
        <w:widowControl w:val="0"/>
        <w:spacing w:line="360" w:lineRule="auto"/>
        <w:jc w:val="center"/>
        <w:rPr>
          <w:rFonts w:ascii="宋体" w:hAnsi="宋体" w:eastAsia="宋体" w:cs="宋体"/>
          <w:b/>
          <w:color w:val="auto"/>
          <w:kern w:val="2"/>
          <w:sz w:val="22"/>
          <w:szCs w:val="22"/>
          <w:highlight w:val="none"/>
          <w:lang w:val="en-US" w:eastAsia="zh-CN" w:bidi="ar-SA"/>
        </w:rPr>
      </w:pPr>
    </w:p>
    <w:p w14:paraId="11AD35BE">
      <w:pPr>
        <w:widowControl w:val="0"/>
        <w:spacing w:line="360" w:lineRule="auto"/>
        <w:jc w:val="center"/>
        <w:rPr>
          <w:rFonts w:ascii="宋体" w:hAnsi="宋体" w:eastAsia="宋体" w:cs="宋体"/>
          <w:b/>
          <w:color w:val="auto"/>
          <w:kern w:val="2"/>
          <w:sz w:val="22"/>
          <w:szCs w:val="22"/>
          <w:highlight w:val="none"/>
          <w:lang w:val="en-US" w:eastAsia="zh-CN" w:bidi="ar-SA"/>
        </w:rPr>
      </w:pPr>
    </w:p>
    <w:p w14:paraId="55B5B278">
      <w:pPr>
        <w:widowControl w:val="0"/>
        <w:spacing w:line="360" w:lineRule="auto"/>
        <w:jc w:val="center"/>
        <w:rPr>
          <w:rFonts w:ascii="宋体" w:hAnsi="宋体" w:eastAsia="宋体" w:cs="宋体"/>
          <w:b/>
          <w:color w:val="auto"/>
          <w:kern w:val="2"/>
          <w:sz w:val="56"/>
          <w:szCs w:val="56"/>
          <w:highlight w:val="none"/>
          <w:lang w:val="en-US" w:eastAsia="zh-CN" w:bidi="ar-SA"/>
        </w:rPr>
      </w:pPr>
      <w:r>
        <w:rPr>
          <w:rFonts w:hint="eastAsia" w:ascii="宋体" w:hAnsi="宋体" w:eastAsia="宋体" w:cs="宋体"/>
          <w:b/>
          <w:color w:val="auto"/>
          <w:kern w:val="2"/>
          <w:sz w:val="56"/>
          <w:szCs w:val="56"/>
          <w:highlight w:val="none"/>
          <w:lang w:val="en-US" w:eastAsia="zh-CN" w:bidi="ar-SA"/>
        </w:rPr>
        <w:t>园林绿化工程施工合同</w:t>
      </w:r>
    </w:p>
    <w:p w14:paraId="76CA1B69">
      <w:pPr>
        <w:widowControl w:val="0"/>
        <w:spacing w:line="360" w:lineRule="auto"/>
        <w:jc w:val="center"/>
        <w:rPr>
          <w:rFonts w:ascii="宋体" w:hAnsi="宋体" w:eastAsia="宋体" w:cs="宋体"/>
          <w:b/>
          <w:color w:val="auto"/>
          <w:kern w:val="2"/>
          <w:sz w:val="56"/>
          <w:szCs w:val="56"/>
          <w:highlight w:val="none"/>
          <w:lang w:val="en-US" w:eastAsia="zh-CN" w:bidi="ar-SA"/>
        </w:rPr>
      </w:pPr>
      <w:r>
        <w:rPr>
          <w:rFonts w:hint="eastAsia" w:ascii="宋体" w:hAnsi="宋体" w:eastAsia="宋体" w:cs="宋体"/>
          <w:b/>
          <w:color w:val="auto"/>
          <w:kern w:val="2"/>
          <w:sz w:val="56"/>
          <w:szCs w:val="56"/>
          <w:highlight w:val="none"/>
          <w:lang w:val="en-US" w:eastAsia="zh-CN" w:bidi="ar-SA"/>
        </w:rPr>
        <w:t>示范文本（试行）</w:t>
      </w:r>
    </w:p>
    <w:p w14:paraId="410E1160">
      <w:pPr>
        <w:widowControl w:val="0"/>
        <w:spacing w:line="360" w:lineRule="auto"/>
        <w:jc w:val="center"/>
        <w:rPr>
          <w:rFonts w:ascii="宋体" w:hAnsi="宋体" w:eastAsia="宋体" w:cs="宋体"/>
          <w:b/>
          <w:color w:val="auto"/>
          <w:kern w:val="2"/>
          <w:sz w:val="22"/>
          <w:szCs w:val="22"/>
          <w:highlight w:val="none"/>
          <w:lang w:val="en-US" w:eastAsia="zh-CN" w:bidi="ar-SA"/>
        </w:rPr>
      </w:pPr>
    </w:p>
    <w:p w14:paraId="05E9C0A0">
      <w:pPr>
        <w:widowControl w:val="0"/>
        <w:spacing w:line="360" w:lineRule="auto"/>
        <w:jc w:val="center"/>
        <w:rPr>
          <w:rFonts w:ascii="宋体" w:hAnsi="宋体" w:eastAsia="宋体" w:cs="宋体"/>
          <w:b/>
          <w:color w:val="auto"/>
          <w:kern w:val="2"/>
          <w:sz w:val="22"/>
          <w:szCs w:val="22"/>
          <w:highlight w:val="none"/>
          <w:lang w:val="en-US" w:eastAsia="zh-CN" w:bidi="ar-SA"/>
        </w:rPr>
      </w:pPr>
    </w:p>
    <w:p w14:paraId="195EAF0A">
      <w:pPr>
        <w:widowControl w:val="0"/>
        <w:spacing w:line="360" w:lineRule="auto"/>
        <w:jc w:val="center"/>
        <w:rPr>
          <w:rFonts w:ascii="宋体" w:hAnsi="宋体" w:eastAsia="宋体" w:cs="宋体"/>
          <w:b/>
          <w:color w:val="auto"/>
          <w:kern w:val="2"/>
          <w:sz w:val="22"/>
          <w:szCs w:val="22"/>
          <w:highlight w:val="none"/>
          <w:lang w:val="en-US" w:eastAsia="zh-CN" w:bidi="ar-SA"/>
        </w:rPr>
      </w:pPr>
    </w:p>
    <w:p w14:paraId="29953A69">
      <w:pPr>
        <w:widowControl w:val="0"/>
        <w:spacing w:line="360" w:lineRule="auto"/>
        <w:jc w:val="center"/>
        <w:rPr>
          <w:rFonts w:ascii="宋体" w:hAnsi="宋体" w:eastAsia="宋体" w:cs="宋体"/>
          <w:b/>
          <w:color w:val="auto"/>
          <w:kern w:val="2"/>
          <w:sz w:val="22"/>
          <w:szCs w:val="22"/>
          <w:highlight w:val="none"/>
          <w:lang w:val="en-US" w:eastAsia="zh-CN" w:bidi="ar-SA"/>
        </w:rPr>
      </w:pPr>
    </w:p>
    <w:p w14:paraId="513ED0D4">
      <w:pPr>
        <w:widowControl w:val="0"/>
        <w:spacing w:line="360" w:lineRule="auto"/>
        <w:jc w:val="center"/>
        <w:rPr>
          <w:rFonts w:ascii="宋体" w:hAnsi="宋体" w:eastAsia="宋体" w:cs="宋体"/>
          <w:b/>
          <w:color w:val="auto"/>
          <w:kern w:val="2"/>
          <w:sz w:val="22"/>
          <w:szCs w:val="22"/>
          <w:highlight w:val="none"/>
          <w:lang w:val="en-US" w:eastAsia="zh-CN" w:bidi="ar-SA"/>
        </w:rPr>
      </w:pPr>
    </w:p>
    <w:p w14:paraId="0E61ED70">
      <w:pPr>
        <w:widowControl w:val="0"/>
        <w:spacing w:line="360" w:lineRule="auto"/>
        <w:jc w:val="both"/>
        <w:rPr>
          <w:rFonts w:ascii="宋体" w:hAnsi="宋体" w:eastAsia="宋体" w:cs="宋体"/>
          <w:b/>
          <w:color w:val="auto"/>
          <w:kern w:val="2"/>
          <w:sz w:val="22"/>
          <w:szCs w:val="22"/>
          <w:highlight w:val="none"/>
          <w:lang w:val="en-US" w:eastAsia="zh-CN" w:bidi="ar-SA"/>
        </w:rPr>
      </w:pPr>
    </w:p>
    <w:p w14:paraId="0FE791B8">
      <w:pPr>
        <w:widowControl w:val="0"/>
        <w:spacing w:line="360" w:lineRule="auto"/>
        <w:jc w:val="both"/>
        <w:rPr>
          <w:rFonts w:ascii="宋体" w:hAnsi="宋体" w:eastAsia="宋体" w:cs="宋体"/>
          <w:b/>
          <w:color w:val="auto"/>
          <w:kern w:val="2"/>
          <w:sz w:val="22"/>
          <w:szCs w:val="22"/>
          <w:highlight w:val="none"/>
          <w:lang w:val="en-US" w:eastAsia="zh-CN" w:bidi="ar-SA"/>
        </w:rPr>
      </w:pPr>
    </w:p>
    <w:p w14:paraId="514A4734">
      <w:pPr>
        <w:widowControl w:val="0"/>
        <w:spacing w:line="360" w:lineRule="auto"/>
        <w:jc w:val="both"/>
        <w:rPr>
          <w:rFonts w:ascii="宋体" w:hAnsi="宋体" w:eastAsia="宋体" w:cs="宋体"/>
          <w:b/>
          <w:color w:val="auto"/>
          <w:kern w:val="2"/>
          <w:sz w:val="22"/>
          <w:szCs w:val="22"/>
          <w:highlight w:val="none"/>
          <w:lang w:val="en-US" w:eastAsia="zh-CN" w:bidi="ar-SA"/>
        </w:rPr>
      </w:pPr>
    </w:p>
    <w:p w14:paraId="40C10241">
      <w:pPr>
        <w:widowControl w:val="0"/>
        <w:spacing w:line="360" w:lineRule="auto"/>
        <w:jc w:val="both"/>
        <w:rPr>
          <w:rFonts w:ascii="宋体" w:hAnsi="宋体" w:eastAsia="宋体" w:cs="宋体"/>
          <w:b/>
          <w:color w:val="auto"/>
          <w:kern w:val="2"/>
          <w:sz w:val="22"/>
          <w:szCs w:val="22"/>
          <w:highlight w:val="none"/>
          <w:lang w:val="en-US" w:eastAsia="zh-CN" w:bidi="ar-SA"/>
        </w:rPr>
      </w:pPr>
    </w:p>
    <w:p w14:paraId="6EDFD8E6">
      <w:pPr>
        <w:widowControl w:val="0"/>
        <w:spacing w:line="360" w:lineRule="auto"/>
        <w:jc w:val="both"/>
        <w:rPr>
          <w:rFonts w:ascii="宋体" w:hAnsi="宋体" w:eastAsia="宋体" w:cs="宋体"/>
          <w:b/>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675005</wp:posOffset>
                </wp:positionH>
                <wp:positionV relativeFrom="paragraph">
                  <wp:posOffset>179705</wp:posOffset>
                </wp:positionV>
                <wp:extent cx="3467735" cy="904240"/>
                <wp:effectExtent l="4445" t="4445" r="13970" b="5715"/>
                <wp:wrapNone/>
                <wp:docPr id="5" name="文本框 5"/>
                <wp:cNvGraphicFramePr/>
                <a:graphic xmlns:a="http://schemas.openxmlformats.org/drawingml/2006/main">
                  <a:graphicData uri="http://schemas.microsoft.com/office/word/2010/wordprocessingShape">
                    <wps:wsp>
                      <wps:cNvSpPr txBox="1"/>
                      <wps:spPr>
                        <a:xfrm>
                          <a:off x="0" y="0"/>
                          <a:ext cx="3467735" cy="904240"/>
                        </a:xfrm>
                        <a:prstGeom prst="rect">
                          <a:avLst/>
                        </a:prstGeom>
                        <a:noFill/>
                        <a:ln w="9525" cap="flat" cmpd="sng">
                          <a:solidFill>
                            <a:srgbClr val="FFFFFF"/>
                          </a:solidFill>
                          <a:prstDash val="solid"/>
                          <a:miter/>
                          <a:headEnd type="none" w="med" len="med"/>
                          <a:tailEnd type="none" w="med" len="med"/>
                        </a:ln>
                        <a:effectLst/>
                      </wps:spPr>
                      <wps:txbx>
                        <w:txbxContent>
                          <w:p w14:paraId="7CFA2B5F">
                            <w:pPr>
                              <w:widowControl w:val="0"/>
                              <w:jc w:val="distribute"/>
                              <w:rPr>
                                <w:rFonts w:ascii="Times New Roman" w:hAnsi="Times New Roman" w:eastAsia="宋体" w:cs="Times New Roman"/>
                                <w:b/>
                                <w:bCs/>
                                <w:kern w:val="2"/>
                                <w:sz w:val="32"/>
                                <w:szCs w:val="22"/>
                                <w:lang w:val="en-US" w:eastAsia="zh-CN" w:bidi="ar-SA"/>
                              </w:rPr>
                            </w:pPr>
                            <w:r>
                              <w:rPr>
                                <w:rFonts w:hint="eastAsia" w:ascii="Times New Roman" w:hAnsi="Times New Roman" w:eastAsia="宋体" w:cs="Times New Roman"/>
                                <w:b/>
                                <w:bCs/>
                                <w:kern w:val="2"/>
                                <w:sz w:val="32"/>
                                <w:szCs w:val="22"/>
                                <w:lang w:val="en-US" w:eastAsia="zh-CN" w:bidi="ar-SA"/>
                              </w:rPr>
                              <w:t>中华人民共和国住房和城乡建设部</w:t>
                            </w:r>
                          </w:p>
                          <w:p w14:paraId="6E30CA99">
                            <w:pPr>
                              <w:widowControl w:val="0"/>
                              <w:jc w:val="distribute"/>
                              <w:rPr>
                                <w:rFonts w:ascii="Times New Roman" w:hAnsi="Times New Roman" w:eastAsia="宋体" w:cs="Times New Roman"/>
                                <w:b/>
                                <w:bCs/>
                                <w:kern w:val="2"/>
                                <w:sz w:val="32"/>
                                <w:szCs w:val="22"/>
                                <w:lang w:val="en-US" w:eastAsia="zh-CN" w:bidi="ar-SA"/>
                              </w:rPr>
                            </w:pPr>
                            <w:r>
                              <w:rPr>
                                <w:rFonts w:hint="eastAsia" w:ascii="Times New Roman" w:hAnsi="Times New Roman" w:eastAsia="宋体" w:cs="Times New Roman"/>
                                <w:b/>
                                <w:bCs/>
                                <w:kern w:val="2"/>
                                <w:sz w:val="32"/>
                                <w:szCs w:val="22"/>
                                <w:lang w:val="en-US" w:eastAsia="zh-CN" w:bidi="ar-SA"/>
                              </w:rPr>
                              <w:t>国家市场监督管理总局</w:t>
                            </w:r>
                          </w:p>
                        </w:txbxContent>
                      </wps:txbx>
                      <wps:bodyPr upright="1"/>
                    </wps:wsp>
                  </a:graphicData>
                </a:graphic>
              </wp:anchor>
            </w:drawing>
          </mc:Choice>
          <mc:Fallback>
            <w:pict>
              <v:shape id="_x0000_s1026" o:spid="_x0000_s1026" o:spt="202" type="#_x0000_t202" style="position:absolute;left:0pt;margin-left:53.15pt;margin-top:14.15pt;height:71.2pt;width:273.05pt;z-index:251661312;mso-width-relative:page;mso-height-relative:page;" filled="f" stroked="t" coordsize="21600,21600" o:gfxdata="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eZZtkAAAAKAQAADwAAAAAAAAABACAA&#10;AAAiAAAAZHJzL2Rvd25yZXYueG1sUEsBAhQAFAAAAAgAh07iQILWGi8MAgAAGwQAAA4AAAAAAAAA&#10;AQAgAAAAKAEAAGRycy9lMm9Eb2MueG1sUEsFBgAAAAAGAAYAWQEAAKYFAAAAAA==&#10;">
                <v:fill on="f" focussize="0,0"/>
                <v:stroke color="#FFFFFF" joinstyle="miter"/>
                <v:imagedata o:title=""/>
                <o:lock v:ext="edit" aspectratio="f"/>
                <v:textbox>
                  <w:txbxContent>
                    <w:p w14:paraId="7CFA2B5F">
                      <w:pPr>
                        <w:widowControl w:val="0"/>
                        <w:jc w:val="distribute"/>
                        <w:rPr>
                          <w:rFonts w:ascii="Times New Roman" w:hAnsi="Times New Roman" w:eastAsia="宋体" w:cs="Times New Roman"/>
                          <w:b/>
                          <w:bCs/>
                          <w:kern w:val="2"/>
                          <w:sz w:val="32"/>
                          <w:szCs w:val="22"/>
                          <w:lang w:val="en-US" w:eastAsia="zh-CN" w:bidi="ar-SA"/>
                        </w:rPr>
                      </w:pPr>
                      <w:r>
                        <w:rPr>
                          <w:rFonts w:hint="eastAsia" w:ascii="Times New Roman" w:hAnsi="Times New Roman" w:eastAsia="宋体" w:cs="Times New Roman"/>
                          <w:b/>
                          <w:bCs/>
                          <w:kern w:val="2"/>
                          <w:sz w:val="32"/>
                          <w:szCs w:val="22"/>
                          <w:lang w:val="en-US" w:eastAsia="zh-CN" w:bidi="ar-SA"/>
                        </w:rPr>
                        <w:t>中华人民共和国住房和城乡建设部</w:t>
                      </w:r>
                    </w:p>
                    <w:p w14:paraId="6E30CA99">
                      <w:pPr>
                        <w:widowControl w:val="0"/>
                        <w:jc w:val="distribute"/>
                        <w:rPr>
                          <w:rFonts w:ascii="Times New Roman" w:hAnsi="Times New Roman" w:eastAsia="宋体" w:cs="Times New Roman"/>
                          <w:b/>
                          <w:bCs/>
                          <w:kern w:val="2"/>
                          <w:sz w:val="32"/>
                          <w:szCs w:val="22"/>
                          <w:lang w:val="en-US" w:eastAsia="zh-CN" w:bidi="ar-SA"/>
                        </w:rPr>
                      </w:pPr>
                      <w:r>
                        <w:rPr>
                          <w:rFonts w:hint="eastAsia" w:ascii="Times New Roman" w:hAnsi="Times New Roman" w:eastAsia="宋体" w:cs="Times New Roman"/>
                          <w:b/>
                          <w:bCs/>
                          <w:kern w:val="2"/>
                          <w:sz w:val="32"/>
                          <w:szCs w:val="22"/>
                          <w:lang w:val="en-US" w:eastAsia="zh-CN" w:bidi="ar-SA"/>
                        </w:rPr>
                        <w:t>国家市场监督管理总局</w:t>
                      </w:r>
                    </w:p>
                  </w:txbxContent>
                </v:textbox>
              </v:shape>
            </w:pict>
          </mc:Fallback>
        </mc:AlternateContent>
      </w:r>
    </w:p>
    <w:p w14:paraId="70770DBE">
      <w:pPr>
        <w:widowControl w:val="0"/>
        <w:spacing w:line="360" w:lineRule="auto"/>
        <w:ind w:right="2719" w:rightChars="1295" w:firstLine="2868" w:firstLineChars="1304"/>
        <w:jc w:val="distribute"/>
        <w:rPr>
          <w:rFonts w:ascii="宋体" w:hAnsi="宋体" w:eastAsia="宋体" w:cs="宋体"/>
          <w:b/>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D0E64B1">
                            <w:pPr>
                              <w:widowControl w:val="0"/>
                              <w:jc w:val="both"/>
                              <w:rPr>
                                <w:rFonts w:ascii="Times New Roman" w:hAnsi="Times New Roman" w:eastAsia="宋体" w:cs="Times New Roman"/>
                                <w:b/>
                                <w:bCs/>
                                <w:kern w:val="2"/>
                                <w:sz w:val="32"/>
                                <w:szCs w:val="22"/>
                                <w:lang w:val="en-US" w:eastAsia="zh-CN" w:bidi="ar-SA"/>
                              </w:rPr>
                            </w:pPr>
                            <w:r>
                              <w:rPr>
                                <w:rFonts w:hint="eastAsia" w:ascii="Times New Roman" w:hAnsi="Times New Roman" w:eastAsia="宋体" w:cs="Times New Roman"/>
                                <w:b/>
                                <w:bCs/>
                                <w:kern w:val="2"/>
                                <w:sz w:val="32"/>
                                <w:szCs w:val="22"/>
                                <w:lang w:val="en-US" w:eastAsia="zh-CN" w:bidi="ar-SA"/>
                              </w:rPr>
                              <w:t>制定</w:t>
                            </w:r>
                          </w:p>
                        </w:txbxContent>
                      </wps:txbx>
                      <wps:bodyPr upright="1"/>
                    </wps:wsp>
                  </a:graphicData>
                </a:graphic>
              </wp:anchor>
            </w:drawing>
          </mc:Choice>
          <mc:Fallback>
            <w:pict>
              <v:shape id="_x0000_s1026" o:spid="_x0000_s1026" o:spt="202" type="#_x0000_t202" style="position:absolute;left:0pt;margin-left:343.35pt;margin-top:10.2pt;height:36pt;width:57pt;z-index:251660288;mso-width-relative:page;mso-height-relative:page;" filled="f" stroked="t" coordsize="21600,21600" o:gfxdata="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ELz4dgAAAAJAQAADwAAAAAAAAABACAAAAAi&#10;AAAAZHJzL2Rvd25yZXYueG1sUEsBAhQAFAAAAAgAh07iQNpL/CsKAgAAGgQAAA4AAAAAAAAAAQAg&#10;AAAAJwEAAGRycy9lMm9Eb2MueG1sUEsFBgAAAAAGAAYAWQEAAKMFAAAAAA==&#10;">
                <v:fill on="f" focussize="0,0"/>
                <v:stroke color="#FFFFFF" joinstyle="miter"/>
                <v:imagedata o:title=""/>
                <o:lock v:ext="edit" aspectratio="f"/>
                <v:textbox>
                  <w:txbxContent>
                    <w:p w14:paraId="5D0E64B1">
                      <w:pPr>
                        <w:widowControl w:val="0"/>
                        <w:jc w:val="both"/>
                        <w:rPr>
                          <w:rFonts w:ascii="Times New Roman" w:hAnsi="Times New Roman" w:eastAsia="宋体" w:cs="Times New Roman"/>
                          <w:b/>
                          <w:bCs/>
                          <w:kern w:val="2"/>
                          <w:sz w:val="32"/>
                          <w:szCs w:val="22"/>
                          <w:lang w:val="en-US" w:eastAsia="zh-CN" w:bidi="ar-SA"/>
                        </w:rPr>
                      </w:pPr>
                      <w:r>
                        <w:rPr>
                          <w:rFonts w:hint="eastAsia" w:ascii="Times New Roman" w:hAnsi="Times New Roman" w:eastAsia="宋体" w:cs="Times New Roman"/>
                          <w:b/>
                          <w:bCs/>
                          <w:kern w:val="2"/>
                          <w:sz w:val="32"/>
                          <w:szCs w:val="22"/>
                          <w:lang w:val="en-US" w:eastAsia="zh-CN" w:bidi="ar-SA"/>
                        </w:rPr>
                        <w:t>制定</w:t>
                      </w:r>
                    </w:p>
                  </w:txbxContent>
                </v:textbox>
              </v:shape>
            </w:pict>
          </mc:Fallback>
        </mc:AlternateContent>
      </w:r>
    </w:p>
    <w:p w14:paraId="0A869CB9">
      <w:pPr>
        <w:widowControl w:val="0"/>
        <w:snapToGrid w:val="0"/>
        <w:jc w:val="center"/>
        <w:rPr>
          <w:rFonts w:ascii="宋体" w:hAnsi="宋体" w:eastAsia="宋体" w:cs="宋体"/>
          <w:b/>
          <w:color w:val="auto"/>
          <w:kern w:val="2"/>
          <w:sz w:val="22"/>
          <w:szCs w:val="22"/>
          <w:highlight w:val="none"/>
          <w:lang w:val="en-US" w:eastAsia="zh-CN" w:bidi="ar-SA"/>
        </w:rPr>
      </w:pPr>
      <w:bookmarkStart w:id="314" w:name="_Toc296503025"/>
      <w:bookmarkStart w:id="315" w:name="_Toc296890982"/>
    </w:p>
    <w:p w14:paraId="2010EF37">
      <w:pPr>
        <w:widowControl w:val="0"/>
        <w:spacing w:line="360" w:lineRule="exact"/>
        <w:ind w:firstLine="600"/>
        <w:jc w:val="both"/>
        <w:rPr>
          <w:rFonts w:ascii="宋体" w:hAnsi="宋体" w:eastAsia="宋体" w:cs="宋体"/>
          <w:color w:val="auto"/>
          <w:kern w:val="2"/>
          <w:sz w:val="22"/>
          <w:szCs w:val="22"/>
          <w:highlight w:val="none"/>
          <w:lang w:val="en-US" w:eastAsia="zh-CN" w:bidi="ar-SA"/>
        </w:rPr>
      </w:pPr>
    </w:p>
    <w:p w14:paraId="14B79103">
      <w:pPr>
        <w:widowControl w:val="0"/>
        <w:spacing w:line="360" w:lineRule="exact"/>
        <w:jc w:val="both"/>
        <w:rPr>
          <w:rFonts w:ascii="宋体" w:hAnsi="宋体" w:eastAsia="宋体" w:cs="宋体"/>
          <w:color w:val="auto"/>
          <w:kern w:val="2"/>
          <w:sz w:val="22"/>
          <w:szCs w:val="22"/>
          <w:highlight w:val="none"/>
          <w:lang w:val="en-US" w:eastAsia="zh-CN" w:bidi="ar-SA"/>
        </w:rPr>
      </w:pPr>
    </w:p>
    <w:p w14:paraId="4A1BA55E">
      <w:pPr>
        <w:widowControl w:val="0"/>
        <w:snapToGrid w:val="0"/>
        <w:spacing w:after="240" w:afterLines="100"/>
        <w:jc w:val="center"/>
        <w:rPr>
          <w:rFonts w:hint="eastAsia" w:ascii="宋体" w:hAnsi="宋体" w:eastAsia="宋体" w:cs="宋体"/>
          <w:b/>
          <w:color w:val="auto"/>
          <w:kern w:val="2"/>
          <w:sz w:val="22"/>
          <w:szCs w:val="22"/>
          <w:highlight w:val="none"/>
          <w:lang w:val="en-US" w:eastAsia="zh-CN" w:bidi="ar-SA"/>
        </w:rPr>
      </w:pPr>
    </w:p>
    <w:bookmarkEnd w:id="313"/>
    <w:bookmarkEnd w:id="314"/>
    <w:bookmarkEnd w:id="315"/>
    <w:p w14:paraId="4F4D0CEF">
      <w:pPr>
        <w:widowControl w:val="0"/>
        <w:snapToGrid w:val="0"/>
        <w:spacing w:after="240" w:afterLines="100"/>
        <w:jc w:val="center"/>
        <w:rPr>
          <w:rFonts w:ascii="宋体" w:hAnsi="宋体" w:eastAsia="宋体" w:cs="宋体"/>
          <w:b/>
          <w:color w:val="000000"/>
          <w:kern w:val="2"/>
          <w:sz w:val="22"/>
          <w:szCs w:val="22"/>
          <w:lang w:val="en-US" w:eastAsia="zh-CN" w:bidi="ar-SA"/>
        </w:rPr>
      </w:pPr>
      <w:r>
        <w:rPr>
          <w:rFonts w:hint="eastAsia" w:ascii="宋体" w:hAnsi="宋体" w:eastAsia="宋体" w:cs="宋体"/>
          <w:b/>
          <w:color w:val="000000"/>
          <w:kern w:val="2"/>
          <w:sz w:val="22"/>
          <w:szCs w:val="22"/>
          <w:lang w:val="en-US" w:eastAsia="zh-CN" w:bidi="ar-SA"/>
        </w:rPr>
        <w:t>说   明</w:t>
      </w:r>
    </w:p>
    <w:p w14:paraId="6F78F9EE">
      <w:pPr>
        <w:widowControl w:val="0"/>
        <w:spacing w:line="360" w:lineRule="exact"/>
        <w:ind w:firstLine="600"/>
        <w:jc w:val="both"/>
        <w:rPr>
          <w:rFonts w:ascii="宋体" w:hAnsi="宋体" w:eastAsia="宋体" w:cs="宋体"/>
          <w:bCs/>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hint="eastAsia" w:ascii="宋体" w:hAnsi="宋体" w:eastAsia="宋体" w:cs="宋体"/>
          <w:bCs/>
          <w:color w:val="000000"/>
          <w:kern w:val="2"/>
          <w:sz w:val="22"/>
          <w:szCs w:val="22"/>
          <w:lang w:val="en-US" w:eastAsia="zh-CN" w:bidi="ar-SA"/>
        </w:rPr>
        <w:t>（GF—2020—2605）（以下简称《合同示范文本》）。为便于合同当事人使用，现就有关问题说明如下：</w:t>
      </w:r>
    </w:p>
    <w:p w14:paraId="505F0FF0">
      <w:pPr>
        <w:widowControl w:val="0"/>
        <w:spacing w:line="360" w:lineRule="exact"/>
        <w:ind w:firstLine="440" w:firstLineChars="200"/>
        <w:jc w:val="both"/>
        <w:rPr>
          <w:rFonts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一、《合同示范文本》的组成</w:t>
      </w:r>
    </w:p>
    <w:p w14:paraId="1966DA1C">
      <w:pPr>
        <w:widowControl w:val="0"/>
        <w:spacing w:line="360" w:lineRule="exact"/>
        <w:ind w:firstLine="600"/>
        <w:jc w:val="both"/>
        <w:rPr>
          <w:rFonts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《合同示范文本》由合同协议书、通用合同条款和专用合同条款三部分组成。</w:t>
      </w:r>
    </w:p>
    <w:p w14:paraId="4DCCB2F7">
      <w:pPr>
        <w:widowControl w:val="0"/>
        <w:numPr>
          <w:ilvl w:val="0"/>
          <w:numId w:val="3"/>
        </w:numPr>
        <w:spacing w:line="360" w:lineRule="exact"/>
        <w:ind w:firstLine="600"/>
        <w:jc w:val="both"/>
        <w:rPr>
          <w:rFonts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合同协议书</w:t>
      </w:r>
    </w:p>
    <w:p w14:paraId="10E71B2C">
      <w:pPr>
        <w:widowControl w:val="0"/>
        <w:spacing w:line="360" w:lineRule="exact"/>
        <w:ind w:firstLine="600"/>
        <w:jc w:val="both"/>
        <w:rPr>
          <w:rFonts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合同协议书共计16条，主要包括：工程概况、合同工期、质量标准、签约合同价与合同价格形式、承包人项目负责人、预付款、绿化种植及养护要求、其他要求、合同文件构成、</w:t>
      </w:r>
      <w:r>
        <w:rPr>
          <w:rFonts w:hint="eastAsia" w:ascii="宋体" w:hAnsi="宋体" w:eastAsia="宋体" w:cs="宋体"/>
          <w:color w:val="000000"/>
          <w:kern w:val="2"/>
          <w:sz w:val="22"/>
          <w:szCs w:val="22"/>
          <w:lang w:val="en-US" w:eastAsia="zh-CN" w:bidi="ar-SA"/>
        </w:rPr>
        <w:t>承诺以及合同生效条件等重要内容，集中约定了合同当事人基本的合同权利义务。</w:t>
      </w:r>
    </w:p>
    <w:p w14:paraId="777DB1CE">
      <w:pPr>
        <w:widowControl w:val="0"/>
        <w:numPr>
          <w:ilvl w:val="0"/>
          <w:numId w:val="3"/>
        </w:numPr>
        <w:spacing w:line="360" w:lineRule="exact"/>
        <w:ind w:firstLine="440" w:firstLineChars="200"/>
        <w:jc w:val="both"/>
        <w:rPr>
          <w:rFonts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通用合同条款</w:t>
      </w:r>
    </w:p>
    <w:p w14:paraId="7E906E96">
      <w:pPr>
        <w:widowControl w:val="0"/>
        <w:spacing w:line="360" w:lineRule="exact"/>
        <w:ind w:firstLine="440" w:firstLineChars="200"/>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通用合同条款共计</w:t>
      </w:r>
      <w:r>
        <w:rPr>
          <w:rFonts w:hint="eastAsia" w:ascii="宋体" w:hAnsi="宋体" w:eastAsia="宋体" w:cs="宋体"/>
          <w:bCs/>
          <w:color w:val="000000"/>
          <w:kern w:val="2"/>
          <w:sz w:val="22"/>
          <w:szCs w:val="22"/>
          <w:lang w:val="en-US" w:eastAsia="zh-CN" w:bidi="ar-SA"/>
        </w:rPr>
        <w:t>20</w:t>
      </w:r>
      <w:r>
        <w:rPr>
          <w:rFonts w:hint="eastAsia" w:ascii="宋体" w:hAnsi="宋体" w:eastAsia="宋体" w:cs="宋体"/>
          <w:color w:val="000000"/>
          <w:kern w:val="2"/>
          <w:sz w:val="22"/>
          <w:szCs w:val="22"/>
          <w:lang w:val="en-US" w:eastAsia="zh-CN" w:bidi="ar-SA"/>
        </w:rPr>
        <w:t>条，采用《建设工程施工合同（示范文本）》（</w:t>
      </w:r>
      <w:r>
        <w:rPr>
          <w:rFonts w:hint="eastAsia" w:ascii="宋体" w:hAnsi="宋体" w:eastAsia="宋体" w:cs="宋体"/>
          <w:bCs/>
          <w:color w:val="000000"/>
          <w:kern w:val="2"/>
          <w:sz w:val="22"/>
          <w:szCs w:val="22"/>
          <w:lang w:val="en-US" w:eastAsia="zh-CN" w:bidi="ar-SA"/>
        </w:rPr>
        <w:t>GF-2017-0201</w:t>
      </w:r>
      <w:r>
        <w:rPr>
          <w:rFonts w:hint="eastAsia" w:ascii="宋体" w:hAnsi="宋体" w:eastAsia="宋体" w:cs="宋体"/>
          <w:color w:val="000000"/>
          <w:kern w:val="2"/>
          <w:sz w:val="22"/>
          <w:szCs w:val="22"/>
          <w:lang w:val="en-US" w:eastAsia="zh-CN" w:bidi="ar-SA"/>
        </w:rPr>
        <w:t>）的“通用合同条款”。</w:t>
      </w:r>
    </w:p>
    <w:p w14:paraId="78965BC2">
      <w:pPr>
        <w:widowControl w:val="0"/>
        <w:spacing w:line="360" w:lineRule="exact"/>
        <w:ind w:firstLine="440" w:firstLineChars="200"/>
        <w:jc w:val="both"/>
        <w:rPr>
          <w:rFonts w:ascii="宋体" w:hAnsi="宋体" w:eastAsia="宋体" w:cs="宋体"/>
          <w:color w:val="000000"/>
          <w:kern w:val="2"/>
          <w:sz w:val="22"/>
          <w:szCs w:val="22"/>
          <w:lang w:val="en-US" w:eastAsia="zh-CN" w:bidi="ar-SA"/>
        </w:rPr>
      </w:pPr>
      <w:bookmarkStart w:id="316" w:name="_Toc24841"/>
      <w:r>
        <w:rPr>
          <w:rFonts w:hint="eastAsia" w:ascii="宋体" w:hAnsi="宋体" w:eastAsia="宋体" w:cs="宋体"/>
          <w:color w:val="000000"/>
          <w:kern w:val="2"/>
          <w:sz w:val="22"/>
          <w:szCs w:val="22"/>
          <w:lang w:val="en-US" w:eastAsia="zh-CN" w:bidi="ar-SA"/>
        </w:rPr>
        <w:t>（三）专用合同条款</w:t>
      </w:r>
      <w:bookmarkEnd w:id="316"/>
    </w:p>
    <w:p w14:paraId="1CA51E1F">
      <w:pPr>
        <w:widowControl w:val="0"/>
        <w:spacing w:line="360" w:lineRule="exact"/>
        <w:ind w:firstLine="440" w:firstLineChars="200"/>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专用合同条款共计</w:t>
      </w:r>
      <w:r>
        <w:rPr>
          <w:rFonts w:hint="eastAsia" w:ascii="宋体" w:hAnsi="宋体" w:eastAsia="宋体" w:cs="宋体"/>
          <w:bCs/>
          <w:color w:val="000000"/>
          <w:kern w:val="2"/>
          <w:sz w:val="22"/>
          <w:szCs w:val="22"/>
          <w:lang w:val="en-US" w:eastAsia="zh-CN" w:bidi="ar-SA"/>
        </w:rPr>
        <w:t>20</w:t>
      </w:r>
      <w:r>
        <w:rPr>
          <w:rFonts w:hint="eastAsia" w:ascii="宋体" w:hAnsi="宋体" w:eastAsia="宋体" w:cs="宋体"/>
          <w:color w:val="000000"/>
          <w:kern w:val="2"/>
          <w:sz w:val="22"/>
          <w:szCs w:val="22"/>
          <w:lang w:val="en-US" w:eastAsia="zh-CN" w:bidi="ar-SA"/>
        </w:rPr>
        <w:t>条，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3B3F59C">
      <w:pPr>
        <w:widowControl w:val="0"/>
        <w:spacing w:line="360" w:lineRule="exact"/>
        <w:ind w:right="25" w:rightChars="12" w:firstLine="440" w:firstLineChars="200"/>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1.专用合同条款的编号应与相应的通用合同条款的编号一致；</w:t>
      </w:r>
    </w:p>
    <w:p w14:paraId="2723C682">
      <w:pPr>
        <w:widowControl w:val="0"/>
        <w:spacing w:line="360" w:lineRule="exact"/>
        <w:ind w:firstLine="440" w:firstLineChars="200"/>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2.合同当事人可以通过对专用合同条款的修改，满足具体建设工程的特殊要求，避免直接修改通用合同条款；</w:t>
      </w:r>
    </w:p>
    <w:p w14:paraId="279D79FE">
      <w:pPr>
        <w:widowControl w:val="0"/>
        <w:spacing w:line="360" w:lineRule="exact"/>
        <w:ind w:firstLine="440" w:firstLineChars="200"/>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3.在专用合同条款中有横道线的地方，合同当事人可针对相应的通用合同条款进行细化、完善、补充、修改或另行约定；如无细化、完善、补充、修改或另行约定，则填写“无”或划“/”。</w:t>
      </w:r>
    </w:p>
    <w:p w14:paraId="29FC6821">
      <w:pPr>
        <w:widowControl w:val="0"/>
        <w:spacing w:line="360" w:lineRule="exact"/>
        <w:ind w:firstLine="440" w:firstLineChars="200"/>
        <w:jc w:val="both"/>
        <w:rPr>
          <w:rFonts w:ascii="宋体" w:hAnsi="宋体" w:eastAsia="宋体" w:cs="宋体"/>
          <w:b/>
          <w:color w:val="000000"/>
          <w:kern w:val="2"/>
          <w:sz w:val="22"/>
          <w:szCs w:val="22"/>
          <w:lang w:val="en-US" w:eastAsia="zh-CN" w:bidi="ar-SA"/>
        </w:rPr>
      </w:pPr>
      <w:bookmarkStart w:id="317" w:name="_Toc22393"/>
      <w:r>
        <w:rPr>
          <w:rFonts w:hint="eastAsia" w:ascii="宋体" w:hAnsi="宋体" w:eastAsia="宋体" w:cs="宋体"/>
          <w:bCs/>
          <w:color w:val="000000"/>
          <w:kern w:val="2"/>
          <w:sz w:val="22"/>
          <w:szCs w:val="22"/>
          <w:lang w:val="en-US" w:eastAsia="zh-CN" w:bidi="ar-SA"/>
        </w:rPr>
        <w:t>二、《合同示范文本》的性质和适用范围</w:t>
      </w:r>
      <w:bookmarkEnd w:id="317"/>
    </w:p>
    <w:p w14:paraId="513427E0">
      <w:pPr>
        <w:widowControl w:val="0"/>
        <w:spacing w:line="360" w:lineRule="exact"/>
        <w:ind w:firstLine="440" w:firstLineChars="200"/>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合同示范文本》为非强制性使用文本。《合同示范文本》适用于园林绿化工程的施工承发包活动,合同当事人可结合园林绿化工程具体情况，参照本合同示范文本订立合同，并按照法律法规规定和合同约定承担相应的法律责任及合同权利义务。</w:t>
      </w:r>
    </w:p>
    <w:p w14:paraId="61A1A90E">
      <w:pPr>
        <w:widowControl w:val="0"/>
        <w:spacing w:line="360" w:lineRule="exact"/>
        <w:ind w:firstLine="440" w:firstLineChars="200"/>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《合同示范文本》中引用的规范、标准中，未备注编制年号的，均采用现行最新版本。</w:t>
      </w:r>
    </w:p>
    <w:p w14:paraId="3F186DC5">
      <w:pPr>
        <w:widowControl w:val="0"/>
        <w:spacing w:line="360" w:lineRule="exact"/>
        <w:ind w:firstLine="440" w:firstLineChars="200"/>
        <w:jc w:val="both"/>
        <w:rPr>
          <w:rFonts w:ascii="宋体" w:hAnsi="宋体" w:eastAsia="宋体" w:cs="宋体"/>
          <w:color w:val="000000"/>
          <w:kern w:val="2"/>
          <w:sz w:val="22"/>
          <w:szCs w:val="22"/>
          <w:lang w:val="en-US" w:eastAsia="zh-CN" w:bidi="ar-SA"/>
        </w:rPr>
      </w:pPr>
    </w:p>
    <w:p w14:paraId="0D06B67D">
      <w:pPr>
        <w:widowControl w:val="0"/>
        <w:spacing w:line="360" w:lineRule="exact"/>
        <w:ind w:firstLine="440" w:firstLineChars="200"/>
        <w:jc w:val="both"/>
        <w:rPr>
          <w:rFonts w:ascii="宋体" w:hAnsi="宋体" w:eastAsia="宋体" w:cs="宋体"/>
          <w:color w:val="000000"/>
          <w:kern w:val="2"/>
          <w:sz w:val="22"/>
          <w:szCs w:val="22"/>
          <w:lang w:val="en-US" w:eastAsia="zh-CN" w:bidi="ar-SA"/>
        </w:rPr>
      </w:pPr>
    </w:p>
    <w:p w14:paraId="1D87BE61">
      <w:pPr>
        <w:widowControl w:val="0"/>
        <w:spacing w:line="360" w:lineRule="exact"/>
        <w:ind w:firstLine="440" w:firstLineChars="200"/>
        <w:jc w:val="both"/>
        <w:rPr>
          <w:rFonts w:ascii="宋体" w:hAnsi="宋体" w:eastAsia="宋体" w:cs="宋体"/>
          <w:color w:val="000000"/>
          <w:kern w:val="2"/>
          <w:sz w:val="22"/>
          <w:szCs w:val="22"/>
          <w:lang w:val="en-US" w:eastAsia="zh-CN" w:bidi="ar-SA"/>
        </w:rPr>
      </w:pPr>
    </w:p>
    <w:p w14:paraId="2D24CC83">
      <w:pPr>
        <w:widowControl w:val="0"/>
        <w:spacing w:line="360" w:lineRule="exact"/>
        <w:ind w:firstLine="440" w:firstLineChars="200"/>
        <w:jc w:val="both"/>
        <w:rPr>
          <w:rFonts w:hint="eastAsia" w:ascii="宋体" w:hAnsi="宋体" w:eastAsia="宋体" w:cs="宋体"/>
          <w:color w:val="000000"/>
          <w:kern w:val="2"/>
          <w:sz w:val="22"/>
          <w:szCs w:val="22"/>
          <w:lang w:val="en-US" w:eastAsia="zh-CN" w:bidi="ar-SA"/>
        </w:rPr>
      </w:pPr>
    </w:p>
    <w:p w14:paraId="6DDEAD23">
      <w:pPr>
        <w:widowControl w:val="0"/>
        <w:spacing w:line="360" w:lineRule="exact"/>
        <w:ind w:firstLine="440" w:firstLineChars="200"/>
        <w:jc w:val="both"/>
        <w:rPr>
          <w:rFonts w:hint="eastAsia" w:ascii="宋体" w:hAnsi="宋体" w:eastAsia="宋体" w:cs="宋体"/>
          <w:color w:val="000000"/>
          <w:kern w:val="2"/>
          <w:sz w:val="22"/>
          <w:szCs w:val="22"/>
          <w:lang w:val="en-US" w:eastAsia="zh-CN" w:bidi="ar-SA"/>
        </w:rPr>
      </w:pPr>
    </w:p>
    <w:p w14:paraId="3411A1FE">
      <w:pPr>
        <w:widowControl w:val="0"/>
        <w:spacing w:line="360" w:lineRule="exact"/>
        <w:ind w:firstLine="440" w:firstLineChars="200"/>
        <w:jc w:val="both"/>
        <w:rPr>
          <w:rFonts w:ascii="宋体" w:hAnsi="宋体" w:eastAsia="宋体" w:cs="宋体"/>
          <w:color w:val="000000"/>
          <w:kern w:val="2"/>
          <w:sz w:val="22"/>
          <w:szCs w:val="22"/>
          <w:lang w:val="en-US" w:eastAsia="zh-CN" w:bidi="ar-SA"/>
        </w:rPr>
      </w:pPr>
    </w:p>
    <w:p w14:paraId="1894614F">
      <w:pPr>
        <w:widowControl w:val="0"/>
        <w:spacing w:line="360" w:lineRule="exact"/>
        <w:ind w:firstLine="440" w:firstLineChars="200"/>
        <w:jc w:val="both"/>
        <w:rPr>
          <w:rFonts w:ascii="宋体" w:hAnsi="宋体" w:eastAsia="宋体" w:cs="宋体"/>
          <w:color w:val="000000"/>
          <w:kern w:val="2"/>
          <w:sz w:val="22"/>
          <w:szCs w:val="22"/>
          <w:lang w:val="en-US" w:eastAsia="zh-CN" w:bidi="ar-SA"/>
        </w:rPr>
      </w:pPr>
    </w:p>
    <w:p w14:paraId="63849C73">
      <w:pPr>
        <w:keepNext/>
        <w:keepLines/>
        <w:widowControl w:val="0"/>
        <w:spacing w:before="260" w:after="260" w:line="360" w:lineRule="auto"/>
        <w:jc w:val="center"/>
        <w:outlineLvl w:val="0"/>
        <w:rPr>
          <w:rFonts w:ascii="宋体" w:hAnsi="宋体" w:eastAsia="宋体" w:cs="宋体"/>
          <w:b w:val="0"/>
          <w:bCs/>
          <w:color w:val="000000"/>
          <w:kern w:val="44"/>
          <w:sz w:val="24"/>
          <w:szCs w:val="24"/>
          <w:lang w:val="en-US" w:eastAsia="zh-CN" w:bidi="ar-SA"/>
        </w:rPr>
      </w:pPr>
      <w:bookmarkStart w:id="318" w:name="_Toc256000976"/>
      <w:bookmarkStart w:id="319" w:name="_Toc509499434"/>
      <w:bookmarkStart w:id="320" w:name="_Toc256000522"/>
      <w:bookmarkStart w:id="321" w:name="_Toc256001430"/>
      <w:bookmarkStart w:id="322" w:name="_Toc256001657"/>
      <w:bookmarkStart w:id="323" w:name="_Toc256003246"/>
      <w:bookmarkStart w:id="324" w:name="_Toc256000068"/>
      <w:bookmarkStart w:id="325" w:name="_Toc256002565"/>
      <w:bookmarkStart w:id="326" w:name="_Toc256000295"/>
      <w:bookmarkStart w:id="327" w:name="_Toc256003019"/>
      <w:bookmarkStart w:id="328" w:name="_Toc256003927"/>
      <w:bookmarkStart w:id="329" w:name="_Toc256002338"/>
      <w:bookmarkStart w:id="330" w:name="_Toc2143857470"/>
      <w:bookmarkStart w:id="331" w:name="_Toc256001203"/>
      <w:bookmarkStart w:id="332" w:name="_Toc256002111"/>
      <w:bookmarkStart w:id="333" w:name="_Toc256003473"/>
      <w:bookmarkStart w:id="334" w:name="_Toc256000749"/>
      <w:bookmarkStart w:id="335" w:name="_Toc2128344692"/>
      <w:bookmarkStart w:id="336" w:name="_Toc256002792"/>
      <w:bookmarkStart w:id="337" w:name="_Toc256003700"/>
      <w:bookmarkStart w:id="338" w:name="_Toc256001884"/>
      <w:r>
        <w:rPr>
          <w:rFonts w:hint="eastAsia" w:ascii="宋体" w:hAnsi="宋体" w:eastAsia="宋体" w:cs="宋体"/>
          <w:b w:val="0"/>
          <w:bCs/>
          <w:color w:val="000000"/>
          <w:kern w:val="44"/>
          <w:sz w:val="24"/>
          <w:szCs w:val="24"/>
          <w:lang w:val="en-US" w:eastAsia="zh-CN" w:bidi="ar-SA"/>
        </w:rPr>
        <w:t>第一部分 合同协议书</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71F48C4">
      <w:pPr>
        <w:widowControl w:val="0"/>
        <w:spacing w:line="360" w:lineRule="auto"/>
        <w:jc w:val="both"/>
        <w:rPr>
          <w:rFonts w:ascii="宋体" w:hAnsi="宋体" w:eastAsia="宋体" w:cs="宋体"/>
          <w:bCs/>
          <w:color w:val="000000"/>
          <w:kern w:val="2"/>
          <w:sz w:val="24"/>
          <w:szCs w:val="24"/>
          <w:u w:val="single"/>
          <w:lang w:val="en-US" w:eastAsia="zh-CN" w:bidi="ar-SA"/>
        </w:rPr>
      </w:pPr>
      <w:r>
        <w:rPr>
          <w:rFonts w:hint="eastAsia" w:ascii="宋体" w:hAnsi="宋体" w:eastAsia="宋体" w:cs="宋体"/>
          <w:bCs/>
          <w:color w:val="000000"/>
          <w:kern w:val="2"/>
          <w:sz w:val="24"/>
          <w:szCs w:val="24"/>
          <w:lang w:val="en-US" w:eastAsia="zh-CN" w:bidi="ar-SA"/>
        </w:rPr>
        <w:t>发包人（发包人）（全称）：</w:t>
      </w:r>
      <w:r>
        <w:rPr>
          <w:rFonts w:hint="eastAsia" w:ascii="宋体" w:hAnsi="宋体" w:eastAsia="宋体" w:cs="宋体"/>
          <w:bCs/>
          <w:color w:val="000000"/>
          <w:kern w:val="2"/>
          <w:sz w:val="24"/>
          <w:szCs w:val="24"/>
          <w:u w:val="single"/>
          <w:lang w:val="en-US" w:eastAsia="zh-CN" w:bidi="ar-SA"/>
        </w:rPr>
        <w:t>南京建邺城市建设集团有限公司</w:t>
      </w:r>
    </w:p>
    <w:p w14:paraId="0F4F6666">
      <w:pPr>
        <w:widowControl w:val="0"/>
        <w:spacing w:line="360" w:lineRule="auto"/>
        <w:jc w:val="both"/>
        <w:rPr>
          <w:rFonts w:ascii="宋体" w:hAnsi="宋体" w:eastAsia="宋体" w:cs="宋体"/>
          <w:bCs/>
          <w:color w:val="000000"/>
          <w:kern w:val="2"/>
          <w:sz w:val="24"/>
          <w:szCs w:val="24"/>
          <w:u w:val="single"/>
          <w:lang w:val="en-US" w:eastAsia="zh-CN" w:bidi="ar-SA"/>
        </w:rPr>
      </w:pPr>
      <w:r>
        <w:rPr>
          <w:rFonts w:hint="eastAsia" w:ascii="宋体" w:hAnsi="宋体" w:eastAsia="宋体" w:cs="宋体"/>
          <w:bCs/>
          <w:color w:val="000000"/>
          <w:kern w:val="2"/>
          <w:sz w:val="24"/>
          <w:szCs w:val="24"/>
          <w:lang w:val="en-US" w:eastAsia="zh-CN" w:bidi="ar-SA"/>
        </w:rPr>
        <w:t>承包人（承包人）（全称）：</w:t>
      </w:r>
    </w:p>
    <w:p w14:paraId="04945A09">
      <w:pPr>
        <w:widowControl w:val="0"/>
        <w:spacing w:line="360" w:lineRule="auto"/>
        <w:ind w:firstLine="480" w:firstLineChars="200"/>
        <w:jc w:val="left"/>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根据《中华人民共和国民法典》《中华人民共和国建筑法》及有关法律规定，遵循平等、自愿、公平和诚实信用的原则，双方就</w:t>
      </w:r>
      <w:r>
        <w:rPr>
          <w:rFonts w:hint="eastAsia" w:ascii="宋体" w:hAnsi="宋体" w:cs="宋体"/>
          <w:bCs/>
          <w:color w:val="000000"/>
          <w:kern w:val="2"/>
          <w:sz w:val="24"/>
          <w:szCs w:val="24"/>
          <w:u w:val="single"/>
          <w:lang w:val="en-US" w:eastAsia="zh-CN" w:bidi="ar-SA"/>
        </w:rPr>
        <w:t>建邺北部老城区街旁绿地改造（3处口袋公园）项目</w:t>
      </w:r>
      <w:r>
        <w:rPr>
          <w:rFonts w:hint="eastAsia" w:ascii="宋体" w:hAnsi="宋体" w:eastAsia="宋体" w:cs="宋体"/>
          <w:bCs/>
          <w:color w:val="000000"/>
          <w:kern w:val="2"/>
          <w:sz w:val="24"/>
          <w:szCs w:val="24"/>
          <w:lang w:val="en-US" w:eastAsia="zh-CN" w:bidi="ar-SA"/>
        </w:rPr>
        <w:t>工程施工及有关事项协商一致，共同达成如下协议：</w:t>
      </w:r>
    </w:p>
    <w:p w14:paraId="713EB92D">
      <w:pPr>
        <w:keepNext/>
        <w:keepLines/>
        <w:widowControl w:val="0"/>
        <w:spacing w:before="0" w:after="0" w:line="360" w:lineRule="auto"/>
        <w:jc w:val="both"/>
        <w:outlineLvl w:val="1"/>
        <w:rPr>
          <w:rFonts w:ascii="宋体" w:hAnsi="宋体" w:eastAsia="宋体" w:cs="宋体"/>
          <w:b w:val="0"/>
          <w:bCs/>
          <w:color w:val="000000"/>
          <w:kern w:val="2"/>
          <w:sz w:val="24"/>
          <w:szCs w:val="24"/>
          <w:lang w:val="en-US" w:eastAsia="zh-CN" w:bidi="ar-SA"/>
        </w:rPr>
      </w:pPr>
      <w:bookmarkStart w:id="339" w:name="_Toc256000977"/>
      <w:bookmarkStart w:id="340" w:name="_Toc256000750"/>
      <w:bookmarkStart w:id="341" w:name="_Toc256000523"/>
      <w:bookmarkStart w:id="342" w:name="_Toc1433341455"/>
      <w:bookmarkStart w:id="343" w:name="_Toc256001885"/>
      <w:bookmarkStart w:id="344" w:name="_Toc256003928"/>
      <w:bookmarkStart w:id="345" w:name="_Toc256002793"/>
      <w:bookmarkStart w:id="346" w:name="_Toc256003020"/>
      <w:bookmarkStart w:id="347" w:name="_Toc256001431"/>
      <w:bookmarkStart w:id="348" w:name="_Toc256000296"/>
      <w:bookmarkStart w:id="349" w:name="_Toc256001204"/>
      <w:bookmarkStart w:id="350" w:name="_Toc445784615"/>
      <w:bookmarkStart w:id="351" w:name="_Toc256002566"/>
      <w:bookmarkStart w:id="352" w:name="_Toc256003247"/>
      <w:bookmarkStart w:id="353" w:name="_Toc256002112"/>
      <w:bookmarkStart w:id="354" w:name="_Toc256002339"/>
      <w:bookmarkStart w:id="355" w:name="_Toc256000069"/>
      <w:bookmarkStart w:id="356" w:name="_Toc256003474"/>
      <w:bookmarkStart w:id="357" w:name="_Toc256001658"/>
      <w:bookmarkStart w:id="358" w:name="_Toc256003701"/>
      <w:r>
        <w:rPr>
          <w:rFonts w:hint="eastAsia" w:ascii="宋体" w:hAnsi="宋体" w:eastAsia="宋体" w:cs="宋体"/>
          <w:b w:val="0"/>
          <w:bCs/>
          <w:color w:val="000000"/>
          <w:kern w:val="2"/>
          <w:sz w:val="24"/>
          <w:szCs w:val="24"/>
          <w:lang w:val="en-US" w:eastAsia="zh-CN" w:bidi="ar-SA"/>
        </w:rPr>
        <w:t>一、工程概况</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EF6B74D">
      <w:pPr>
        <w:widowControl w:val="0"/>
        <w:spacing w:line="360" w:lineRule="auto"/>
        <w:ind w:firstLine="470" w:firstLineChars="196"/>
        <w:jc w:val="both"/>
        <w:rPr>
          <w:rFonts w:ascii="宋体" w:hAnsi="宋体" w:eastAsia="宋体" w:cs="宋体"/>
          <w:bCs/>
          <w:color w:val="000000"/>
          <w:kern w:val="2"/>
          <w:sz w:val="24"/>
          <w:szCs w:val="24"/>
          <w:u w:val="single"/>
          <w:lang w:val="en-US" w:eastAsia="zh-CN" w:bidi="ar-SA"/>
        </w:rPr>
      </w:pPr>
      <w:bookmarkStart w:id="359" w:name="_Toc712002224"/>
      <w:bookmarkStart w:id="360" w:name="_Toc1515347488"/>
      <w:r>
        <w:rPr>
          <w:rFonts w:hint="eastAsia" w:ascii="宋体" w:hAnsi="宋体" w:eastAsia="宋体" w:cs="宋体"/>
          <w:bCs/>
          <w:color w:val="000000"/>
          <w:kern w:val="2"/>
          <w:sz w:val="24"/>
          <w:szCs w:val="24"/>
          <w:lang w:val="en-US" w:eastAsia="zh-CN" w:bidi="ar-SA"/>
        </w:rPr>
        <w:t>1.工程名称：</w:t>
      </w:r>
      <w:r>
        <w:rPr>
          <w:rFonts w:hint="eastAsia" w:ascii="宋体" w:hAnsi="宋体" w:cs="宋体"/>
          <w:bCs/>
          <w:color w:val="000000"/>
          <w:kern w:val="2"/>
          <w:sz w:val="24"/>
          <w:szCs w:val="24"/>
          <w:u w:val="single"/>
          <w:lang w:val="en-US" w:eastAsia="zh-CN" w:bidi="ar-SA"/>
        </w:rPr>
        <w:t>建邺北部老城区街旁绿地改造（3处口袋公园）项目</w:t>
      </w:r>
      <w:r>
        <w:rPr>
          <w:rFonts w:hint="eastAsia" w:ascii="宋体" w:hAnsi="宋体" w:eastAsia="宋体" w:cs="宋体"/>
          <w:bCs/>
          <w:color w:val="000000"/>
          <w:kern w:val="2"/>
          <w:sz w:val="24"/>
          <w:szCs w:val="24"/>
          <w:u w:val="single"/>
          <w:lang w:val="en-US" w:eastAsia="zh-CN" w:bidi="ar-SA"/>
        </w:rPr>
        <w:t>工程</w:t>
      </w:r>
      <w:r>
        <w:rPr>
          <w:rFonts w:hint="eastAsia" w:ascii="宋体" w:hAnsi="宋体" w:eastAsia="宋体" w:cs="宋体"/>
          <w:bCs/>
          <w:color w:val="000000"/>
          <w:kern w:val="2"/>
          <w:sz w:val="24"/>
          <w:szCs w:val="24"/>
          <w:lang w:val="en-US" w:eastAsia="zh-CN" w:bidi="ar-SA"/>
        </w:rPr>
        <w:t>。</w:t>
      </w:r>
    </w:p>
    <w:p w14:paraId="0F0BC215">
      <w:pPr>
        <w:widowControl w:val="0"/>
        <w:spacing w:line="360" w:lineRule="auto"/>
        <w:ind w:firstLine="470" w:firstLineChars="196"/>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2.工程地点：</w:t>
      </w:r>
      <w:r>
        <w:rPr>
          <w:rFonts w:hint="eastAsia" w:ascii="宋体" w:hAnsi="宋体" w:eastAsia="宋体" w:cs="宋体"/>
          <w:bCs/>
          <w:color w:val="000000"/>
          <w:kern w:val="2"/>
          <w:sz w:val="24"/>
          <w:szCs w:val="24"/>
          <w:u w:val="single"/>
          <w:lang w:val="en-US" w:eastAsia="zh-CN" w:bidi="ar-SA"/>
        </w:rPr>
        <w:t>南京市建邺区</w:t>
      </w:r>
      <w:r>
        <w:rPr>
          <w:rFonts w:hint="eastAsia" w:ascii="宋体" w:hAnsi="宋体" w:eastAsia="宋体" w:cs="宋体"/>
          <w:bCs/>
          <w:color w:val="000000"/>
          <w:kern w:val="2"/>
          <w:sz w:val="24"/>
          <w:szCs w:val="24"/>
          <w:lang w:val="en-US" w:eastAsia="zh-CN" w:bidi="ar-SA"/>
        </w:rPr>
        <w:t>。</w:t>
      </w:r>
    </w:p>
    <w:p w14:paraId="7A9B017D">
      <w:pPr>
        <w:widowControl w:val="0"/>
        <w:spacing w:line="360" w:lineRule="auto"/>
        <w:ind w:firstLine="470" w:firstLineChars="196"/>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3.工程立项批准文号：</w:t>
      </w:r>
      <w:r>
        <w:rPr>
          <w:rFonts w:hint="eastAsia" w:ascii="宋体" w:hAnsi="宋体" w:eastAsia="宋体" w:cs="宋体"/>
          <w:bCs/>
          <w:color w:val="000000"/>
          <w:kern w:val="2"/>
          <w:sz w:val="24"/>
          <w:szCs w:val="24"/>
          <w:u w:val="single"/>
          <w:lang w:val="en-US" w:eastAsia="zh-CN" w:bidi="ar-SA"/>
        </w:rPr>
        <w:t>建建设城〔2024〕3号</w:t>
      </w:r>
      <w:r>
        <w:rPr>
          <w:rFonts w:hint="eastAsia" w:ascii="宋体" w:hAnsi="宋体" w:eastAsia="宋体" w:cs="宋体"/>
          <w:bCs/>
          <w:color w:val="000000"/>
          <w:kern w:val="2"/>
          <w:sz w:val="24"/>
          <w:szCs w:val="24"/>
          <w:lang w:val="en-US" w:eastAsia="zh-CN" w:bidi="ar-SA"/>
        </w:rPr>
        <w:t>。</w:t>
      </w:r>
    </w:p>
    <w:p w14:paraId="5FA5BFAB">
      <w:pPr>
        <w:widowControl w:val="0"/>
        <w:spacing w:line="360" w:lineRule="auto"/>
        <w:ind w:firstLine="470" w:firstLineChars="196"/>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4.资金来源：</w:t>
      </w:r>
      <w:r>
        <w:rPr>
          <w:rFonts w:hint="eastAsia" w:ascii="宋体" w:hAnsi="宋体" w:cs="宋体"/>
          <w:bCs/>
          <w:color w:val="000000"/>
          <w:kern w:val="2"/>
          <w:sz w:val="24"/>
          <w:szCs w:val="24"/>
          <w:u w:val="single"/>
          <w:lang w:val="en-US" w:eastAsia="zh-CN" w:bidi="ar-SA"/>
        </w:rPr>
        <w:t>南京市建邺区建设局</w:t>
      </w:r>
      <w:r>
        <w:rPr>
          <w:rFonts w:hint="eastAsia" w:ascii="宋体" w:hAnsi="宋体" w:eastAsia="宋体" w:cs="宋体"/>
          <w:bCs/>
          <w:color w:val="000000"/>
          <w:kern w:val="2"/>
          <w:sz w:val="24"/>
          <w:szCs w:val="24"/>
          <w:u w:val="single"/>
          <w:lang w:val="en-US" w:eastAsia="zh-CN" w:bidi="ar-SA"/>
        </w:rPr>
        <w:t>拨付</w:t>
      </w:r>
      <w:r>
        <w:rPr>
          <w:rFonts w:hint="eastAsia" w:ascii="宋体" w:hAnsi="宋体" w:eastAsia="宋体" w:cs="宋体"/>
          <w:bCs/>
          <w:color w:val="000000"/>
          <w:kern w:val="2"/>
          <w:sz w:val="24"/>
          <w:szCs w:val="24"/>
          <w:lang w:val="en-US" w:eastAsia="zh-CN" w:bidi="ar-SA"/>
        </w:rPr>
        <w:t>。</w:t>
      </w:r>
    </w:p>
    <w:p w14:paraId="1C6A414E">
      <w:pPr>
        <w:widowControl w:val="0"/>
        <w:spacing w:line="360" w:lineRule="auto"/>
        <w:ind w:firstLine="470" w:firstLineChars="196"/>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5.工程规模：</w:t>
      </w:r>
      <w:r>
        <w:rPr>
          <w:rFonts w:hint="eastAsia" w:ascii="宋体" w:hAnsi="宋体" w:eastAsia="宋体" w:cs="宋体"/>
          <w:bCs/>
          <w:color w:val="000000"/>
          <w:kern w:val="2"/>
          <w:sz w:val="24"/>
          <w:szCs w:val="24"/>
          <w:u w:val="single"/>
          <w:lang w:val="en-US" w:eastAsia="zh-CN" w:bidi="ar-SA"/>
        </w:rPr>
        <w:t>绿化彩化提升、基础设施建设、给排水工程电气照明工程等。具体详见竞争性磋商文件。具体详见竞争性磋商文件。</w:t>
      </w:r>
    </w:p>
    <w:p w14:paraId="0CF51AB1">
      <w:pPr>
        <w:widowControl w:val="0"/>
        <w:spacing w:line="360" w:lineRule="auto"/>
        <w:ind w:firstLine="470" w:firstLineChars="196"/>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群体工程应附《承包人承揽工程项目一览表》（附件1）。</w:t>
      </w:r>
    </w:p>
    <w:p w14:paraId="1C7967FC">
      <w:pPr>
        <w:widowControl w:val="0"/>
        <w:spacing w:line="360" w:lineRule="auto"/>
        <w:ind w:firstLine="470" w:firstLineChars="196"/>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6.工程承包范围：</w:t>
      </w:r>
      <w:r>
        <w:rPr>
          <w:rFonts w:hint="eastAsia" w:ascii="宋体" w:hAnsi="宋体" w:eastAsia="宋体" w:cs="宋体"/>
          <w:bCs/>
          <w:color w:val="000000"/>
          <w:kern w:val="2"/>
          <w:sz w:val="24"/>
          <w:szCs w:val="24"/>
          <w:u w:val="single"/>
          <w:lang w:val="en-US" w:eastAsia="zh-CN" w:bidi="ar-SA"/>
        </w:rPr>
        <w:t>详见立项批文、图纸、招标文件及工程量清单</w:t>
      </w:r>
      <w:r>
        <w:rPr>
          <w:rFonts w:hint="eastAsia" w:ascii="宋体" w:hAnsi="宋体" w:eastAsia="宋体" w:cs="宋体"/>
          <w:bCs/>
          <w:color w:val="000000"/>
          <w:kern w:val="2"/>
          <w:sz w:val="24"/>
          <w:szCs w:val="24"/>
          <w:lang w:val="en-US" w:eastAsia="zh-CN" w:bidi="ar-SA"/>
        </w:rPr>
        <w:t>。</w:t>
      </w:r>
    </w:p>
    <w:p w14:paraId="2211D324">
      <w:pPr>
        <w:keepNext/>
        <w:keepLines/>
        <w:widowControl w:val="0"/>
        <w:spacing w:before="0" w:after="0" w:line="360" w:lineRule="auto"/>
        <w:ind w:firstLine="480" w:firstLineChars="200"/>
        <w:jc w:val="both"/>
        <w:outlineLvl w:val="1"/>
        <w:rPr>
          <w:rFonts w:ascii="宋体" w:hAnsi="宋体" w:eastAsia="宋体" w:cs="宋体"/>
          <w:b w:val="0"/>
          <w:bCs/>
          <w:color w:val="000000"/>
          <w:kern w:val="2"/>
          <w:sz w:val="24"/>
          <w:szCs w:val="24"/>
          <w:lang w:val="en-US" w:eastAsia="zh-CN" w:bidi="ar-SA"/>
        </w:rPr>
      </w:pPr>
      <w:bookmarkStart w:id="361" w:name="_Toc256000978"/>
      <w:bookmarkStart w:id="362" w:name="_Toc256003702"/>
      <w:bookmarkStart w:id="363" w:name="_Toc256000751"/>
      <w:bookmarkStart w:id="364" w:name="_Toc256003248"/>
      <w:bookmarkStart w:id="365" w:name="_Toc256000297"/>
      <w:bookmarkStart w:id="366" w:name="_Toc256003475"/>
      <w:bookmarkStart w:id="367" w:name="_Toc256001659"/>
      <w:bookmarkStart w:id="368" w:name="_Toc256003929"/>
      <w:bookmarkStart w:id="369" w:name="_Toc256002113"/>
      <w:bookmarkStart w:id="370" w:name="_Toc256001432"/>
      <w:bookmarkStart w:id="371" w:name="_Toc256002340"/>
      <w:bookmarkStart w:id="372" w:name="_Toc256002567"/>
      <w:bookmarkStart w:id="373" w:name="_Toc256002794"/>
      <w:bookmarkStart w:id="374" w:name="_Toc256000070"/>
      <w:bookmarkStart w:id="375" w:name="_Toc256001205"/>
      <w:bookmarkStart w:id="376" w:name="_Toc256000524"/>
      <w:bookmarkStart w:id="377" w:name="_Toc256003021"/>
      <w:bookmarkStart w:id="378" w:name="_Toc256001886"/>
      <w:r>
        <w:rPr>
          <w:rFonts w:hint="eastAsia" w:ascii="宋体" w:hAnsi="宋体" w:eastAsia="宋体" w:cs="宋体"/>
          <w:b w:val="0"/>
          <w:bCs/>
          <w:color w:val="000000"/>
          <w:kern w:val="2"/>
          <w:sz w:val="24"/>
          <w:szCs w:val="24"/>
          <w:lang w:val="en-US" w:eastAsia="zh-CN" w:bidi="ar-SA"/>
        </w:rPr>
        <w:t>二、合同工期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5A5932E">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计划开工日期：年月日。</w:t>
      </w:r>
    </w:p>
    <w:p w14:paraId="34C88781">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计划竣工日期：年月日。</w:t>
      </w:r>
    </w:p>
    <w:p w14:paraId="30332573">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工期总日历天数：</w:t>
      </w:r>
      <w:r>
        <w:rPr>
          <w:rFonts w:hint="eastAsia" w:ascii="宋体" w:hAnsi="宋体" w:cs="宋体"/>
          <w:bCs/>
          <w:color w:val="000000"/>
          <w:kern w:val="2"/>
          <w:sz w:val="24"/>
          <w:szCs w:val="24"/>
          <w:u w:val="single"/>
          <w:shd w:val="clear" w:color="auto" w:fill="FFFF00"/>
          <w:lang w:val="en-US" w:eastAsia="zh-CN" w:bidi="ar-SA"/>
        </w:rPr>
        <w:t>90</w:t>
      </w:r>
      <w:r>
        <w:rPr>
          <w:rFonts w:hint="eastAsia" w:ascii="宋体" w:hAnsi="宋体" w:eastAsia="宋体" w:cs="宋体"/>
          <w:bCs/>
          <w:color w:val="000000"/>
          <w:kern w:val="2"/>
          <w:sz w:val="24"/>
          <w:szCs w:val="24"/>
          <w:lang w:val="en-US" w:eastAsia="zh-CN" w:bidi="ar-SA"/>
        </w:rPr>
        <w:t>天，阶段性工期：。</w:t>
      </w:r>
    </w:p>
    <w:p w14:paraId="32088122">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工期总日历天数与根据前述计划开竣工日期计算的工期天数不一致的，以工期总日历天数为准。</w:t>
      </w:r>
    </w:p>
    <w:p w14:paraId="32282CEF">
      <w:pPr>
        <w:keepNext/>
        <w:keepLines/>
        <w:widowControl w:val="0"/>
        <w:spacing w:before="0" w:after="0" w:line="360" w:lineRule="auto"/>
        <w:ind w:firstLine="480" w:firstLineChars="200"/>
        <w:jc w:val="both"/>
        <w:outlineLvl w:val="1"/>
        <w:rPr>
          <w:rFonts w:ascii="宋体" w:hAnsi="宋体" w:eastAsia="宋体" w:cs="宋体"/>
          <w:b w:val="0"/>
          <w:bCs/>
          <w:color w:val="000000"/>
          <w:kern w:val="2"/>
          <w:sz w:val="24"/>
          <w:szCs w:val="24"/>
          <w:lang w:val="en-US" w:eastAsia="zh-CN" w:bidi="ar-SA"/>
        </w:rPr>
      </w:pPr>
      <w:bookmarkStart w:id="379" w:name="_Toc256000979"/>
      <w:bookmarkStart w:id="380" w:name="_Toc256001206"/>
      <w:bookmarkStart w:id="381" w:name="_Toc256003249"/>
      <w:bookmarkStart w:id="382" w:name="_Toc256002114"/>
      <w:bookmarkStart w:id="383" w:name="_Toc256000071"/>
      <w:bookmarkStart w:id="384" w:name="_Toc256002795"/>
      <w:bookmarkStart w:id="385" w:name="_Toc256001887"/>
      <w:bookmarkStart w:id="386" w:name="_Toc256000298"/>
      <w:bookmarkStart w:id="387" w:name="_Toc256001433"/>
      <w:bookmarkStart w:id="388" w:name="_Toc256003476"/>
      <w:bookmarkStart w:id="389" w:name="_Toc256003930"/>
      <w:bookmarkStart w:id="390" w:name="_Toc256000752"/>
      <w:bookmarkStart w:id="391" w:name="_Toc256003703"/>
      <w:bookmarkStart w:id="392" w:name="_Toc385210886"/>
      <w:bookmarkStart w:id="393" w:name="_Toc1520902222"/>
      <w:bookmarkStart w:id="394" w:name="_Toc256000525"/>
      <w:bookmarkStart w:id="395" w:name="_Toc256002568"/>
      <w:bookmarkStart w:id="396" w:name="_Toc256001660"/>
      <w:bookmarkStart w:id="397" w:name="_Toc256002341"/>
      <w:bookmarkStart w:id="398" w:name="_Toc256003022"/>
      <w:r>
        <w:rPr>
          <w:rFonts w:hint="eastAsia" w:ascii="宋体" w:hAnsi="宋体" w:eastAsia="宋体" w:cs="宋体"/>
          <w:b w:val="0"/>
          <w:bCs/>
          <w:color w:val="000000"/>
          <w:kern w:val="2"/>
          <w:sz w:val="24"/>
          <w:szCs w:val="24"/>
          <w:lang w:val="en-US" w:eastAsia="zh-CN" w:bidi="ar-SA"/>
        </w:rPr>
        <w:t>三、质量标准</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1C7C94F3">
      <w:pPr>
        <w:widowControl w:val="0"/>
        <w:spacing w:line="360" w:lineRule="auto"/>
        <w:ind w:firstLine="480" w:firstLineChars="200"/>
        <w:jc w:val="left"/>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工程质量符合</w:t>
      </w:r>
      <w:r>
        <w:rPr>
          <w:rFonts w:hint="eastAsia" w:ascii="宋体" w:hAnsi="宋体" w:eastAsia="宋体" w:cs="宋体"/>
          <w:bCs/>
          <w:color w:val="000000"/>
          <w:kern w:val="2"/>
          <w:sz w:val="24"/>
          <w:szCs w:val="24"/>
          <w:u w:val="single"/>
          <w:lang w:val="en-US" w:eastAsia="zh-CN" w:bidi="ar-SA"/>
        </w:rPr>
        <w:t>国家质量验收</w:t>
      </w:r>
      <w:r>
        <w:rPr>
          <w:rFonts w:hint="eastAsia" w:ascii="宋体" w:hAnsi="宋体" w:eastAsia="宋体" w:cs="宋体"/>
          <w:bCs/>
          <w:color w:val="000000"/>
          <w:kern w:val="2"/>
          <w:sz w:val="24"/>
          <w:szCs w:val="24"/>
          <w:lang w:val="en-US" w:eastAsia="zh-CN" w:bidi="ar-SA"/>
        </w:rPr>
        <w:t>标准；</w:t>
      </w:r>
    </w:p>
    <w:p w14:paraId="7A1B2A5F">
      <w:pPr>
        <w:widowControl w:val="0"/>
        <w:spacing w:line="360" w:lineRule="auto"/>
        <w:ind w:firstLine="480" w:firstLineChars="200"/>
        <w:jc w:val="both"/>
        <w:rPr>
          <w:rFonts w:ascii="宋体" w:hAnsi="宋体" w:eastAsia="宋体" w:cs="宋体"/>
          <w:b/>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园林绿化养护质量符合江苏省城市园林绿化养护管理规范标准。</w:t>
      </w:r>
    </w:p>
    <w:p w14:paraId="47513B6C">
      <w:pPr>
        <w:keepNext/>
        <w:keepLines/>
        <w:widowControl w:val="0"/>
        <w:spacing w:before="0" w:after="0" w:line="360" w:lineRule="auto"/>
        <w:ind w:firstLine="480" w:firstLineChars="200"/>
        <w:jc w:val="both"/>
        <w:outlineLvl w:val="1"/>
        <w:rPr>
          <w:rFonts w:ascii="宋体" w:hAnsi="宋体" w:eastAsia="宋体" w:cs="宋体"/>
          <w:b w:val="0"/>
          <w:bCs/>
          <w:color w:val="000000"/>
          <w:kern w:val="2"/>
          <w:sz w:val="24"/>
          <w:szCs w:val="24"/>
          <w:lang w:val="en-US" w:eastAsia="zh-CN" w:bidi="ar-SA"/>
        </w:rPr>
      </w:pPr>
      <w:bookmarkStart w:id="399" w:name="_Toc256001434"/>
      <w:bookmarkStart w:id="400" w:name="_Toc1032760150"/>
      <w:bookmarkStart w:id="401" w:name="_Toc256002342"/>
      <w:bookmarkStart w:id="402" w:name="_Toc256003704"/>
      <w:bookmarkStart w:id="403" w:name="_Toc256003477"/>
      <w:bookmarkStart w:id="404" w:name="_Toc256003023"/>
      <w:bookmarkStart w:id="405" w:name="_Toc256000526"/>
      <w:bookmarkStart w:id="406" w:name="_Toc256000753"/>
      <w:bookmarkStart w:id="407" w:name="_Toc256000980"/>
      <w:bookmarkStart w:id="408" w:name="_Toc256000299"/>
      <w:bookmarkStart w:id="409" w:name="_Toc256001207"/>
      <w:bookmarkStart w:id="410" w:name="_Toc256001661"/>
      <w:bookmarkStart w:id="411" w:name="_Toc256001888"/>
      <w:bookmarkStart w:id="412" w:name="_Toc256000072"/>
      <w:bookmarkStart w:id="413" w:name="_Toc204832942"/>
      <w:bookmarkStart w:id="414" w:name="_Toc256003931"/>
      <w:bookmarkStart w:id="415" w:name="_Toc256003250"/>
      <w:bookmarkStart w:id="416" w:name="_Toc256002569"/>
      <w:bookmarkStart w:id="417" w:name="_Toc256002796"/>
      <w:bookmarkStart w:id="418" w:name="_Toc256002115"/>
      <w:r>
        <w:rPr>
          <w:rFonts w:hint="eastAsia" w:ascii="宋体" w:hAnsi="宋体" w:eastAsia="宋体" w:cs="宋体"/>
          <w:b w:val="0"/>
          <w:bCs/>
          <w:color w:val="000000"/>
          <w:kern w:val="2"/>
          <w:sz w:val="24"/>
          <w:szCs w:val="24"/>
          <w:lang w:val="en-US" w:eastAsia="zh-CN" w:bidi="ar-SA"/>
        </w:rPr>
        <w:t>四、签约合同价与合同价格形式</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hint="eastAsia" w:ascii="宋体" w:hAnsi="宋体" w:eastAsia="宋体" w:cs="宋体"/>
          <w:b w:val="0"/>
          <w:bCs/>
          <w:color w:val="000000"/>
          <w:kern w:val="2"/>
          <w:sz w:val="24"/>
          <w:szCs w:val="24"/>
          <w:lang w:val="en-US" w:eastAsia="zh-CN" w:bidi="ar-SA"/>
        </w:rPr>
        <w:tab/>
      </w:r>
    </w:p>
    <w:p w14:paraId="0B968819">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1.签约合同价（不含税）为：</w:t>
      </w:r>
    </w:p>
    <w:p w14:paraId="53096BC9">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人民币（大写）(¥元)；税率：%；</w:t>
      </w:r>
    </w:p>
    <w:p w14:paraId="34E81BF3">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含税金额：人民币（大写(¥元)。</w:t>
      </w:r>
    </w:p>
    <w:p w14:paraId="37994BC4">
      <w:pPr>
        <w:widowControl w:val="0"/>
        <w:spacing w:line="360" w:lineRule="auto"/>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其中：</w:t>
      </w:r>
    </w:p>
    <w:p w14:paraId="04F56DC4">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（1）安全文明施工费（含税）：</w:t>
      </w:r>
    </w:p>
    <w:p w14:paraId="479B91FF">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人民币（大写）(¥元)；</w:t>
      </w:r>
    </w:p>
    <w:p w14:paraId="664D6B4C">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（2）暂估价金额（含税）：</w:t>
      </w:r>
    </w:p>
    <w:p w14:paraId="3F8F829C">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人民币（大写）(¥元)；</w:t>
      </w:r>
    </w:p>
    <w:p w14:paraId="34E4D56F">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（3）暂列金额（含税）：</w:t>
      </w:r>
    </w:p>
    <w:p w14:paraId="5C32A123">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人民币（大写）(¥元)；</w:t>
      </w:r>
    </w:p>
    <w:p w14:paraId="6C77F145">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（4）农民工工伤保险（含税）：</w:t>
      </w:r>
    </w:p>
    <w:p w14:paraId="1A4D3308">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人民币（大写）(¥元)。</w:t>
      </w:r>
    </w:p>
    <w:p w14:paraId="245C64DD">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2.合同价格形式：</w:t>
      </w:r>
      <w:r>
        <w:rPr>
          <w:rFonts w:hint="eastAsia" w:ascii="宋体" w:hAnsi="宋体" w:eastAsia="宋体" w:cs="宋体"/>
          <w:bCs/>
          <w:color w:val="000000"/>
          <w:kern w:val="2"/>
          <w:sz w:val="24"/>
          <w:szCs w:val="24"/>
          <w:u w:val="single"/>
          <w:lang w:val="en-US" w:eastAsia="zh-CN" w:bidi="ar-SA"/>
        </w:rPr>
        <w:t>固定单价</w:t>
      </w:r>
      <w:r>
        <w:rPr>
          <w:rFonts w:hint="eastAsia" w:ascii="宋体" w:hAnsi="宋体" w:eastAsia="宋体" w:cs="宋体"/>
          <w:bCs/>
          <w:color w:val="000000"/>
          <w:kern w:val="2"/>
          <w:sz w:val="24"/>
          <w:szCs w:val="24"/>
          <w:lang w:val="en-US" w:eastAsia="zh-CN" w:bidi="ar-SA"/>
        </w:rPr>
        <w:t>。</w:t>
      </w:r>
    </w:p>
    <w:p w14:paraId="30F2537F">
      <w:pPr>
        <w:widowControl w:val="0"/>
        <w:spacing w:line="360" w:lineRule="auto"/>
        <w:ind w:firstLine="480" w:firstLineChars="200"/>
        <w:jc w:val="both"/>
        <w:outlineLvl w:val="1"/>
        <w:rPr>
          <w:rFonts w:ascii="宋体" w:hAnsi="宋体" w:eastAsia="宋体" w:cs="宋体"/>
          <w:bCs/>
          <w:color w:val="000000"/>
          <w:kern w:val="2"/>
          <w:sz w:val="24"/>
          <w:szCs w:val="24"/>
          <w:lang w:val="en-US" w:eastAsia="zh-CN" w:bidi="ar-SA"/>
        </w:rPr>
      </w:pPr>
      <w:bookmarkStart w:id="419" w:name="_Toc256000300"/>
      <w:bookmarkStart w:id="420" w:name="_Toc578358000"/>
      <w:bookmarkStart w:id="421" w:name="_Toc256003932"/>
      <w:bookmarkStart w:id="422" w:name="_Toc256003478"/>
      <w:bookmarkStart w:id="423" w:name="_Toc256002570"/>
      <w:bookmarkStart w:id="424" w:name="_Toc256002797"/>
      <w:bookmarkStart w:id="425" w:name="_Toc256001662"/>
      <w:bookmarkStart w:id="426" w:name="_Toc256000073"/>
      <w:bookmarkStart w:id="427" w:name="_Toc256002343"/>
      <w:bookmarkStart w:id="428" w:name="_Toc256000527"/>
      <w:bookmarkStart w:id="429" w:name="_Toc256003024"/>
      <w:bookmarkStart w:id="430" w:name="_Toc256002116"/>
      <w:bookmarkStart w:id="431" w:name="_Toc256000981"/>
      <w:bookmarkStart w:id="432" w:name="_Toc256001889"/>
      <w:bookmarkStart w:id="433" w:name="_Toc256003705"/>
      <w:bookmarkStart w:id="434" w:name="_Toc256001208"/>
      <w:bookmarkStart w:id="435" w:name="_Toc256000754"/>
      <w:bookmarkStart w:id="436" w:name="_Toc256003251"/>
      <w:bookmarkStart w:id="437" w:name="_Toc1266145827"/>
      <w:bookmarkStart w:id="438" w:name="_Toc256001435"/>
      <w:r>
        <w:rPr>
          <w:rFonts w:hint="eastAsia" w:ascii="宋体" w:hAnsi="宋体" w:eastAsia="宋体" w:cs="宋体"/>
          <w:bCs/>
          <w:color w:val="000000"/>
          <w:kern w:val="2"/>
          <w:sz w:val="24"/>
          <w:szCs w:val="24"/>
          <w:lang w:val="en-US" w:eastAsia="zh-CN" w:bidi="ar-SA"/>
        </w:rPr>
        <w:t>五、承包人项目负责人</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E9043EE">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 xml:space="preserve">姓名：；身份证号：。 </w:t>
      </w:r>
    </w:p>
    <w:p w14:paraId="734B1CB2">
      <w:pPr>
        <w:widowControl w:val="0"/>
        <w:spacing w:line="360" w:lineRule="auto"/>
        <w:ind w:firstLine="480" w:firstLineChars="200"/>
        <w:jc w:val="both"/>
        <w:outlineLvl w:val="1"/>
        <w:rPr>
          <w:rFonts w:ascii="宋体" w:hAnsi="宋体" w:eastAsia="宋体" w:cs="宋体"/>
          <w:bCs/>
          <w:color w:val="000000"/>
          <w:kern w:val="2"/>
          <w:sz w:val="24"/>
          <w:szCs w:val="24"/>
          <w:lang w:val="en-US" w:eastAsia="zh-CN" w:bidi="ar-SA"/>
        </w:rPr>
      </w:pPr>
      <w:bookmarkStart w:id="439" w:name="_Toc256002117"/>
      <w:bookmarkStart w:id="440" w:name="_Toc256003933"/>
      <w:bookmarkStart w:id="441" w:name="_Toc256001209"/>
      <w:bookmarkStart w:id="442" w:name="_Toc256002798"/>
      <w:bookmarkStart w:id="443" w:name="_Toc256000074"/>
      <w:bookmarkStart w:id="444" w:name="_Toc256003706"/>
      <w:bookmarkStart w:id="445" w:name="_Toc256003252"/>
      <w:bookmarkStart w:id="446" w:name="_Toc256000301"/>
      <w:bookmarkStart w:id="447" w:name="_Toc256001436"/>
      <w:bookmarkStart w:id="448" w:name="_Toc1315372893"/>
      <w:bookmarkStart w:id="449" w:name="_Toc256000982"/>
      <w:bookmarkStart w:id="450" w:name="_Toc256003025"/>
      <w:bookmarkStart w:id="451" w:name="_Toc256000755"/>
      <w:bookmarkStart w:id="452" w:name="_Toc256003479"/>
      <w:bookmarkStart w:id="453" w:name="_Toc565350378"/>
      <w:bookmarkStart w:id="454" w:name="_Toc256000528"/>
      <w:bookmarkStart w:id="455" w:name="_Toc256002571"/>
      <w:bookmarkStart w:id="456" w:name="_Toc256002344"/>
      <w:bookmarkStart w:id="457" w:name="_Toc256001663"/>
      <w:bookmarkStart w:id="458" w:name="_Toc256001890"/>
      <w:r>
        <w:rPr>
          <w:rFonts w:hint="eastAsia" w:ascii="宋体" w:hAnsi="宋体" w:eastAsia="宋体" w:cs="宋体"/>
          <w:bCs/>
          <w:color w:val="000000"/>
          <w:kern w:val="2"/>
          <w:sz w:val="24"/>
          <w:szCs w:val="24"/>
          <w:lang w:val="en-US" w:eastAsia="zh-CN" w:bidi="ar-SA"/>
        </w:rPr>
        <w:t>六、预付款</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2D0E28E">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预付款：本工程预付款为除暂列金额、暂估价后签约合同价的10%，合同签订后30日内，发包人支付给承包人。</w:t>
      </w:r>
    </w:p>
    <w:p w14:paraId="5E07FD03">
      <w:pPr>
        <w:widowControl w:val="0"/>
        <w:spacing w:line="360" w:lineRule="auto"/>
        <w:ind w:firstLine="480" w:firstLineChars="200"/>
        <w:jc w:val="left"/>
        <w:outlineLvl w:val="1"/>
        <w:rPr>
          <w:rFonts w:ascii="宋体" w:hAnsi="宋体" w:eastAsia="宋体" w:cs="宋体"/>
          <w:bCs/>
          <w:color w:val="000000"/>
          <w:kern w:val="2"/>
          <w:sz w:val="24"/>
          <w:szCs w:val="24"/>
          <w:lang w:val="en-US" w:eastAsia="zh-CN" w:bidi="ar-SA"/>
        </w:rPr>
      </w:pPr>
      <w:bookmarkStart w:id="459" w:name="_Toc256003026"/>
      <w:bookmarkStart w:id="460" w:name="_Toc256001891"/>
      <w:bookmarkStart w:id="461" w:name="_Toc256003480"/>
      <w:bookmarkStart w:id="462" w:name="_Toc256003934"/>
      <w:bookmarkStart w:id="463" w:name="_Toc256000075"/>
      <w:bookmarkStart w:id="464" w:name="_Toc1430992058"/>
      <w:bookmarkStart w:id="465" w:name="_Toc256003253"/>
      <w:bookmarkStart w:id="466" w:name="_Toc256001664"/>
      <w:bookmarkStart w:id="467" w:name="_Toc256000302"/>
      <w:bookmarkStart w:id="468" w:name="_Toc256001210"/>
      <w:bookmarkStart w:id="469" w:name="_Toc256002799"/>
      <w:bookmarkStart w:id="470" w:name="_Toc256000756"/>
      <w:bookmarkStart w:id="471" w:name="_Toc256002118"/>
      <w:bookmarkStart w:id="472" w:name="_Toc256000529"/>
      <w:bookmarkStart w:id="473" w:name="_Toc256003707"/>
      <w:bookmarkStart w:id="474" w:name="_Toc256002572"/>
      <w:bookmarkStart w:id="475" w:name="_Toc256000983"/>
      <w:bookmarkStart w:id="476" w:name="_Toc256002345"/>
      <w:bookmarkStart w:id="477" w:name="_Toc256001437"/>
      <w:bookmarkStart w:id="478" w:name="_Toc1555190768"/>
      <w:r>
        <w:rPr>
          <w:rFonts w:hint="eastAsia" w:ascii="宋体" w:hAnsi="宋体" w:eastAsia="宋体" w:cs="宋体"/>
          <w:bCs/>
          <w:color w:val="000000"/>
          <w:kern w:val="2"/>
          <w:sz w:val="24"/>
          <w:szCs w:val="24"/>
          <w:lang w:val="en-US" w:eastAsia="zh-CN" w:bidi="ar-SA"/>
        </w:rPr>
        <w:t>七、</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79" w:name="_Toc367134989"/>
      <w:bookmarkStart w:id="480" w:name="_Toc1430684837"/>
      <w:r>
        <w:rPr>
          <w:rFonts w:hint="eastAsia" w:ascii="宋体" w:hAnsi="宋体" w:eastAsia="宋体" w:cs="宋体"/>
          <w:bCs/>
          <w:color w:val="000000"/>
          <w:kern w:val="2"/>
          <w:sz w:val="24"/>
          <w:szCs w:val="24"/>
          <w:lang w:val="en-US" w:eastAsia="zh-CN" w:bidi="ar-SA"/>
        </w:rPr>
        <w:t>绿化种植及养护要求</w:t>
      </w:r>
    </w:p>
    <w:p w14:paraId="5A5E2F99">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1.在施工过程及绿化养护期内植物死亡，须按原设计品种和规格更换，更换费用由承包人承担。</w:t>
      </w:r>
    </w:p>
    <w:p w14:paraId="4E916550">
      <w:pPr>
        <w:widowControl w:val="0"/>
        <w:spacing w:line="360" w:lineRule="auto"/>
        <w:ind w:firstLine="480" w:firstLineChars="200"/>
        <w:jc w:val="both"/>
        <w:rPr>
          <w:rFonts w:ascii="宋体" w:hAnsi="宋体" w:eastAsia="宋体" w:cs="宋体"/>
          <w:bCs/>
          <w:color w:val="000000"/>
          <w:kern w:val="2"/>
          <w:sz w:val="24"/>
          <w:szCs w:val="24"/>
          <w:u w:val="single"/>
          <w:lang w:val="en-US" w:eastAsia="zh-CN" w:bidi="ar-SA"/>
        </w:rPr>
      </w:pPr>
      <w:r>
        <w:rPr>
          <w:rFonts w:hint="eastAsia" w:ascii="宋体" w:hAnsi="宋体" w:eastAsia="宋体" w:cs="宋体"/>
          <w:bCs/>
          <w:color w:val="000000"/>
          <w:kern w:val="2"/>
          <w:sz w:val="24"/>
          <w:szCs w:val="24"/>
          <w:lang w:val="en-US" w:eastAsia="zh-CN" w:bidi="ar-SA"/>
        </w:rPr>
        <w:t>2.竣工验收时苗木成活率约定（乔木、灌木、地被、草坪等）：</w:t>
      </w:r>
      <w:r>
        <w:rPr>
          <w:rFonts w:hint="eastAsia" w:ascii="宋体" w:hAnsi="宋体" w:eastAsia="宋体" w:cs="宋体"/>
          <w:bCs/>
          <w:color w:val="000000"/>
          <w:kern w:val="2"/>
          <w:sz w:val="24"/>
          <w:szCs w:val="24"/>
          <w:u w:val="single"/>
          <w:lang w:val="en-US" w:eastAsia="zh-CN" w:bidi="ar-SA"/>
        </w:rPr>
        <w:t>100%</w:t>
      </w:r>
      <w:r>
        <w:rPr>
          <w:rFonts w:hint="eastAsia" w:ascii="宋体" w:hAnsi="宋体" w:eastAsia="宋体" w:cs="宋体"/>
          <w:bCs/>
          <w:color w:val="000000"/>
          <w:kern w:val="2"/>
          <w:sz w:val="24"/>
          <w:szCs w:val="24"/>
          <w:lang w:val="en-US" w:eastAsia="zh-CN" w:bidi="ar-SA"/>
        </w:rPr>
        <w:t>。</w:t>
      </w:r>
    </w:p>
    <w:p w14:paraId="1EEDD66D">
      <w:pPr>
        <w:widowControl w:val="0"/>
        <w:spacing w:line="360" w:lineRule="auto"/>
        <w:ind w:firstLine="480" w:firstLineChars="200"/>
        <w:jc w:val="both"/>
        <w:rPr>
          <w:rFonts w:ascii="宋体" w:hAnsi="宋体" w:eastAsia="宋体" w:cs="宋体"/>
          <w:bCs/>
          <w:color w:val="000000"/>
          <w:kern w:val="2"/>
          <w:sz w:val="24"/>
          <w:szCs w:val="24"/>
          <w:u w:val="single"/>
          <w:lang w:val="en-US" w:eastAsia="zh-CN" w:bidi="ar-SA"/>
        </w:rPr>
      </w:pPr>
      <w:r>
        <w:rPr>
          <w:rFonts w:hint="eastAsia" w:ascii="宋体" w:hAnsi="宋体" w:eastAsia="宋体" w:cs="宋体"/>
          <w:bCs/>
          <w:color w:val="000000"/>
          <w:kern w:val="2"/>
          <w:sz w:val="24"/>
          <w:szCs w:val="24"/>
          <w:lang w:val="en-US" w:eastAsia="zh-CN" w:bidi="ar-SA"/>
        </w:rPr>
        <w:t>3.养护期满移交时苗木成活率约定（乔木、灌木、地被、草坪等）：</w:t>
      </w:r>
      <w:r>
        <w:rPr>
          <w:rFonts w:hint="eastAsia" w:ascii="宋体" w:hAnsi="宋体" w:eastAsia="宋体" w:cs="宋体"/>
          <w:bCs/>
          <w:color w:val="000000"/>
          <w:kern w:val="2"/>
          <w:sz w:val="24"/>
          <w:szCs w:val="24"/>
          <w:u w:val="single"/>
          <w:lang w:val="en-US" w:eastAsia="zh-CN" w:bidi="ar-SA"/>
        </w:rPr>
        <w:t>100%</w:t>
      </w:r>
      <w:r>
        <w:rPr>
          <w:rFonts w:hint="eastAsia" w:ascii="宋体" w:hAnsi="宋体" w:eastAsia="宋体" w:cs="宋体"/>
          <w:bCs/>
          <w:color w:val="000000"/>
          <w:kern w:val="2"/>
          <w:sz w:val="24"/>
          <w:szCs w:val="24"/>
          <w:lang w:val="en-US" w:eastAsia="zh-CN" w:bidi="ar-SA"/>
        </w:rPr>
        <w:t>。</w:t>
      </w:r>
    </w:p>
    <w:p w14:paraId="3C186B77">
      <w:pPr>
        <w:widowControl w:val="0"/>
        <w:spacing w:line="360" w:lineRule="auto"/>
        <w:ind w:firstLine="480" w:firstLineChars="200"/>
        <w:jc w:val="left"/>
        <w:rPr>
          <w:rFonts w:ascii="宋体" w:hAnsi="宋体" w:eastAsia="宋体" w:cs="宋体"/>
          <w:bCs/>
          <w:color w:val="000000"/>
          <w:kern w:val="2"/>
          <w:sz w:val="24"/>
          <w:szCs w:val="24"/>
          <w:u w:val="single"/>
          <w:lang w:val="en-US" w:eastAsia="zh-CN" w:bidi="ar-SA"/>
        </w:rPr>
      </w:pPr>
      <w:r>
        <w:rPr>
          <w:rFonts w:hint="eastAsia" w:ascii="宋体" w:hAnsi="宋体" w:eastAsia="宋体" w:cs="宋体"/>
          <w:bCs/>
          <w:color w:val="000000"/>
          <w:kern w:val="2"/>
          <w:sz w:val="24"/>
          <w:szCs w:val="24"/>
          <w:lang w:val="en-US" w:eastAsia="zh-CN" w:bidi="ar-SA"/>
        </w:rPr>
        <w:t xml:space="preserve">八、其他要求： 。 </w:t>
      </w:r>
    </w:p>
    <w:bookmarkEnd w:id="479"/>
    <w:bookmarkEnd w:id="480"/>
    <w:p w14:paraId="109C5706">
      <w:pPr>
        <w:widowControl w:val="0"/>
        <w:spacing w:line="360" w:lineRule="auto"/>
        <w:ind w:firstLine="480" w:firstLineChars="200"/>
        <w:jc w:val="left"/>
        <w:outlineLvl w:val="1"/>
        <w:rPr>
          <w:rFonts w:ascii="宋体" w:hAnsi="宋体" w:eastAsia="宋体" w:cs="宋体"/>
          <w:bCs/>
          <w:color w:val="000000"/>
          <w:kern w:val="2"/>
          <w:sz w:val="24"/>
          <w:szCs w:val="24"/>
          <w:lang w:val="en-US" w:eastAsia="zh-CN" w:bidi="ar-SA"/>
        </w:rPr>
      </w:pPr>
      <w:bookmarkStart w:id="481" w:name="_Toc256001438"/>
      <w:bookmarkStart w:id="482" w:name="_Toc256003708"/>
      <w:bookmarkStart w:id="483" w:name="_Toc184090255"/>
      <w:bookmarkStart w:id="484" w:name="_Toc256003254"/>
      <w:bookmarkStart w:id="485" w:name="_Toc256003027"/>
      <w:bookmarkStart w:id="486" w:name="_Toc256000303"/>
      <w:bookmarkStart w:id="487" w:name="_Toc256002573"/>
      <w:bookmarkStart w:id="488" w:name="_Toc256003481"/>
      <w:bookmarkStart w:id="489" w:name="_Toc256002119"/>
      <w:bookmarkStart w:id="490" w:name="_Toc256000530"/>
      <w:bookmarkStart w:id="491" w:name="_Toc256000757"/>
      <w:bookmarkStart w:id="492" w:name="_Toc256001665"/>
      <w:bookmarkStart w:id="493" w:name="_Toc256000984"/>
      <w:bookmarkStart w:id="494" w:name="_Toc256001211"/>
      <w:bookmarkStart w:id="495" w:name="_Toc256002800"/>
      <w:bookmarkStart w:id="496" w:name="_Toc256003935"/>
      <w:bookmarkStart w:id="497" w:name="_Toc256000076"/>
      <w:bookmarkStart w:id="498" w:name="_Toc256002346"/>
      <w:bookmarkStart w:id="499" w:name="_Toc1318737122"/>
      <w:bookmarkStart w:id="500" w:name="_Toc256001892"/>
      <w:r>
        <w:rPr>
          <w:rFonts w:hint="eastAsia" w:ascii="宋体" w:hAnsi="宋体" w:eastAsia="宋体" w:cs="宋体"/>
          <w:bCs/>
          <w:color w:val="000000"/>
          <w:kern w:val="2"/>
          <w:sz w:val="24"/>
          <w:szCs w:val="24"/>
          <w:lang w:val="en-US" w:eastAsia="zh-CN" w:bidi="ar-SA"/>
        </w:rPr>
        <w:t>九、合同文件构成</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2BCD7D70">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本协议书与下列文件一起构成合同文件：</w:t>
      </w:r>
    </w:p>
    <w:p w14:paraId="22C0EAC6">
      <w:pPr>
        <w:widowControl w:val="0"/>
        <w:autoSpaceDE w:val="0"/>
        <w:autoSpaceDN w:val="0"/>
        <w:adjustRightInd w:val="0"/>
        <w:spacing w:line="360" w:lineRule="auto"/>
        <w:ind w:firstLine="480" w:firstLineChars="200"/>
        <w:jc w:val="left"/>
        <w:rPr>
          <w:rFonts w:ascii="宋体" w:hAnsi="宋体" w:eastAsia="宋体" w:cs="宋体"/>
          <w:bCs/>
          <w:color w:val="000000"/>
          <w:kern w:val="2"/>
          <w:sz w:val="24"/>
          <w:szCs w:val="24"/>
          <w:u w:val="single"/>
          <w:lang w:val="en-US" w:eastAsia="zh-CN" w:bidi="ar-SA"/>
        </w:rPr>
      </w:pPr>
      <w:r>
        <w:rPr>
          <w:rFonts w:hint="eastAsia" w:ascii="宋体" w:hAnsi="宋体" w:eastAsia="宋体" w:cs="宋体"/>
          <w:bCs/>
          <w:color w:val="000000"/>
          <w:kern w:val="2"/>
          <w:sz w:val="24"/>
          <w:szCs w:val="24"/>
          <w:lang w:val="en-US" w:eastAsia="zh-CN" w:bidi="ar-SA"/>
        </w:rPr>
        <w:t>（1）中标通知书（如果有）；（2）投标函及其附录（如果有）；（3）专用合同条款及其附件；（4）通用合同条款；（5）技术标准和要求；（6）图纸；（7）已标价工程量清单或预算书；（8）其他合同文件。</w:t>
      </w:r>
    </w:p>
    <w:p w14:paraId="15995E37">
      <w:pPr>
        <w:widowControl w:val="0"/>
        <w:autoSpaceDE w:val="0"/>
        <w:autoSpaceDN w:val="0"/>
        <w:adjustRightInd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在合同订立及履行过程中形成的与合同有关的文件均构成合同文件组成部分。</w:t>
      </w:r>
    </w:p>
    <w:p w14:paraId="627588BE">
      <w:pPr>
        <w:widowControl w:val="0"/>
        <w:autoSpaceDE w:val="0"/>
        <w:autoSpaceDN w:val="0"/>
        <w:adjustRightInd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上述各项合同文件包括合同当事人就该项合同文件所作出的补充和修改，属于同一类内容的文件，应以最新签署的为准。专用合同条款及其附件须经合同当事人签字或盖章。</w:t>
      </w:r>
    </w:p>
    <w:p w14:paraId="4A6EA591">
      <w:pPr>
        <w:widowControl w:val="0"/>
        <w:spacing w:line="360" w:lineRule="auto"/>
        <w:ind w:firstLine="480" w:firstLineChars="200"/>
        <w:jc w:val="left"/>
        <w:outlineLvl w:val="1"/>
        <w:rPr>
          <w:rFonts w:ascii="宋体" w:hAnsi="宋体" w:eastAsia="宋体" w:cs="宋体"/>
          <w:bCs/>
          <w:color w:val="000000"/>
          <w:kern w:val="2"/>
          <w:sz w:val="24"/>
          <w:szCs w:val="24"/>
          <w:lang w:val="en-US" w:eastAsia="zh-CN" w:bidi="ar-SA"/>
        </w:rPr>
      </w:pPr>
      <w:bookmarkStart w:id="501" w:name="_Toc256000077"/>
      <w:bookmarkStart w:id="502" w:name="_Toc256002347"/>
      <w:bookmarkStart w:id="503" w:name="_Toc256001439"/>
      <w:bookmarkStart w:id="504" w:name="_Toc410640064"/>
      <w:bookmarkStart w:id="505" w:name="_Toc256002574"/>
      <w:bookmarkStart w:id="506" w:name="_Toc256000304"/>
      <w:bookmarkStart w:id="507" w:name="_Toc256000531"/>
      <w:bookmarkStart w:id="508" w:name="_Toc256003936"/>
      <w:bookmarkStart w:id="509" w:name="_Toc256002120"/>
      <w:bookmarkStart w:id="510" w:name="_Toc256003709"/>
      <w:bookmarkStart w:id="511" w:name="_Toc256002801"/>
      <w:bookmarkStart w:id="512" w:name="_Toc256001893"/>
      <w:bookmarkStart w:id="513" w:name="_Toc256001666"/>
      <w:bookmarkStart w:id="514" w:name="_Toc256003482"/>
      <w:bookmarkStart w:id="515" w:name="_Toc256003028"/>
      <w:bookmarkStart w:id="516" w:name="_Toc256000758"/>
      <w:bookmarkStart w:id="517" w:name="_Toc256001212"/>
      <w:bookmarkStart w:id="518" w:name="_Toc256003255"/>
      <w:bookmarkStart w:id="519" w:name="_Toc256000985"/>
      <w:bookmarkStart w:id="520" w:name="_Toc1718441829"/>
      <w:r>
        <w:rPr>
          <w:rFonts w:hint="eastAsia" w:ascii="宋体" w:hAnsi="宋体" w:eastAsia="宋体" w:cs="宋体"/>
          <w:bCs/>
          <w:color w:val="000000"/>
          <w:kern w:val="2"/>
          <w:sz w:val="24"/>
          <w:szCs w:val="24"/>
          <w:lang w:val="en-US" w:eastAsia="zh-CN" w:bidi="ar-SA"/>
        </w:rPr>
        <w:t>十、承诺</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5C4C541A">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14:paraId="2FAD6D58">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14:paraId="6A0F7FEB">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3.发包人和承包人通过招投标形式签订合同的，双方理解并承诺不再就同一工程另行签订与合同实质性内容相背离的协议。</w:t>
      </w:r>
    </w:p>
    <w:p w14:paraId="094899C3">
      <w:pPr>
        <w:widowControl w:val="0"/>
        <w:spacing w:line="360" w:lineRule="auto"/>
        <w:jc w:val="both"/>
        <w:outlineLvl w:val="1"/>
        <w:rPr>
          <w:rFonts w:ascii="宋体" w:hAnsi="宋体" w:eastAsia="宋体" w:cs="宋体"/>
          <w:bCs/>
          <w:color w:val="000000"/>
          <w:kern w:val="2"/>
          <w:sz w:val="24"/>
          <w:szCs w:val="24"/>
          <w:lang w:val="en-US" w:eastAsia="zh-CN" w:bidi="ar-SA"/>
        </w:rPr>
      </w:pPr>
      <w:bookmarkStart w:id="521" w:name="_Toc256003256"/>
      <w:bookmarkStart w:id="522" w:name="_Toc256000986"/>
      <w:bookmarkStart w:id="523" w:name="_Toc256001213"/>
      <w:bookmarkStart w:id="524" w:name="_Toc256001667"/>
      <w:bookmarkStart w:id="525" w:name="_Toc256000759"/>
      <w:bookmarkStart w:id="526" w:name="_Toc256000532"/>
      <w:bookmarkStart w:id="527" w:name="_Toc256002121"/>
      <w:bookmarkStart w:id="528" w:name="_Toc256000078"/>
      <w:bookmarkStart w:id="529" w:name="_Toc256002348"/>
      <w:bookmarkStart w:id="530" w:name="_Toc256001440"/>
      <w:bookmarkStart w:id="531" w:name="_Toc256003710"/>
      <w:bookmarkStart w:id="532" w:name="_Toc256002575"/>
      <w:bookmarkStart w:id="533" w:name="_Toc1209713496"/>
      <w:bookmarkStart w:id="534" w:name="_Toc256000305"/>
      <w:bookmarkStart w:id="535" w:name="_Toc1094819545"/>
      <w:bookmarkStart w:id="536" w:name="_Toc256003029"/>
      <w:bookmarkStart w:id="537" w:name="_Toc256003483"/>
      <w:bookmarkStart w:id="538" w:name="_Toc256001894"/>
      <w:bookmarkStart w:id="539" w:name="_Toc256003937"/>
      <w:bookmarkStart w:id="540" w:name="_Toc256002802"/>
      <w:r>
        <w:rPr>
          <w:rFonts w:hint="eastAsia" w:ascii="宋体" w:hAnsi="宋体" w:eastAsia="宋体" w:cs="宋体"/>
          <w:bCs/>
          <w:color w:val="000000"/>
          <w:kern w:val="2"/>
          <w:sz w:val="24"/>
          <w:szCs w:val="24"/>
          <w:lang w:val="en-US" w:eastAsia="zh-CN" w:bidi="ar-SA"/>
        </w:rPr>
        <w:t>十一、词语含义</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4A92CFC">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本协议书中词语含义与通用合同条款、专用合同条款中赋予的含义相同。</w:t>
      </w:r>
    </w:p>
    <w:p w14:paraId="1E812E1D">
      <w:pPr>
        <w:keepNext/>
        <w:keepLines/>
        <w:widowControl w:val="0"/>
        <w:spacing w:before="0" w:after="0" w:line="360" w:lineRule="auto"/>
        <w:jc w:val="both"/>
        <w:outlineLvl w:val="1"/>
        <w:rPr>
          <w:rFonts w:ascii="宋体" w:hAnsi="宋体" w:eastAsia="宋体" w:cs="宋体"/>
          <w:b w:val="0"/>
          <w:bCs/>
          <w:color w:val="000000"/>
          <w:kern w:val="2"/>
          <w:sz w:val="24"/>
          <w:szCs w:val="24"/>
          <w:lang w:val="en-US" w:eastAsia="zh-CN" w:bidi="ar-SA"/>
        </w:rPr>
      </w:pPr>
      <w:bookmarkStart w:id="541" w:name="_Toc256000987"/>
      <w:bookmarkStart w:id="542" w:name="_Toc256001214"/>
      <w:bookmarkStart w:id="543" w:name="_Toc256000306"/>
      <w:bookmarkStart w:id="544" w:name="_Toc256002122"/>
      <w:bookmarkStart w:id="545" w:name="_Toc1302915076"/>
      <w:bookmarkStart w:id="546" w:name="_Toc256002349"/>
      <w:bookmarkStart w:id="547" w:name="_Toc256001441"/>
      <w:bookmarkStart w:id="548" w:name="_Toc1843922025"/>
      <w:bookmarkStart w:id="549" w:name="_Toc256003484"/>
      <w:bookmarkStart w:id="550" w:name="_Toc256001895"/>
      <w:bookmarkStart w:id="551" w:name="_Toc256001668"/>
      <w:bookmarkStart w:id="552" w:name="_Toc256002576"/>
      <w:bookmarkStart w:id="553" w:name="_Toc256000533"/>
      <w:bookmarkStart w:id="554" w:name="_Toc256000760"/>
      <w:bookmarkStart w:id="555" w:name="_Toc256002803"/>
      <w:bookmarkStart w:id="556" w:name="_Toc256003257"/>
      <w:bookmarkStart w:id="557" w:name="_Toc256000079"/>
      <w:bookmarkStart w:id="558" w:name="_Toc256003711"/>
      <w:bookmarkStart w:id="559" w:name="_Toc256003938"/>
      <w:bookmarkStart w:id="560" w:name="_Toc256003030"/>
      <w:r>
        <w:rPr>
          <w:rFonts w:hint="eastAsia" w:ascii="宋体" w:hAnsi="宋体" w:eastAsia="宋体" w:cs="宋体"/>
          <w:b w:val="0"/>
          <w:bCs/>
          <w:color w:val="000000"/>
          <w:kern w:val="2"/>
          <w:sz w:val="24"/>
          <w:szCs w:val="24"/>
          <w:lang w:val="en-US" w:eastAsia="zh-CN" w:bidi="ar-SA"/>
        </w:rPr>
        <w:t>十二、签订时间</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8C0720D">
      <w:pPr>
        <w:keepLines/>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本合同于年月日签订。</w:t>
      </w:r>
    </w:p>
    <w:p w14:paraId="09A15267">
      <w:pPr>
        <w:keepNext/>
        <w:keepLines/>
        <w:widowControl w:val="0"/>
        <w:spacing w:before="0" w:after="0" w:line="360" w:lineRule="auto"/>
        <w:jc w:val="both"/>
        <w:outlineLvl w:val="1"/>
        <w:rPr>
          <w:rFonts w:ascii="宋体" w:hAnsi="宋体" w:eastAsia="宋体" w:cs="宋体"/>
          <w:b w:val="0"/>
          <w:bCs/>
          <w:color w:val="000000"/>
          <w:kern w:val="2"/>
          <w:sz w:val="24"/>
          <w:szCs w:val="24"/>
          <w:lang w:val="en-US" w:eastAsia="zh-CN" w:bidi="ar-SA"/>
        </w:rPr>
      </w:pPr>
      <w:bookmarkStart w:id="561" w:name="_Toc256000534"/>
      <w:bookmarkStart w:id="562" w:name="_Toc256002350"/>
      <w:bookmarkStart w:id="563" w:name="_Toc256000761"/>
      <w:bookmarkStart w:id="564" w:name="_Toc256003712"/>
      <w:bookmarkStart w:id="565" w:name="_Toc256000080"/>
      <w:bookmarkStart w:id="566" w:name="_Toc256001215"/>
      <w:bookmarkStart w:id="567" w:name="_Toc256003939"/>
      <w:bookmarkStart w:id="568" w:name="_Toc256001442"/>
      <w:bookmarkStart w:id="569" w:name="_Toc256000988"/>
      <w:bookmarkStart w:id="570" w:name="_Toc256003258"/>
      <w:bookmarkStart w:id="571" w:name="_Toc256001896"/>
      <w:bookmarkStart w:id="572" w:name="_Toc256003485"/>
      <w:bookmarkStart w:id="573" w:name="_Toc256002577"/>
      <w:bookmarkStart w:id="574" w:name="_Toc256001669"/>
      <w:bookmarkStart w:id="575" w:name="_Toc256002804"/>
      <w:bookmarkStart w:id="576" w:name="_Toc256000307"/>
      <w:bookmarkStart w:id="577" w:name="_Toc251726425"/>
      <w:bookmarkStart w:id="578" w:name="_Toc256003031"/>
      <w:bookmarkStart w:id="579" w:name="_Toc256002123"/>
      <w:bookmarkStart w:id="580" w:name="_Toc441671965"/>
      <w:r>
        <w:rPr>
          <w:rFonts w:hint="eastAsia" w:ascii="宋体" w:hAnsi="宋体" w:eastAsia="宋体" w:cs="宋体"/>
          <w:b w:val="0"/>
          <w:bCs/>
          <w:color w:val="000000"/>
          <w:kern w:val="2"/>
          <w:sz w:val="24"/>
          <w:szCs w:val="24"/>
          <w:lang w:val="en-US" w:eastAsia="zh-CN" w:bidi="ar-SA"/>
        </w:rPr>
        <w:t>十三、签订地点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1941B48D">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本合同在</w:t>
      </w:r>
      <w:r>
        <w:rPr>
          <w:rFonts w:hint="eastAsia" w:ascii="宋体" w:hAnsi="宋体" w:eastAsia="宋体" w:cs="宋体"/>
          <w:bCs/>
          <w:color w:val="000000"/>
          <w:kern w:val="2"/>
          <w:sz w:val="24"/>
          <w:szCs w:val="24"/>
          <w:u w:val="single"/>
          <w:lang w:val="en-US" w:eastAsia="zh-CN" w:bidi="ar-SA"/>
        </w:rPr>
        <w:t>南京市建邺区</w:t>
      </w:r>
      <w:r>
        <w:rPr>
          <w:rFonts w:hint="eastAsia" w:ascii="宋体" w:hAnsi="宋体" w:eastAsia="宋体" w:cs="宋体"/>
          <w:bCs/>
          <w:color w:val="000000"/>
          <w:kern w:val="2"/>
          <w:sz w:val="24"/>
          <w:szCs w:val="24"/>
          <w:lang w:val="en-US" w:eastAsia="zh-CN" w:bidi="ar-SA"/>
        </w:rPr>
        <w:t>签订。</w:t>
      </w:r>
    </w:p>
    <w:p w14:paraId="7AF46C56">
      <w:pPr>
        <w:keepNext/>
        <w:keepLines/>
        <w:widowControl w:val="0"/>
        <w:spacing w:before="0" w:after="0" w:line="360" w:lineRule="auto"/>
        <w:jc w:val="both"/>
        <w:outlineLvl w:val="1"/>
        <w:rPr>
          <w:rFonts w:ascii="宋体" w:hAnsi="宋体" w:eastAsia="宋体" w:cs="宋体"/>
          <w:b w:val="0"/>
          <w:bCs/>
          <w:color w:val="000000"/>
          <w:kern w:val="2"/>
          <w:sz w:val="24"/>
          <w:szCs w:val="24"/>
          <w:lang w:val="en-US" w:eastAsia="zh-CN" w:bidi="ar-SA"/>
        </w:rPr>
      </w:pPr>
      <w:bookmarkStart w:id="581" w:name="_Toc256000535"/>
      <w:bookmarkStart w:id="582" w:name="_Toc256003486"/>
      <w:bookmarkStart w:id="583" w:name="_Toc256001216"/>
      <w:bookmarkStart w:id="584" w:name="_Toc256000081"/>
      <w:bookmarkStart w:id="585" w:name="_Toc256002351"/>
      <w:bookmarkStart w:id="586" w:name="_Toc256001670"/>
      <w:bookmarkStart w:id="587" w:name="_Toc256002578"/>
      <w:bookmarkStart w:id="588" w:name="_Toc256003713"/>
      <w:bookmarkStart w:id="589" w:name="_Toc256001443"/>
      <w:bookmarkStart w:id="590" w:name="_Toc256002124"/>
      <w:bookmarkStart w:id="591" w:name="_Toc256000762"/>
      <w:bookmarkStart w:id="592" w:name="_Toc256003032"/>
      <w:bookmarkStart w:id="593" w:name="_Toc256000989"/>
      <w:bookmarkStart w:id="594" w:name="_Toc1799890158"/>
      <w:bookmarkStart w:id="595" w:name="_Toc256000308"/>
      <w:bookmarkStart w:id="596" w:name="_Toc256003940"/>
      <w:bookmarkStart w:id="597" w:name="_Toc256003259"/>
      <w:bookmarkStart w:id="598" w:name="_Toc1858176615"/>
      <w:bookmarkStart w:id="599" w:name="_Toc256002805"/>
      <w:bookmarkStart w:id="600" w:name="_Toc256001897"/>
      <w:r>
        <w:rPr>
          <w:rFonts w:hint="eastAsia" w:ascii="宋体" w:hAnsi="宋体" w:eastAsia="宋体" w:cs="宋体"/>
          <w:b w:val="0"/>
          <w:bCs/>
          <w:color w:val="000000"/>
          <w:kern w:val="2"/>
          <w:sz w:val="24"/>
          <w:szCs w:val="24"/>
          <w:lang w:val="en-US" w:eastAsia="zh-CN" w:bidi="ar-SA"/>
        </w:rPr>
        <w:t>十四、补充协议</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F75DEC9">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合同未尽事宜，合同当事人另行签订补充协议，补充协议是合同的组成部分。</w:t>
      </w:r>
    </w:p>
    <w:p w14:paraId="04D2B33F">
      <w:pPr>
        <w:keepNext/>
        <w:keepLines/>
        <w:widowControl w:val="0"/>
        <w:spacing w:before="0" w:after="0" w:line="360" w:lineRule="auto"/>
        <w:jc w:val="both"/>
        <w:outlineLvl w:val="1"/>
        <w:rPr>
          <w:rFonts w:ascii="宋体" w:hAnsi="宋体" w:eastAsia="宋体" w:cs="宋体"/>
          <w:b w:val="0"/>
          <w:bCs/>
          <w:color w:val="000000"/>
          <w:kern w:val="2"/>
          <w:sz w:val="24"/>
          <w:szCs w:val="24"/>
          <w:lang w:val="en-US" w:eastAsia="zh-CN" w:bidi="ar-SA"/>
        </w:rPr>
      </w:pPr>
      <w:bookmarkStart w:id="601" w:name="_Toc256001671"/>
      <w:bookmarkStart w:id="602" w:name="_Toc256003033"/>
      <w:bookmarkStart w:id="603" w:name="_Toc256000763"/>
      <w:bookmarkStart w:id="604" w:name="_Toc256000536"/>
      <w:bookmarkStart w:id="605" w:name="_Toc256001444"/>
      <w:bookmarkStart w:id="606" w:name="_Toc256003260"/>
      <w:bookmarkStart w:id="607" w:name="_Toc256002806"/>
      <w:bookmarkStart w:id="608" w:name="_Toc256000082"/>
      <w:bookmarkStart w:id="609" w:name="_Toc1600665821"/>
      <w:bookmarkStart w:id="610" w:name="_Toc256001898"/>
      <w:bookmarkStart w:id="611" w:name="_Toc256000309"/>
      <w:bookmarkStart w:id="612" w:name="_Toc256001217"/>
      <w:bookmarkStart w:id="613" w:name="_Toc256002579"/>
      <w:bookmarkStart w:id="614" w:name="_Toc256002125"/>
      <w:bookmarkStart w:id="615" w:name="_Toc256000990"/>
      <w:bookmarkStart w:id="616" w:name="_Toc256002352"/>
      <w:bookmarkStart w:id="617" w:name="_Toc256003487"/>
      <w:bookmarkStart w:id="618" w:name="_Toc256003714"/>
      <w:bookmarkStart w:id="619" w:name="_Toc256003941"/>
      <w:bookmarkStart w:id="620" w:name="_Toc111240637"/>
      <w:r>
        <w:rPr>
          <w:rFonts w:hint="eastAsia" w:ascii="宋体" w:hAnsi="宋体" w:eastAsia="宋体" w:cs="宋体"/>
          <w:b w:val="0"/>
          <w:bCs/>
          <w:color w:val="000000"/>
          <w:kern w:val="2"/>
          <w:sz w:val="24"/>
          <w:szCs w:val="24"/>
          <w:lang w:val="en-US" w:eastAsia="zh-CN" w:bidi="ar-SA"/>
        </w:rPr>
        <w:t>十五、合同生效</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0E2C872F">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本合同自</w:t>
      </w:r>
      <w:r>
        <w:rPr>
          <w:rFonts w:hint="eastAsia" w:ascii="宋体" w:hAnsi="宋体" w:eastAsia="宋体" w:cs="宋体"/>
          <w:bCs/>
          <w:color w:val="000000"/>
          <w:kern w:val="2"/>
          <w:sz w:val="24"/>
          <w:szCs w:val="24"/>
          <w:u w:val="single"/>
          <w:lang w:val="en-US" w:eastAsia="zh-CN" w:bidi="ar-SA"/>
        </w:rPr>
        <w:t>甲乙双方签字盖章后</w:t>
      </w:r>
      <w:r>
        <w:rPr>
          <w:rFonts w:hint="eastAsia" w:ascii="宋体" w:hAnsi="宋体" w:eastAsia="宋体" w:cs="宋体"/>
          <w:bCs/>
          <w:color w:val="000000"/>
          <w:kern w:val="2"/>
          <w:sz w:val="24"/>
          <w:szCs w:val="24"/>
          <w:lang w:val="en-US" w:eastAsia="zh-CN" w:bidi="ar-SA"/>
        </w:rPr>
        <w:t>生效。</w:t>
      </w:r>
    </w:p>
    <w:p w14:paraId="231A3E99">
      <w:pPr>
        <w:keepNext/>
        <w:keepLines/>
        <w:widowControl w:val="0"/>
        <w:spacing w:before="0" w:after="0" w:line="360" w:lineRule="auto"/>
        <w:jc w:val="both"/>
        <w:outlineLvl w:val="1"/>
        <w:rPr>
          <w:rFonts w:ascii="宋体" w:hAnsi="宋体" w:eastAsia="宋体" w:cs="宋体"/>
          <w:b w:val="0"/>
          <w:bCs/>
          <w:color w:val="000000"/>
          <w:kern w:val="2"/>
          <w:sz w:val="24"/>
          <w:szCs w:val="24"/>
          <w:lang w:val="en-US" w:eastAsia="zh-CN" w:bidi="ar-SA"/>
        </w:rPr>
      </w:pPr>
      <w:bookmarkStart w:id="621" w:name="_Toc256003715"/>
      <w:bookmarkStart w:id="622" w:name="_Toc256000310"/>
      <w:bookmarkStart w:id="623" w:name="_Toc256002126"/>
      <w:bookmarkStart w:id="624" w:name="_Toc256003942"/>
      <w:bookmarkStart w:id="625" w:name="_Toc256002580"/>
      <w:bookmarkStart w:id="626" w:name="_Toc256003261"/>
      <w:bookmarkStart w:id="627" w:name="_Toc256000991"/>
      <w:bookmarkStart w:id="628" w:name="_Toc256002353"/>
      <w:bookmarkStart w:id="629" w:name="_Toc256000537"/>
      <w:bookmarkStart w:id="630" w:name="_Toc256000764"/>
      <w:bookmarkStart w:id="631" w:name="_Toc118154563"/>
      <w:bookmarkStart w:id="632" w:name="_Toc256001899"/>
      <w:bookmarkStart w:id="633" w:name="_Toc256001218"/>
      <w:bookmarkStart w:id="634" w:name="_Toc256002807"/>
      <w:bookmarkStart w:id="635" w:name="_Toc256003034"/>
      <w:bookmarkStart w:id="636" w:name="_Toc256001445"/>
      <w:bookmarkStart w:id="637" w:name="_Toc273056816"/>
      <w:bookmarkStart w:id="638" w:name="_Toc256000083"/>
      <w:bookmarkStart w:id="639" w:name="_Toc256001672"/>
      <w:bookmarkStart w:id="640" w:name="_Toc256003488"/>
      <w:r>
        <w:rPr>
          <w:rFonts w:hint="eastAsia" w:ascii="宋体" w:hAnsi="宋体" w:eastAsia="宋体" w:cs="宋体"/>
          <w:b w:val="0"/>
          <w:bCs/>
          <w:color w:val="000000"/>
          <w:kern w:val="2"/>
          <w:sz w:val="24"/>
          <w:szCs w:val="24"/>
          <w:lang w:val="en-US" w:eastAsia="zh-CN" w:bidi="ar-SA"/>
        </w:rPr>
        <w:t>十六、合同份数</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5C306F69">
      <w:pPr>
        <w:widowControl w:val="0"/>
        <w:spacing w:line="360" w:lineRule="auto"/>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本合同一式</w:t>
      </w:r>
      <w:r>
        <w:rPr>
          <w:rFonts w:hint="eastAsia" w:ascii="宋体" w:hAnsi="宋体" w:eastAsia="宋体" w:cs="宋体"/>
          <w:bCs/>
          <w:color w:val="000000"/>
          <w:kern w:val="2"/>
          <w:sz w:val="24"/>
          <w:szCs w:val="24"/>
          <w:u w:val="single"/>
          <w:lang w:val="en-US" w:eastAsia="zh-CN" w:bidi="ar-SA"/>
        </w:rPr>
        <w:t>拾贰</w:t>
      </w:r>
      <w:r>
        <w:rPr>
          <w:rFonts w:hint="eastAsia" w:ascii="宋体" w:hAnsi="宋体" w:eastAsia="宋体" w:cs="宋体"/>
          <w:bCs/>
          <w:color w:val="000000"/>
          <w:kern w:val="2"/>
          <w:sz w:val="24"/>
          <w:szCs w:val="24"/>
          <w:lang w:val="en-US" w:eastAsia="zh-CN" w:bidi="ar-SA"/>
        </w:rPr>
        <w:t>份，均具有同等法律效力，发包人执</w:t>
      </w:r>
      <w:r>
        <w:rPr>
          <w:rFonts w:hint="eastAsia" w:ascii="宋体" w:hAnsi="宋体" w:eastAsia="宋体" w:cs="宋体"/>
          <w:bCs/>
          <w:color w:val="000000"/>
          <w:kern w:val="2"/>
          <w:sz w:val="24"/>
          <w:szCs w:val="24"/>
          <w:u w:val="single"/>
          <w:lang w:val="en-US" w:eastAsia="zh-CN" w:bidi="ar-SA"/>
        </w:rPr>
        <w:t>捌</w:t>
      </w:r>
      <w:r>
        <w:rPr>
          <w:rFonts w:hint="eastAsia" w:ascii="宋体" w:hAnsi="宋体" w:eastAsia="宋体" w:cs="宋体"/>
          <w:bCs/>
          <w:color w:val="000000"/>
          <w:kern w:val="2"/>
          <w:sz w:val="24"/>
          <w:szCs w:val="24"/>
          <w:lang w:val="en-US" w:eastAsia="zh-CN" w:bidi="ar-SA"/>
        </w:rPr>
        <w:t>份，承包人执</w:t>
      </w:r>
      <w:r>
        <w:rPr>
          <w:rFonts w:hint="eastAsia" w:ascii="宋体" w:hAnsi="宋体" w:eastAsia="宋体" w:cs="宋体"/>
          <w:bCs/>
          <w:color w:val="000000"/>
          <w:kern w:val="2"/>
          <w:sz w:val="24"/>
          <w:szCs w:val="24"/>
          <w:u w:val="single"/>
          <w:lang w:val="en-US" w:eastAsia="zh-CN" w:bidi="ar-SA"/>
        </w:rPr>
        <w:t>肆</w:t>
      </w:r>
      <w:r>
        <w:rPr>
          <w:rFonts w:hint="eastAsia" w:ascii="宋体" w:hAnsi="宋体" w:eastAsia="宋体" w:cs="宋体"/>
          <w:bCs/>
          <w:color w:val="000000"/>
          <w:kern w:val="2"/>
          <w:sz w:val="24"/>
          <w:szCs w:val="24"/>
          <w:lang w:val="en-US" w:eastAsia="zh-CN" w:bidi="ar-SA"/>
        </w:rPr>
        <w:t>份。</w:t>
      </w:r>
    </w:p>
    <w:p w14:paraId="29C3D460">
      <w:pPr>
        <w:widowControl w:val="0"/>
        <w:spacing w:line="360" w:lineRule="auto"/>
        <w:jc w:val="both"/>
        <w:rPr>
          <w:rFonts w:ascii="宋体" w:hAnsi="宋体" w:eastAsia="宋体" w:cs="宋体"/>
          <w:color w:val="000000"/>
          <w:kern w:val="2"/>
          <w:sz w:val="24"/>
          <w:szCs w:val="24"/>
          <w:lang w:val="en-US" w:eastAsia="zh-CN" w:bidi="ar-SA"/>
        </w:rPr>
      </w:pPr>
    </w:p>
    <w:p w14:paraId="79439DC9">
      <w:pPr>
        <w:widowControl w:val="0"/>
        <w:spacing w:line="360" w:lineRule="auto"/>
        <w:jc w:val="both"/>
        <w:rPr>
          <w:rFonts w:ascii="宋体" w:hAnsi="宋体" w:eastAsia="宋体" w:cs="宋体"/>
          <w:color w:val="000000"/>
          <w:kern w:val="2"/>
          <w:sz w:val="24"/>
          <w:szCs w:val="24"/>
          <w:lang w:val="en-US" w:eastAsia="zh-CN" w:bidi="ar-SA"/>
        </w:rPr>
      </w:pPr>
    </w:p>
    <w:p w14:paraId="420476C0">
      <w:pPr>
        <w:widowControl w:val="0"/>
        <w:spacing w:line="360" w:lineRule="auto"/>
        <w:jc w:val="both"/>
        <w:rPr>
          <w:rFonts w:ascii="宋体" w:hAnsi="宋体" w:eastAsia="宋体" w:cs="宋体"/>
          <w:color w:val="000000"/>
          <w:kern w:val="2"/>
          <w:sz w:val="24"/>
          <w:szCs w:val="24"/>
          <w:lang w:val="en-US" w:eastAsia="zh-CN" w:bidi="ar-SA"/>
        </w:rPr>
      </w:pPr>
    </w:p>
    <w:p w14:paraId="2DF6FE11">
      <w:pPr>
        <w:widowControl w:val="0"/>
        <w:spacing w:line="360" w:lineRule="auto"/>
        <w:jc w:val="both"/>
        <w:rPr>
          <w:rFonts w:ascii="宋体" w:hAnsi="宋体" w:eastAsia="宋体" w:cs="宋体"/>
          <w:color w:val="000000"/>
          <w:kern w:val="2"/>
          <w:sz w:val="24"/>
          <w:szCs w:val="24"/>
          <w:lang w:val="en-US" w:eastAsia="zh-CN" w:bidi="ar-SA"/>
        </w:rPr>
      </w:pPr>
    </w:p>
    <w:p w14:paraId="33D7A398">
      <w:pPr>
        <w:widowControl w:val="0"/>
        <w:spacing w:line="360" w:lineRule="auto"/>
        <w:jc w:val="both"/>
        <w:rPr>
          <w:rFonts w:ascii="宋体" w:hAnsi="宋体" w:eastAsia="宋体" w:cs="宋体"/>
          <w:color w:val="000000"/>
          <w:kern w:val="2"/>
          <w:sz w:val="24"/>
          <w:szCs w:val="24"/>
          <w:lang w:val="en-US" w:eastAsia="zh-CN" w:bidi="ar-SA"/>
        </w:rPr>
      </w:pPr>
    </w:p>
    <w:p w14:paraId="6B9F4EE7">
      <w:pPr>
        <w:widowControl w:val="0"/>
        <w:spacing w:line="360" w:lineRule="auto"/>
        <w:jc w:val="both"/>
        <w:rPr>
          <w:rFonts w:hint="eastAsia" w:ascii="宋体" w:hAnsi="宋体" w:eastAsia="宋体" w:cs="宋体"/>
          <w:color w:val="000000"/>
          <w:kern w:val="2"/>
          <w:sz w:val="24"/>
          <w:szCs w:val="24"/>
          <w:lang w:val="en-US" w:eastAsia="zh-CN" w:bidi="ar-SA"/>
        </w:rPr>
      </w:pPr>
    </w:p>
    <w:p w14:paraId="276DF792">
      <w:pPr>
        <w:widowControl w:val="0"/>
        <w:spacing w:line="360" w:lineRule="auto"/>
        <w:jc w:val="both"/>
        <w:rPr>
          <w:rFonts w:hint="eastAsia" w:ascii="宋体" w:hAnsi="宋体" w:eastAsia="宋体" w:cs="宋体"/>
          <w:color w:val="000000"/>
          <w:kern w:val="2"/>
          <w:sz w:val="24"/>
          <w:szCs w:val="24"/>
          <w:lang w:val="en-US" w:eastAsia="zh-CN" w:bidi="ar-SA"/>
        </w:rPr>
      </w:pPr>
    </w:p>
    <w:p w14:paraId="5FA4CD05">
      <w:pPr>
        <w:widowControl w:val="0"/>
        <w:spacing w:line="360" w:lineRule="auto"/>
        <w:jc w:val="both"/>
        <w:rPr>
          <w:rFonts w:hint="eastAsia" w:ascii="宋体" w:hAnsi="宋体" w:eastAsia="宋体" w:cs="宋体"/>
          <w:color w:val="000000"/>
          <w:kern w:val="2"/>
          <w:sz w:val="24"/>
          <w:szCs w:val="24"/>
          <w:lang w:val="en-US" w:eastAsia="zh-CN" w:bidi="ar-SA"/>
        </w:rPr>
      </w:pPr>
    </w:p>
    <w:p w14:paraId="0F2D7463">
      <w:pPr>
        <w:widowControl w:val="0"/>
        <w:spacing w:line="360" w:lineRule="auto"/>
        <w:jc w:val="both"/>
        <w:rPr>
          <w:rFonts w:ascii="宋体" w:hAnsi="宋体" w:eastAsia="宋体" w:cs="宋体"/>
          <w:color w:val="000000"/>
          <w:kern w:val="2"/>
          <w:sz w:val="24"/>
          <w:szCs w:val="24"/>
          <w:lang w:val="en-US" w:eastAsia="zh-CN" w:bidi="ar-SA"/>
        </w:rPr>
      </w:pPr>
    </w:p>
    <w:p w14:paraId="5E35C79E">
      <w:pPr>
        <w:widowControl w:val="0"/>
        <w:spacing w:line="360" w:lineRule="auto"/>
        <w:jc w:val="both"/>
        <w:rPr>
          <w:rFonts w:ascii="宋体" w:hAnsi="宋体" w:eastAsia="宋体" w:cs="宋体"/>
          <w:color w:val="000000"/>
          <w:kern w:val="2"/>
          <w:sz w:val="24"/>
          <w:szCs w:val="24"/>
          <w:lang w:val="en-US" w:eastAsia="zh-CN" w:bidi="ar-SA"/>
        </w:rPr>
      </w:pPr>
    </w:p>
    <w:p w14:paraId="441CF055">
      <w:pPr>
        <w:widowControl w:val="0"/>
        <w:spacing w:line="360" w:lineRule="auto"/>
        <w:jc w:val="both"/>
        <w:rPr>
          <w:rFonts w:ascii="宋体" w:hAnsi="宋体" w:eastAsia="宋体" w:cs="宋体"/>
          <w:color w:val="000000"/>
          <w:kern w:val="2"/>
          <w:sz w:val="24"/>
          <w:szCs w:val="24"/>
          <w:lang w:val="en-US" w:eastAsia="zh-CN" w:bidi="ar-SA"/>
        </w:rPr>
      </w:pPr>
    </w:p>
    <w:p w14:paraId="3F14CABD">
      <w:pPr>
        <w:widowControl w:val="0"/>
        <w:spacing w:line="360" w:lineRule="auto"/>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 xml:space="preserve">发包人：（公章）                        承包人：（公章）                             </w:t>
      </w:r>
    </w:p>
    <w:p w14:paraId="32CAB66F">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法定代表人或其委托代理人：              法定代表人或其委托代理人：</w:t>
      </w:r>
    </w:p>
    <w:p w14:paraId="37645A53">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（签字）                               （签字）</w:t>
      </w:r>
    </w:p>
    <w:p w14:paraId="3FD66434">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社会统一信用代码：91320105135176740X    社会统一信用代码：  </w:t>
      </w:r>
    </w:p>
    <w:p w14:paraId="6A4F7204">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  址：南京建邺区文体路56号11楼      地  址：</w:t>
      </w:r>
    </w:p>
    <w:p w14:paraId="5CAC76B2">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邮政编码：210017                        邮政编码：</w:t>
      </w:r>
    </w:p>
    <w:p w14:paraId="51DED585">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法定代表人：                            法定代表人：</w:t>
      </w:r>
    </w:p>
    <w:p w14:paraId="75EC5031">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委托代理人：                            委托代理人：</w:t>
      </w:r>
    </w:p>
    <w:p w14:paraId="61F6BDC2">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电  话： 025-84788730                   电  话：</w:t>
      </w:r>
    </w:p>
    <w:p w14:paraId="49D7D8F0">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传  真：                                传  真：</w:t>
      </w:r>
    </w:p>
    <w:p w14:paraId="7F7D9612">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电子信箱：                              电子信箱：</w:t>
      </w:r>
    </w:p>
    <w:p w14:paraId="1F1078ED">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开户银行：南京银行奥体支行              开户银行：</w:t>
      </w:r>
    </w:p>
    <w:p w14:paraId="38A070A1">
      <w:pPr>
        <w:widowControl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账  号： 016320000000025                账  号：</w:t>
      </w:r>
    </w:p>
    <w:p w14:paraId="2C01338C">
      <w:pPr>
        <w:widowControl w:val="0"/>
        <w:spacing w:line="360" w:lineRule="auto"/>
        <w:jc w:val="both"/>
        <w:rPr>
          <w:rFonts w:ascii="宋体" w:hAnsi="宋体" w:eastAsia="宋体" w:cs="宋体"/>
          <w:color w:val="000000"/>
          <w:kern w:val="2"/>
          <w:sz w:val="24"/>
          <w:szCs w:val="24"/>
          <w:lang w:val="en-US" w:eastAsia="zh-CN" w:bidi="ar-SA"/>
        </w:rPr>
      </w:pPr>
    </w:p>
    <w:p w14:paraId="1FFAD482">
      <w:pPr>
        <w:keepNext/>
        <w:keepLines/>
        <w:widowControl w:val="0"/>
        <w:spacing w:before="260" w:after="260" w:line="360" w:lineRule="auto"/>
        <w:jc w:val="both"/>
        <w:outlineLvl w:val="1"/>
        <w:rPr>
          <w:rFonts w:ascii="宋体" w:hAnsi="宋体" w:eastAsia="宋体" w:cs="宋体"/>
          <w:b w:val="0"/>
          <w:bCs w:val="0"/>
          <w:color w:val="000000"/>
          <w:kern w:val="2"/>
          <w:sz w:val="22"/>
          <w:szCs w:val="22"/>
          <w:lang w:val="en-US" w:eastAsia="zh-CN" w:bidi="ar-SA"/>
        </w:rPr>
      </w:pPr>
      <w:bookmarkStart w:id="641" w:name="_Toc12223"/>
      <w:bookmarkStart w:id="642" w:name="_Toc10868"/>
      <w:bookmarkStart w:id="643" w:name="_Toc16153"/>
      <w:bookmarkStart w:id="644" w:name="_Toc26547"/>
    </w:p>
    <w:p w14:paraId="1FA00502">
      <w:pPr>
        <w:widowControl w:val="0"/>
        <w:jc w:val="both"/>
        <w:rPr>
          <w:rFonts w:ascii="宋体" w:hAnsi="宋体" w:eastAsia="宋体" w:cs="宋体"/>
          <w:b/>
          <w:bCs/>
          <w:color w:val="000000"/>
          <w:kern w:val="2"/>
          <w:sz w:val="22"/>
          <w:szCs w:val="22"/>
          <w:lang w:val="en-US" w:eastAsia="zh-CN" w:bidi="ar-SA"/>
        </w:rPr>
      </w:pPr>
    </w:p>
    <w:p w14:paraId="561CF3F4">
      <w:pPr>
        <w:widowControl w:val="0"/>
        <w:jc w:val="both"/>
        <w:rPr>
          <w:rFonts w:ascii="宋体" w:hAnsi="宋体" w:eastAsia="宋体" w:cs="宋体"/>
          <w:b/>
          <w:bCs/>
          <w:color w:val="000000"/>
          <w:kern w:val="2"/>
          <w:sz w:val="22"/>
          <w:szCs w:val="22"/>
          <w:lang w:val="en-US" w:eastAsia="zh-CN" w:bidi="ar-SA"/>
        </w:rPr>
      </w:pPr>
    </w:p>
    <w:p w14:paraId="6E46AB29">
      <w:pPr>
        <w:widowControl w:val="0"/>
        <w:jc w:val="both"/>
        <w:rPr>
          <w:rFonts w:ascii="宋体" w:hAnsi="宋体" w:eastAsia="宋体" w:cs="宋体"/>
          <w:b/>
          <w:bCs/>
          <w:color w:val="000000"/>
          <w:kern w:val="2"/>
          <w:sz w:val="22"/>
          <w:szCs w:val="22"/>
          <w:lang w:val="en-US" w:eastAsia="zh-CN" w:bidi="ar-SA"/>
        </w:rPr>
      </w:pPr>
    </w:p>
    <w:p w14:paraId="05E8ED90">
      <w:pPr>
        <w:widowControl w:val="0"/>
        <w:jc w:val="both"/>
        <w:rPr>
          <w:rFonts w:ascii="宋体" w:hAnsi="宋体" w:eastAsia="宋体" w:cs="宋体"/>
          <w:b/>
          <w:bCs/>
          <w:color w:val="000000"/>
          <w:kern w:val="2"/>
          <w:sz w:val="22"/>
          <w:szCs w:val="22"/>
          <w:lang w:val="en-US" w:eastAsia="zh-CN" w:bidi="ar-SA"/>
        </w:rPr>
      </w:pPr>
    </w:p>
    <w:p w14:paraId="40A9CF2B">
      <w:pPr>
        <w:widowControl w:val="0"/>
        <w:jc w:val="both"/>
        <w:rPr>
          <w:rFonts w:ascii="宋体" w:hAnsi="宋体" w:eastAsia="宋体" w:cs="宋体"/>
          <w:b/>
          <w:bCs/>
          <w:color w:val="000000"/>
          <w:kern w:val="2"/>
          <w:sz w:val="22"/>
          <w:szCs w:val="22"/>
          <w:lang w:val="en-US" w:eastAsia="zh-CN" w:bidi="ar-SA"/>
        </w:rPr>
      </w:pPr>
    </w:p>
    <w:p w14:paraId="1BA90DA5">
      <w:pPr>
        <w:widowControl w:val="0"/>
        <w:jc w:val="both"/>
        <w:rPr>
          <w:rFonts w:ascii="宋体" w:hAnsi="宋体" w:eastAsia="宋体" w:cs="宋体"/>
          <w:b/>
          <w:bCs/>
          <w:color w:val="000000"/>
          <w:kern w:val="2"/>
          <w:sz w:val="22"/>
          <w:szCs w:val="22"/>
          <w:lang w:val="en-US" w:eastAsia="zh-CN" w:bidi="ar-SA"/>
        </w:rPr>
      </w:pPr>
    </w:p>
    <w:p w14:paraId="37E7BFEE">
      <w:pPr>
        <w:widowControl w:val="0"/>
        <w:jc w:val="both"/>
        <w:rPr>
          <w:rFonts w:ascii="宋体" w:hAnsi="宋体" w:eastAsia="宋体" w:cs="宋体"/>
          <w:b/>
          <w:bCs/>
          <w:color w:val="000000"/>
          <w:kern w:val="2"/>
          <w:sz w:val="22"/>
          <w:szCs w:val="22"/>
          <w:lang w:val="en-US" w:eastAsia="zh-CN" w:bidi="ar-SA"/>
        </w:rPr>
      </w:pPr>
    </w:p>
    <w:p w14:paraId="04A91C3C">
      <w:pPr>
        <w:widowControl w:val="0"/>
        <w:jc w:val="both"/>
        <w:rPr>
          <w:rFonts w:ascii="宋体" w:hAnsi="宋体" w:eastAsia="宋体" w:cs="宋体"/>
          <w:b/>
          <w:bCs/>
          <w:color w:val="000000"/>
          <w:kern w:val="2"/>
          <w:sz w:val="22"/>
          <w:szCs w:val="22"/>
          <w:lang w:val="en-US" w:eastAsia="zh-CN" w:bidi="ar-SA"/>
        </w:rPr>
      </w:pPr>
    </w:p>
    <w:p w14:paraId="38E1A602">
      <w:pPr>
        <w:widowControl w:val="0"/>
        <w:jc w:val="both"/>
        <w:rPr>
          <w:rFonts w:ascii="宋体" w:hAnsi="宋体" w:eastAsia="宋体" w:cs="宋体"/>
          <w:b/>
          <w:bCs/>
          <w:color w:val="000000"/>
          <w:kern w:val="2"/>
          <w:sz w:val="22"/>
          <w:szCs w:val="22"/>
          <w:lang w:val="en-US" w:eastAsia="zh-CN" w:bidi="ar-SA"/>
        </w:rPr>
      </w:pPr>
    </w:p>
    <w:p w14:paraId="6A596665">
      <w:pPr>
        <w:widowControl w:val="0"/>
        <w:jc w:val="both"/>
        <w:rPr>
          <w:rFonts w:ascii="宋体" w:hAnsi="宋体" w:eastAsia="宋体" w:cs="宋体"/>
          <w:b/>
          <w:bCs/>
          <w:color w:val="000000"/>
          <w:kern w:val="2"/>
          <w:sz w:val="22"/>
          <w:szCs w:val="22"/>
          <w:lang w:val="en-US" w:eastAsia="zh-CN" w:bidi="ar-SA"/>
        </w:rPr>
      </w:pPr>
    </w:p>
    <w:p w14:paraId="2FE7E668">
      <w:pPr>
        <w:widowControl w:val="0"/>
        <w:jc w:val="both"/>
        <w:rPr>
          <w:rFonts w:ascii="宋体" w:hAnsi="宋体" w:eastAsia="宋体" w:cs="宋体"/>
          <w:b/>
          <w:bCs/>
          <w:color w:val="000000"/>
          <w:kern w:val="2"/>
          <w:sz w:val="22"/>
          <w:szCs w:val="22"/>
          <w:lang w:val="en-US" w:eastAsia="zh-CN" w:bidi="ar-SA"/>
        </w:rPr>
      </w:pPr>
    </w:p>
    <w:p w14:paraId="41EB915E">
      <w:pPr>
        <w:widowControl w:val="0"/>
        <w:jc w:val="both"/>
        <w:rPr>
          <w:rFonts w:ascii="宋体" w:hAnsi="宋体" w:eastAsia="宋体" w:cs="宋体"/>
          <w:b/>
          <w:bCs/>
          <w:color w:val="000000"/>
          <w:kern w:val="2"/>
          <w:sz w:val="22"/>
          <w:szCs w:val="22"/>
          <w:lang w:val="en-US" w:eastAsia="zh-CN" w:bidi="ar-SA"/>
        </w:rPr>
      </w:pPr>
    </w:p>
    <w:p w14:paraId="42107002">
      <w:pPr>
        <w:widowControl w:val="0"/>
        <w:jc w:val="both"/>
        <w:rPr>
          <w:rFonts w:ascii="宋体" w:hAnsi="宋体" w:eastAsia="宋体" w:cs="宋体"/>
          <w:b/>
          <w:bCs/>
          <w:color w:val="000000"/>
          <w:kern w:val="2"/>
          <w:sz w:val="22"/>
          <w:szCs w:val="22"/>
          <w:lang w:val="en-US" w:eastAsia="zh-CN" w:bidi="ar-SA"/>
        </w:rPr>
      </w:pPr>
    </w:p>
    <w:p w14:paraId="7B8E4C3F">
      <w:pPr>
        <w:widowControl w:val="0"/>
        <w:jc w:val="both"/>
        <w:rPr>
          <w:rFonts w:hint="eastAsia" w:ascii="宋体" w:hAnsi="宋体" w:eastAsia="宋体" w:cs="宋体"/>
          <w:b/>
          <w:bCs/>
          <w:color w:val="000000"/>
          <w:kern w:val="2"/>
          <w:sz w:val="22"/>
          <w:szCs w:val="22"/>
          <w:lang w:val="en-US" w:eastAsia="zh-CN" w:bidi="ar-SA"/>
        </w:rPr>
      </w:pPr>
    </w:p>
    <w:p w14:paraId="44B4FCB5">
      <w:pPr>
        <w:widowControl w:val="0"/>
        <w:jc w:val="both"/>
        <w:rPr>
          <w:rFonts w:hint="eastAsia" w:ascii="宋体" w:hAnsi="宋体" w:eastAsia="宋体" w:cs="宋体"/>
          <w:b/>
          <w:bCs/>
          <w:color w:val="000000"/>
          <w:kern w:val="2"/>
          <w:sz w:val="22"/>
          <w:szCs w:val="22"/>
          <w:lang w:val="en-US" w:eastAsia="zh-CN" w:bidi="ar-SA"/>
        </w:rPr>
      </w:pPr>
    </w:p>
    <w:p w14:paraId="2CD4698A">
      <w:pPr>
        <w:widowControl w:val="0"/>
        <w:jc w:val="both"/>
        <w:rPr>
          <w:rFonts w:hint="eastAsia" w:ascii="宋体" w:hAnsi="宋体" w:eastAsia="宋体" w:cs="宋体"/>
          <w:b/>
          <w:bCs/>
          <w:color w:val="000000"/>
          <w:kern w:val="2"/>
          <w:sz w:val="22"/>
          <w:szCs w:val="22"/>
          <w:lang w:val="en-US" w:eastAsia="zh-CN" w:bidi="ar-SA"/>
        </w:rPr>
      </w:pPr>
    </w:p>
    <w:p w14:paraId="057E0867">
      <w:pPr>
        <w:widowControl w:val="0"/>
        <w:jc w:val="both"/>
        <w:rPr>
          <w:rFonts w:ascii="宋体" w:hAnsi="宋体" w:eastAsia="宋体" w:cs="宋体"/>
          <w:b/>
          <w:bCs/>
          <w:color w:val="000000"/>
          <w:kern w:val="2"/>
          <w:sz w:val="22"/>
          <w:szCs w:val="22"/>
          <w:lang w:val="en-US" w:eastAsia="zh-CN" w:bidi="ar-SA"/>
        </w:rPr>
      </w:pPr>
    </w:p>
    <w:p w14:paraId="26F59142">
      <w:pPr>
        <w:widowControl w:val="0"/>
        <w:jc w:val="both"/>
        <w:rPr>
          <w:rFonts w:ascii="宋体" w:hAnsi="宋体" w:eastAsia="宋体" w:cs="宋体"/>
          <w:b/>
          <w:bCs/>
          <w:color w:val="000000"/>
          <w:kern w:val="2"/>
          <w:sz w:val="22"/>
          <w:szCs w:val="22"/>
          <w:lang w:val="en-US" w:eastAsia="zh-CN" w:bidi="ar-SA"/>
        </w:rPr>
      </w:pPr>
    </w:p>
    <w:p w14:paraId="59B654F7">
      <w:pPr>
        <w:widowControl w:val="0"/>
        <w:jc w:val="both"/>
        <w:rPr>
          <w:rFonts w:ascii="宋体" w:hAnsi="宋体" w:eastAsia="宋体" w:cs="宋体"/>
          <w:b/>
          <w:bCs/>
          <w:color w:val="000000"/>
          <w:kern w:val="2"/>
          <w:sz w:val="22"/>
          <w:szCs w:val="22"/>
          <w:lang w:val="en-US" w:eastAsia="zh-CN" w:bidi="ar-SA"/>
        </w:rPr>
      </w:pPr>
    </w:p>
    <w:p w14:paraId="4A70160D">
      <w:pPr>
        <w:widowControl w:val="0"/>
        <w:jc w:val="both"/>
        <w:rPr>
          <w:rFonts w:ascii="宋体" w:hAnsi="宋体" w:eastAsia="宋体" w:cs="宋体"/>
          <w:b/>
          <w:bCs/>
          <w:color w:val="000000"/>
          <w:kern w:val="2"/>
          <w:sz w:val="22"/>
          <w:szCs w:val="22"/>
          <w:lang w:val="en-US" w:eastAsia="zh-CN" w:bidi="ar-SA"/>
        </w:rPr>
      </w:pPr>
    </w:p>
    <w:p w14:paraId="06085DC5">
      <w:pPr>
        <w:keepNext/>
        <w:keepLines/>
        <w:widowControl w:val="0"/>
        <w:spacing w:before="260" w:after="260" w:line="360" w:lineRule="exact"/>
        <w:jc w:val="center"/>
        <w:outlineLvl w:val="0"/>
        <w:rPr>
          <w:rFonts w:ascii="宋体" w:hAnsi="宋体" w:eastAsia="宋体" w:cs="宋体"/>
          <w:b w:val="0"/>
          <w:bCs/>
          <w:color w:val="000000"/>
          <w:kern w:val="44"/>
          <w:sz w:val="24"/>
          <w:szCs w:val="24"/>
          <w:lang w:val="en-US" w:eastAsia="zh-CN" w:bidi="ar-SA"/>
        </w:rPr>
      </w:pPr>
      <w:bookmarkStart w:id="645" w:name="_Toc256000539"/>
      <w:bookmarkStart w:id="646" w:name="_Toc1081549402"/>
      <w:bookmarkStart w:id="647" w:name="_Toc256000312"/>
      <w:bookmarkStart w:id="648" w:name="_Toc256002809"/>
      <w:bookmarkStart w:id="649" w:name="_Toc256003717"/>
      <w:bookmarkStart w:id="650" w:name="_Toc256000766"/>
      <w:bookmarkStart w:id="651" w:name="_Toc256002582"/>
      <w:bookmarkStart w:id="652" w:name="_Toc256002128"/>
      <w:bookmarkStart w:id="653" w:name="_Toc256001220"/>
      <w:bookmarkStart w:id="654" w:name="_Toc256000085"/>
      <w:bookmarkStart w:id="655" w:name="_Toc256000993"/>
      <w:bookmarkStart w:id="656" w:name="_Toc725136582"/>
      <w:bookmarkStart w:id="657" w:name="_Toc256001447"/>
      <w:bookmarkStart w:id="658" w:name="_Toc256003944"/>
      <w:bookmarkStart w:id="659" w:name="_Toc256003490"/>
      <w:bookmarkStart w:id="660" w:name="_Toc256002355"/>
      <w:bookmarkStart w:id="661" w:name="_Toc256001674"/>
      <w:bookmarkStart w:id="662" w:name="_Toc256003263"/>
      <w:bookmarkStart w:id="663" w:name="_Toc256001901"/>
      <w:bookmarkStart w:id="664" w:name="_Toc1772115747"/>
      <w:bookmarkStart w:id="665" w:name="_Toc256003036"/>
      <w:r>
        <w:rPr>
          <w:rFonts w:hint="eastAsia" w:ascii="宋体" w:hAnsi="宋体" w:eastAsia="宋体" w:cs="宋体"/>
          <w:b w:val="0"/>
          <w:bCs/>
          <w:color w:val="000000"/>
          <w:kern w:val="44"/>
          <w:sz w:val="24"/>
          <w:szCs w:val="24"/>
          <w:lang w:val="en-US" w:eastAsia="zh-CN" w:bidi="ar-SA"/>
        </w:rPr>
        <w:t>第二部分 通用合同条款</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Start w:id="666" w:name="_Toc24563"/>
      <w:bookmarkStart w:id="667" w:name="_Toc25120"/>
      <w:bookmarkStart w:id="668" w:name="_Toc1439523315"/>
      <w:bookmarkStart w:id="669" w:name="_Toc20668"/>
      <w:bookmarkStart w:id="670" w:name="_Toc1254421522"/>
      <w:bookmarkStart w:id="671" w:name="_Toc13192"/>
      <w:bookmarkStart w:id="672" w:name="_Toc538026417"/>
    </w:p>
    <w:p w14:paraId="1C9E4A4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通用合同条款共计20条，采用《建设工程施工合同（示范文本）》（GF-2017-0201）的“通用合同条款”。</w:t>
      </w:r>
    </w:p>
    <w:p w14:paraId="0D5BA1E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673" w:name="_Toc3485"/>
      <w:bookmarkStart w:id="674" w:name="_Toc101795209"/>
      <w:bookmarkStart w:id="675" w:name="_Toc103259090"/>
      <w:bookmarkStart w:id="676" w:name="_Toc16804"/>
      <w:bookmarkStart w:id="677" w:name="_Toc25930291"/>
      <w:bookmarkStart w:id="678" w:name="_Toc337558727"/>
      <w:bookmarkStart w:id="679" w:name="_Toc101704616"/>
      <w:bookmarkStart w:id="680" w:name="_Toc39153736"/>
      <w:bookmarkStart w:id="681" w:name="_Toc102120266"/>
      <w:bookmarkStart w:id="682" w:name="_Toc25232"/>
      <w:bookmarkStart w:id="683" w:name="_Toc351203495"/>
      <w:r>
        <w:rPr>
          <w:rFonts w:hint="eastAsia" w:ascii="宋体" w:hAnsi="宋体" w:eastAsia="宋体" w:cs="宋体"/>
          <w:color w:val="000000"/>
          <w:kern w:val="2"/>
          <w:sz w:val="24"/>
          <w:szCs w:val="24"/>
          <w:lang w:val="en-US" w:eastAsia="zh-CN" w:bidi="ar-SA"/>
        </w:rPr>
        <w:t>1.</w:t>
      </w:r>
      <w:bookmarkStart w:id="684" w:name="_Toc303538973"/>
      <w:bookmarkEnd w:id="684"/>
      <w:bookmarkStart w:id="685" w:name="_Toc303538972"/>
      <w:bookmarkEnd w:id="685"/>
      <w:bookmarkStart w:id="686" w:name="_Toc303538976"/>
      <w:bookmarkEnd w:id="686"/>
      <w:bookmarkStart w:id="687" w:name="_Toc303538974"/>
      <w:bookmarkEnd w:id="687"/>
      <w:bookmarkStart w:id="688" w:name="_Toc303538975"/>
      <w:bookmarkEnd w:id="688"/>
      <w:bookmarkStart w:id="689" w:name="_Toc296503027"/>
      <w:bookmarkStart w:id="690" w:name="_Toc296346528"/>
      <w:r>
        <w:rPr>
          <w:rFonts w:hint="eastAsia" w:ascii="宋体" w:hAnsi="宋体" w:eastAsia="宋体" w:cs="宋体"/>
          <w:color w:val="000000"/>
          <w:kern w:val="2"/>
          <w:sz w:val="24"/>
          <w:szCs w:val="24"/>
          <w:lang w:val="en-US" w:eastAsia="zh-CN" w:bidi="ar-SA"/>
        </w:rPr>
        <w:t xml:space="preserve"> 一般约定</w:t>
      </w:r>
      <w:bookmarkEnd w:id="673"/>
      <w:bookmarkEnd w:id="674"/>
      <w:bookmarkEnd w:id="675"/>
      <w:bookmarkEnd w:id="676"/>
      <w:bookmarkEnd w:id="677"/>
      <w:bookmarkEnd w:id="678"/>
      <w:bookmarkEnd w:id="679"/>
      <w:bookmarkEnd w:id="680"/>
      <w:bookmarkEnd w:id="681"/>
      <w:bookmarkEnd w:id="682"/>
      <w:bookmarkEnd w:id="683"/>
      <w:bookmarkEnd w:id="689"/>
      <w:bookmarkEnd w:id="690"/>
    </w:p>
    <w:p w14:paraId="606A6B2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691" w:name="_Toc296503028"/>
      <w:bookmarkStart w:id="692" w:name="_Toc337558728"/>
      <w:bookmarkStart w:id="693" w:name="_Toc296346529"/>
      <w:bookmarkStart w:id="694" w:name="_Toc351203496"/>
      <w:r>
        <w:rPr>
          <w:rFonts w:hint="eastAsia" w:ascii="宋体" w:hAnsi="宋体" w:eastAsia="宋体" w:cs="宋体"/>
          <w:color w:val="000000"/>
          <w:kern w:val="2"/>
          <w:sz w:val="24"/>
          <w:szCs w:val="24"/>
          <w:lang w:val="en-US" w:eastAsia="zh-CN" w:bidi="ar-SA"/>
        </w:rPr>
        <w:t>1.1词语定义</w:t>
      </w:r>
      <w:bookmarkEnd w:id="691"/>
      <w:bookmarkEnd w:id="692"/>
      <w:bookmarkEnd w:id="693"/>
      <w:r>
        <w:rPr>
          <w:rFonts w:hint="eastAsia" w:ascii="宋体" w:hAnsi="宋体" w:eastAsia="宋体" w:cs="宋体"/>
          <w:color w:val="000000"/>
          <w:kern w:val="2"/>
          <w:sz w:val="24"/>
          <w:szCs w:val="24"/>
          <w:lang w:val="en-US" w:eastAsia="zh-CN" w:bidi="ar-SA"/>
        </w:rPr>
        <w:t>与解释</w:t>
      </w:r>
      <w:bookmarkEnd w:id="694"/>
    </w:p>
    <w:p w14:paraId="016C285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合同协议书、通用合同条款、专用合同条款中的下列词语具有本款所赋予的含义：</w:t>
      </w:r>
    </w:p>
    <w:p w14:paraId="1B3268E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 合同</w:t>
      </w:r>
    </w:p>
    <w:p w14:paraId="470D01F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3FB2A75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1.1.1.2 合同协议书：是指构成合同的由发包人和承包人共同签署的称为“合同协议书”的书面文件。</w:t>
      </w:r>
    </w:p>
    <w:p w14:paraId="26DC7F0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1.1.1.3 中标通知书：是指构成合同的由发包人通知承包人中标的书面文件。</w:t>
      </w:r>
    </w:p>
    <w:p w14:paraId="62B12FE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1.1.1.4 投标函：是指构成合同的由承包人填写并签署的用于投标的称为“投标函”的文件。</w:t>
      </w:r>
    </w:p>
    <w:p w14:paraId="0C2A6E5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1.1.1.5 投标函附录：是指构成合同的附在投标函后的称为“投标函附录”的文件。</w:t>
      </w:r>
    </w:p>
    <w:p w14:paraId="2295301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1.1.1.6 技术标准和要求：是指构成合同的施工应当遵守的或指导施工的国家、行业或地方的技术标准和要求，以及合同约定的技术标准和要求。</w:t>
      </w:r>
    </w:p>
    <w:p w14:paraId="4DCEC3A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1.1.1.7 图纸：是指构成合同的图纸，包括由发包人按照合同约定提供或经发包人批准的设计文件、施工图、鸟瞰图及模型等，以及在合同履行过程中形成的图纸文件。图纸应当按照法律规定审查合格。</w:t>
      </w:r>
    </w:p>
    <w:p w14:paraId="6C1BEEB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1.1.1.8 已标价工程量清单：是指构成合同的由承包人按照规定的格式和要求填写并标明价格的工程量清单，包括说明和表格。</w:t>
      </w:r>
    </w:p>
    <w:p w14:paraId="282CA75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1.1.1.9 预算书：是指构成合同的由承包人按照发包人规定的格式和要求编制的工程预算文件。</w:t>
      </w:r>
    </w:p>
    <w:p w14:paraId="5073DA6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1.1.1.10 其他合同文件：是指经合同当事人约定的与工程施工有关的具有合同约束力的文件或书面协议。合同当事人可以在专用合同条款中进行约定。</w:t>
      </w:r>
    </w:p>
    <w:p w14:paraId="3836696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 合同当事人及其他相关方</w:t>
      </w:r>
    </w:p>
    <w:p w14:paraId="5774238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1.1.2.1 合同当事人：是指发包人和（或）承包人。</w:t>
      </w:r>
    </w:p>
    <w:p w14:paraId="7CADF97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1.1.2.2 发包人：是指与承包人签订合同协议书的当事人及取得该当事人资格的合法继承人。</w:t>
      </w:r>
    </w:p>
    <w:p w14:paraId="69E6EB7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1.1.2.3 承包人：是指与发包人签订合同协议书的，具有相应工程施工承包资质的当事人及取得该当事人资格的合法继承人。</w:t>
      </w:r>
    </w:p>
    <w:p w14:paraId="2091A4D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1.1.2.4 监理人：是指在专用合同条款中指明的，受发包人委托按照法律规定进行工程监督管理的法人或其他组织。</w:t>
      </w:r>
    </w:p>
    <w:p w14:paraId="481D35C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1.1.2.5 设计人：是指在专用合同条款中指明的，受发包人委托负责工程设计并具备相应工程设计资质的法人或其他组织。</w:t>
      </w:r>
    </w:p>
    <w:p w14:paraId="118875E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1.1.2.6 分包人：是指按照法律规定和合同约定，分包部分工程或工作，并与承包人签订分包合同的具有相应资质的法人。</w:t>
      </w:r>
    </w:p>
    <w:p w14:paraId="3D3770F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1.1.2.7 发包人代表：是指由发包人任命并派驻施工现场在发包人授权范围内行使发包人权利的人。</w:t>
      </w:r>
    </w:p>
    <w:p w14:paraId="5097DAD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1.1.2.8 项目经理：是指由承包人任命并派驻施工现场，在承包人授权范围内负责合同履行，且按照法律规定具有相应资格的项目经理。</w:t>
      </w:r>
    </w:p>
    <w:p w14:paraId="15E3AC6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1.1.2.9 总监理工程师：是指由监理人任命并派驻施工现场进行工程监理的总负责人。</w:t>
      </w:r>
    </w:p>
    <w:p w14:paraId="0174CEE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 工程和设备</w:t>
      </w:r>
    </w:p>
    <w:p w14:paraId="50E9813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1.1.3.1 工程：是指与合同协议书中工程承包范围对应的永久工程和（或）临时工程。</w:t>
      </w:r>
    </w:p>
    <w:p w14:paraId="36833EB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1.1.3.2 永久工程：是指按合同约定建造并移交给发包人的工程，包括工程设备。</w:t>
      </w:r>
    </w:p>
    <w:p w14:paraId="636688A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1.1.3.3 临时工程：是指为完成合同约定的永久工程所修建的各类临时性工程，不包括施工设备。</w:t>
      </w:r>
    </w:p>
    <w:p w14:paraId="1A31AC4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1.1.3.4 单位工程：是指在合同协议书中指明的，具备独立施工条件并能形成独立使用功能的永久工程。</w:t>
      </w:r>
    </w:p>
    <w:p w14:paraId="487FB62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1.1.3.5 工程设备：是指构成永久工程的机电设备、金属结构设备、仪器及其他类似的设备和装置。</w:t>
      </w:r>
    </w:p>
    <w:p w14:paraId="0B52719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1.1.3.6 施工设备：是指为完成合同约定的各项工作所需的设备、器具和其他物品，但不包括工程设备、临时工程和材料。</w:t>
      </w:r>
    </w:p>
    <w:p w14:paraId="7AB4C3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1.1.3.7 施工现场：是指用于工程施工的场所，以及在专用合同条款中指明作为施工场所组成部分的其他场所，包括永久占地和临时占地。</w:t>
      </w:r>
    </w:p>
    <w:p w14:paraId="7F35F46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1.1.3.8临时设施：是指为完成合同约定的各项工作所服务的临时性生产和生活设施。</w:t>
      </w:r>
    </w:p>
    <w:p w14:paraId="1707E1A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1.1.3.9 永久占地：是指专用合同条款中指明为实施工程需永久占用的土地。</w:t>
      </w:r>
    </w:p>
    <w:p w14:paraId="160E0CD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1.1.3.10 临时占地：是指专用合同条款中指明为实施工程需要临时占用的土地。</w:t>
      </w:r>
    </w:p>
    <w:p w14:paraId="7A3C77B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 日期和期限</w:t>
      </w:r>
    </w:p>
    <w:p w14:paraId="5D9ACB6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C8C632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1.1.4.2 竣工日期：包括计划竣工日期和实际竣工日期。计划竣工日期是指合同协议书约定的竣工日期；实际竣工日期按照第13.2.3项〔竣工日期〕的约定确定。 </w:t>
      </w:r>
    </w:p>
    <w:p w14:paraId="6F0DB32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1.1.4.3 工期：是指在合同协议书约定的承包人完成工程所需的期限，包括按照合同约定所作的期限变更。</w:t>
      </w:r>
    </w:p>
    <w:p w14:paraId="7F1B130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1.1.4.4 缺陷责任期：是指承包人按照合同约定承担缺陷修复义务，且发包人预留质量保证金（已缴纳履约保证金的除外）的期限，自工程实际竣工日期起计算。</w:t>
      </w:r>
    </w:p>
    <w:p w14:paraId="3584D70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1.1.4.5 保修期：是指承包人按照合同约定对工程承担保修责任的期限，从工程竣工验收合格之日起计算。</w:t>
      </w:r>
    </w:p>
    <w:p w14:paraId="2B3E263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1.1.4.6 基准日期：招标发包的工程以投标截止日前28天的日期为基准日期，直接发包的工程以合同签订日前28天的日期为基准日期。</w:t>
      </w:r>
    </w:p>
    <w:p w14:paraId="4DC3956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1.1.4.7 天：除特别指明外，均指日历天。合同中按天计算时间的，开始当天不计入，从次日开始计算，期限最后一天的截止时间为当天24:00时。</w:t>
      </w:r>
    </w:p>
    <w:p w14:paraId="1937132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 合同价格和费用</w:t>
      </w:r>
    </w:p>
    <w:p w14:paraId="4A9802A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1.1.5.1 签约合同价：是指发包人和承包人在合同协议书中确定的总金额，包括安全文明施工费、暂估价及暂列金额等。</w:t>
      </w:r>
    </w:p>
    <w:p w14:paraId="11FCB01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1.1.5.2 合同价格：是指发包人用于支付承包人按照合同约定完成承包范围内全部工作的金额，包括合同履行过程中按合同约定发生的价格变化。</w:t>
      </w:r>
    </w:p>
    <w:p w14:paraId="68C236B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1.1.5.3 费用：是指为履行合同所发生的或将要发生的所有必需的开支，包括管理费和应分摊的其他费用，但不包括利润。</w:t>
      </w:r>
    </w:p>
    <w:p w14:paraId="48CCBAC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1.1.5.4 暂估价：是指发包人在工程量清单或预算书中提供的用于支付必然发生但暂时不能确定价格的材料、工程设备的单价、专业工程以及服务工作的金额。</w:t>
      </w:r>
    </w:p>
    <w:p w14:paraId="364233C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BA79A7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1.1.5.6 计日工：是指合同履行过程中，承包人完成发包人提出的零星工作或需要采用计日工计价的变更工作时，按合同中约定的单价计价的一种方式。</w:t>
      </w:r>
    </w:p>
    <w:p w14:paraId="3685F9C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1.1.5.7 质量保证金：是指按照第15.3款〔质量保证金〕约定承包人用于保证其在缺陷责任期内履行缺陷修补义务的担保。</w:t>
      </w:r>
    </w:p>
    <w:p w14:paraId="3F9E9B6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1.1.5.8 总价项目：是指在现行国家、行业以及地方的计量规则中无工程量计算规则，在已标价工程量清单或预算书中以总价或以费率形式计算的项目。</w:t>
      </w:r>
    </w:p>
    <w:p w14:paraId="2BDD996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1.1.6 其他</w:t>
      </w:r>
    </w:p>
    <w:p w14:paraId="59475E5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1.1.6.1 书面形式：是指合同文件、信函、电报、传真等可以有形地表现所载内容的形式。</w:t>
      </w:r>
    </w:p>
    <w:p w14:paraId="6E5E1EB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695" w:name="_Toc337558729"/>
      <w:bookmarkStart w:id="696" w:name="_Toc296346530"/>
      <w:bookmarkStart w:id="697" w:name="_Toc296503029"/>
      <w:bookmarkStart w:id="698" w:name="_Toc351203497"/>
      <w:r>
        <w:rPr>
          <w:rFonts w:hint="eastAsia" w:ascii="宋体" w:hAnsi="宋体" w:eastAsia="宋体" w:cs="宋体"/>
          <w:color w:val="000000"/>
          <w:kern w:val="2"/>
          <w:sz w:val="24"/>
          <w:szCs w:val="24"/>
          <w:lang w:val="en-US" w:eastAsia="zh-CN" w:bidi="ar-SA"/>
        </w:rPr>
        <w:t>1.2语言文字</w:t>
      </w:r>
      <w:bookmarkEnd w:id="695"/>
      <w:bookmarkEnd w:id="696"/>
      <w:bookmarkEnd w:id="697"/>
      <w:bookmarkEnd w:id="698"/>
    </w:p>
    <w:p w14:paraId="3FD19A5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合同以中国的汉语简体文字编写、解释和说明。合同当事人在专用合同条款中约定使用两种以上语言时，汉语为优先解释和说明合同的语言。</w:t>
      </w:r>
    </w:p>
    <w:p w14:paraId="0A1707C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699" w:name="_Toc296346531"/>
      <w:bookmarkStart w:id="700" w:name="_Toc337558730"/>
      <w:bookmarkStart w:id="701" w:name="_Toc296503030"/>
      <w:bookmarkStart w:id="702" w:name="_Toc351203498"/>
      <w:r>
        <w:rPr>
          <w:rFonts w:hint="eastAsia" w:ascii="宋体" w:hAnsi="宋体" w:eastAsia="宋体" w:cs="宋体"/>
          <w:color w:val="000000"/>
          <w:kern w:val="2"/>
          <w:sz w:val="24"/>
          <w:szCs w:val="24"/>
          <w:lang w:val="en-US" w:eastAsia="zh-CN" w:bidi="ar-SA"/>
        </w:rPr>
        <w:t>1.3法律</w:t>
      </w:r>
      <w:bookmarkEnd w:id="699"/>
      <w:bookmarkEnd w:id="700"/>
      <w:bookmarkEnd w:id="701"/>
      <w:bookmarkEnd w:id="702"/>
    </w:p>
    <w:p w14:paraId="7244E7F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合同所称法律是指中华人民共和国法律、行政法规、部门规章，以及工程所在地的地方性法规、自治条例、单行条例和地方政府规章等。</w:t>
      </w:r>
    </w:p>
    <w:p w14:paraId="3D77FDC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合同当事人可以在专用合同条款中约定合同适用的其他规范性文件。</w:t>
      </w:r>
    </w:p>
    <w:p w14:paraId="78D0E13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03" w:name="_Toc351203499"/>
      <w:r>
        <w:rPr>
          <w:rFonts w:hint="eastAsia" w:ascii="宋体" w:hAnsi="宋体" w:eastAsia="宋体" w:cs="宋体"/>
          <w:color w:val="000000"/>
          <w:kern w:val="2"/>
          <w:sz w:val="24"/>
          <w:szCs w:val="24"/>
          <w:lang w:val="en-US" w:eastAsia="zh-CN" w:bidi="ar-SA"/>
        </w:rPr>
        <w:t>1.4 标准和规范</w:t>
      </w:r>
      <w:bookmarkEnd w:id="703"/>
    </w:p>
    <w:p w14:paraId="57F0C79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1.4.1 适用于工程的国家标准、行业标准、工程所在地的地方性标准，以及相应的规范、规程等，合同当事人有特别要求的，应在专用合同条款中约定。</w:t>
      </w:r>
    </w:p>
    <w:p w14:paraId="64679FD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1.4.2 发包人要求使用国外标准、规范的，发包人负责提供原文版本和中文译本，并在专用合同条款中约定提供标准规范的名称、份数和时间。</w:t>
      </w:r>
    </w:p>
    <w:p w14:paraId="6987ACE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D029BE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04" w:name="_Toc351203500"/>
      <w:r>
        <w:rPr>
          <w:rFonts w:hint="eastAsia" w:ascii="宋体" w:hAnsi="宋体" w:eastAsia="宋体" w:cs="宋体"/>
          <w:color w:val="000000"/>
          <w:kern w:val="2"/>
          <w:sz w:val="24"/>
          <w:szCs w:val="24"/>
          <w:lang w:val="en-US" w:eastAsia="zh-CN" w:bidi="ar-SA"/>
        </w:rPr>
        <w:t>1</w:t>
      </w:r>
      <w:bookmarkStart w:id="705" w:name="_Toc296503031"/>
      <w:bookmarkStart w:id="706" w:name="_Toc337558731"/>
      <w:bookmarkStart w:id="707" w:name="_Toc296346532"/>
      <w:r>
        <w:rPr>
          <w:rFonts w:hint="eastAsia" w:ascii="宋体" w:hAnsi="宋体" w:eastAsia="宋体" w:cs="宋体"/>
          <w:color w:val="000000"/>
          <w:kern w:val="2"/>
          <w:sz w:val="24"/>
          <w:szCs w:val="24"/>
          <w:lang w:val="en-US" w:eastAsia="zh-CN" w:bidi="ar-SA"/>
        </w:rPr>
        <w:t>.5 合同文件的优先顺序</w:t>
      </w:r>
      <w:bookmarkEnd w:id="704"/>
    </w:p>
    <w:bookmarkEnd w:id="705"/>
    <w:bookmarkEnd w:id="706"/>
    <w:bookmarkEnd w:id="707"/>
    <w:p w14:paraId="036C7FF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组成合同的各项文件应互相解释，互为说明。除专用合同条款另有约定外，解释合同文件的优先顺序如下：</w:t>
      </w:r>
    </w:p>
    <w:p w14:paraId="6A2D260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（1）合同协议书；</w:t>
      </w:r>
    </w:p>
    <w:p w14:paraId="1FE3527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（2）中标通知书（如果有）；</w:t>
      </w:r>
    </w:p>
    <w:p w14:paraId="389EF61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（3）投标函及其附录（如果有）；</w:t>
      </w:r>
    </w:p>
    <w:p w14:paraId="12D090A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（4）专用合同条款及其附件；</w:t>
      </w:r>
    </w:p>
    <w:p w14:paraId="71BC162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（5）通用合同条款；</w:t>
      </w:r>
    </w:p>
    <w:p w14:paraId="5BA1548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（6）技术标准和要求；</w:t>
      </w:r>
    </w:p>
    <w:p w14:paraId="59569FC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（7）图纸；</w:t>
      </w:r>
    </w:p>
    <w:p w14:paraId="020BC98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（8）已标价工程量清单或预算书；</w:t>
      </w:r>
    </w:p>
    <w:p w14:paraId="50195D0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（9）其他合同文件。</w:t>
      </w:r>
    </w:p>
    <w:p w14:paraId="5FC4775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上述各项合同文件包括合同当事人就该项合同文件所作出的补充和修改，属于同一类内容的文件，应以最新签署的为准。</w:t>
      </w:r>
    </w:p>
    <w:p w14:paraId="4C96732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在合同订立及履行过程中形成的与合同有关的文件均构成合同文件组成部分，并根据其性质确定优先解释顺序。</w:t>
      </w:r>
    </w:p>
    <w:p w14:paraId="52C8682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08" w:name="_Toc351203501"/>
      <w:r>
        <w:rPr>
          <w:rFonts w:hint="eastAsia" w:ascii="宋体" w:hAnsi="宋体" w:eastAsia="宋体" w:cs="宋体"/>
          <w:color w:val="000000"/>
          <w:kern w:val="2"/>
          <w:sz w:val="24"/>
          <w:szCs w:val="24"/>
          <w:lang w:val="en-US" w:eastAsia="zh-CN" w:bidi="ar-SA"/>
        </w:rPr>
        <w:t>1</w:t>
      </w:r>
      <w:bookmarkStart w:id="709" w:name="_Toc337558732"/>
      <w:bookmarkStart w:id="710" w:name="_Toc296346533"/>
      <w:bookmarkStart w:id="711" w:name="_Toc296503032"/>
      <w:r>
        <w:rPr>
          <w:rFonts w:hint="eastAsia" w:ascii="宋体" w:hAnsi="宋体" w:eastAsia="宋体" w:cs="宋体"/>
          <w:color w:val="000000"/>
          <w:kern w:val="2"/>
          <w:sz w:val="24"/>
          <w:szCs w:val="24"/>
          <w:lang w:val="en-US" w:eastAsia="zh-CN" w:bidi="ar-SA"/>
        </w:rPr>
        <w:t>.6图纸和承包人文件</w:t>
      </w:r>
      <w:bookmarkEnd w:id="708"/>
    </w:p>
    <w:bookmarkEnd w:id="709"/>
    <w:bookmarkEnd w:id="710"/>
    <w:bookmarkEnd w:id="711"/>
    <w:p w14:paraId="2BC574C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 图纸的提供和交底</w:t>
      </w:r>
    </w:p>
    <w:p w14:paraId="139A102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A30FE6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因发包人未按合同约定提供图纸导致承包人费用增加和（或）工期延误的，按照第7.5.1项〔因发包人原因导致工期延误〕约定办理。</w:t>
      </w:r>
    </w:p>
    <w:p w14:paraId="328E46B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1.6.2 图纸的错误</w:t>
      </w:r>
    </w:p>
    <w:p w14:paraId="7D59AF9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3387C91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1.6.3 图纸的修改和补充</w:t>
      </w:r>
    </w:p>
    <w:p w14:paraId="13000C1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图纸需要修改和补充的，应经图纸原设计人及审批部门同意，并由监理人在工程或工程相应部位施工前将修改后的图纸或补充图纸提交给承包人，承包人应按修改或补充后的图纸施工。</w:t>
      </w:r>
    </w:p>
    <w:p w14:paraId="2C304EE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1.6.4 承包人文件</w:t>
      </w:r>
    </w:p>
    <w:p w14:paraId="3EEF760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承包人应按照专用合同条款的约定提供应当由其编制的与工程施工有关的文件，并按照专用合同条款约定的期限、数量和形式提交监理人，并由监理人报送发包人。</w:t>
      </w:r>
    </w:p>
    <w:p w14:paraId="6B7EFCE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238E78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1.6.5 图纸和承包人文件的保管</w:t>
      </w:r>
    </w:p>
    <w:p w14:paraId="22698A7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除专用合同条款另有约定外，承包人应在施工现场另外保存一套完整的图纸和承包人文件，供发包人、监理人及有关人员进行工程检查时使用。</w:t>
      </w:r>
    </w:p>
    <w:p w14:paraId="455001A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12" w:name="_Toc351203502"/>
      <w:r>
        <w:rPr>
          <w:rFonts w:hint="eastAsia" w:ascii="宋体" w:hAnsi="宋体" w:eastAsia="宋体" w:cs="宋体"/>
          <w:color w:val="000000"/>
          <w:kern w:val="2"/>
          <w:sz w:val="24"/>
          <w:szCs w:val="24"/>
          <w:lang w:val="en-US" w:eastAsia="zh-CN" w:bidi="ar-SA"/>
        </w:rPr>
        <w:t>1</w:t>
      </w:r>
      <w:bookmarkStart w:id="713" w:name="_Toc296346534"/>
      <w:bookmarkStart w:id="714" w:name="_Toc296503033"/>
      <w:bookmarkStart w:id="715" w:name="_Toc337558733"/>
      <w:r>
        <w:rPr>
          <w:rFonts w:hint="eastAsia" w:ascii="宋体" w:hAnsi="宋体" w:eastAsia="宋体" w:cs="宋体"/>
          <w:color w:val="000000"/>
          <w:kern w:val="2"/>
          <w:sz w:val="24"/>
          <w:szCs w:val="24"/>
          <w:lang w:val="en-US" w:eastAsia="zh-CN" w:bidi="ar-SA"/>
        </w:rPr>
        <w:t>.7联络</w:t>
      </w:r>
      <w:bookmarkEnd w:id="712"/>
    </w:p>
    <w:bookmarkEnd w:id="713"/>
    <w:bookmarkEnd w:id="714"/>
    <w:bookmarkEnd w:id="715"/>
    <w:p w14:paraId="2D56C9F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1.7.1 与合同有关的通知、批准、证明、证书、指示、指令、要求、请求、同意、意见、确定和决定等，均应采用书面形式，并应在合同约定的期限内送达接收人和送达地点。</w:t>
      </w:r>
    </w:p>
    <w:p w14:paraId="1EBDAC9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1.7.2 发包人和承包人应在专用合同条款中约定各自的送达接收人和送达地点。任何一方合同当事人指定的接收人或送达地点发生变动的，应提前3天以书面形式通知对方。</w:t>
      </w:r>
    </w:p>
    <w:p w14:paraId="251E2D4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1.7.3 发包人和承包人应当及时签收另一方送达至送达地点和指定接收人的来往信函。拒不签收的，由此增加的费用和（或）延误的工期由拒绝接收一方承担。</w:t>
      </w:r>
    </w:p>
    <w:p w14:paraId="2532B4D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16" w:name="_Toc351203503"/>
      <w:r>
        <w:rPr>
          <w:rFonts w:hint="eastAsia" w:ascii="宋体" w:hAnsi="宋体" w:eastAsia="宋体" w:cs="宋体"/>
          <w:color w:val="000000"/>
          <w:kern w:val="2"/>
          <w:sz w:val="24"/>
          <w:szCs w:val="24"/>
          <w:lang w:val="en-US" w:eastAsia="zh-CN" w:bidi="ar-SA"/>
        </w:rPr>
        <w:t>1</w:t>
      </w:r>
      <w:bookmarkStart w:id="717" w:name="_Toc296346536"/>
      <w:bookmarkStart w:id="718" w:name="_Toc296503035"/>
      <w:bookmarkStart w:id="719" w:name="_Toc337558734"/>
      <w:r>
        <w:rPr>
          <w:rFonts w:hint="eastAsia" w:ascii="宋体" w:hAnsi="宋体" w:eastAsia="宋体" w:cs="宋体"/>
          <w:color w:val="000000"/>
          <w:kern w:val="2"/>
          <w:sz w:val="24"/>
          <w:szCs w:val="24"/>
          <w:lang w:val="en-US" w:eastAsia="zh-CN" w:bidi="ar-SA"/>
        </w:rPr>
        <w:t>.8严禁贿赂</w:t>
      </w:r>
      <w:bookmarkEnd w:id="716"/>
    </w:p>
    <w:bookmarkEnd w:id="717"/>
    <w:bookmarkEnd w:id="718"/>
    <w:bookmarkEnd w:id="719"/>
    <w:p w14:paraId="4F274E1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合同当事人不得以贿赂或变相贿赂的方式，谋取非法利益或损害对方权益。因一方合同当事人的贿赂造成对方损失的，应赔偿损失，并承担相应的法律责任。</w:t>
      </w:r>
    </w:p>
    <w:p w14:paraId="7E64860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承包人不得与监理人或发包人聘请的第三方串通损害发包人利益。未经发包人书面同意，承包人不得为监理人提供合同约定以外的通讯设备、交通工具及其他任何形式的利益，不得向监理人支付报酬。</w:t>
      </w:r>
    </w:p>
    <w:p w14:paraId="6F3D07B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20" w:name="_Toc351203504"/>
      <w:r>
        <w:rPr>
          <w:rFonts w:hint="eastAsia" w:ascii="宋体" w:hAnsi="宋体" w:eastAsia="宋体" w:cs="宋体"/>
          <w:color w:val="000000"/>
          <w:kern w:val="2"/>
          <w:sz w:val="24"/>
          <w:szCs w:val="24"/>
          <w:lang w:val="en-US" w:eastAsia="zh-CN" w:bidi="ar-SA"/>
        </w:rPr>
        <w:t>1</w:t>
      </w:r>
      <w:bookmarkStart w:id="721" w:name="_Toc296503036"/>
      <w:bookmarkStart w:id="722" w:name="_Toc296346537"/>
      <w:bookmarkStart w:id="723" w:name="_Toc337558735"/>
      <w:r>
        <w:rPr>
          <w:rFonts w:hint="eastAsia" w:ascii="宋体" w:hAnsi="宋体" w:eastAsia="宋体" w:cs="宋体"/>
          <w:color w:val="000000"/>
          <w:kern w:val="2"/>
          <w:sz w:val="24"/>
          <w:szCs w:val="24"/>
          <w:lang w:val="en-US" w:eastAsia="zh-CN" w:bidi="ar-SA"/>
        </w:rPr>
        <w:t>.9化石、文物</w:t>
      </w:r>
      <w:bookmarkEnd w:id="720"/>
    </w:p>
    <w:bookmarkEnd w:id="721"/>
    <w:bookmarkEnd w:id="722"/>
    <w:bookmarkEnd w:id="723"/>
    <w:p w14:paraId="7610412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162B53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发包人、监理人和承包人应按有关政府行政管理部门要求采取妥善的保护措施，由此增加的费用和（或）延误的工期由发包人承担。</w:t>
      </w:r>
    </w:p>
    <w:p w14:paraId="444109F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承包人发现文物后不及时报告或隐瞒不报，致使文物丢失或损坏的，应赔偿损失，并承担相应的法律责任。</w:t>
      </w:r>
    </w:p>
    <w:p w14:paraId="67FD34C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24" w:name="_Toc351203505"/>
      <w:r>
        <w:rPr>
          <w:rFonts w:hint="eastAsia" w:ascii="宋体" w:hAnsi="宋体" w:eastAsia="宋体" w:cs="宋体"/>
          <w:color w:val="000000"/>
          <w:kern w:val="2"/>
          <w:sz w:val="24"/>
          <w:szCs w:val="24"/>
          <w:lang w:val="en-US" w:eastAsia="zh-CN" w:bidi="ar-SA"/>
        </w:rPr>
        <w:t>1</w:t>
      </w:r>
      <w:bookmarkStart w:id="725" w:name="_Toc337558736"/>
      <w:r>
        <w:rPr>
          <w:rFonts w:hint="eastAsia" w:ascii="宋体" w:hAnsi="宋体" w:eastAsia="宋体" w:cs="宋体"/>
          <w:color w:val="000000"/>
          <w:kern w:val="2"/>
          <w:sz w:val="24"/>
          <w:szCs w:val="24"/>
          <w:lang w:val="en-US" w:eastAsia="zh-CN" w:bidi="ar-SA"/>
        </w:rPr>
        <w:t>.10交通运输</w:t>
      </w:r>
      <w:bookmarkEnd w:id="724"/>
    </w:p>
    <w:bookmarkEnd w:id="725"/>
    <w:p w14:paraId="0125D53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1.10.1 出入现场的权利</w:t>
      </w:r>
    </w:p>
    <w:p w14:paraId="3625511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52B11D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承包人应在订立合同前查勘施工现场，并根据工程规模及技术参数合理预见工程施工所需的进出施工现场的方式、手段、路径等。因承包人未合理预见所增加的费用和（或）延误的工期由承包人承担。</w:t>
      </w:r>
    </w:p>
    <w:p w14:paraId="5335BB1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1.10.2 场外交通</w:t>
      </w:r>
    </w:p>
    <w:p w14:paraId="498454C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7E5920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1.10.3场内交通</w:t>
      </w:r>
    </w:p>
    <w:p w14:paraId="1EB4E5B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1BA2ED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E93227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场外交通和场内交通的边界由合同当事人在专用合同条款中约定。</w:t>
      </w:r>
    </w:p>
    <w:p w14:paraId="2A78D29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1.10.4 超大件和超重件的运输</w:t>
      </w:r>
    </w:p>
    <w:p w14:paraId="0B6F305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C4B267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1.10.5 道路和桥梁的损坏责任</w:t>
      </w:r>
    </w:p>
    <w:p w14:paraId="1354339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因承包人运输造成施工场地内外公共道路和桥梁损坏的，由承包人承担修复损坏的全部费用和可能引起的赔偿。</w:t>
      </w:r>
    </w:p>
    <w:p w14:paraId="002AE28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1.10.6 水路和航空运输</w:t>
      </w:r>
    </w:p>
    <w:p w14:paraId="52EE536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本款前述各项的内容适用于水路运输和航空运输，其中“道路”一词的涵义包括河道、航线、船闸、机场、码头、堤防以及水路或航空运输中其他相似结构物；“车辆”一词的涵义包括船舶和飞机等。</w:t>
      </w:r>
    </w:p>
    <w:p w14:paraId="211FD4D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26" w:name="_Toc351203506"/>
      <w:r>
        <w:rPr>
          <w:rFonts w:hint="eastAsia" w:ascii="宋体" w:hAnsi="宋体" w:eastAsia="宋体" w:cs="宋体"/>
          <w:color w:val="000000"/>
          <w:kern w:val="2"/>
          <w:sz w:val="24"/>
          <w:szCs w:val="24"/>
          <w:lang w:val="en-US" w:eastAsia="zh-CN" w:bidi="ar-SA"/>
        </w:rPr>
        <w:t>1</w:t>
      </w:r>
      <w:bookmarkStart w:id="727" w:name="_Toc337558737"/>
      <w:bookmarkStart w:id="728" w:name="_Toc296503037"/>
      <w:bookmarkStart w:id="729" w:name="_Toc296346538"/>
      <w:r>
        <w:rPr>
          <w:rFonts w:hint="eastAsia" w:ascii="宋体" w:hAnsi="宋体" w:eastAsia="宋体" w:cs="宋体"/>
          <w:color w:val="000000"/>
          <w:kern w:val="2"/>
          <w:sz w:val="24"/>
          <w:szCs w:val="24"/>
          <w:lang w:val="en-US" w:eastAsia="zh-CN" w:bidi="ar-SA"/>
        </w:rPr>
        <w:t>.11知识产权</w:t>
      </w:r>
      <w:bookmarkEnd w:id="726"/>
      <w:bookmarkEnd w:id="727"/>
    </w:p>
    <w:bookmarkEnd w:id="728"/>
    <w:bookmarkEnd w:id="729"/>
    <w:p w14:paraId="2B0B331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0AA4F2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EACFCC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351444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1.11.4 除专用合同条款另有约定外，承包人在合同签订前和签订时已确定采用的专利、专有技术、技术秘密的使用费已包含在签约合同价中。</w:t>
      </w:r>
    </w:p>
    <w:p w14:paraId="00B039C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30" w:name="_Toc351203507"/>
      <w:r>
        <w:rPr>
          <w:rFonts w:hint="eastAsia" w:ascii="宋体" w:hAnsi="宋体" w:eastAsia="宋体" w:cs="宋体"/>
          <w:color w:val="000000"/>
          <w:kern w:val="2"/>
          <w:sz w:val="24"/>
          <w:szCs w:val="24"/>
          <w:lang w:val="en-US" w:eastAsia="zh-CN" w:bidi="ar-SA"/>
        </w:rPr>
        <w:t>1</w:t>
      </w:r>
      <w:bookmarkStart w:id="731" w:name="_Toc337558738"/>
      <w:r>
        <w:rPr>
          <w:rFonts w:hint="eastAsia" w:ascii="宋体" w:hAnsi="宋体" w:eastAsia="宋体" w:cs="宋体"/>
          <w:color w:val="000000"/>
          <w:kern w:val="2"/>
          <w:sz w:val="24"/>
          <w:szCs w:val="24"/>
          <w:lang w:val="en-US" w:eastAsia="zh-CN" w:bidi="ar-SA"/>
        </w:rPr>
        <w:t>.12保密</w:t>
      </w:r>
      <w:bookmarkEnd w:id="730"/>
    </w:p>
    <w:bookmarkEnd w:id="731"/>
    <w:p w14:paraId="760BC9D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除法律规定或合同另有约定外，未经发包人书面同意，承包人不得将发包人提供的图纸、文件以及声明需要保密的资料信息等商业秘密泄露给第三方。</w:t>
      </w:r>
    </w:p>
    <w:p w14:paraId="612E6E9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除法律规定或合同另有约定外，未经承包人书面同意，发包人不得将承包人提供的技术秘密及声明需要保密的资料信息等商业秘密泄露给第三方。</w:t>
      </w:r>
    </w:p>
    <w:p w14:paraId="4EDB8C2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32" w:name="_Toc351203508"/>
      <w:r>
        <w:rPr>
          <w:rFonts w:hint="eastAsia" w:ascii="宋体" w:hAnsi="宋体" w:eastAsia="宋体" w:cs="宋体"/>
          <w:color w:val="000000"/>
          <w:kern w:val="2"/>
          <w:sz w:val="24"/>
          <w:szCs w:val="24"/>
          <w:lang w:val="en-US" w:eastAsia="zh-CN" w:bidi="ar-SA"/>
        </w:rPr>
        <w:t>1.13工程量清单错误的修正</w:t>
      </w:r>
      <w:bookmarkEnd w:id="732"/>
    </w:p>
    <w:p w14:paraId="6B2EF29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除专用合同条款另有约定外，发包人提供的工程量清单，应被认为是准确的和完整的。出现下列情形之一时，发包人应予以修正，并相应调整合同价格：</w:t>
      </w:r>
    </w:p>
    <w:p w14:paraId="2C70685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（1）工程量清单存在缺项、漏项的；</w:t>
      </w:r>
    </w:p>
    <w:p w14:paraId="65738F1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（2）工程量清单偏差超出专用合同条款约定的工程量偏差范围的；</w:t>
      </w:r>
    </w:p>
    <w:p w14:paraId="36FD5C1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（3）未按照国家现行计量规范强制性规定计量的。</w:t>
      </w:r>
    </w:p>
    <w:p w14:paraId="2DDD1AC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33" w:name="_Toc101704617"/>
      <w:bookmarkStart w:id="734" w:name="_Toc24394"/>
      <w:bookmarkStart w:id="735" w:name="_Toc25930292"/>
      <w:bookmarkStart w:id="736" w:name="_Toc39153737"/>
      <w:bookmarkStart w:id="737" w:name="_Toc101795210"/>
      <w:bookmarkStart w:id="738" w:name="_Toc25824"/>
      <w:bookmarkStart w:id="739" w:name="_Toc4841"/>
      <w:bookmarkStart w:id="740" w:name="_Toc351203509"/>
      <w:bookmarkStart w:id="741" w:name="_Toc103259091"/>
      <w:bookmarkStart w:id="742" w:name="_Toc102120267"/>
      <w:r>
        <w:rPr>
          <w:rFonts w:hint="eastAsia" w:ascii="宋体" w:hAnsi="宋体" w:eastAsia="宋体" w:cs="宋体"/>
          <w:color w:val="000000"/>
          <w:kern w:val="2"/>
          <w:sz w:val="24"/>
          <w:szCs w:val="24"/>
          <w:lang w:val="en-US" w:eastAsia="zh-CN" w:bidi="ar-SA"/>
        </w:rPr>
        <w:t>2</w:t>
      </w:r>
      <w:bookmarkStart w:id="743" w:name="_Toc337558739"/>
      <w:bookmarkStart w:id="744" w:name="_Toc296503038"/>
      <w:bookmarkStart w:id="745" w:name="_Toc296346539"/>
      <w:r>
        <w:rPr>
          <w:rFonts w:hint="eastAsia" w:ascii="宋体" w:hAnsi="宋体" w:eastAsia="宋体" w:cs="宋体"/>
          <w:color w:val="000000"/>
          <w:kern w:val="2"/>
          <w:sz w:val="24"/>
          <w:szCs w:val="24"/>
          <w:lang w:val="en-US" w:eastAsia="zh-CN" w:bidi="ar-SA"/>
        </w:rPr>
        <w:t>. 发包人</w:t>
      </w:r>
      <w:bookmarkEnd w:id="733"/>
      <w:bookmarkEnd w:id="734"/>
      <w:bookmarkEnd w:id="735"/>
      <w:bookmarkEnd w:id="736"/>
      <w:bookmarkEnd w:id="737"/>
      <w:bookmarkEnd w:id="738"/>
      <w:bookmarkEnd w:id="739"/>
      <w:bookmarkEnd w:id="740"/>
      <w:bookmarkEnd w:id="741"/>
      <w:bookmarkEnd w:id="742"/>
    </w:p>
    <w:bookmarkEnd w:id="743"/>
    <w:bookmarkEnd w:id="744"/>
    <w:bookmarkEnd w:id="745"/>
    <w:p w14:paraId="7943884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bookmarkStart w:id="746" w:name="_Toc296346540"/>
      <w:bookmarkStart w:id="747" w:name="_Toc337558740"/>
      <w:bookmarkStart w:id="748" w:name="_Toc296503039"/>
      <w:r>
        <w:rPr>
          <w:rFonts w:hint="eastAsia" w:ascii="宋体" w:hAnsi="宋体" w:eastAsia="宋体" w:cs="宋体"/>
          <w:color w:val="000000"/>
          <w:kern w:val="2"/>
          <w:sz w:val="24"/>
          <w:szCs w:val="24"/>
          <w:lang w:val="en-US" w:eastAsia="zh-CN" w:bidi="ar-SA"/>
        </w:rPr>
        <w:t>.1 许可或批准</w:t>
      </w:r>
    </w:p>
    <w:p w14:paraId="6AD8654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2EADC3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因发包人原因未能及时办理完毕前述许可、批准或备案，由发包人承担由此增加的费用和（或）延误的工期，并支付承包人合理的利润。</w:t>
      </w:r>
    </w:p>
    <w:p w14:paraId="1CFAEC0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49" w:name="_Toc351203511"/>
      <w:r>
        <w:rPr>
          <w:rFonts w:hint="eastAsia" w:ascii="宋体" w:hAnsi="宋体" w:eastAsia="宋体" w:cs="宋体"/>
          <w:color w:val="000000"/>
          <w:kern w:val="2"/>
          <w:sz w:val="24"/>
          <w:szCs w:val="24"/>
          <w:lang w:val="en-US" w:eastAsia="zh-CN" w:bidi="ar-SA"/>
        </w:rPr>
        <w:t>2.2 发包人代表</w:t>
      </w:r>
      <w:bookmarkEnd w:id="749"/>
    </w:p>
    <w:p w14:paraId="58FF631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FF4A79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发包人代表不能按照合同约定履行其职责及义务，并导致合同无法继续正常履行的，承包人可以要求发包人撤换发包人代表。</w:t>
      </w:r>
    </w:p>
    <w:p w14:paraId="35E19E2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不属于法定必须监理的工程，监理人的职权可以由发包人代表或发包人指定的其他人员行使。</w:t>
      </w:r>
    </w:p>
    <w:p w14:paraId="7731BFD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50" w:name="_Toc351203512"/>
      <w:r>
        <w:rPr>
          <w:rFonts w:hint="eastAsia" w:ascii="宋体" w:hAnsi="宋体" w:eastAsia="宋体" w:cs="宋体"/>
          <w:color w:val="000000"/>
          <w:kern w:val="2"/>
          <w:sz w:val="24"/>
          <w:szCs w:val="24"/>
          <w:lang w:val="en-US" w:eastAsia="zh-CN" w:bidi="ar-SA"/>
        </w:rPr>
        <w:t>2.3 发包人人员</w:t>
      </w:r>
      <w:bookmarkEnd w:id="750"/>
    </w:p>
    <w:p w14:paraId="0EFA96A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发包人应要求在施工现场的发包人人员遵守法律及有关安全、质量、环境保护、文明施工等规定，并保障承包人免于承受因发包人人员未遵守上述要求给承包人造成的损失和责任。</w:t>
      </w:r>
    </w:p>
    <w:p w14:paraId="6C5B8A4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发包人人员包括发包人代表及其他由发包人派驻施工现场的人员。</w:t>
      </w:r>
      <w:bookmarkEnd w:id="746"/>
      <w:bookmarkEnd w:id="747"/>
      <w:bookmarkEnd w:id="748"/>
    </w:p>
    <w:p w14:paraId="331382B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51" w:name="_Toc351203513"/>
      <w:r>
        <w:rPr>
          <w:rFonts w:hint="eastAsia" w:ascii="宋体" w:hAnsi="宋体" w:eastAsia="宋体" w:cs="宋体"/>
          <w:color w:val="000000"/>
          <w:kern w:val="2"/>
          <w:sz w:val="24"/>
          <w:szCs w:val="24"/>
          <w:lang w:val="en-US" w:eastAsia="zh-CN" w:bidi="ar-SA"/>
        </w:rPr>
        <w:t>2</w:t>
      </w:r>
      <w:bookmarkStart w:id="752" w:name="_Toc337558741"/>
      <w:bookmarkStart w:id="753" w:name="_Toc296503040"/>
      <w:bookmarkStart w:id="754" w:name="_Toc296346541"/>
      <w:r>
        <w:rPr>
          <w:rFonts w:hint="eastAsia" w:ascii="宋体" w:hAnsi="宋体" w:eastAsia="宋体" w:cs="宋体"/>
          <w:color w:val="000000"/>
          <w:kern w:val="2"/>
          <w:sz w:val="24"/>
          <w:szCs w:val="24"/>
          <w:lang w:val="en-US" w:eastAsia="zh-CN" w:bidi="ar-SA"/>
        </w:rPr>
        <w:t>.4 施工现场、施工条件和基础资料的提供</w:t>
      </w:r>
      <w:bookmarkEnd w:id="751"/>
      <w:bookmarkEnd w:id="752"/>
      <w:bookmarkEnd w:id="753"/>
      <w:bookmarkEnd w:id="754"/>
    </w:p>
    <w:p w14:paraId="1E4BB36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2.4.1 提供施工现场</w:t>
      </w:r>
    </w:p>
    <w:p w14:paraId="1677B16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除专用合同条款另有约定外，发包人应最迟于开工日期7天前向承包人移交施工现场。</w:t>
      </w:r>
    </w:p>
    <w:p w14:paraId="092DF1A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2.4.2 提供施工条件</w:t>
      </w:r>
    </w:p>
    <w:p w14:paraId="4951194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除专用合同条款另有约定外，发包人应负责提供施工所需要的条件，包括：</w:t>
      </w:r>
    </w:p>
    <w:p w14:paraId="1D33A3C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（1）将施工用水、电力、通讯线路等施工所必需的条件接至施工现场内；</w:t>
      </w:r>
    </w:p>
    <w:p w14:paraId="57C58BF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（2）保证向承包人提供正常施工所需要的进入施工现场的交通条件；</w:t>
      </w:r>
    </w:p>
    <w:p w14:paraId="2BB378D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（3）协调处理施工现场周围地下管线和邻近建筑物、构筑物、古树名木的保护工作，并承担相关费用；</w:t>
      </w:r>
    </w:p>
    <w:p w14:paraId="4683821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（4）按照专用合同条款约定应提供的其他设施和条件。</w:t>
      </w:r>
    </w:p>
    <w:p w14:paraId="38DE68F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2.4.3 提供基础资料</w:t>
      </w:r>
    </w:p>
    <w:p w14:paraId="45132EB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E660E7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按照法律规定确需在开工后方能提供的基础资料，发包人应尽其努力及时地在相应工程施工前的合理期限内提供，合理期限应以不影响承包人的正常施工为限。</w:t>
      </w:r>
    </w:p>
    <w:p w14:paraId="777DA27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2.4.4 逾期提供的责任</w:t>
      </w:r>
    </w:p>
    <w:p w14:paraId="7DE7F05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因发包人原因未能按合同约定及时向承包人提供施工现场、施工条件、基础资料的，由发包人承担由此增加的费用和（或）延误的工期。</w:t>
      </w:r>
    </w:p>
    <w:p w14:paraId="1B467C7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55" w:name="_Toc351203514"/>
      <w:r>
        <w:rPr>
          <w:rFonts w:hint="eastAsia" w:ascii="宋体" w:hAnsi="宋体" w:eastAsia="宋体" w:cs="宋体"/>
          <w:color w:val="000000"/>
          <w:kern w:val="2"/>
          <w:sz w:val="24"/>
          <w:szCs w:val="24"/>
          <w:lang w:val="en-US" w:eastAsia="zh-CN" w:bidi="ar-SA"/>
        </w:rPr>
        <w:t>2</w:t>
      </w:r>
      <w:bookmarkStart w:id="756" w:name="_Toc337558745"/>
      <w:bookmarkStart w:id="757" w:name="_Toc296503042"/>
      <w:bookmarkStart w:id="758" w:name="_Toc296346543"/>
      <w:r>
        <w:rPr>
          <w:rFonts w:hint="eastAsia" w:ascii="宋体" w:hAnsi="宋体" w:eastAsia="宋体" w:cs="宋体"/>
          <w:color w:val="000000"/>
          <w:kern w:val="2"/>
          <w:sz w:val="24"/>
          <w:szCs w:val="24"/>
          <w:lang w:val="en-US" w:eastAsia="zh-CN" w:bidi="ar-SA"/>
        </w:rPr>
        <w:t>.5 资</w:t>
      </w:r>
      <w:bookmarkEnd w:id="756"/>
      <w:bookmarkEnd w:id="757"/>
      <w:bookmarkEnd w:id="758"/>
      <w:r>
        <w:rPr>
          <w:rFonts w:hint="eastAsia" w:ascii="宋体" w:hAnsi="宋体" w:eastAsia="宋体" w:cs="宋体"/>
          <w:color w:val="000000"/>
          <w:kern w:val="2"/>
          <w:sz w:val="24"/>
          <w:szCs w:val="24"/>
          <w:lang w:val="en-US" w:eastAsia="zh-CN" w:bidi="ar-SA"/>
        </w:rPr>
        <w:t>金来源证明及支付担保</w:t>
      </w:r>
      <w:bookmarkEnd w:id="755"/>
    </w:p>
    <w:p w14:paraId="4512EBE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除专用合同条款另有约定外，发包人应在收到承包人要求提供资金来源证明的书面通知后28天内，向承包人提供能够按照合同约定支付合同价款的相应资金来源证明。</w:t>
      </w:r>
    </w:p>
    <w:p w14:paraId="2CD04D2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除专用合同条款另有约定外，发包人要求承包人提供履约担保的，发包人应当向承包人提供支付担保。支付担保可以采用银行保函或担保公司担保等形式，具体由合同当事人在专用合同条款中约定。</w:t>
      </w:r>
    </w:p>
    <w:p w14:paraId="2F92C34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59" w:name="_Toc351203515"/>
      <w:r>
        <w:rPr>
          <w:rFonts w:hint="eastAsia" w:ascii="宋体" w:hAnsi="宋体" w:eastAsia="宋体" w:cs="宋体"/>
          <w:color w:val="000000"/>
          <w:kern w:val="2"/>
          <w:sz w:val="24"/>
          <w:szCs w:val="24"/>
          <w:lang w:val="en-US" w:eastAsia="zh-CN" w:bidi="ar-SA"/>
        </w:rPr>
        <w:t>2.6 支付合同价款</w:t>
      </w:r>
      <w:bookmarkEnd w:id="759"/>
    </w:p>
    <w:p w14:paraId="40B484A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发包人应按合同约定向承包人及时支付合同价款。</w:t>
      </w:r>
    </w:p>
    <w:p w14:paraId="33CD7BD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60" w:name="_Toc351203516"/>
      <w:r>
        <w:rPr>
          <w:rFonts w:hint="eastAsia" w:ascii="宋体" w:hAnsi="宋体" w:eastAsia="宋体" w:cs="宋体"/>
          <w:color w:val="000000"/>
          <w:kern w:val="2"/>
          <w:sz w:val="24"/>
          <w:szCs w:val="24"/>
          <w:lang w:val="en-US" w:eastAsia="zh-CN" w:bidi="ar-SA"/>
        </w:rPr>
        <w:t>2.7 组织竣工验收</w:t>
      </w:r>
      <w:bookmarkEnd w:id="760"/>
    </w:p>
    <w:p w14:paraId="3A79190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发包人应按合同约定及时组织竣工验收。</w:t>
      </w:r>
    </w:p>
    <w:p w14:paraId="06BCF03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61" w:name="_Toc351203517"/>
      <w:r>
        <w:rPr>
          <w:rFonts w:hint="eastAsia" w:ascii="宋体" w:hAnsi="宋体" w:eastAsia="宋体" w:cs="宋体"/>
          <w:color w:val="000000"/>
          <w:kern w:val="2"/>
          <w:sz w:val="24"/>
          <w:szCs w:val="24"/>
          <w:lang w:val="en-US" w:eastAsia="zh-CN" w:bidi="ar-SA"/>
        </w:rPr>
        <w:t>2.8 现场统一管理协议</w:t>
      </w:r>
      <w:bookmarkEnd w:id="761"/>
    </w:p>
    <w:p w14:paraId="27A32C5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发包人应与承包人、由发包人直接发包的专业工程的承包人签订施工现场统一管理协议，明确各方的权利义务。施工现场统一管理协议作为专用合同条款的附件。</w:t>
      </w:r>
    </w:p>
    <w:p w14:paraId="2D947B5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62" w:name="_Toc101704618"/>
      <w:bookmarkStart w:id="763" w:name="_Toc102120268"/>
      <w:bookmarkStart w:id="764" w:name="_Toc23744"/>
      <w:bookmarkStart w:id="765" w:name="_Toc351203518"/>
      <w:bookmarkStart w:id="766" w:name="_Toc31443"/>
      <w:bookmarkStart w:id="767" w:name="_Toc39153738"/>
      <w:bookmarkStart w:id="768" w:name="_Toc101795211"/>
      <w:bookmarkStart w:id="769" w:name="_Toc25930293"/>
      <w:bookmarkStart w:id="770" w:name="_Toc9539"/>
      <w:bookmarkStart w:id="771" w:name="_Toc103259092"/>
      <w:r>
        <w:rPr>
          <w:rFonts w:hint="eastAsia" w:ascii="宋体" w:hAnsi="宋体" w:eastAsia="宋体" w:cs="宋体"/>
          <w:color w:val="000000"/>
          <w:kern w:val="2"/>
          <w:sz w:val="24"/>
          <w:szCs w:val="24"/>
          <w:lang w:val="en-US" w:eastAsia="zh-CN" w:bidi="ar-SA"/>
        </w:rPr>
        <w:t>3</w:t>
      </w:r>
      <w:bookmarkStart w:id="772" w:name="_Toc296503045"/>
      <w:bookmarkStart w:id="773" w:name="_Toc337558746"/>
      <w:bookmarkStart w:id="774" w:name="_Toc296346546"/>
      <w:r>
        <w:rPr>
          <w:rFonts w:hint="eastAsia" w:ascii="宋体" w:hAnsi="宋体" w:eastAsia="宋体" w:cs="宋体"/>
          <w:color w:val="000000"/>
          <w:kern w:val="2"/>
          <w:sz w:val="24"/>
          <w:szCs w:val="24"/>
          <w:lang w:val="en-US" w:eastAsia="zh-CN" w:bidi="ar-SA"/>
        </w:rPr>
        <w:t>. 承包人</w:t>
      </w:r>
      <w:bookmarkEnd w:id="762"/>
      <w:bookmarkEnd w:id="763"/>
      <w:bookmarkEnd w:id="764"/>
      <w:bookmarkEnd w:id="765"/>
      <w:bookmarkEnd w:id="766"/>
      <w:bookmarkEnd w:id="767"/>
      <w:bookmarkEnd w:id="768"/>
      <w:bookmarkEnd w:id="769"/>
      <w:bookmarkEnd w:id="770"/>
      <w:bookmarkEnd w:id="771"/>
    </w:p>
    <w:bookmarkEnd w:id="772"/>
    <w:bookmarkEnd w:id="773"/>
    <w:bookmarkEnd w:id="774"/>
    <w:p w14:paraId="051359F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75" w:name="_Toc351203519"/>
      <w:r>
        <w:rPr>
          <w:rFonts w:hint="eastAsia" w:ascii="宋体" w:hAnsi="宋体" w:eastAsia="宋体" w:cs="宋体"/>
          <w:color w:val="000000"/>
          <w:kern w:val="2"/>
          <w:sz w:val="24"/>
          <w:szCs w:val="24"/>
          <w:lang w:val="en-US" w:eastAsia="zh-CN" w:bidi="ar-SA"/>
        </w:rPr>
        <w:t>3</w:t>
      </w:r>
      <w:bookmarkStart w:id="776" w:name="_Toc337558747"/>
      <w:bookmarkStart w:id="777" w:name="_Toc296346547"/>
      <w:bookmarkStart w:id="778" w:name="_Toc296503046"/>
      <w:r>
        <w:rPr>
          <w:rFonts w:hint="eastAsia" w:ascii="宋体" w:hAnsi="宋体" w:eastAsia="宋体" w:cs="宋体"/>
          <w:color w:val="000000"/>
          <w:kern w:val="2"/>
          <w:sz w:val="24"/>
          <w:szCs w:val="24"/>
          <w:lang w:val="en-US" w:eastAsia="zh-CN" w:bidi="ar-SA"/>
        </w:rPr>
        <w:t>.1 承包人的一般义务</w:t>
      </w:r>
      <w:bookmarkEnd w:id="775"/>
    </w:p>
    <w:bookmarkEnd w:id="776"/>
    <w:bookmarkEnd w:id="777"/>
    <w:bookmarkEnd w:id="778"/>
    <w:p w14:paraId="7F913BC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承包人在履行合同过程中应遵守法律和工程建设标准规范，并履行以下义务：</w:t>
      </w:r>
    </w:p>
    <w:p w14:paraId="3F81DEA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办理法律规定应由承包人办理的许可和批准，并将办理结果书面报送发包人留存；</w:t>
      </w:r>
    </w:p>
    <w:p w14:paraId="26341EB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（2）按法律规定和合同约定完成工程，并在保修期内承担保修义务；</w:t>
      </w:r>
    </w:p>
    <w:p w14:paraId="0B164B1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（3）按法律规定和合同约定采取施工安全和环境保护措施，办理工伤保险，确保工程及人员、材料、设备和设施的安全；</w:t>
      </w:r>
    </w:p>
    <w:p w14:paraId="01C3378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（4）按合同约定的工作内容和施工进度要求，编制施工组织设计和施工措施计划，并对所有施工作业和施工方法的完备性和安全可靠性负责；</w:t>
      </w:r>
    </w:p>
    <w:p w14:paraId="519BB6F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09BAE3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（6）按照第6.3款〔环境保护〕约定负责施工场地及其周边环境与生态的保护工作；</w:t>
      </w:r>
    </w:p>
    <w:p w14:paraId="29EF3AC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（7）按第6.1款〔安全文明施工〕约定采取施工安全措施，确保工程及其人员、材料、设备和设施的安全，防止因工程施工造成的人身伤害和财产损失；</w:t>
      </w:r>
    </w:p>
    <w:p w14:paraId="003F341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（8）将发包人按合同约定支付的各项价款专用于合同工程，且应及时支付其雇用人员工资，并及时向分包人支付合同价款；</w:t>
      </w:r>
    </w:p>
    <w:p w14:paraId="75D1050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（9）按照法律规定和合同约定编制竣工资料，完成竣工资料立卷及归档，并按专用合同条款约定的竣工资料的套数、内容、时间等要求移交发包人；</w:t>
      </w:r>
    </w:p>
    <w:p w14:paraId="5A48DDA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（10）应履行的其他义务。</w:t>
      </w:r>
    </w:p>
    <w:p w14:paraId="4E0599E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79" w:name="_Toc351203520"/>
      <w:r>
        <w:rPr>
          <w:rFonts w:hint="eastAsia" w:ascii="宋体" w:hAnsi="宋体" w:eastAsia="宋体" w:cs="宋体"/>
          <w:color w:val="000000"/>
          <w:kern w:val="2"/>
          <w:sz w:val="24"/>
          <w:szCs w:val="24"/>
          <w:lang w:val="en-US" w:eastAsia="zh-CN" w:bidi="ar-SA"/>
        </w:rPr>
        <w:t>3</w:t>
      </w:r>
      <w:bookmarkStart w:id="780" w:name="_Toc337558748"/>
      <w:bookmarkStart w:id="781" w:name="_Toc296503047"/>
      <w:bookmarkStart w:id="782" w:name="_Toc296346548"/>
      <w:r>
        <w:rPr>
          <w:rFonts w:hint="eastAsia" w:ascii="宋体" w:hAnsi="宋体" w:eastAsia="宋体" w:cs="宋体"/>
          <w:color w:val="000000"/>
          <w:kern w:val="2"/>
          <w:sz w:val="24"/>
          <w:szCs w:val="24"/>
          <w:lang w:val="en-US" w:eastAsia="zh-CN" w:bidi="ar-SA"/>
        </w:rPr>
        <w:t xml:space="preserve">.2 </w:t>
      </w:r>
      <w:bookmarkEnd w:id="779"/>
      <w:r>
        <w:rPr>
          <w:rFonts w:hint="eastAsia" w:ascii="宋体" w:hAnsi="宋体" w:eastAsia="宋体" w:cs="宋体"/>
          <w:color w:val="000000"/>
          <w:kern w:val="2"/>
          <w:sz w:val="24"/>
          <w:szCs w:val="24"/>
          <w:lang w:val="en-US" w:eastAsia="zh-CN" w:bidi="ar-SA"/>
        </w:rPr>
        <w:t>项目经理</w:t>
      </w:r>
    </w:p>
    <w:bookmarkEnd w:id="780"/>
    <w:bookmarkEnd w:id="781"/>
    <w:bookmarkEnd w:id="782"/>
    <w:p w14:paraId="76C656F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D4B3E9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AEC4A0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承包人违反上述约定的，应按照专用合同条款的约定，承担违约责任。</w:t>
      </w:r>
    </w:p>
    <w:p w14:paraId="7D503CD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506776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FC674A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CE1E81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3.2.5 项目经理因特殊情况授权其下属人员履行其某项工作职责的，该下属人员应具备履行相应职责的能力，并应提前7天将上述人员的姓名和授权范围书面通知监理人，并征得发包人书面同意。</w:t>
      </w:r>
    </w:p>
    <w:p w14:paraId="4A79255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83" w:name="_Toc351203521"/>
      <w:r>
        <w:rPr>
          <w:rFonts w:hint="eastAsia" w:ascii="宋体" w:hAnsi="宋体" w:eastAsia="宋体" w:cs="宋体"/>
          <w:color w:val="000000"/>
          <w:kern w:val="2"/>
          <w:sz w:val="24"/>
          <w:szCs w:val="24"/>
          <w:lang w:val="en-US" w:eastAsia="zh-CN" w:bidi="ar-SA"/>
        </w:rPr>
        <w:t>3</w:t>
      </w:r>
      <w:bookmarkStart w:id="784" w:name="_Toc296503048"/>
      <w:bookmarkStart w:id="785" w:name="_Toc296346549"/>
      <w:bookmarkStart w:id="786" w:name="_Toc337558749"/>
      <w:r>
        <w:rPr>
          <w:rFonts w:hint="eastAsia" w:ascii="宋体" w:hAnsi="宋体" w:eastAsia="宋体" w:cs="宋体"/>
          <w:color w:val="000000"/>
          <w:kern w:val="2"/>
          <w:sz w:val="24"/>
          <w:szCs w:val="24"/>
          <w:lang w:val="en-US" w:eastAsia="zh-CN" w:bidi="ar-SA"/>
        </w:rPr>
        <w:t xml:space="preserve">.3 </w:t>
      </w:r>
      <w:bookmarkEnd w:id="784"/>
      <w:bookmarkEnd w:id="785"/>
      <w:r>
        <w:rPr>
          <w:rFonts w:hint="eastAsia" w:ascii="宋体" w:hAnsi="宋体" w:eastAsia="宋体" w:cs="宋体"/>
          <w:color w:val="000000"/>
          <w:kern w:val="2"/>
          <w:sz w:val="24"/>
          <w:szCs w:val="24"/>
          <w:lang w:val="en-US" w:eastAsia="zh-CN" w:bidi="ar-SA"/>
        </w:rPr>
        <w:t>承包人人员</w:t>
      </w:r>
      <w:bookmarkEnd w:id="783"/>
    </w:p>
    <w:bookmarkEnd w:id="786"/>
    <w:p w14:paraId="0AB0CD2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6D14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8E37D8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特殊工种作业人员均应持有相应的资格证明，监理人可以随时检查。</w:t>
      </w:r>
    </w:p>
    <w:p w14:paraId="1C26899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3F26F5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书面同意。</w:t>
      </w:r>
    </w:p>
    <w:p w14:paraId="7963A78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3.3.5 承包人擅自更换主要施工管理人员，或前述人员未经监理人或发包人书面同意擅自离开施工现场的，应按照专用合同条款约定承担违约责任。</w:t>
      </w:r>
    </w:p>
    <w:p w14:paraId="0A5BE68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87" w:name="_Toc351203522"/>
      <w:r>
        <w:rPr>
          <w:rFonts w:hint="eastAsia" w:ascii="宋体" w:hAnsi="宋体" w:eastAsia="宋体" w:cs="宋体"/>
          <w:color w:val="000000"/>
          <w:kern w:val="2"/>
          <w:sz w:val="24"/>
          <w:szCs w:val="24"/>
          <w:lang w:val="en-US" w:eastAsia="zh-CN" w:bidi="ar-SA"/>
        </w:rPr>
        <w:t>3</w:t>
      </w:r>
      <w:bookmarkStart w:id="788" w:name="_Toc296346551"/>
      <w:bookmarkStart w:id="789" w:name="_Toc337558750"/>
      <w:bookmarkStart w:id="790" w:name="_Toc296503050"/>
      <w:r>
        <w:rPr>
          <w:rFonts w:hint="eastAsia" w:ascii="宋体" w:hAnsi="宋体" w:eastAsia="宋体" w:cs="宋体"/>
          <w:color w:val="000000"/>
          <w:kern w:val="2"/>
          <w:sz w:val="24"/>
          <w:szCs w:val="24"/>
          <w:lang w:val="en-US" w:eastAsia="zh-CN" w:bidi="ar-SA"/>
        </w:rPr>
        <w:t>.4 承包人现场查勘</w:t>
      </w:r>
      <w:bookmarkEnd w:id="787"/>
    </w:p>
    <w:bookmarkEnd w:id="788"/>
    <w:bookmarkEnd w:id="789"/>
    <w:bookmarkEnd w:id="790"/>
    <w:p w14:paraId="4DBE519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承包人应对基于发包人按照第2.4.3项〔提供基础资料〕提交的基础资料所做出的解释和推断负责，但因基础资料存在错误、遗漏导致承包人解释或推断失实的，由发包人承担责任。</w:t>
      </w:r>
    </w:p>
    <w:p w14:paraId="0B7E688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01BFC3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91" w:name="_Toc351203523"/>
      <w:r>
        <w:rPr>
          <w:rFonts w:hint="eastAsia" w:ascii="宋体" w:hAnsi="宋体" w:eastAsia="宋体" w:cs="宋体"/>
          <w:color w:val="000000"/>
          <w:kern w:val="2"/>
          <w:sz w:val="24"/>
          <w:szCs w:val="24"/>
          <w:lang w:val="en-US" w:eastAsia="zh-CN" w:bidi="ar-SA"/>
        </w:rPr>
        <w:t>3</w:t>
      </w:r>
      <w:bookmarkStart w:id="792" w:name="_Toc296503051"/>
      <w:bookmarkStart w:id="793" w:name="_Toc337558751"/>
      <w:bookmarkStart w:id="794" w:name="_Toc296346552"/>
      <w:r>
        <w:rPr>
          <w:rFonts w:hint="eastAsia" w:ascii="宋体" w:hAnsi="宋体" w:eastAsia="宋体" w:cs="宋体"/>
          <w:color w:val="000000"/>
          <w:kern w:val="2"/>
          <w:sz w:val="24"/>
          <w:szCs w:val="24"/>
          <w:lang w:val="en-US" w:eastAsia="zh-CN" w:bidi="ar-SA"/>
        </w:rPr>
        <w:t>.5 分包</w:t>
      </w:r>
      <w:bookmarkEnd w:id="791"/>
    </w:p>
    <w:bookmarkEnd w:id="792"/>
    <w:bookmarkEnd w:id="793"/>
    <w:bookmarkEnd w:id="794"/>
    <w:p w14:paraId="19AEFDD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3.5.1 分包的一般约定</w:t>
      </w:r>
    </w:p>
    <w:p w14:paraId="7177378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B5C67C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承包人不得以劳务分包的名义转包或违法分包工程。</w:t>
      </w:r>
    </w:p>
    <w:p w14:paraId="1618F3E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3.5.2 分包的确定</w:t>
      </w:r>
    </w:p>
    <w:p w14:paraId="3AF74A7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1C509D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3.5.3 分包管理</w:t>
      </w:r>
    </w:p>
    <w:p w14:paraId="2B75A8B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承包人应向监理人提交分包人的主要施工管理人员表，并对分包人的施工人员进行实名制管理，包括但不限于进出场管理、登记造册以及各种证照的办理。</w:t>
      </w:r>
    </w:p>
    <w:p w14:paraId="48C979D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3.5.4 分包合同价款</w:t>
      </w:r>
    </w:p>
    <w:p w14:paraId="6FD28DE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（1）除本项第（2）目约定的情况或专用合同条款另有约定外，分包合同价款由承包人与分包人结算，未经承包人同意，发包人不得向分包人支付分包工程价款；</w:t>
      </w:r>
    </w:p>
    <w:p w14:paraId="315C45E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（2）生效法律文书要求发包人向分包人支付分包合同价款的，发包人有权从应付承包人工程款中扣除该部分款项。</w:t>
      </w:r>
    </w:p>
    <w:p w14:paraId="23B48FE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3.5.5 分包合同权益的转让</w:t>
      </w:r>
    </w:p>
    <w:p w14:paraId="39F92EF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95" w:name="_Toc351203524"/>
    </w:p>
    <w:p w14:paraId="2A6DA09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3.6 工程照管与成品、半成品保护</w:t>
      </w:r>
      <w:bookmarkEnd w:id="795"/>
    </w:p>
    <w:p w14:paraId="1EA13A8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（1）除专用合同条款另有约定外，自发包人向承包人移交施工现场之日起，承包人应负责照管工程及工程相关的材料、工程设备，直到颁发工程接收证书之日止。</w:t>
      </w:r>
    </w:p>
    <w:p w14:paraId="72C891E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（2）在承包人负责照管期间，因承包人原因造成工程、材料、工程设备损坏的，由承包人负责修复或更换，并承担由此增加的费用和（或）延误的工期。</w:t>
      </w:r>
    </w:p>
    <w:p w14:paraId="4746E96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（3）对合同内分期完成的成品和半成品，在工程接收证书颁发前，由承包人承担保护责任。因承包人原因造成成品或半成品损坏的，由承包人负责修复或更换，并承担由此增加的费用和（或）延误的工期。</w:t>
      </w:r>
    </w:p>
    <w:p w14:paraId="17D4C4A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796" w:name="_Toc351203525"/>
      <w:r>
        <w:rPr>
          <w:rFonts w:hint="eastAsia" w:ascii="宋体" w:hAnsi="宋体" w:eastAsia="宋体" w:cs="宋体"/>
          <w:color w:val="000000"/>
          <w:kern w:val="2"/>
          <w:sz w:val="24"/>
          <w:szCs w:val="24"/>
          <w:lang w:val="en-US" w:eastAsia="zh-CN" w:bidi="ar-SA"/>
        </w:rPr>
        <w:t>3</w:t>
      </w:r>
      <w:bookmarkStart w:id="797" w:name="_Toc296503052"/>
      <w:bookmarkStart w:id="798" w:name="_Toc296346553"/>
      <w:bookmarkStart w:id="799" w:name="_Toc337558752"/>
      <w:r>
        <w:rPr>
          <w:rFonts w:hint="eastAsia" w:ascii="宋体" w:hAnsi="宋体" w:eastAsia="宋体" w:cs="宋体"/>
          <w:color w:val="000000"/>
          <w:kern w:val="2"/>
          <w:sz w:val="24"/>
          <w:szCs w:val="24"/>
          <w:lang w:val="en-US" w:eastAsia="zh-CN" w:bidi="ar-SA"/>
        </w:rPr>
        <w:t>.7 履约担保</w:t>
      </w:r>
      <w:bookmarkEnd w:id="796"/>
    </w:p>
    <w:bookmarkEnd w:id="797"/>
    <w:bookmarkEnd w:id="798"/>
    <w:bookmarkEnd w:id="799"/>
    <w:p w14:paraId="3D16891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46BAA5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因承包人原因导致工期延长的，继续提供履约担保所增加的费用由承包人承担；非因承包人原因导致工期延长的，继续提供履约担保所增加的费用由发包人承担。</w:t>
      </w:r>
    </w:p>
    <w:p w14:paraId="2BD192D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00" w:name="_Toc351203526"/>
      <w:r>
        <w:rPr>
          <w:rFonts w:hint="eastAsia" w:ascii="宋体" w:hAnsi="宋体" w:eastAsia="宋体" w:cs="宋体"/>
          <w:color w:val="000000"/>
          <w:kern w:val="2"/>
          <w:sz w:val="24"/>
          <w:szCs w:val="24"/>
          <w:lang w:val="en-US" w:eastAsia="zh-CN" w:bidi="ar-SA"/>
        </w:rPr>
        <w:t>3.8 联合体</w:t>
      </w:r>
      <w:bookmarkEnd w:id="800"/>
    </w:p>
    <w:p w14:paraId="0FC15CC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3.8.1 联合体各方应共同与发包人签订合同协议书。联合体各方应为履行合同向发包人承担连带责任。</w:t>
      </w:r>
    </w:p>
    <w:p w14:paraId="227AB7E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3.8.2 联合体协议经发包人确认后作为合同附件。在履行合同过程中，未经发包人书面同意，不得修改联合体协议。</w:t>
      </w:r>
    </w:p>
    <w:p w14:paraId="3BA6917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3.8.3 联合体牵头人负责与发包人和监理人联系，并接受指示，负责组织联合体各成员全面履行合同。</w:t>
      </w:r>
    </w:p>
    <w:p w14:paraId="10AA854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01" w:name="_Toc16325"/>
      <w:bookmarkStart w:id="802" w:name="_Toc22650"/>
      <w:bookmarkStart w:id="803" w:name="_Toc25930294"/>
      <w:bookmarkStart w:id="804" w:name="_Toc102120269"/>
      <w:bookmarkStart w:id="805" w:name="_Toc1797"/>
      <w:bookmarkStart w:id="806" w:name="_Toc101704619"/>
      <w:bookmarkStart w:id="807" w:name="_Toc101795212"/>
      <w:bookmarkStart w:id="808" w:name="_Toc351203527"/>
      <w:bookmarkStart w:id="809" w:name="_Toc103259093"/>
      <w:bookmarkStart w:id="810" w:name="_Toc39153739"/>
      <w:r>
        <w:rPr>
          <w:rFonts w:hint="eastAsia" w:ascii="宋体" w:hAnsi="宋体" w:eastAsia="宋体" w:cs="宋体"/>
          <w:color w:val="000000"/>
          <w:kern w:val="2"/>
          <w:sz w:val="24"/>
          <w:szCs w:val="24"/>
          <w:lang w:val="en-US" w:eastAsia="zh-CN" w:bidi="ar-SA"/>
        </w:rPr>
        <w:t>4</w:t>
      </w:r>
      <w:bookmarkStart w:id="811" w:name="_Toc296346554"/>
      <w:bookmarkStart w:id="812" w:name="_Toc296503053"/>
      <w:bookmarkStart w:id="813" w:name="_Toc337558753"/>
      <w:r>
        <w:rPr>
          <w:rFonts w:hint="eastAsia" w:ascii="宋体" w:hAnsi="宋体" w:eastAsia="宋体" w:cs="宋体"/>
          <w:color w:val="000000"/>
          <w:kern w:val="2"/>
          <w:sz w:val="24"/>
          <w:szCs w:val="24"/>
          <w:lang w:val="en-US" w:eastAsia="zh-CN" w:bidi="ar-SA"/>
        </w:rPr>
        <w:t>. 监</w:t>
      </w:r>
      <w:bookmarkEnd w:id="811"/>
      <w:bookmarkEnd w:id="812"/>
      <w:r>
        <w:rPr>
          <w:rFonts w:hint="eastAsia" w:ascii="宋体" w:hAnsi="宋体" w:eastAsia="宋体" w:cs="宋体"/>
          <w:color w:val="000000"/>
          <w:kern w:val="2"/>
          <w:sz w:val="24"/>
          <w:szCs w:val="24"/>
          <w:lang w:val="en-US" w:eastAsia="zh-CN" w:bidi="ar-SA"/>
        </w:rPr>
        <w:t>理人</w:t>
      </w:r>
      <w:bookmarkEnd w:id="801"/>
      <w:bookmarkEnd w:id="802"/>
      <w:bookmarkEnd w:id="803"/>
      <w:bookmarkEnd w:id="804"/>
      <w:bookmarkEnd w:id="805"/>
      <w:bookmarkEnd w:id="806"/>
      <w:bookmarkEnd w:id="807"/>
      <w:bookmarkEnd w:id="808"/>
      <w:bookmarkEnd w:id="809"/>
      <w:bookmarkEnd w:id="810"/>
    </w:p>
    <w:bookmarkEnd w:id="813"/>
    <w:p w14:paraId="0599FFD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14" w:name="_Toc351203528"/>
      <w:r>
        <w:rPr>
          <w:rFonts w:hint="eastAsia" w:ascii="宋体" w:hAnsi="宋体" w:eastAsia="宋体" w:cs="宋体"/>
          <w:color w:val="000000"/>
          <w:kern w:val="2"/>
          <w:sz w:val="24"/>
          <w:szCs w:val="24"/>
          <w:lang w:val="en-US" w:eastAsia="zh-CN" w:bidi="ar-SA"/>
        </w:rPr>
        <w:t>4</w:t>
      </w:r>
      <w:bookmarkStart w:id="815" w:name="_Toc296346555"/>
      <w:bookmarkStart w:id="816" w:name="_Toc296503054"/>
      <w:bookmarkStart w:id="817" w:name="_Toc337558754"/>
      <w:r>
        <w:rPr>
          <w:rFonts w:hint="eastAsia" w:ascii="宋体" w:hAnsi="宋体" w:eastAsia="宋体" w:cs="宋体"/>
          <w:color w:val="000000"/>
          <w:kern w:val="2"/>
          <w:sz w:val="24"/>
          <w:szCs w:val="24"/>
          <w:lang w:val="en-US" w:eastAsia="zh-CN" w:bidi="ar-SA"/>
        </w:rPr>
        <w:t>.1监理人的一般规定</w:t>
      </w:r>
      <w:bookmarkEnd w:id="814"/>
    </w:p>
    <w:bookmarkEnd w:id="815"/>
    <w:bookmarkEnd w:id="816"/>
    <w:bookmarkEnd w:id="817"/>
    <w:p w14:paraId="4D4E9C1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561DD8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除专用合同条款另有约定外，监理人在施工现场的办公场所、生活场所由承包人提供，所发生的费用由发包人承担。</w:t>
      </w:r>
    </w:p>
    <w:p w14:paraId="49A9AC9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18" w:name="_Toc351203529"/>
      <w:r>
        <w:rPr>
          <w:rFonts w:hint="eastAsia" w:ascii="宋体" w:hAnsi="宋体" w:eastAsia="宋体" w:cs="宋体"/>
          <w:color w:val="000000"/>
          <w:kern w:val="2"/>
          <w:sz w:val="24"/>
          <w:szCs w:val="24"/>
          <w:lang w:val="en-US" w:eastAsia="zh-CN" w:bidi="ar-SA"/>
        </w:rPr>
        <w:t>4</w:t>
      </w:r>
      <w:bookmarkStart w:id="819" w:name="_Toc337558755"/>
      <w:r>
        <w:rPr>
          <w:rFonts w:hint="eastAsia" w:ascii="宋体" w:hAnsi="宋体" w:eastAsia="宋体" w:cs="宋体"/>
          <w:color w:val="000000"/>
          <w:kern w:val="2"/>
          <w:sz w:val="24"/>
          <w:szCs w:val="24"/>
          <w:lang w:val="en-US" w:eastAsia="zh-CN" w:bidi="ar-SA"/>
        </w:rPr>
        <w:t>.2监理人员</w:t>
      </w:r>
      <w:bookmarkEnd w:id="818"/>
    </w:p>
    <w:bookmarkEnd w:id="819"/>
    <w:p w14:paraId="13E1847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3620E4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20" w:name="_Toc351203530"/>
      <w:r>
        <w:rPr>
          <w:rFonts w:hint="eastAsia" w:ascii="宋体" w:hAnsi="宋体" w:eastAsia="宋体" w:cs="宋体"/>
          <w:color w:val="000000"/>
          <w:kern w:val="2"/>
          <w:sz w:val="24"/>
          <w:szCs w:val="24"/>
          <w:lang w:val="en-US" w:eastAsia="zh-CN" w:bidi="ar-SA"/>
        </w:rPr>
        <w:t>4</w:t>
      </w:r>
      <w:bookmarkStart w:id="821" w:name="_Toc296346556"/>
      <w:bookmarkStart w:id="822" w:name="_Toc296503055"/>
      <w:bookmarkStart w:id="823" w:name="_Toc337558756"/>
      <w:r>
        <w:rPr>
          <w:rFonts w:hint="eastAsia" w:ascii="宋体" w:hAnsi="宋体" w:eastAsia="宋体" w:cs="宋体"/>
          <w:color w:val="000000"/>
          <w:kern w:val="2"/>
          <w:sz w:val="24"/>
          <w:szCs w:val="24"/>
          <w:lang w:val="en-US" w:eastAsia="zh-CN" w:bidi="ar-SA"/>
        </w:rPr>
        <w:t>.3</w:t>
      </w:r>
      <w:bookmarkEnd w:id="821"/>
      <w:bookmarkEnd w:id="822"/>
      <w:r>
        <w:rPr>
          <w:rFonts w:hint="eastAsia" w:ascii="宋体" w:hAnsi="宋体" w:eastAsia="宋体" w:cs="宋体"/>
          <w:color w:val="000000"/>
          <w:kern w:val="2"/>
          <w:sz w:val="24"/>
          <w:szCs w:val="24"/>
          <w:lang w:val="en-US" w:eastAsia="zh-CN" w:bidi="ar-SA"/>
        </w:rPr>
        <w:t>监理人的指</w:t>
      </w:r>
      <w:bookmarkEnd w:id="823"/>
      <w:r>
        <w:rPr>
          <w:rFonts w:hint="eastAsia" w:ascii="宋体" w:hAnsi="宋体" w:eastAsia="宋体" w:cs="宋体"/>
          <w:color w:val="000000"/>
          <w:kern w:val="2"/>
          <w:sz w:val="24"/>
          <w:szCs w:val="24"/>
          <w:lang w:val="en-US" w:eastAsia="zh-CN" w:bidi="ar-SA"/>
        </w:rPr>
        <w:t>示</w:t>
      </w:r>
      <w:bookmarkEnd w:id="820"/>
    </w:p>
    <w:p w14:paraId="18AC039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58F49D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872F65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承包人对监理人发出的指示有疑问的，应向监理人提出书面异议，监理人应在48小时内对该指示予以确认、更改或撤销，监理人逾期未回复的，承包人有权拒绝执行上述指示。</w:t>
      </w:r>
    </w:p>
    <w:p w14:paraId="2DBCC54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监理人对承包人的任何工作、工程或其采用的材料和工程设备未在约定的或合理期限内提出意见的，视为批准，但不免除或减轻承包人对该工作、工程、材料、工程设备等应承担的责任和义务。</w:t>
      </w:r>
    </w:p>
    <w:p w14:paraId="0B2E77C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24" w:name="_Toc351203531"/>
      <w:r>
        <w:rPr>
          <w:rFonts w:hint="eastAsia" w:ascii="宋体" w:hAnsi="宋体" w:eastAsia="宋体" w:cs="宋体"/>
          <w:color w:val="000000"/>
          <w:kern w:val="2"/>
          <w:sz w:val="24"/>
          <w:szCs w:val="24"/>
          <w:lang w:val="en-US" w:eastAsia="zh-CN" w:bidi="ar-SA"/>
        </w:rPr>
        <w:t>4</w:t>
      </w:r>
      <w:bookmarkStart w:id="825" w:name="_Toc337558757"/>
      <w:bookmarkStart w:id="826" w:name="_Toc296503057"/>
      <w:bookmarkStart w:id="827" w:name="_Toc296346558"/>
      <w:r>
        <w:rPr>
          <w:rFonts w:hint="eastAsia" w:ascii="宋体" w:hAnsi="宋体" w:eastAsia="宋体" w:cs="宋体"/>
          <w:color w:val="000000"/>
          <w:kern w:val="2"/>
          <w:sz w:val="24"/>
          <w:szCs w:val="24"/>
          <w:lang w:val="en-US" w:eastAsia="zh-CN" w:bidi="ar-SA"/>
        </w:rPr>
        <w:t>.4 商定或确定</w:t>
      </w:r>
      <w:bookmarkEnd w:id="824"/>
    </w:p>
    <w:bookmarkEnd w:id="825"/>
    <w:bookmarkEnd w:id="826"/>
    <w:bookmarkEnd w:id="827"/>
    <w:p w14:paraId="339EEB0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合同当事人进行商定或确定时，总监理工程师应当会同合同当事人尽量通过协商达成一致，不能达成一致的，由总监理工程师按照合同约定审慎做出公正的确定。</w:t>
      </w:r>
    </w:p>
    <w:p w14:paraId="2608494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402E6A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28" w:name="_Toc101795213"/>
      <w:bookmarkStart w:id="829" w:name="_Toc351203532"/>
      <w:bookmarkStart w:id="830" w:name="_Toc102120270"/>
      <w:bookmarkStart w:id="831" w:name="_Toc8589"/>
      <w:bookmarkStart w:id="832" w:name="_Toc103259094"/>
      <w:bookmarkStart w:id="833" w:name="_Toc18675"/>
      <w:bookmarkStart w:id="834" w:name="_Toc21868"/>
      <w:bookmarkStart w:id="835" w:name="_Toc101704620"/>
      <w:bookmarkStart w:id="836" w:name="_Toc39153740"/>
      <w:bookmarkStart w:id="837" w:name="_Toc25930295"/>
      <w:r>
        <w:rPr>
          <w:rFonts w:hint="eastAsia" w:ascii="宋体" w:hAnsi="宋体" w:eastAsia="宋体" w:cs="宋体"/>
          <w:color w:val="000000"/>
          <w:kern w:val="2"/>
          <w:sz w:val="24"/>
          <w:szCs w:val="24"/>
          <w:lang w:val="en-US" w:eastAsia="zh-CN" w:bidi="ar-SA"/>
        </w:rPr>
        <w:t>5</w:t>
      </w:r>
      <w:bookmarkStart w:id="838" w:name="_Toc337558758"/>
      <w:r>
        <w:rPr>
          <w:rFonts w:hint="eastAsia" w:ascii="宋体" w:hAnsi="宋体" w:eastAsia="宋体" w:cs="宋体"/>
          <w:color w:val="000000"/>
          <w:kern w:val="2"/>
          <w:sz w:val="24"/>
          <w:szCs w:val="24"/>
          <w:lang w:val="en-US" w:eastAsia="zh-CN" w:bidi="ar-SA"/>
        </w:rPr>
        <w:t>. 工程质量</w:t>
      </w:r>
      <w:bookmarkEnd w:id="828"/>
      <w:bookmarkEnd w:id="829"/>
      <w:bookmarkEnd w:id="830"/>
      <w:bookmarkEnd w:id="831"/>
      <w:bookmarkEnd w:id="832"/>
      <w:bookmarkEnd w:id="833"/>
      <w:bookmarkEnd w:id="834"/>
      <w:bookmarkEnd w:id="835"/>
      <w:bookmarkEnd w:id="836"/>
      <w:bookmarkEnd w:id="837"/>
    </w:p>
    <w:bookmarkEnd w:id="838"/>
    <w:p w14:paraId="2F472E5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39" w:name="_Toc351203533"/>
      <w:r>
        <w:rPr>
          <w:rFonts w:hint="eastAsia" w:ascii="宋体" w:hAnsi="宋体" w:eastAsia="宋体" w:cs="宋体"/>
          <w:color w:val="000000"/>
          <w:kern w:val="2"/>
          <w:sz w:val="24"/>
          <w:szCs w:val="24"/>
          <w:lang w:val="en-US" w:eastAsia="zh-CN" w:bidi="ar-SA"/>
        </w:rPr>
        <w:t>5</w:t>
      </w:r>
      <w:bookmarkStart w:id="840" w:name="_Toc337558759"/>
      <w:r>
        <w:rPr>
          <w:rFonts w:hint="eastAsia" w:ascii="宋体" w:hAnsi="宋体" w:eastAsia="宋体" w:cs="宋体"/>
          <w:color w:val="000000"/>
          <w:kern w:val="2"/>
          <w:sz w:val="24"/>
          <w:szCs w:val="24"/>
          <w:lang w:val="en-US" w:eastAsia="zh-CN" w:bidi="ar-SA"/>
        </w:rPr>
        <w:t>.1质量要求</w:t>
      </w:r>
      <w:bookmarkEnd w:id="839"/>
    </w:p>
    <w:bookmarkEnd w:id="840"/>
    <w:p w14:paraId="51C152F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5.1.1 工程质量标准必须符合现行国家有关工程施工质量验收规范和标准的要求。有关工程质量的特殊标准或要求由合同当事人在专用合同条款中约定。</w:t>
      </w:r>
    </w:p>
    <w:p w14:paraId="1E752F5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5.1.2 因发包人原因造成工程质量未达到合同约定标准的，由发包人承担由此增加的费用和（或）延误的工期，并支付承包人合理的利润。</w:t>
      </w:r>
    </w:p>
    <w:p w14:paraId="6C03A3D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5.1.3 因承包人原因造成工程质量未达到合同约定标准的，发包人有权要求承包人返工直至工程质量达到合同约定的标准为止，并由承包人承担由此增加的费用和（或）延误的工期。</w:t>
      </w:r>
    </w:p>
    <w:p w14:paraId="3DD8FCB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41" w:name="_Toc351203534"/>
      <w:r>
        <w:rPr>
          <w:rFonts w:hint="eastAsia" w:ascii="宋体" w:hAnsi="宋体" w:eastAsia="宋体" w:cs="宋体"/>
          <w:color w:val="000000"/>
          <w:kern w:val="2"/>
          <w:sz w:val="24"/>
          <w:szCs w:val="24"/>
          <w:lang w:val="en-US" w:eastAsia="zh-CN" w:bidi="ar-SA"/>
        </w:rPr>
        <w:t>5</w:t>
      </w:r>
      <w:bookmarkStart w:id="842" w:name="_Toc337558760"/>
      <w:r>
        <w:rPr>
          <w:rFonts w:hint="eastAsia" w:ascii="宋体" w:hAnsi="宋体" w:eastAsia="宋体" w:cs="宋体"/>
          <w:color w:val="000000"/>
          <w:kern w:val="2"/>
          <w:sz w:val="24"/>
          <w:szCs w:val="24"/>
          <w:lang w:val="en-US" w:eastAsia="zh-CN" w:bidi="ar-SA"/>
        </w:rPr>
        <w:t>.2质量保证措施</w:t>
      </w:r>
      <w:bookmarkEnd w:id="841"/>
    </w:p>
    <w:bookmarkEnd w:id="842"/>
    <w:p w14:paraId="1EF8629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5.2.1 发包人的质量管理</w:t>
      </w:r>
    </w:p>
    <w:p w14:paraId="12FC4F4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发包人应按照法律规定及合同约定完成与工程质量有关的各项工作。</w:t>
      </w:r>
    </w:p>
    <w:p w14:paraId="613AB9B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5.2.2 承包人的质量管理</w:t>
      </w:r>
    </w:p>
    <w:p w14:paraId="07B238D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144DF7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承包人应对施工人员进行质量教育和技术培训，定期考核施工人员的劳动技能，严格执行施工规范和操作规程。</w:t>
      </w:r>
    </w:p>
    <w:p w14:paraId="352A1B7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CDA08F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5.2.3 监理人的质量检查和检验</w:t>
      </w:r>
    </w:p>
    <w:p w14:paraId="2B75438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4057F7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C5830D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43" w:name="_Toc351203535"/>
      <w:r>
        <w:rPr>
          <w:rFonts w:hint="eastAsia" w:ascii="宋体" w:hAnsi="宋体" w:eastAsia="宋体" w:cs="宋体"/>
          <w:color w:val="000000"/>
          <w:kern w:val="2"/>
          <w:sz w:val="24"/>
          <w:szCs w:val="24"/>
          <w:lang w:val="en-US" w:eastAsia="zh-CN" w:bidi="ar-SA"/>
        </w:rPr>
        <w:t>5</w:t>
      </w:r>
      <w:bookmarkStart w:id="844" w:name="_Toc337558761"/>
      <w:r>
        <w:rPr>
          <w:rFonts w:hint="eastAsia" w:ascii="宋体" w:hAnsi="宋体" w:eastAsia="宋体" w:cs="宋体"/>
          <w:color w:val="000000"/>
          <w:kern w:val="2"/>
          <w:sz w:val="24"/>
          <w:szCs w:val="24"/>
          <w:lang w:val="en-US" w:eastAsia="zh-CN" w:bidi="ar-SA"/>
        </w:rPr>
        <w:t>.3 隐蔽工程检查</w:t>
      </w:r>
      <w:bookmarkEnd w:id="843"/>
    </w:p>
    <w:bookmarkEnd w:id="844"/>
    <w:p w14:paraId="1771F86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5.3.1承包人自检</w:t>
      </w:r>
    </w:p>
    <w:p w14:paraId="026E367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承包人应当对工程隐蔽部位进行自检，并经自检确认是否具备覆盖条件。</w:t>
      </w:r>
    </w:p>
    <w:p w14:paraId="630DC1E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5.3.2检查程序</w:t>
      </w:r>
    </w:p>
    <w:p w14:paraId="592EAA2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1B551C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879EDF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2B9E21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5.3.3 重新检查</w:t>
      </w:r>
    </w:p>
    <w:p w14:paraId="1BB412E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1274FC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5.3.4 承包人私自覆盖</w:t>
      </w:r>
    </w:p>
    <w:p w14:paraId="259A7B2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承包人未通知监理人到场检查，私自将工程隐蔽部位覆盖的，监理人有权指示承包人钻孔探测或揭开检查，无论工程隐蔽部位质量是否合格，由此增加的费用和（或）延误的工期均由承包人承担。</w:t>
      </w:r>
    </w:p>
    <w:p w14:paraId="1CF3EB7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45" w:name="_Toc351203536"/>
      <w:r>
        <w:rPr>
          <w:rFonts w:hint="eastAsia" w:ascii="宋体" w:hAnsi="宋体" w:eastAsia="宋体" w:cs="宋体"/>
          <w:color w:val="000000"/>
          <w:kern w:val="2"/>
          <w:sz w:val="24"/>
          <w:szCs w:val="24"/>
          <w:lang w:val="en-US" w:eastAsia="zh-CN" w:bidi="ar-SA"/>
        </w:rPr>
        <w:t>5</w:t>
      </w:r>
      <w:bookmarkStart w:id="846" w:name="_Toc337558762"/>
      <w:r>
        <w:rPr>
          <w:rFonts w:hint="eastAsia" w:ascii="宋体" w:hAnsi="宋体" w:eastAsia="宋体" w:cs="宋体"/>
          <w:color w:val="000000"/>
          <w:kern w:val="2"/>
          <w:sz w:val="24"/>
          <w:szCs w:val="24"/>
          <w:lang w:val="en-US" w:eastAsia="zh-CN" w:bidi="ar-SA"/>
        </w:rPr>
        <w:t>.4不合格工程的处理</w:t>
      </w:r>
      <w:bookmarkEnd w:id="845"/>
    </w:p>
    <w:bookmarkEnd w:id="846"/>
    <w:p w14:paraId="5A89EB2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00A9AC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5.4.2 因发包人原因造成工程不合格的，由此增加的费用和（或）延误的工期由发包人承担，并支付承包人合理的利润。</w:t>
      </w:r>
    </w:p>
    <w:p w14:paraId="0757150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47" w:name="_Toc351203537"/>
      <w:r>
        <w:rPr>
          <w:rFonts w:hint="eastAsia" w:ascii="宋体" w:hAnsi="宋体" w:eastAsia="宋体" w:cs="宋体"/>
          <w:color w:val="000000"/>
          <w:kern w:val="2"/>
          <w:sz w:val="24"/>
          <w:szCs w:val="24"/>
          <w:lang w:val="en-US" w:eastAsia="zh-CN" w:bidi="ar-SA"/>
        </w:rPr>
        <w:t>5.5 质量争议检测</w:t>
      </w:r>
      <w:bookmarkEnd w:id="847"/>
    </w:p>
    <w:p w14:paraId="2F824AC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合同当事人对工程质量有争议的，由双方协商确定的工程质量检测机构鉴定，由此产生的费用及因此造成的损失，由责任方承担。</w:t>
      </w:r>
    </w:p>
    <w:p w14:paraId="4C96996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合同当事人均有责任的，由双方根据其责任分别承担。合同当事人无法达成一致的，按照第4.4款〔商定或确定〕执行。</w:t>
      </w:r>
    </w:p>
    <w:p w14:paraId="5BDF35A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48" w:name="_Toc103259095"/>
      <w:bookmarkStart w:id="849" w:name="_Toc13921"/>
      <w:bookmarkStart w:id="850" w:name="_Toc25930296"/>
      <w:bookmarkStart w:id="851" w:name="_Toc19631"/>
      <w:bookmarkStart w:id="852" w:name="_Toc351203538"/>
      <w:bookmarkStart w:id="853" w:name="_Toc39153741"/>
      <w:bookmarkStart w:id="854" w:name="_Toc101704621"/>
      <w:bookmarkStart w:id="855" w:name="_Toc102120271"/>
      <w:bookmarkStart w:id="856" w:name="_Toc101795214"/>
      <w:bookmarkStart w:id="857" w:name="_Toc14821"/>
      <w:r>
        <w:rPr>
          <w:rFonts w:hint="eastAsia" w:ascii="宋体" w:hAnsi="宋体" w:eastAsia="宋体" w:cs="宋体"/>
          <w:color w:val="000000"/>
          <w:kern w:val="2"/>
          <w:sz w:val="24"/>
          <w:szCs w:val="24"/>
          <w:lang w:val="en-US" w:eastAsia="zh-CN" w:bidi="ar-SA"/>
        </w:rPr>
        <w:t>6</w:t>
      </w:r>
      <w:bookmarkStart w:id="858" w:name="_Toc337558763"/>
      <w:r>
        <w:rPr>
          <w:rFonts w:hint="eastAsia" w:ascii="宋体" w:hAnsi="宋体" w:eastAsia="宋体" w:cs="宋体"/>
          <w:color w:val="000000"/>
          <w:kern w:val="2"/>
          <w:sz w:val="24"/>
          <w:szCs w:val="24"/>
          <w:lang w:val="en-US" w:eastAsia="zh-CN" w:bidi="ar-SA"/>
        </w:rPr>
        <w:t>. 安全文明施工与环境保护</w:t>
      </w:r>
      <w:bookmarkEnd w:id="848"/>
      <w:bookmarkEnd w:id="849"/>
      <w:bookmarkEnd w:id="850"/>
      <w:bookmarkEnd w:id="851"/>
      <w:bookmarkEnd w:id="852"/>
      <w:bookmarkEnd w:id="853"/>
      <w:bookmarkEnd w:id="854"/>
      <w:bookmarkEnd w:id="855"/>
      <w:bookmarkEnd w:id="856"/>
      <w:bookmarkEnd w:id="857"/>
    </w:p>
    <w:bookmarkEnd w:id="858"/>
    <w:p w14:paraId="44242D4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59" w:name="_Toc351203539"/>
      <w:r>
        <w:rPr>
          <w:rFonts w:hint="eastAsia" w:ascii="宋体" w:hAnsi="宋体" w:eastAsia="宋体" w:cs="宋体"/>
          <w:color w:val="000000"/>
          <w:kern w:val="2"/>
          <w:sz w:val="24"/>
          <w:szCs w:val="24"/>
          <w:lang w:val="en-US" w:eastAsia="zh-CN" w:bidi="ar-SA"/>
        </w:rPr>
        <w:t>6</w:t>
      </w:r>
      <w:bookmarkStart w:id="860" w:name="_Toc337558764"/>
      <w:r>
        <w:rPr>
          <w:rFonts w:hint="eastAsia" w:ascii="宋体" w:hAnsi="宋体" w:eastAsia="宋体" w:cs="宋体"/>
          <w:color w:val="000000"/>
          <w:kern w:val="2"/>
          <w:sz w:val="24"/>
          <w:szCs w:val="24"/>
          <w:lang w:val="en-US" w:eastAsia="zh-CN" w:bidi="ar-SA"/>
        </w:rPr>
        <w:t>.1安全文明施工</w:t>
      </w:r>
      <w:bookmarkEnd w:id="859"/>
    </w:p>
    <w:bookmarkEnd w:id="860"/>
    <w:p w14:paraId="408A6BF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6.1.1安全生产要求</w:t>
      </w:r>
    </w:p>
    <w:p w14:paraId="4A50D3C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FFAEFD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在施工过程中，如遇到突发的地质变动、事先未知的地下施工障碍等影响施工安全的紧急情况，承包人应及时报告监理人和发包人，发包人应当及时下令停工并报政府有关行政管理部门采取应急措施。</w:t>
      </w:r>
    </w:p>
    <w:p w14:paraId="523F7E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因安全生产需要暂停施工的，按照第7.8款〔暂停施工〕的约定执行。</w:t>
      </w:r>
    </w:p>
    <w:p w14:paraId="1DEA9F5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6.1.2 安全生产保证措施</w:t>
      </w:r>
    </w:p>
    <w:p w14:paraId="3DBC99A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3F3611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6.1.3特别安全生产事项</w:t>
      </w:r>
    </w:p>
    <w:p w14:paraId="2CD3005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FF867B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承包人在动力设备、输电线路、地下管道、密封防震车间、易燃易爆地段以及临街交通要道附近施工时，施工开始前应向发包人和监理人提出安全防护措施，经发包人认可后实施。 </w:t>
      </w:r>
    </w:p>
    <w:p w14:paraId="043CA12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实施爆破作业，在放射、毒害性环境中施工（含储存、运输、使用）及使用毒害性、腐蚀性物品施工时，承包人应在施工前7天以书面通知发包人和监理人，并报送相应的安全防护措施，经发包人认可后实施。</w:t>
      </w:r>
    </w:p>
    <w:p w14:paraId="7E6518A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需单独编制危险性较大分部分项专项工程施工方案的，及要求进行专家论证的超过一定规模的危险性较大的分部分项工程，承包人应及时编制和组织论证。</w:t>
      </w:r>
    </w:p>
    <w:p w14:paraId="076E13F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6.1.4 治安保卫</w:t>
      </w:r>
    </w:p>
    <w:p w14:paraId="3E6A494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除专用合同条款另有约定外，发包人应与当地公安部门协商，在现场建立治安管理机构或联防组织，统一管理施工场地的治安保卫事项，履行合同工程的治安保卫职责。</w:t>
      </w:r>
    </w:p>
    <w:p w14:paraId="533E4A9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发包人和承包人除应协助现场治安管理机构或联防组织维护施工场地的社会治安外，还应做好包括生活区在内的各自管辖区的治安保卫工作。</w:t>
      </w:r>
    </w:p>
    <w:p w14:paraId="7CD5B04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9A494B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6.1.5 文明施工</w:t>
      </w:r>
    </w:p>
    <w:p w14:paraId="5E7734C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F5000E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A67137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6.1.6 安全文明施工费</w:t>
      </w:r>
    </w:p>
    <w:p w14:paraId="3A1B433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安全文明施工费由发包人承担，发包人不得以任何形式扣减该部分费用。因基准日期后合同所适用的法律或政府有关规定发生变化，增加的安全文明施工费由发包人承担。</w:t>
      </w:r>
    </w:p>
    <w:p w14:paraId="3D753AA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经发包人书面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9EBEEC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920307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A35D29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6.1.7 紧急情况处理</w:t>
      </w:r>
    </w:p>
    <w:p w14:paraId="73A6E27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171D0A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6.1.8 事故处理</w:t>
      </w:r>
    </w:p>
    <w:p w14:paraId="358B065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106D36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6.1.9 安全生产责任</w:t>
      </w:r>
    </w:p>
    <w:p w14:paraId="6C81E0F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6.1.9.1 发包人的安全责任</w:t>
      </w:r>
    </w:p>
    <w:p w14:paraId="5827E8C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发包人应负责赔偿以下各种情况造成的损失：</w:t>
      </w:r>
    </w:p>
    <w:p w14:paraId="610C189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（1）工程或工程的任何部分对土地的占用所造成的第三者财产损失；</w:t>
      </w:r>
    </w:p>
    <w:p w14:paraId="4449FEA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（2）由于发包人原因在施工场地及其毗邻地带造成的第三者人身伤亡和财产损失；</w:t>
      </w:r>
    </w:p>
    <w:p w14:paraId="6C48285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（3）由于发包人原因对承包人、监理人造成的人员人身伤亡和财产损失；</w:t>
      </w:r>
    </w:p>
    <w:p w14:paraId="2FD0E69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（4）由于发包人原因造成的发包人自身人员的人身伤害以及财产损失。</w:t>
      </w:r>
    </w:p>
    <w:p w14:paraId="52C8127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6.1.9.2 承包人的安全责任</w:t>
      </w:r>
    </w:p>
    <w:p w14:paraId="1AAEE11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由于承包人原因在施工场地内及其毗邻地带造成的发包人、监理人以及第三者人员伤亡和财产损失，由承包人负责赔偿。</w:t>
      </w:r>
    </w:p>
    <w:p w14:paraId="3B3E43F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61" w:name="_Toc351203540"/>
      <w:r>
        <w:rPr>
          <w:rFonts w:hint="eastAsia" w:ascii="宋体" w:hAnsi="宋体" w:eastAsia="宋体" w:cs="宋体"/>
          <w:color w:val="000000"/>
          <w:kern w:val="2"/>
          <w:sz w:val="24"/>
          <w:szCs w:val="24"/>
          <w:lang w:val="en-US" w:eastAsia="zh-CN" w:bidi="ar-SA"/>
        </w:rPr>
        <w:t>6</w:t>
      </w:r>
      <w:bookmarkStart w:id="862" w:name="_Toc337558765"/>
      <w:r>
        <w:rPr>
          <w:rFonts w:hint="eastAsia" w:ascii="宋体" w:hAnsi="宋体" w:eastAsia="宋体" w:cs="宋体"/>
          <w:color w:val="000000"/>
          <w:kern w:val="2"/>
          <w:sz w:val="24"/>
          <w:szCs w:val="24"/>
          <w:lang w:val="en-US" w:eastAsia="zh-CN" w:bidi="ar-SA"/>
        </w:rPr>
        <w:t>.2 职业健康</w:t>
      </w:r>
      <w:bookmarkEnd w:id="861"/>
    </w:p>
    <w:bookmarkEnd w:id="862"/>
    <w:p w14:paraId="3AF2DD5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6.2.1 劳动保护</w:t>
      </w:r>
    </w:p>
    <w:p w14:paraId="243C60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AC83B9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B9F6D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承包人应按法律规定安排工作时间，保证其雇佣人员享有休息和休假的权利。因工程施工的特殊需要占用休假日或延长工作时间的，应不超过法律规定的限度，并按法律规定给予补休或付酬。</w:t>
      </w:r>
    </w:p>
    <w:p w14:paraId="68CF456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6.2.2 生活条件</w:t>
      </w:r>
    </w:p>
    <w:p w14:paraId="4067B91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487173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63" w:name="_Toc351203541"/>
      <w:r>
        <w:rPr>
          <w:rFonts w:hint="eastAsia" w:ascii="宋体" w:hAnsi="宋体" w:eastAsia="宋体" w:cs="宋体"/>
          <w:color w:val="000000"/>
          <w:kern w:val="2"/>
          <w:sz w:val="24"/>
          <w:szCs w:val="24"/>
          <w:lang w:val="en-US" w:eastAsia="zh-CN" w:bidi="ar-SA"/>
        </w:rPr>
        <w:t>6</w:t>
      </w:r>
      <w:bookmarkStart w:id="864" w:name="_Toc337558766"/>
      <w:r>
        <w:rPr>
          <w:rFonts w:hint="eastAsia" w:ascii="宋体" w:hAnsi="宋体" w:eastAsia="宋体" w:cs="宋体"/>
          <w:color w:val="000000"/>
          <w:kern w:val="2"/>
          <w:sz w:val="24"/>
          <w:szCs w:val="24"/>
          <w:lang w:val="en-US" w:eastAsia="zh-CN" w:bidi="ar-SA"/>
        </w:rPr>
        <w:t>.3 环境保护</w:t>
      </w:r>
      <w:bookmarkEnd w:id="863"/>
    </w:p>
    <w:bookmarkEnd w:id="864"/>
    <w:p w14:paraId="55DEE97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260361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承包人应当承担因其原因引起的环境污染侵权损害赔偿责任，因上述环境污染引起纠纷而导致暂停施工的，由此增加的费用和（或）延误的工期由承包人承担。</w:t>
      </w:r>
    </w:p>
    <w:p w14:paraId="14CB537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65" w:name="_Toc25930297"/>
      <w:bookmarkStart w:id="866" w:name="_Toc101795215"/>
      <w:bookmarkStart w:id="867" w:name="_Toc31059"/>
      <w:bookmarkStart w:id="868" w:name="_Toc102120272"/>
      <w:bookmarkStart w:id="869" w:name="_Toc39153742"/>
      <w:bookmarkStart w:id="870" w:name="_Toc103259096"/>
      <w:bookmarkStart w:id="871" w:name="_Toc351203542"/>
      <w:bookmarkStart w:id="872" w:name="_Toc101704622"/>
      <w:bookmarkStart w:id="873" w:name="_Toc11700"/>
      <w:r>
        <w:rPr>
          <w:rFonts w:hint="eastAsia" w:ascii="宋体" w:hAnsi="宋体" w:eastAsia="宋体" w:cs="宋体"/>
          <w:color w:val="000000"/>
          <w:kern w:val="2"/>
          <w:sz w:val="24"/>
          <w:szCs w:val="24"/>
          <w:lang w:val="en-US" w:eastAsia="zh-CN" w:bidi="ar-SA"/>
        </w:rPr>
        <w:t>7</w:t>
      </w:r>
      <w:bookmarkStart w:id="874" w:name="_Toc337558767"/>
      <w:r>
        <w:rPr>
          <w:rFonts w:hint="eastAsia" w:ascii="宋体" w:hAnsi="宋体" w:eastAsia="宋体" w:cs="宋体"/>
          <w:color w:val="000000"/>
          <w:kern w:val="2"/>
          <w:sz w:val="24"/>
          <w:szCs w:val="24"/>
          <w:lang w:val="en-US" w:eastAsia="zh-CN" w:bidi="ar-SA"/>
        </w:rPr>
        <w:t>. 工期和进度</w:t>
      </w:r>
      <w:bookmarkEnd w:id="865"/>
      <w:bookmarkEnd w:id="866"/>
      <w:bookmarkEnd w:id="867"/>
      <w:bookmarkEnd w:id="868"/>
      <w:bookmarkEnd w:id="869"/>
      <w:bookmarkEnd w:id="870"/>
      <w:bookmarkEnd w:id="871"/>
      <w:bookmarkEnd w:id="872"/>
      <w:bookmarkEnd w:id="873"/>
    </w:p>
    <w:bookmarkEnd w:id="874"/>
    <w:p w14:paraId="70F7009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75" w:name="_Toc351203543"/>
      <w:r>
        <w:rPr>
          <w:rFonts w:hint="eastAsia" w:ascii="宋体" w:hAnsi="宋体" w:eastAsia="宋体" w:cs="宋体"/>
          <w:color w:val="000000"/>
          <w:kern w:val="2"/>
          <w:sz w:val="24"/>
          <w:szCs w:val="24"/>
          <w:lang w:val="en-US" w:eastAsia="zh-CN" w:bidi="ar-SA"/>
        </w:rPr>
        <w:t>7</w:t>
      </w:r>
      <w:bookmarkStart w:id="876" w:name="_Toc337558768"/>
      <w:bookmarkStart w:id="877" w:name="_Toc296503066"/>
      <w:bookmarkStart w:id="878" w:name="_Toc296346567"/>
      <w:r>
        <w:rPr>
          <w:rFonts w:hint="eastAsia" w:ascii="宋体" w:hAnsi="宋体" w:eastAsia="宋体" w:cs="宋体"/>
          <w:color w:val="000000"/>
          <w:kern w:val="2"/>
          <w:sz w:val="24"/>
          <w:szCs w:val="24"/>
          <w:lang w:val="en-US" w:eastAsia="zh-CN" w:bidi="ar-SA"/>
        </w:rPr>
        <w:t>.1施工组织设计</w:t>
      </w:r>
      <w:bookmarkEnd w:id="875"/>
    </w:p>
    <w:bookmarkEnd w:id="876"/>
    <w:p w14:paraId="649229D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7.1.1 施工组织设计的内容</w:t>
      </w:r>
    </w:p>
    <w:p w14:paraId="32A5E9B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施工组织设计应包含以下内容：</w:t>
      </w:r>
    </w:p>
    <w:p w14:paraId="6FE4FD7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（1）施工方案； </w:t>
      </w:r>
    </w:p>
    <w:p w14:paraId="7E61CD1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（2）施工现场平面布置图；</w:t>
      </w:r>
    </w:p>
    <w:p w14:paraId="03B04D9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（3）施工进度计划和保证措施； </w:t>
      </w:r>
    </w:p>
    <w:p w14:paraId="2ADC196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（4）劳动力及材料供应计划；</w:t>
      </w:r>
    </w:p>
    <w:p w14:paraId="0E2564E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（5）施工机械设备的选用；</w:t>
      </w:r>
    </w:p>
    <w:p w14:paraId="5A7A5F5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（6）质量保证体系及措施；</w:t>
      </w:r>
    </w:p>
    <w:p w14:paraId="7D86563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（7）安全生产、文明施工措施；</w:t>
      </w:r>
    </w:p>
    <w:p w14:paraId="47BD3D9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（8）环境保护、成本控制措施；</w:t>
      </w:r>
    </w:p>
    <w:p w14:paraId="562DD1A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（9）合同当事人约定的其他内容。</w:t>
      </w:r>
    </w:p>
    <w:p w14:paraId="201B516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7.1.2 施工组织设计的提交和修改</w:t>
      </w:r>
    </w:p>
    <w:p w14:paraId="6A1DBB1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FC10EF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施工进度计划的编制和修改按照第7.2款〔施工进度计划〕执行。</w:t>
      </w:r>
    </w:p>
    <w:p w14:paraId="5E07F71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79" w:name="_Toc351203544"/>
      <w:r>
        <w:rPr>
          <w:rFonts w:hint="eastAsia" w:ascii="宋体" w:hAnsi="宋体" w:eastAsia="宋体" w:cs="宋体"/>
          <w:color w:val="000000"/>
          <w:kern w:val="2"/>
          <w:sz w:val="24"/>
          <w:szCs w:val="24"/>
          <w:lang w:val="en-US" w:eastAsia="zh-CN" w:bidi="ar-SA"/>
        </w:rPr>
        <w:t>7</w:t>
      </w:r>
      <w:bookmarkStart w:id="880" w:name="_Toc337558769"/>
      <w:r>
        <w:rPr>
          <w:rFonts w:hint="eastAsia" w:ascii="宋体" w:hAnsi="宋体" w:eastAsia="宋体" w:cs="宋体"/>
          <w:color w:val="000000"/>
          <w:kern w:val="2"/>
          <w:sz w:val="24"/>
          <w:szCs w:val="24"/>
          <w:lang w:val="en-US" w:eastAsia="zh-CN" w:bidi="ar-SA"/>
        </w:rPr>
        <w:t>.2 施工进度计划</w:t>
      </w:r>
      <w:bookmarkEnd w:id="879"/>
    </w:p>
    <w:bookmarkEnd w:id="880"/>
    <w:p w14:paraId="577A835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7.2.1 施工进度计划的编制</w:t>
      </w:r>
    </w:p>
    <w:p w14:paraId="0D78B27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DD0BD9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7.2.2 施工进度计划的修订</w:t>
      </w:r>
    </w:p>
    <w:p w14:paraId="18123FD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382F8C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81" w:name="_Toc351203545"/>
      <w:r>
        <w:rPr>
          <w:rFonts w:hint="eastAsia" w:ascii="宋体" w:hAnsi="宋体" w:eastAsia="宋体" w:cs="宋体"/>
          <w:color w:val="000000"/>
          <w:kern w:val="2"/>
          <w:sz w:val="24"/>
          <w:szCs w:val="24"/>
          <w:lang w:val="en-US" w:eastAsia="zh-CN" w:bidi="ar-SA"/>
        </w:rPr>
        <w:t>7</w:t>
      </w:r>
      <w:bookmarkStart w:id="882" w:name="_Toc337558770"/>
      <w:r>
        <w:rPr>
          <w:rFonts w:hint="eastAsia" w:ascii="宋体" w:hAnsi="宋体" w:eastAsia="宋体" w:cs="宋体"/>
          <w:color w:val="000000"/>
          <w:kern w:val="2"/>
          <w:sz w:val="24"/>
          <w:szCs w:val="24"/>
          <w:lang w:val="en-US" w:eastAsia="zh-CN" w:bidi="ar-SA"/>
        </w:rPr>
        <w:t>.3 开工</w:t>
      </w:r>
      <w:bookmarkEnd w:id="881"/>
    </w:p>
    <w:p w14:paraId="4EFAF6E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7.3.1 开工准备</w:t>
      </w:r>
    </w:p>
    <w:p w14:paraId="1D7B43C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49BD2A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除专用合同条款另有约定外，合同当事人应按约定完成开工准备工作。</w:t>
      </w:r>
    </w:p>
    <w:p w14:paraId="21196FC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7.3.2 开工通知</w:t>
      </w:r>
    </w:p>
    <w:bookmarkEnd w:id="882"/>
    <w:p w14:paraId="2F8AF6B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022D8D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377B1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83" w:name="_Toc351203546"/>
      <w:r>
        <w:rPr>
          <w:rFonts w:hint="eastAsia" w:ascii="宋体" w:hAnsi="宋体" w:eastAsia="宋体" w:cs="宋体"/>
          <w:color w:val="000000"/>
          <w:kern w:val="2"/>
          <w:sz w:val="24"/>
          <w:szCs w:val="24"/>
          <w:lang w:val="en-US" w:eastAsia="zh-CN" w:bidi="ar-SA"/>
        </w:rPr>
        <w:t>7.4测量放线</w:t>
      </w:r>
      <w:bookmarkEnd w:id="883"/>
    </w:p>
    <w:p w14:paraId="40AF8B9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60BA79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B7FC64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20D5F2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施工过程中对施工现场内水准点等测量标志物的保护工作由承包人负责。</w:t>
      </w:r>
      <w:bookmarkStart w:id="884" w:name="_Toc351203547"/>
    </w:p>
    <w:p w14:paraId="48C0FCC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bookmarkEnd w:id="877"/>
      <w:bookmarkEnd w:id="878"/>
      <w:bookmarkStart w:id="885" w:name="_Toc296346574"/>
      <w:bookmarkStart w:id="886" w:name="_Toc337558772"/>
      <w:bookmarkStart w:id="887" w:name="_Toc296503073"/>
      <w:r>
        <w:rPr>
          <w:rFonts w:hint="eastAsia" w:ascii="宋体" w:hAnsi="宋体" w:eastAsia="宋体" w:cs="宋体"/>
          <w:color w:val="000000"/>
          <w:kern w:val="2"/>
          <w:sz w:val="24"/>
          <w:szCs w:val="24"/>
          <w:lang w:val="en-US" w:eastAsia="zh-CN" w:bidi="ar-SA"/>
        </w:rPr>
        <w:t>.5 工期延误</w:t>
      </w:r>
      <w:bookmarkEnd w:id="884"/>
    </w:p>
    <w:bookmarkEnd w:id="885"/>
    <w:bookmarkEnd w:id="886"/>
    <w:bookmarkEnd w:id="887"/>
    <w:p w14:paraId="077D34B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7.5.1 因发包人原因导致工期延误</w:t>
      </w:r>
    </w:p>
    <w:p w14:paraId="6FB3EEE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在合同履行过程中，因下列情况导致工期延误和（或）费用增加的，由发包人承担由此延误的工期和（或）增加的费用，且发包人应支付承包人合理的利润： </w:t>
      </w:r>
    </w:p>
    <w:p w14:paraId="6C4E6FE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（1）发包人未能按合同约定提供图纸或所提供图纸不符合合同约定的；</w:t>
      </w:r>
    </w:p>
    <w:p w14:paraId="416B698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（2）发包人未能按合同约定提供施工现场、施工条件、基础资料、许可、批准等开工条件的；</w:t>
      </w:r>
    </w:p>
    <w:p w14:paraId="687BE46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（3）发包人提供的测量基准点、基准线和水准点及其书面资料存在错误或疏漏的；</w:t>
      </w:r>
    </w:p>
    <w:p w14:paraId="1EBAE59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（4）发包人未能在计划开工日期之日起7天内同意下达开工通知的；</w:t>
      </w:r>
    </w:p>
    <w:p w14:paraId="04E0E37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（5）发包人未能按合同约定日期支付工程预付款、进度款或竣工结算款的；</w:t>
      </w:r>
    </w:p>
    <w:p w14:paraId="140AB27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（6）监理人未按合同约定发出指示、批准等文件的；</w:t>
      </w:r>
    </w:p>
    <w:p w14:paraId="295FDD2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（7）专用合同条款中约定的其他情形。</w:t>
      </w:r>
    </w:p>
    <w:p w14:paraId="2D62F55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64BC6B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7.5.2 因承包人原因导致工期延误</w:t>
      </w:r>
    </w:p>
    <w:p w14:paraId="6DB2B8A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88" w:name="_Toc296346577"/>
      <w:bookmarkStart w:id="889" w:name="_Toc296503076"/>
      <w:r>
        <w:rPr>
          <w:rFonts w:hint="eastAsia" w:ascii="宋体" w:hAnsi="宋体" w:eastAsia="宋体" w:cs="宋体"/>
          <w:color w:val="000000"/>
          <w:kern w:val="2"/>
          <w:sz w:val="24"/>
          <w:szCs w:val="24"/>
          <w:lang w:val="en-US" w:eastAsia="zh-CN" w:bidi="ar-SA"/>
        </w:rPr>
        <w:t>因</w:t>
      </w:r>
      <w:bookmarkEnd w:id="888"/>
      <w:bookmarkEnd w:id="889"/>
      <w:r>
        <w:rPr>
          <w:rFonts w:hint="eastAsia" w:ascii="宋体" w:hAnsi="宋体" w:eastAsia="宋体" w:cs="宋体"/>
          <w:color w:val="000000"/>
          <w:kern w:val="2"/>
          <w:sz w:val="24"/>
          <w:szCs w:val="24"/>
          <w:lang w:val="en-US" w:eastAsia="zh-CN" w:bidi="ar-SA"/>
        </w:rPr>
        <w:t>承包人原因造成工期延误的，可以在专用合同条款中约定逾期竣工违约金的计算方法和逾期竣工违约金的上限。承包人支付逾期竣工违约金后，不免除承包人继续完成工程及修补缺陷的义务。</w:t>
      </w:r>
    </w:p>
    <w:p w14:paraId="4F39689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90" w:name="_Toc351203548"/>
      <w:r>
        <w:rPr>
          <w:rFonts w:hint="eastAsia" w:ascii="宋体" w:hAnsi="宋体" w:eastAsia="宋体" w:cs="宋体"/>
          <w:color w:val="000000"/>
          <w:kern w:val="2"/>
          <w:sz w:val="24"/>
          <w:szCs w:val="24"/>
          <w:lang w:val="en-US" w:eastAsia="zh-CN" w:bidi="ar-SA"/>
        </w:rPr>
        <w:t>7</w:t>
      </w:r>
      <w:bookmarkStart w:id="891" w:name="_Toc337558773"/>
      <w:bookmarkStart w:id="892" w:name="_Toc296346575"/>
      <w:bookmarkStart w:id="893" w:name="_Toc296503074"/>
      <w:bookmarkStart w:id="894" w:name="_Toc296503077"/>
      <w:bookmarkStart w:id="895" w:name="_Toc296346578"/>
      <w:r>
        <w:rPr>
          <w:rFonts w:hint="eastAsia" w:ascii="宋体" w:hAnsi="宋体" w:eastAsia="宋体" w:cs="宋体"/>
          <w:color w:val="000000"/>
          <w:kern w:val="2"/>
          <w:sz w:val="24"/>
          <w:szCs w:val="24"/>
          <w:lang w:val="en-US" w:eastAsia="zh-CN" w:bidi="ar-SA"/>
        </w:rPr>
        <w:t>.6 不利物质条件</w:t>
      </w:r>
      <w:bookmarkEnd w:id="890"/>
    </w:p>
    <w:bookmarkEnd w:id="891"/>
    <w:bookmarkEnd w:id="892"/>
    <w:bookmarkEnd w:id="893"/>
    <w:p w14:paraId="297B582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067D4B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6621D5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896" w:name="_Toc351203549"/>
      <w:r>
        <w:rPr>
          <w:rFonts w:hint="eastAsia" w:ascii="宋体" w:hAnsi="宋体" w:eastAsia="宋体" w:cs="宋体"/>
          <w:color w:val="000000"/>
          <w:kern w:val="2"/>
          <w:sz w:val="24"/>
          <w:szCs w:val="24"/>
          <w:lang w:val="en-US" w:eastAsia="zh-CN" w:bidi="ar-SA"/>
        </w:rPr>
        <w:t>7</w:t>
      </w:r>
      <w:bookmarkStart w:id="897" w:name="_Toc337558774"/>
      <w:bookmarkStart w:id="898" w:name="_Toc296503075"/>
      <w:bookmarkStart w:id="899" w:name="_Toc296346576"/>
      <w:r>
        <w:rPr>
          <w:rFonts w:hint="eastAsia" w:ascii="宋体" w:hAnsi="宋体" w:eastAsia="宋体" w:cs="宋体"/>
          <w:color w:val="000000"/>
          <w:kern w:val="2"/>
          <w:sz w:val="24"/>
          <w:szCs w:val="24"/>
          <w:lang w:val="en-US" w:eastAsia="zh-CN" w:bidi="ar-SA"/>
        </w:rPr>
        <w:t>.7 异常恶劣的气候条件</w:t>
      </w:r>
      <w:bookmarkEnd w:id="896"/>
    </w:p>
    <w:bookmarkEnd w:id="897"/>
    <w:bookmarkEnd w:id="898"/>
    <w:bookmarkEnd w:id="899"/>
    <w:p w14:paraId="7966D15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C815B1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00" w:name="_Toc351203550"/>
    </w:p>
    <w:p w14:paraId="358CADF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bookmarkStart w:id="901" w:name="_Toc337558775"/>
      <w:r>
        <w:rPr>
          <w:rFonts w:hint="eastAsia" w:ascii="宋体" w:hAnsi="宋体" w:eastAsia="宋体" w:cs="宋体"/>
          <w:color w:val="000000"/>
          <w:kern w:val="2"/>
          <w:sz w:val="24"/>
          <w:szCs w:val="24"/>
          <w:lang w:val="en-US" w:eastAsia="zh-CN" w:bidi="ar-SA"/>
        </w:rPr>
        <w:t>.8 暂停施工</w:t>
      </w:r>
      <w:bookmarkEnd w:id="900"/>
    </w:p>
    <w:bookmarkEnd w:id="894"/>
    <w:bookmarkEnd w:id="895"/>
    <w:bookmarkEnd w:id="901"/>
    <w:p w14:paraId="69161D4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7.8.1发包人原因引起的暂停施工</w:t>
      </w:r>
    </w:p>
    <w:p w14:paraId="7FF03CF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因发包人原因引起暂停施工的，监理人经发包人同意后，应及时下达暂停施工指示。情况紧急且监理人未及时下达暂停施工指示的，按照第7.8.4项〔紧急情况下的暂停施工〕执行。</w:t>
      </w:r>
    </w:p>
    <w:p w14:paraId="039A582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因发包人原因引起的暂停施工，发包人应承担由此增加的费用和（或）延误的工期，并支付承包人合理的利润。</w:t>
      </w:r>
    </w:p>
    <w:p w14:paraId="12FECCA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7.8.2 承包人原因引起的暂停施工</w:t>
      </w:r>
    </w:p>
    <w:p w14:paraId="404A405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4D7789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7.8.3 指示暂停施工</w:t>
      </w:r>
    </w:p>
    <w:p w14:paraId="2B07B3A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监理人认为有必要时，并经发包人批准后，可向承包人作出暂停施工的指示，承包人应按监理人指示暂停施工。</w:t>
      </w:r>
    </w:p>
    <w:p w14:paraId="1C30BD5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7.8.4 紧急情况下的暂停施工</w:t>
      </w:r>
    </w:p>
    <w:p w14:paraId="319AA9D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A4DF76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7.8.5 暂停施工后的复工</w:t>
      </w:r>
    </w:p>
    <w:p w14:paraId="734C81C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CBF390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承包人无故拖延和拒绝复工的，承包人承担由此增加的费用和（或）延误的工期；因发包人原因无法按时复工的，按照第7.5.1项〔因发包人原因导致工期延误〕约定办理。</w:t>
      </w:r>
    </w:p>
    <w:p w14:paraId="0752FA2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7.8.6 暂停施工持续56天以上</w:t>
      </w:r>
    </w:p>
    <w:p w14:paraId="25C2247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878EAC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46C6C8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7.8.7 暂停施工期间的工程照管</w:t>
      </w:r>
    </w:p>
    <w:p w14:paraId="58D7F9B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暂停施工期间，承包人应负责妥善照管工程并提供安全保障，由此增加的费用由责任方承担。</w:t>
      </w:r>
    </w:p>
    <w:p w14:paraId="1856929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7.8.8 暂停施工的措施</w:t>
      </w:r>
    </w:p>
    <w:p w14:paraId="737B338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暂停施工期间，发包人和承包人均应采取必要的措施确保工程质量及安全，防止因暂停施工扩大损失。</w:t>
      </w:r>
    </w:p>
    <w:p w14:paraId="719D8DD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02" w:name="_Toc351203551"/>
      <w:r>
        <w:rPr>
          <w:rFonts w:hint="eastAsia" w:ascii="宋体" w:hAnsi="宋体" w:eastAsia="宋体" w:cs="宋体"/>
          <w:color w:val="000000"/>
          <w:kern w:val="2"/>
          <w:sz w:val="24"/>
          <w:szCs w:val="24"/>
          <w:lang w:val="en-US" w:eastAsia="zh-CN" w:bidi="ar-SA"/>
        </w:rPr>
        <w:t>7.9提前竣工</w:t>
      </w:r>
      <w:bookmarkEnd w:id="902"/>
    </w:p>
    <w:p w14:paraId="51EA9BF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3B5381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7.9.2 发包人要求承包人提前竣工，或承包人提出提前竣工的建议能够给发包人带来效益的，合同当事人可以在专用合同条款中约定提前竣工的奖励。</w:t>
      </w:r>
    </w:p>
    <w:p w14:paraId="2790205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03" w:name="_Toc103259097"/>
      <w:bookmarkStart w:id="904" w:name="_Toc17125"/>
      <w:bookmarkStart w:id="905" w:name="_Toc351203552"/>
      <w:bookmarkStart w:id="906" w:name="_Toc23649"/>
      <w:bookmarkStart w:id="907" w:name="_Toc39153743"/>
      <w:bookmarkStart w:id="908" w:name="_Toc130"/>
      <w:bookmarkStart w:id="909" w:name="_Toc101795216"/>
      <w:bookmarkStart w:id="910" w:name="_Toc25930298"/>
      <w:bookmarkStart w:id="911" w:name="_Toc102120273"/>
      <w:bookmarkStart w:id="912" w:name="_Toc101704623"/>
      <w:r>
        <w:rPr>
          <w:rFonts w:hint="eastAsia" w:ascii="宋体" w:hAnsi="宋体" w:eastAsia="宋体" w:cs="宋体"/>
          <w:color w:val="000000"/>
          <w:kern w:val="2"/>
          <w:sz w:val="24"/>
          <w:szCs w:val="24"/>
          <w:lang w:val="en-US" w:eastAsia="zh-CN" w:bidi="ar-SA"/>
        </w:rPr>
        <w:t>8</w:t>
      </w:r>
      <w:bookmarkStart w:id="913" w:name="_Toc296346559"/>
      <w:bookmarkStart w:id="914" w:name="_Toc296503058"/>
      <w:bookmarkStart w:id="915" w:name="_Toc337558776"/>
      <w:r>
        <w:rPr>
          <w:rFonts w:hint="eastAsia" w:ascii="宋体" w:hAnsi="宋体" w:eastAsia="宋体" w:cs="宋体"/>
          <w:color w:val="000000"/>
          <w:kern w:val="2"/>
          <w:sz w:val="24"/>
          <w:szCs w:val="24"/>
          <w:lang w:val="en-US" w:eastAsia="zh-CN" w:bidi="ar-SA"/>
        </w:rPr>
        <w:t>. 材料与设备</w:t>
      </w:r>
      <w:bookmarkEnd w:id="903"/>
      <w:bookmarkEnd w:id="904"/>
      <w:bookmarkEnd w:id="905"/>
      <w:bookmarkEnd w:id="906"/>
      <w:bookmarkEnd w:id="907"/>
      <w:bookmarkEnd w:id="908"/>
      <w:bookmarkEnd w:id="909"/>
      <w:bookmarkEnd w:id="910"/>
      <w:bookmarkEnd w:id="911"/>
      <w:bookmarkEnd w:id="912"/>
    </w:p>
    <w:bookmarkEnd w:id="913"/>
    <w:bookmarkEnd w:id="914"/>
    <w:bookmarkEnd w:id="915"/>
    <w:p w14:paraId="313F001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16" w:name="_Toc351203553"/>
      <w:r>
        <w:rPr>
          <w:rFonts w:hint="eastAsia" w:ascii="宋体" w:hAnsi="宋体" w:eastAsia="宋体" w:cs="宋体"/>
          <w:color w:val="000000"/>
          <w:kern w:val="2"/>
          <w:sz w:val="24"/>
          <w:szCs w:val="24"/>
          <w:lang w:val="en-US" w:eastAsia="zh-CN" w:bidi="ar-SA"/>
        </w:rPr>
        <w:t>8</w:t>
      </w:r>
      <w:bookmarkStart w:id="917" w:name="_Toc296503059"/>
      <w:bookmarkStart w:id="918" w:name="_Toc296346560"/>
      <w:bookmarkStart w:id="919" w:name="_Toc337558777"/>
      <w:bookmarkStart w:id="920" w:name="_Toc468936960"/>
      <w:r>
        <w:rPr>
          <w:rFonts w:hint="eastAsia" w:ascii="宋体" w:hAnsi="宋体" w:eastAsia="宋体" w:cs="宋体"/>
          <w:color w:val="000000"/>
          <w:kern w:val="2"/>
          <w:sz w:val="24"/>
          <w:szCs w:val="24"/>
          <w:lang w:val="en-US" w:eastAsia="zh-CN" w:bidi="ar-SA"/>
        </w:rPr>
        <w:t>.1发包人供应材料与工程设备</w:t>
      </w:r>
      <w:bookmarkEnd w:id="916"/>
    </w:p>
    <w:bookmarkEnd w:id="917"/>
    <w:bookmarkEnd w:id="918"/>
    <w:bookmarkEnd w:id="919"/>
    <w:p w14:paraId="1B951E2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发包人自行供应材料、工程设备的，应在签订合同时在专用合同条款的附件《发包人供应材料设备一览表》中明确材料、工程设备的品种、规格、型号、数量、单价、质量等级和送达地点。</w:t>
      </w:r>
    </w:p>
    <w:p w14:paraId="5229CEC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1B78CD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21" w:name="_Toc351203554"/>
      <w:r>
        <w:rPr>
          <w:rFonts w:hint="eastAsia" w:ascii="宋体" w:hAnsi="宋体" w:eastAsia="宋体" w:cs="宋体"/>
          <w:color w:val="000000"/>
          <w:kern w:val="2"/>
          <w:sz w:val="24"/>
          <w:szCs w:val="24"/>
          <w:lang w:val="en-US" w:eastAsia="zh-CN" w:bidi="ar-SA"/>
        </w:rPr>
        <w:t>8</w:t>
      </w:r>
      <w:bookmarkStart w:id="922" w:name="_Toc296503060"/>
      <w:bookmarkStart w:id="923" w:name="_Toc337558778"/>
      <w:bookmarkStart w:id="924" w:name="_Toc296346561"/>
      <w:r>
        <w:rPr>
          <w:rFonts w:hint="eastAsia" w:ascii="宋体" w:hAnsi="宋体" w:eastAsia="宋体" w:cs="宋体"/>
          <w:color w:val="000000"/>
          <w:kern w:val="2"/>
          <w:sz w:val="24"/>
          <w:szCs w:val="24"/>
          <w:lang w:val="en-US" w:eastAsia="zh-CN" w:bidi="ar-SA"/>
        </w:rPr>
        <w:t>.2承包人采购材料与工程设备</w:t>
      </w:r>
      <w:bookmarkEnd w:id="921"/>
    </w:p>
    <w:bookmarkEnd w:id="922"/>
    <w:bookmarkEnd w:id="923"/>
    <w:bookmarkEnd w:id="924"/>
    <w:p w14:paraId="628C588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6FC076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25" w:name="_Toc351203555"/>
      <w:r>
        <w:rPr>
          <w:rFonts w:hint="eastAsia" w:ascii="宋体" w:hAnsi="宋体" w:eastAsia="宋体" w:cs="宋体"/>
          <w:color w:val="000000"/>
          <w:kern w:val="2"/>
          <w:sz w:val="24"/>
          <w:szCs w:val="24"/>
          <w:lang w:val="en-US" w:eastAsia="zh-CN" w:bidi="ar-SA"/>
        </w:rPr>
        <w:t>8</w:t>
      </w:r>
      <w:bookmarkStart w:id="926" w:name="_Toc337558779"/>
      <w:bookmarkStart w:id="927" w:name="_Toc296503061"/>
      <w:bookmarkStart w:id="928" w:name="_Toc296346562"/>
      <w:r>
        <w:rPr>
          <w:rFonts w:hint="eastAsia" w:ascii="宋体" w:hAnsi="宋体" w:eastAsia="宋体" w:cs="宋体"/>
          <w:color w:val="000000"/>
          <w:kern w:val="2"/>
          <w:sz w:val="24"/>
          <w:szCs w:val="24"/>
          <w:lang w:val="en-US" w:eastAsia="zh-CN" w:bidi="ar-SA"/>
        </w:rPr>
        <w:t>.3材料与工程设备的接收与拒收</w:t>
      </w:r>
      <w:bookmarkEnd w:id="925"/>
    </w:p>
    <w:bookmarkEnd w:id="926"/>
    <w:bookmarkEnd w:id="927"/>
    <w:bookmarkEnd w:id="928"/>
    <w:p w14:paraId="28C3033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3CED79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发包人提供的材料和工程设备的规格、数量或质量不符合合同约定的，或因发包人原因导致交货日期延误或交货地点变更等情况的，按照第16.1款〔发包人违约〕约定办理。</w:t>
      </w:r>
    </w:p>
    <w:p w14:paraId="568CA08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8.3.2 承包人采购的材料和工程设备，应保证产品质量合格，承包人应在材料和工程设备到货前24小时通知监理人检验。承</w:t>
      </w:r>
      <w:bookmarkStart w:id="929" w:name="_Toc250655469"/>
      <w:r>
        <w:rPr>
          <w:rFonts w:hint="eastAsia" w:ascii="宋体" w:hAnsi="宋体" w:eastAsia="宋体" w:cs="宋体"/>
          <w:color w:val="000000"/>
          <w:kern w:val="2"/>
          <w:sz w:val="24"/>
          <w:szCs w:val="24"/>
          <w:lang w:val="en-US" w:eastAsia="zh-CN" w:bidi="ar-SA"/>
        </w:rPr>
        <w:t>包人进行永久设备、材料的制造和生产的，应符合相关质量标准，并向监理人提交材料的样本以及有关资料，并应在使用该材料或工程设备之前获得监理人同意。</w:t>
      </w:r>
    </w:p>
    <w:bookmarkEnd w:id="929"/>
    <w:p w14:paraId="4DFEE42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9EFCDF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30" w:name="_Toc351203556"/>
      <w:r>
        <w:rPr>
          <w:rFonts w:hint="eastAsia" w:ascii="宋体" w:hAnsi="宋体" w:eastAsia="宋体" w:cs="宋体"/>
          <w:color w:val="000000"/>
          <w:kern w:val="2"/>
          <w:sz w:val="24"/>
          <w:szCs w:val="24"/>
          <w:lang w:val="en-US" w:eastAsia="zh-CN" w:bidi="ar-SA"/>
        </w:rPr>
        <w:t>8</w:t>
      </w:r>
      <w:bookmarkStart w:id="931" w:name="_Toc337558780"/>
      <w:bookmarkStart w:id="932" w:name="_Toc296503062"/>
      <w:bookmarkStart w:id="933" w:name="_Toc296346563"/>
      <w:r>
        <w:rPr>
          <w:rFonts w:hint="eastAsia" w:ascii="宋体" w:hAnsi="宋体" w:eastAsia="宋体" w:cs="宋体"/>
          <w:color w:val="000000"/>
          <w:kern w:val="2"/>
          <w:sz w:val="24"/>
          <w:szCs w:val="24"/>
          <w:lang w:val="en-US" w:eastAsia="zh-CN" w:bidi="ar-SA"/>
        </w:rPr>
        <w:t>.4材料与工程设备的保管与使用</w:t>
      </w:r>
      <w:bookmarkEnd w:id="930"/>
    </w:p>
    <w:bookmarkEnd w:id="931"/>
    <w:bookmarkEnd w:id="932"/>
    <w:bookmarkEnd w:id="933"/>
    <w:p w14:paraId="31B1F17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8.4.1 发包人供应材料与工程设备的保管与使用</w:t>
      </w:r>
    </w:p>
    <w:p w14:paraId="2B8D505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23BCA4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发包人供应的材料和工程设备使用前，由承包人负责检验，检验费用由发包人承担，不合格的不得使用。</w:t>
      </w:r>
    </w:p>
    <w:p w14:paraId="43425B2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8.4.2 承包人采购材料与工程设备的保管与使用</w:t>
      </w:r>
    </w:p>
    <w:p w14:paraId="6062DEB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2ABF86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发包人或监理人发现承包人使用不符合设计或有关标准要求的材料和工程设备时，有权要求承包人进行修复、拆除或重新采购，由此增加的费用和（或）延误的工期，由承包人承担。</w:t>
      </w:r>
    </w:p>
    <w:p w14:paraId="1661F7E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34" w:name="_Toc351203557"/>
      <w:r>
        <w:rPr>
          <w:rFonts w:hint="eastAsia" w:ascii="宋体" w:hAnsi="宋体" w:eastAsia="宋体" w:cs="宋体"/>
          <w:color w:val="000000"/>
          <w:kern w:val="2"/>
          <w:sz w:val="24"/>
          <w:szCs w:val="24"/>
          <w:lang w:val="en-US" w:eastAsia="zh-CN" w:bidi="ar-SA"/>
        </w:rPr>
        <w:t>8.5禁止使用不合格的材料和工程设备</w:t>
      </w:r>
      <w:bookmarkEnd w:id="934"/>
    </w:p>
    <w:p w14:paraId="180C2A0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8.5.1 监理人有权拒绝承包人提供的不合格材料或工程设备，并要求承包人立即进行更换。监理人应在更换后再次进行检查和检验，由此增加的费用和（或）延误的工期由承包人承担。</w:t>
      </w:r>
    </w:p>
    <w:p w14:paraId="4D57034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8.5.2 监理人发现承包人使用了不合格的材料和工程设备，承包人应按照监理人的指示立即改正，并禁止在工程中继续使用不合格的材料和工程设备。</w:t>
      </w:r>
    </w:p>
    <w:p w14:paraId="6436C14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8.5.3 发包人提供的材料或工程设备不符合合同要求的，承包人有权拒绝，并可要求发包人更换，由此增加的费用和（或）延误的工期由发包人承担，并支付承包人合理的利润。</w:t>
      </w:r>
    </w:p>
    <w:p w14:paraId="72D746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35" w:name="_Toc351203558"/>
      <w:r>
        <w:rPr>
          <w:rFonts w:hint="eastAsia" w:ascii="宋体" w:hAnsi="宋体" w:eastAsia="宋体" w:cs="宋体"/>
          <w:color w:val="000000"/>
          <w:kern w:val="2"/>
          <w:sz w:val="24"/>
          <w:szCs w:val="24"/>
          <w:lang w:val="en-US" w:eastAsia="zh-CN" w:bidi="ar-SA"/>
        </w:rPr>
        <w:t>8.6 样品</w:t>
      </w:r>
      <w:bookmarkEnd w:id="935"/>
    </w:p>
    <w:p w14:paraId="4F6149E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8.6.1 样品的报送与封存</w:t>
      </w:r>
    </w:p>
    <w:p w14:paraId="43CBA4E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需要承包人报送样品的材料或工程设备，样品的种类、名称、规格、数量等要求均应在专用合同条款中约定。样品的报送程序如下：</w:t>
      </w:r>
    </w:p>
    <w:p w14:paraId="493AC35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6052F9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95E836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（3）经发包人和监理人审批确认的样品应按约定的方法封样，封存的样品作为检验工程相关部分的标准之一。承包人在施工过程中不得使用与样品不符的材料或工程设备。</w:t>
      </w:r>
    </w:p>
    <w:p w14:paraId="7D07C33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525F36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8.6.2 样品的保管</w:t>
      </w:r>
    </w:p>
    <w:p w14:paraId="37613EE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经批准的样品应由监理人负责封存于现场，承包人应在现场为保存样品提供适当和固定的场所并保持适当和良好的存储环境条件。</w:t>
      </w:r>
    </w:p>
    <w:p w14:paraId="373051D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36" w:name="_Toc351203559"/>
      <w:r>
        <w:rPr>
          <w:rFonts w:hint="eastAsia" w:ascii="宋体" w:hAnsi="宋体" w:eastAsia="宋体" w:cs="宋体"/>
          <w:color w:val="000000"/>
          <w:kern w:val="2"/>
          <w:sz w:val="24"/>
          <w:szCs w:val="24"/>
          <w:lang w:val="en-US" w:eastAsia="zh-CN" w:bidi="ar-SA"/>
        </w:rPr>
        <w:t>8.7材料与工程设备的替代</w:t>
      </w:r>
      <w:bookmarkEnd w:id="936"/>
    </w:p>
    <w:p w14:paraId="3373B71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8.7.1 出现下列情况需要使用替代材料和工程设备的，承包人应按照第8.7.2项约定的程序执行：</w:t>
      </w:r>
    </w:p>
    <w:p w14:paraId="72A91F9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（1）基准日期后生效的法律规定禁止使用的；</w:t>
      </w:r>
    </w:p>
    <w:p w14:paraId="52FCC71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（2）发包人要求使用替代品的；</w:t>
      </w:r>
    </w:p>
    <w:p w14:paraId="39AE58B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（3）因其他原因必须使用替代品的。</w:t>
      </w:r>
    </w:p>
    <w:p w14:paraId="4116275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8.7.2 承包人应在使用替代材料和工程设备28天前书面通知监理人，并附下列文件：</w:t>
      </w:r>
    </w:p>
    <w:p w14:paraId="1B953D7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（1）被替代的材料和工程设备的名称、数量、规格、型号、品牌、性能、价格及其他相关资料；</w:t>
      </w:r>
    </w:p>
    <w:p w14:paraId="60B0BB7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（2）替代品的名称、数量、规格、型号、品牌、性能、价格及其他相关资料；</w:t>
      </w:r>
    </w:p>
    <w:p w14:paraId="1F02512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（3）替代品与被替代产品之间的差异以及使用替代品可能对工程产生的影响；</w:t>
      </w:r>
    </w:p>
    <w:p w14:paraId="0537991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（4）替代品与被替代产品的价格差异；</w:t>
      </w:r>
    </w:p>
    <w:p w14:paraId="4839E1F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（5）使用替代品的理由和原因说明；</w:t>
      </w:r>
    </w:p>
    <w:p w14:paraId="40A8284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（6）监理人要求的其他文件。</w:t>
      </w:r>
    </w:p>
    <w:p w14:paraId="6AB585E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监理人应在收到通知后14天内向承包人发出经发包人签认的书面指示；监理人逾期发出书面指示的，视为发包人和监理人同意使用替代品。</w:t>
      </w:r>
    </w:p>
    <w:p w14:paraId="145E120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D7CBF7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37" w:name="_Toc351203560"/>
      <w:r>
        <w:rPr>
          <w:rFonts w:hint="eastAsia" w:ascii="宋体" w:hAnsi="宋体" w:eastAsia="宋体" w:cs="宋体"/>
          <w:color w:val="000000"/>
          <w:kern w:val="2"/>
          <w:sz w:val="24"/>
          <w:szCs w:val="24"/>
          <w:lang w:val="en-US" w:eastAsia="zh-CN" w:bidi="ar-SA"/>
        </w:rPr>
        <w:t>8.8施工设备和临时设施</w:t>
      </w:r>
      <w:bookmarkEnd w:id="937"/>
    </w:p>
    <w:p w14:paraId="4AF5F55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8.8.1 承包人提供的施工设备和临时设施</w:t>
      </w:r>
    </w:p>
    <w:p w14:paraId="025D7B6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承包人应按合同进度计划的要求，及时配置施工设备和修建临时设施。进入施工场地的承包人设备需经监理人核查后才能投入使用。承包人更换合同约定的承包人设备的，应报监理人批准。</w:t>
      </w:r>
    </w:p>
    <w:p w14:paraId="5BC53BF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除专用合同条款另有约定外，承包人应自行承担修建临时设施的费用，需要临时占地的，应由发包人办理申请手续并承担相应费用。</w:t>
      </w:r>
    </w:p>
    <w:p w14:paraId="6ACD362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8.8.2发包人提供的施工设备和临时设施</w:t>
      </w:r>
    </w:p>
    <w:p w14:paraId="5AABC3D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发包人提供的施工设备或临时设施在专用合同条款中约定。</w:t>
      </w:r>
    </w:p>
    <w:p w14:paraId="286A3FF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8.8.3要求承包人增加或更换施工设备</w:t>
      </w:r>
    </w:p>
    <w:p w14:paraId="5A9158F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承包人使用的施工设备不能满足合同进度计划和（或）质量要求时，监理人有权要求承包人增加或更换施工设备，承包人应及时增加或更换，由此增加的费用和（或）延误的工期由承包人承担。</w:t>
      </w:r>
    </w:p>
    <w:p w14:paraId="153FAF1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38" w:name="_Toc351203561"/>
      <w:r>
        <w:rPr>
          <w:rFonts w:hint="eastAsia" w:ascii="宋体" w:hAnsi="宋体" w:eastAsia="宋体" w:cs="宋体"/>
          <w:color w:val="000000"/>
          <w:kern w:val="2"/>
          <w:sz w:val="24"/>
          <w:szCs w:val="24"/>
          <w:lang w:val="en-US" w:eastAsia="zh-CN" w:bidi="ar-SA"/>
        </w:rPr>
        <w:t>8</w:t>
      </w:r>
      <w:bookmarkStart w:id="939" w:name="_Toc337558781"/>
      <w:bookmarkStart w:id="940" w:name="_Toc296503063"/>
      <w:bookmarkStart w:id="941" w:name="_Toc296346564"/>
      <w:r>
        <w:rPr>
          <w:rFonts w:hint="eastAsia" w:ascii="宋体" w:hAnsi="宋体" w:eastAsia="宋体" w:cs="宋体"/>
          <w:color w:val="000000"/>
          <w:kern w:val="2"/>
          <w:sz w:val="24"/>
          <w:szCs w:val="24"/>
          <w:lang w:val="en-US" w:eastAsia="zh-CN" w:bidi="ar-SA"/>
        </w:rPr>
        <w:t>.9材料与设备专用</w:t>
      </w:r>
      <w:bookmarkEnd w:id="938"/>
      <w:r>
        <w:rPr>
          <w:rFonts w:hint="eastAsia" w:ascii="宋体" w:hAnsi="宋体" w:eastAsia="宋体" w:cs="宋体"/>
          <w:color w:val="000000"/>
          <w:kern w:val="2"/>
          <w:sz w:val="24"/>
          <w:szCs w:val="24"/>
          <w:lang w:val="en-US" w:eastAsia="zh-CN" w:bidi="ar-SA"/>
        </w:rPr>
        <w:t>要求</w:t>
      </w:r>
    </w:p>
    <w:bookmarkEnd w:id="939"/>
    <w:bookmarkEnd w:id="940"/>
    <w:bookmarkEnd w:id="941"/>
    <w:p w14:paraId="46BA9C9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承包人运入施工现场的材料、工程设备、施工设备以及在施工场地建设的临时设施，包括备品备件、安装工具与资料，必须专用于工程。未经发包人批准，承包人不得运出施工现场或挪作他用；</w:t>
      </w:r>
      <w:bookmarkEnd w:id="920"/>
      <w:r>
        <w:rPr>
          <w:rFonts w:hint="eastAsia" w:ascii="宋体" w:hAnsi="宋体" w:eastAsia="宋体" w:cs="宋体"/>
          <w:color w:val="000000"/>
          <w:kern w:val="2"/>
          <w:sz w:val="24"/>
          <w:szCs w:val="24"/>
          <w:lang w:val="en-US" w:eastAsia="zh-CN" w:bidi="ar-SA"/>
        </w:rPr>
        <w:t>经发包人批准，承包人可以根据施工进度计划撤走闲置的施工设备和其他物品。</w:t>
      </w:r>
    </w:p>
    <w:p w14:paraId="65B1BBE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42" w:name="_Toc24310"/>
      <w:bookmarkStart w:id="943" w:name="_Toc25930299"/>
      <w:bookmarkStart w:id="944" w:name="_Toc39153744"/>
      <w:bookmarkStart w:id="945" w:name="_Toc101704624"/>
      <w:bookmarkStart w:id="946" w:name="_Toc102120274"/>
      <w:bookmarkStart w:id="947" w:name="_Toc9152"/>
      <w:bookmarkStart w:id="948" w:name="_Toc351203562"/>
      <w:bookmarkStart w:id="949" w:name="_Toc11747"/>
      <w:bookmarkStart w:id="950" w:name="_Toc103259098"/>
      <w:bookmarkStart w:id="951" w:name="_Toc101795217"/>
      <w:r>
        <w:rPr>
          <w:rFonts w:hint="eastAsia" w:ascii="宋体" w:hAnsi="宋体" w:eastAsia="宋体" w:cs="宋体"/>
          <w:color w:val="000000"/>
          <w:kern w:val="2"/>
          <w:sz w:val="24"/>
          <w:szCs w:val="24"/>
          <w:lang w:val="en-US" w:eastAsia="zh-CN" w:bidi="ar-SA"/>
        </w:rPr>
        <w:t>9</w:t>
      </w:r>
      <w:bookmarkStart w:id="952" w:name="_Toc337558782"/>
      <w:bookmarkStart w:id="953" w:name="_Toc296346584"/>
      <w:bookmarkStart w:id="954" w:name="_Toc296503083"/>
      <w:r>
        <w:rPr>
          <w:rFonts w:hint="eastAsia" w:ascii="宋体" w:hAnsi="宋体" w:eastAsia="宋体" w:cs="宋体"/>
          <w:color w:val="000000"/>
          <w:kern w:val="2"/>
          <w:sz w:val="24"/>
          <w:szCs w:val="24"/>
          <w:lang w:val="en-US" w:eastAsia="zh-CN" w:bidi="ar-SA"/>
        </w:rPr>
        <w:t>. 试验与检验</w:t>
      </w:r>
      <w:bookmarkEnd w:id="942"/>
      <w:bookmarkEnd w:id="943"/>
      <w:bookmarkEnd w:id="944"/>
      <w:bookmarkEnd w:id="945"/>
      <w:bookmarkEnd w:id="946"/>
      <w:bookmarkEnd w:id="947"/>
      <w:bookmarkEnd w:id="948"/>
      <w:bookmarkEnd w:id="949"/>
      <w:bookmarkEnd w:id="950"/>
      <w:bookmarkEnd w:id="951"/>
    </w:p>
    <w:bookmarkEnd w:id="952"/>
    <w:p w14:paraId="56D2093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55" w:name="_Toc351203563"/>
      <w:r>
        <w:rPr>
          <w:rFonts w:hint="eastAsia" w:ascii="宋体" w:hAnsi="宋体" w:eastAsia="宋体" w:cs="宋体"/>
          <w:color w:val="000000"/>
          <w:kern w:val="2"/>
          <w:sz w:val="24"/>
          <w:szCs w:val="24"/>
          <w:lang w:val="en-US" w:eastAsia="zh-CN" w:bidi="ar-SA"/>
        </w:rPr>
        <w:t>9</w:t>
      </w:r>
      <w:bookmarkStart w:id="956" w:name="_Toc337558783"/>
      <w:r>
        <w:rPr>
          <w:rFonts w:hint="eastAsia" w:ascii="宋体" w:hAnsi="宋体" w:eastAsia="宋体" w:cs="宋体"/>
          <w:color w:val="000000"/>
          <w:kern w:val="2"/>
          <w:sz w:val="24"/>
          <w:szCs w:val="24"/>
          <w:lang w:val="en-US" w:eastAsia="zh-CN" w:bidi="ar-SA"/>
        </w:rPr>
        <w:t>.1试验设备与试验人员</w:t>
      </w:r>
      <w:bookmarkEnd w:id="955"/>
    </w:p>
    <w:bookmarkEnd w:id="956"/>
    <w:p w14:paraId="3E57EDA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4A8DE6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9.1.2 承包人应按专用合同条款的约定提供试验设备、取样装置、试验场所和试验条件，并向监理人提交相应进场计划表。</w:t>
      </w:r>
    </w:p>
    <w:p w14:paraId="00647BE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承包人配置的试验设备要符合相应试验规程的要求并经过具有资质的检测单位检测，且在正式使用该试验设备前，需要经过监理人与承包人共同校定。</w:t>
      </w:r>
    </w:p>
    <w:p w14:paraId="5D5F0CB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9.1.3 承包人应向监理人提交试验人员的名单及其岗位、资格等证明资料，试验人员必须能够熟练进行相应的检测试验，承包人对试验人员的试验程序和试验结果的正确性负责。</w:t>
      </w:r>
    </w:p>
    <w:p w14:paraId="1665E0C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57" w:name="_Toc351203564"/>
      <w:r>
        <w:rPr>
          <w:rFonts w:hint="eastAsia" w:ascii="宋体" w:hAnsi="宋体" w:eastAsia="宋体" w:cs="宋体"/>
          <w:color w:val="000000"/>
          <w:kern w:val="2"/>
          <w:sz w:val="24"/>
          <w:szCs w:val="24"/>
          <w:lang w:val="en-US" w:eastAsia="zh-CN" w:bidi="ar-SA"/>
        </w:rPr>
        <w:t>9</w:t>
      </w:r>
      <w:bookmarkStart w:id="958" w:name="_Toc337558784"/>
      <w:r>
        <w:rPr>
          <w:rFonts w:hint="eastAsia" w:ascii="宋体" w:hAnsi="宋体" w:eastAsia="宋体" w:cs="宋体"/>
          <w:color w:val="000000"/>
          <w:kern w:val="2"/>
          <w:sz w:val="24"/>
          <w:szCs w:val="24"/>
          <w:lang w:val="en-US" w:eastAsia="zh-CN" w:bidi="ar-SA"/>
        </w:rPr>
        <w:t>.2取样</w:t>
      </w:r>
      <w:bookmarkEnd w:id="957"/>
    </w:p>
    <w:bookmarkEnd w:id="958"/>
    <w:p w14:paraId="5B74E68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试验属于自检性质的，承包人可以单独取样。试验属于监理人抽检性质的，可由监理人取样，也可由承包人的试验人员在监理人的监督下取样。</w:t>
      </w:r>
    </w:p>
    <w:p w14:paraId="5E4E966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9.3材料、工程设备和工程的试验和检验</w:t>
      </w:r>
    </w:p>
    <w:p w14:paraId="2618DE5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58E0D5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B3F33E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8DDD9B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59" w:name="_Toc351203566"/>
      <w:r>
        <w:rPr>
          <w:rFonts w:hint="eastAsia" w:ascii="宋体" w:hAnsi="宋体" w:eastAsia="宋体" w:cs="宋体"/>
          <w:color w:val="000000"/>
          <w:kern w:val="2"/>
          <w:sz w:val="24"/>
          <w:szCs w:val="24"/>
          <w:lang w:val="en-US" w:eastAsia="zh-CN" w:bidi="ar-SA"/>
        </w:rPr>
        <w:t>9</w:t>
      </w:r>
      <w:bookmarkStart w:id="960" w:name="_Toc337558786"/>
      <w:r>
        <w:rPr>
          <w:rFonts w:hint="eastAsia" w:ascii="宋体" w:hAnsi="宋体" w:eastAsia="宋体" w:cs="宋体"/>
          <w:color w:val="000000"/>
          <w:kern w:val="2"/>
          <w:sz w:val="24"/>
          <w:szCs w:val="24"/>
          <w:lang w:val="en-US" w:eastAsia="zh-CN" w:bidi="ar-SA"/>
        </w:rPr>
        <w:t>.4现场工艺试验</w:t>
      </w:r>
      <w:bookmarkEnd w:id="959"/>
    </w:p>
    <w:bookmarkEnd w:id="960"/>
    <w:p w14:paraId="21A7615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承包人应按合同约定或监理人指示进行现场工艺试验。对大型的现场工艺试验，监理人认为必要时，承包人应根据监理人提出的工艺试验要求，编制工艺试验措施计划，报送监理人审查。</w:t>
      </w:r>
    </w:p>
    <w:p w14:paraId="4A4ADAE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61" w:name="_Toc103259099"/>
      <w:bookmarkStart w:id="962" w:name="_Toc101704625"/>
      <w:bookmarkStart w:id="963" w:name="_Toc1447"/>
      <w:bookmarkStart w:id="964" w:name="_Toc351203567"/>
      <w:bookmarkStart w:id="965" w:name="_Toc1109"/>
      <w:bookmarkStart w:id="966" w:name="_Toc101795218"/>
      <w:bookmarkStart w:id="967" w:name="_Toc25329"/>
      <w:bookmarkStart w:id="968" w:name="_Toc39153745"/>
      <w:bookmarkStart w:id="969" w:name="_Toc102120275"/>
      <w:bookmarkStart w:id="970" w:name="_Toc25930300"/>
      <w:r>
        <w:rPr>
          <w:rFonts w:hint="eastAsia" w:ascii="宋体" w:hAnsi="宋体" w:eastAsia="宋体" w:cs="宋体"/>
          <w:color w:val="000000"/>
          <w:kern w:val="2"/>
          <w:sz w:val="24"/>
          <w:szCs w:val="24"/>
          <w:lang w:val="en-US" w:eastAsia="zh-CN" w:bidi="ar-SA"/>
        </w:rPr>
        <w:t>1</w:t>
      </w:r>
      <w:bookmarkStart w:id="971" w:name="_Toc337558787"/>
      <w:r>
        <w:rPr>
          <w:rFonts w:hint="eastAsia" w:ascii="宋体" w:hAnsi="宋体" w:eastAsia="宋体" w:cs="宋体"/>
          <w:color w:val="000000"/>
          <w:kern w:val="2"/>
          <w:sz w:val="24"/>
          <w:szCs w:val="24"/>
          <w:lang w:val="en-US" w:eastAsia="zh-CN" w:bidi="ar-SA"/>
        </w:rPr>
        <w:t>0. 变更</w:t>
      </w:r>
      <w:bookmarkEnd w:id="953"/>
      <w:bookmarkEnd w:id="954"/>
      <w:bookmarkEnd w:id="961"/>
      <w:bookmarkEnd w:id="962"/>
      <w:bookmarkEnd w:id="963"/>
      <w:bookmarkEnd w:id="964"/>
      <w:bookmarkEnd w:id="965"/>
      <w:bookmarkEnd w:id="966"/>
      <w:bookmarkEnd w:id="967"/>
      <w:bookmarkEnd w:id="968"/>
      <w:bookmarkEnd w:id="969"/>
      <w:bookmarkEnd w:id="970"/>
    </w:p>
    <w:bookmarkEnd w:id="971"/>
    <w:p w14:paraId="715BF80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72" w:name="_Toc351203568"/>
      <w:r>
        <w:rPr>
          <w:rFonts w:hint="eastAsia" w:ascii="宋体" w:hAnsi="宋体" w:eastAsia="宋体" w:cs="宋体"/>
          <w:color w:val="000000"/>
          <w:kern w:val="2"/>
          <w:sz w:val="24"/>
          <w:szCs w:val="24"/>
          <w:lang w:val="en-US" w:eastAsia="zh-CN" w:bidi="ar-SA"/>
        </w:rPr>
        <w:t>1</w:t>
      </w:r>
      <w:bookmarkStart w:id="973" w:name="_Toc296503084"/>
      <w:bookmarkStart w:id="974" w:name="_Toc296346585"/>
      <w:bookmarkStart w:id="975" w:name="_Toc337558788"/>
      <w:r>
        <w:rPr>
          <w:rFonts w:hint="eastAsia" w:ascii="宋体" w:hAnsi="宋体" w:eastAsia="宋体" w:cs="宋体"/>
          <w:color w:val="000000"/>
          <w:kern w:val="2"/>
          <w:sz w:val="24"/>
          <w:szCs w:val="24"/>
          <w:lang w:val="en-US" w:eastAsia="zh-CN" w:bidi="ar-SA"/>
        </w:rPr>
        <w:t>0.1变更的范围</w:t>
      </w:r>
      <w:bookmarkEnd w:id="972"/>
    </w:p>
    <w:bookmarkEnd w:id="973"/>
    <w:bookmarkEnd w:id="974"/>
    <w:bookmarkEnd w:id="975"/>
    <w:p w14:paraId="12A0260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除专用合同条款另有约定外，合同履行过程中发生以下情形的，应按照本条约定进行变更：</w:t>
      </w:r>
    </w:p>
    <w:p w14:paraId="042EBE7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（1）增加或减少合同中任何工作，或追加额外的工作；</w:t>
      </w:r>
    </w:p>
    <w:p w14:paraId="7167DA7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（2）取消合同中任何工作，但转由他人实施的工作除外；</w:t>
      </w:r>
    </w:p>
    <w:p w14:paraId="045528C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（3）改变合同中任何工作的质量标准或其他特性；</w:t>
      </w:r>
    </w:p>
    <w:p w14:paraId="4608C46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（4）改变工程的基线、标高、位置和尺寸；</w:t>
      </w:r>
    </w:p>
    <w:p w14:paraId="0AC2EAF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（5）改变工程的时间安排或实施顺序。</w:t>
      </w:r>
    </w:p>
    <w:p w14:paraId="6F0E03D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976" w:name="_Toc351203569"/>
      <w:r>
        <w:rPr>
          <w:rFonts w:hint="eastAsia" w:ascii="宋体" w:hAnsi="宋体" w:eastAsia="宋体" w:cs="宋体"/>
          <w:color w:val="000000"/>
          <w:kern w:val="2"/>
          <w:sz w:val="24"/>
          <w:szCs w:val="24"/>
          <w:lang w:val="en-US" w:eastAsia="zh-CN" w:bidi="ar-SA"/>
        </w:rPr>
        <w:t>1</w:t>
      </w:r>
      <w:bookmarkStart w:id="977" w:name="_Toc337558789"/>
      <w:bookmarkStart w:id="978" w:name="_Toc296503085"/>
      <w:bookmarkStart w:id="979" w:name="_Toc296346586"/>
      <w:r>
        <w:rPr>
          <w:rFonts w:hint="eastAsia" w:ascii="宋体" w:hAnsi="宋体" w:eastAsia="宋体" w:cs="宋体"/>
          <w:color w:val="000000"/>
          <w:kern w:val="2"/>
          <w:sz w:val="24"/>
          <w:szCs w:val="24"/>
          <w:lang w:val="en-US" w:eastAsia="zh-CN" w:bidi="ar-SA"/>
        </w:rPr>
        <w:t>0.2变更权</w:t>
      </w:r>
      <w:bookmarkEnd w:id="976"/>
    </w:p>
    <w:bookmarkEnd w:id="977"/>
    <w:bookmarkEnd w:id="978"/>
    <w:bookmarkEnd w:id="979"/>
    <w:p w14:paraId="42101AC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A984AB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涉及设计变更的，应由设计人提供变更后的图纸和说明。如变更超过原设计标准或批准的建设规模时，发包人应及时办理规划、设计变更等审批手续。</w:t>
      </w:r>
    </w:p>
    <w:p w14:paraId="0AE6EFA4">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980" w:name="_Toc351203570"/>
      <w:r>
        <w:rPr>
          <w:rFonts w:hint="eastAsia" w:ascii="宋体" w:hAnsi="宋体" w:eastAsia="宋体" w:cs="宋体"/>
          <w:color w:val="000000"/>
          <w:kern w:val="2"/>
          <w:sz w:val="24"/>
          <w:szCs w:val="24"/>
          <w:lang w:val="en-US" w:eastAsia="zh-CN" w:bidi="ar-SA"/>
        </w:rPr>
        <w:t>1</w:t>
      </w:r>
      <w:bookmarkStart w:id="981" w:name="_Toc296503086"/>
      <w:bookmarkStart w:id="982" w:name="_Toc337558790"/>
      <w:bookmarkStart w:id="983" w:name="_Toc296346587"/>
      <w:r>
        <w:rPr>
          <w:rFonts w:hint="eastAsia" w:ascii="宋体" w:hAnsi="宋体" w:eastAsia="宋体" w:cs="宋体"/>
          <w:color w:val="000000"/>
          <w:kern w:val="2"/>
          <w:sz w:val="24"/>
          <w:szCs w:val="24"/>
          <w:lang w:val="en-US" w:eastAsia="zh-CN" w:bidi="ar-SA"/>
        </w:rPr>
        <w:t>0.3变更程序</w:t>
      </w:r>
      <w:bookmarkEnd w:id="980"/>
    </w:p>
    <w:bookmarkEnd w:id="981"/>
    <w:bookmarkEnd w:id="982"/>
    <w:bookmarkEnd w:id="983"/>
    <w:p w14:paraId="2FCFFA0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10.3.1 发包人提出变更</w:t>
      </w:r>
    </w:p>
    <w:p w14:paraId="1BC4AB3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发包人提出变更的，应通过监理人向承包人发出变更指示，变更指示应说明计划变更的工程范围和变更的内容。</w:t>
      </w:r>
    </w:p>
    <w:p w14:paraId="72A955C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10.3.2 监理人提出变更建议</w:t>
      </w:r>
    </w:p>
    <w:p w14:paraId="05C93AE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CAC46C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10.3.3 变更执行</w:t>
      </w:r>
    </w:p>
    <w:p w14:paraId="2B934C8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71CC3BB">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984" w:name="_Toc351203571"/>
      <w:r>
        <w:rPr>
          <w:rFonts w:hint="eastAsia" w:ascii="宋体" w:hAnsi="宋体" w:eastAsia="宋体" w:cs="宋体"/>
          <w:color w:val="000000"/>
          <w:kern w:val="2"/>
          <w:sz w:val="24"/>
          <w:szCs w:val="24"/>
          <w:lang w:val="en-US" w:eastAsia="zh-CN" w:bidi="ar-SA"/>
        </w:rPr>
        <w:t>1</w:t>
      </w:r>
      <w:bookmarkStart w:id="985" w:name="_Toc296346588"/>
      <w:bookmarkStart w:id="986" w:name="_Toc296503087"/>
      <w:bookmarkStart w:id="987" w:name="_Toc337558791"/>
      <w:r>
        <w:rPr>
          <w:rFonts w:hint="eastAsia" w:ascii="宋体" w:hAnsi="宋体" w:eastAsia="宋体" w:cs="宋体"/>
          <w:color w:val="000000"/>
          <w:kern w:val="2"/>
          <w:sz w:val="24"/>
          <w:szCs w:val="24"/>
          <w:lang w:val="en-US" w:eastAsia="zh-CN" w:bidi="ar-SA"/>
        </w:rPr>
        <w:t>0.4变更估价</w:t>
      </w:r>
      <w:bookmarkEnd w:id="984"/>
    </w:p>
    <w:bookmarkEnd w:id="985"/>
    <w:bookmarkEnd w:id="986"/>
    <w:bookmarkEnd w:id="987"/>
    <w:p w14:paraId="2109D76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10.4.1 变更估价原则</w:t>
      </w:r>
    </w:p>
    <w:p w14:paraId="114457B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除专用合同条款另有约定外，变更估价按照本款约定处理：</w:t>
      </w:r>
    </w:p>
    <w:p w14:paraId="12A869B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（1）已标价工程量清单或预算书有相同项目的，按照相同项目单价认定；</w:t>
      </w:r>
    </w:p>
    <w:p w14:paraId="2F8FC93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（2）已标价工程量清单或预算书中无相同项目，但有类似项目的，参照类似项目的单价认定；</w:t>
      </w:r>
    </w:p>
    <w:p w14:paraId="0727B84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60B33B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10.4.2 变更估价程序</w:t>
      </w:r>
    </w:p>
    <w:p w14:paraId="029394C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1AE818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因变更引起的价格调整应计入最近一期的进度款中支付。</w:t>
      </w:r>
    </w:p>
    <w:p w14:paraId="79D69600">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988" w:name="_Toc351203572"/>
      <w:r>
        <w:rPr>
          <w:rFonts w:hint="eastAsia" w:ascii="宋体" w:hAnsi="宋体" w:eastAsia="宋体" w:cs="宋体"/>
          <w:color w:val="000000"/>
          <w:kern w:val="2"/>
          <w:sz w:val="24"/>
          <w:szCs w:val="24"/>
          <w:lang w:val="en-US" w:eastAsia="zh-CN" w:bidi="ar-SA"/>
        </w:rPr>
        <w:t>1</w:t>
      </w:r>
      <w:bookmarkStart w:id="989" w:name="_Toc296503094"/>
      <w:bookmarkStart w:id="990" w:name="_Toc296346595"/>
      <w:bookmarkStart w:id="991" w:name="_Toc337558792"/>
      <w:r>
        <w:rPr>
          <w:rFonts w:hint="eastAsia" w:ascii="宋体" w:hAnsi="宋体" w:eastAsia="宋体" w:cs="宋体"/>
          <w:color w:val="000000"/>
          <w:kern w:val="2"/>
          <w:sz w:val="24"/>
          <w:szCs w:val="24"/>
          <w:lang w:val="en-US" w:eastAsia="zh-CN" w:bidi="ar-SA"/>
        </w:rPr>
        <w:t>0.5承包人的合理化建议</w:t>
      </w:r>
      <w:bookmarkEnd w:id="988"/>
    </w:p>
    <w:bookmarkEnd w:id="989"/>
    <w:bookmarkEnd w:id="990"/>
    <w:bookmarkEnd w:id="991"/>
    <w:p w14:paraId="1CA2679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承包人提出合理化建议的，应向监理人提交合理化建议说明，说明建议的内容和理由，以及实施该建议对合同价格和工期的影响。</w:t>
      </w:r>
    </w:p>
    <w:p w14:paraId="58EB1A0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4D5A88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合理化建议降低了合同价格或者提高了工程经济效益的，发包人可对承包人给予奖励，奖励的方法和金额在专用合同条款中约定。</w:t>
      </w:r>
    </w:p>
    <w:p w14:paraId="26BD67A2">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992" w:name="_Toc351203573"/>
      <w:r>
        <w:rPr>
          <w:rFonts w:hint="eastAsia" w:ascii="宋体" w:hAnsi="宋体" w:eastAsia="宋体" w:cs="宋体"/>
          <w:color w:val="000000"/>
          <w:kern w:val="2"/>
          <w:sz w:val="24"/>
          <w:szCs w:val="24"/>
          <w:lang w:val="en-US" w:eastAsia="zh-CN" w:bidi="ar-SA"/>
        </w:rPr>
        <w:t>1</w:t>
      </w:r>
      <w:bookmarkStart w:id="993" w:name="_Toc337558793"/>
      <w:r>
        <w:rPr>
          <w:rFonts w:hint="eastAsia" w:ascii="宋体" w:hAnsi="宋体" w:eastAsia="宋体" w:cs="宋体"/>
          <w:color w:val="000000"/>
          <w:kern w:val="2"/>
          <w:sz w:val="24"/>
          <w:szCs w:val="24"/>
          <w:lang w:val="en-US" w:eastAsia="zh-CN" w:bidi="ar-SA"/>
        </w:rPr>
        <w:t>0.6变更引起的工期调整</w:t>
      </w:r>
      <w:bookmarkEnd w:id="992"/>
      <w:bookmarkEnd w:id="993"/>
    </w:p>
    <w:p w14:paraId="6837225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因变更引起工期变化的，合同当事人均可要求调整合同工期，由合同当事人按照第4.4款〔商定或确定〕并参考工程所在地的工期定额标准确定增减工期天数。</w:t>
      </w:r>
    </w:p>
    <w:p w14:paraId="316C73A1">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994" w:name="_Toc351203574"/>
      <w:r>
        <w:rPr>
          <w:rFonts w:hint="eastAsia" w:ascii="宋体" w:hAnsi="宋体" w:eastAsia="宋体" w:cs="宋体"/>
          <w:color w:val="000000"/>
          <w:kern w:val="2"/>
          <w:sz w:val="24"/>
          <w:szCs w:val="24"/>
          <w:lang w:val="en-US" w:eastAsia="zh-CN" w:bidi="ar-SA"/>
        </w:rPr>
        <w:t>10.7暂估价</w:t>
      </w:r>
      <w:bookmarkEnd w:id="994"/>
    </w:p>
    <w:p w14:paraId="0865FAC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暂估价专业分包工程、服务、材料和工程设备的明细由合同当事人在专用合同条款中约定。</w:t>
      </w:r>
    </w:p>
    <w:p w14:paraId="1FC7DDF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10.7.1 依法必须招标的暂估价项目</w:t>
      </w:r>
    </w:p>
    <w:p w14:paraId="1A3C923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对于依法必须招标的暂估价项目，采取以下第1种方式确定。合同当事人也可以在专用合同条款中选择其他招标方式。</w:t>
      </w:r>
    </w:p>
    <w:p w14:paraId="64B4CD1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第1种方式：对于依法必须招标的暂估价项目，由承包人招标，对该暂估价项目的确认和批准按照以下约定执行：</w:t>
      </w:r>
    </w:p>
    <w:p w14:paraId="331E58F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D08B84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570A67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CECA48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B2C7B4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10.7.2不属于依法必须招标的暂估价项目</w:t>
      </w:r>
    </w:p>
    <w:p w14:paraId="03DB579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除专用合同条款另有约定外，对于不属于依法必须招标的暂估价项目，采取以下第1种方式确定： </w:t>
      </w:r>
    </w:p>
    <w:p w14:paraId="7178AF7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第1种方式：对于不属于依法必须招标的暂估价项目，按本项约定确认和批准：</w:t>
      </w:r>
    </w:p>
    <w:p w14:paraId="2E1E195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479506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（2）发包人认为承包人确定的供应商、分包人无法满足工程质量或合同要求的，发包人可以要求承包人重新确定暂估价项目的供应商、分包人；</w:t>
      </w:r>
    </w:p>
    <w:p w14:paraId="24291B7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（3）承包人应当在签订暂估价合同后7天内，将暂估价合同副本报送发包人留存。</w:t>
      </w:r>
    </w:p>
    <w:p w14:paraId="4C82332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第2种方式：承包人按照第10.7.1项〔依法必须招标的暂估价项目〕约定的第1种方式确定暂估价项目。</w:t>
      </w:r>
    </w:p>
    <w:p w14:paraId="4ADEABC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第3种方式：承包人直接实施的暂估价项目</w:t>
      </w:r>
    </w:p>
    <w:p w14:paraId="07D737C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承包人具备实施暂估价项目的资格和条件的，经发包人和承包人协商一致后，可由承包人自行实施暂估价项目，合同当事人可以在专用合同条款约定具体事项。</w:t>
      </w:r>
    </w:p>
    <w:p w14:paraId="40536A0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7A077E3">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995" w:name="_Toc351203575"/>
      <w:r>
        <w:rPr>
          <w:rFonts w:hint="eastAsia" w:ascii="宋体" w:hAnsi="宋体" w:eastAsia="宋体" w:cs="宋体"/>
          <w:color w:val="000000"/>
          <w:kern w:val="2"/>
          <w:sz w:val="24"/>
          <w:szCs w:val="24"/>
          <w:lang w:val="en-US" w:eastAsia="zh-CN" w:bidi="ar-SA"/>
        </w:rPr>
        <w:t>1</w:t>
      </w:r>
      <w:bookmarkStart w:id="996" w:name="_Toc337558794"/>
      <w:bookmarkStart w:id="997" w:name="_Toc322522561"/>
      <w:bookmarkStart w:id="998" w:name="_Toc296503090"/>
      <w:bookmarkStart w:id="999" w:name="_Toc296346591"/>
      <w:r>
        <w:rPr>
          <w:rFonts w:hint="eastAsia" w:ascii="宋体" w:hAnsi="宋体" w:eastAsia="宋体" w:cs="宋体"/>
          <w:color w:val="000000"/>
          <w:kern w:val="2"/>
          <w:sz w:val="24"/>
          <w:szCs w:val="24"/>
          <w:lang w:val="en-US" w:eastAsia="zh-CN" w:bidi="ar-SA"/>
        </w:rPr>
        <w:t>0.8暂列金额</w:t>
      </w:r>
      <w:bookmarkEnd w:id="995"/>
    </w:p>
    <w:bookmarkEnd w:id="996"/>
    <w:p w14:paraId="5005515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暂列金额应按照发包人的要求使用，发包人的要求应通过监理人发出。合同当事人可以在专用合同条款中协商确定有关事项。</w:t>
      </w:r>
    </w:p>
    <w:bookmarkEnd w:id="997"/>
    <w:bookmarkEnd w:id="998"/>
    <w:bookmarkEnd w:id="999"/>
    <w:p w14:paraId="7F7E526A">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00" w:name="_Toc351203576"/>
      <w:r>
        <w:rPr>
          <w:rFonts w:hint="eastAsia" w:ascii="宋体" w:hAnsi="宋体" w:eastAsia="宋体" w:cs="宋体"/>
          <w:color w:val="000000"/>
          <w:kern w:val="2"/>
          <w:sz w:val="24"/>
          <w:szCs w:val="24"/>
          <w:lang w:val="en-US" w:eastAsia="zh-CN" w:bidi="ar-SA"/>
        </w:rPr>
        <w:t>1</w:t>
      </w:r>
      <w:bookmarkStart w:id="1001" w:name="_Toc337558796"/>
      <w:bookmarkStart w:id="1002" w:name="_Toc296503091"/>
      <w:bookmarkStart w:id="1003" w:name="_Toc296346592"/>
      <w:r>
        <w:rPr>
          <w:rFonts w:hint="eastAsia" w:ascii="宋体" w:hAnsi="宋体" w:eastAsia="宋体" w:cs="宋体"/>
          <w:color w:val="000000"/>
          <w:kern w:val="2"/>
          <w:sz w:val="24"/>
          <w:szCs w:val="24"/>
          <w:lang w:val="en-US" w:eastAsia="zh-CN" w:bidi="ar-SA"/>
        </w:rPr>
        <w:t>0.9计日工</w:t>
      </w:r>
      <w:bookmarkEnd w:id="1000"/>
      <w:bookmarkEnd w:id="1001"/>
      <w:bookmarkEnd w:id="1002"/>
      <w:bookmarkEnd w:id="1003"/>
    </w:p>
    <w:p w14:paraId="7E6FACB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2DF2C1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采用计日工计价的任何一项工作，承包人应在该项工作实施过程中，每天提交以下报表和有关凭证报送监理人审查：</w:t>
      </w:r>
    </w:p>
    <w:p w14:paraId="4694659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（1）工作名称、内容和数量；</w:t>
      </w:r>
    </w:p>
    <w:p w14:paraId="07E258B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（2）投入该工作的所有人员的姓名、专业、工种、级别和耗用工时；</w:t>
      </w:r>
    </w:p>
    <w:p w14:paraId="049B172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（3）投入该工作的材料类别和数量；</w:t>
      </w:r>
    </w:p>
    <w:p w14:paraId="4BC6E26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（4）投入该工作的施工设备型号、台数和耗用台时；</w:t>
      </w:r>
    </w:p>
    <w:p w14:paraId="208E7B1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（5）其他有关资料和凭证。</w:t>
      </w:r>
    </w:p>
    <w:p w14:paraId="144B3E6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计日工由承包人汇总后，列入最近一期进度付款申请单，由监理人审查并经发包人批准后列入进度付款。</w:t>
      </w:r>
    </w:p>
    <w:p w14:paraId="114048D9">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004" w:name="_Toc101795219"/>
      <w:bookmarkStart w:id="1005" w:name="_Toc256000086"/>
      <w:bookmarkStart w:id="1006" w:name="_Toc256003945"/>
      <w:bookmarkStart w:id="1007" w:name="_Toc256002810"/>
      <w:bookmarkStart w:id="1008" w:name="_Toc103259100"/>
      <w:bookmarkStart w:id="1009" w:name="_Toc256001448"/>
      <w:bookmarkStart w:id="1010" w:name="_Toc256003491"/>
      <w:bookmarkStart w:id="1011" w:name="_Toc102120276"/>
      <w:bookmarkStart w:id="1012" w:name="_Toc256003264"/>
      <w:bookmarkStart w:id="1013" w:name="_Toc18209"/>
      <w:bookmarkStart w:id="1014" w:name="_Toc12602"/>
      <w:bookmarkStart w:id="1015" w:name="_Toc256001675"/>
      <w:bookmarkStart w:id="1016" w:name="_Toc39153746"/>
      <w:bookmarkStart w:id="1017" w:name="_Toc256003718"/>
      <w:bookmarkStart w:id="1018" w:name="_Toc256002356"/>
      <w:bookmarkStart w:id="1019" w:name="_Toc256002129"/>
      <w:bookmarkStart w:id="1020" w:name="_Toc256000313"/>
      <w:bookmarkStart w:id="1021" w:name="_Toc256001221"/>
      <w:bookmarkStart w:id="1022" w:name="_Toc256000767"/>
      <w:bookmarkStart w:id="1023" w:name="_Toc27608"/>
      <w:bookmarkStart w:id="1024" w:name="_Toc256000994"/>
      <w:bookmarkStart w:id="1025" w:name="_Toc101704626"/>
      <w:bookmarkStart w:id="1026" w:name="_Toc351203577"/>
      <w:bookmarkStart w:id="1027" w:name="_Toc256000540"/>
      <w:bookmarkStart w:id="1028" w:name="_Toc25930301"/>
      <w:bookmarkStart w:id="1029" w:name="_Toc256001902"/>
      <w:bookmarkStart w:id="1030" w:name="_Toc256002583"/>
      <w:bookmarkStart w:id="1031" w:name="_Toc256003037"/>
      <w:r>
        <w:rPr>
          <w:rFonts w:hint="eastAsia" w:ascii="宋体" w:hAnsi="宋体" w:eastAsia="宋体" w:cs="宋体"/>
          <w:color w:val="000000"/>
          <w:kern w:val="2"/>
          <w:sz w:val="24"/>
          <w:szCs w:val="24"/>
          <w:lang w:val="en-US" w:eastAsia="zh-CN" w:bidi="ar-SA"/>
        </w:rPr>
        <w:t>11. 价格调整</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209643F8">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32" w:name="_Toc351203578"/>
      <w:bookmarkStart w:id="1033" w:name="_Toc337558797"/>
      <w:bookmarkStart w:id="1034" w:name="_Toc296346593"/>
      <w:bookmarkStart w:id="1035" w:name="_Toc296503092"/>
      <w:r>
        <w:rPr>
          <w:rFonts w:hint="eastAsia" w:ascii="宋体" w:hAnsi="宋体" w:eastAsia="宋体" w:cs="宋体"/>
          <w:color w:val="000000"/>
          <w:kern w:val="2"/>
          <w:sz w:val="24"/>
          <w:szCs w:val="24"/>
          <w:lang w:val="en-US" w:eastAsia="zh-CN" w:bidi="ar-SA"/>
        </w:rPr>
        <w:t>11.1市场价格波动引起的调整</w:t>
      </w:r>
      <w:bookmarkEnd w:id="1032"/>
    </w:p>
    <w:bookmarkEnd w:id="1033"/>
    <w:bookmarkEnd w:id="1034"/>
    <w:bookmarkEnd w:id="1035"/>
    <w:p w14:paraId="0E67919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除专用合同条款另有约定外，市场价格波动超过合同当事人约定的范围，合同价格应当调整。合同当事人可以在专用合同条款中约定选择以下一种方式对合同价格进行调整：</w:t>
      </w:r>
    </w:p>
    <w:p w14:paraId="5F21777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第1种方式：采用价格指数进行价格调整。</w:t>
      </w:r>
    </w:p>
    <w:p w14:paraId="22967E3F">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（1）价格调整公式</w:t>
      </w:r>
    </w:p>
    <w:p w14:paraId="49819BD1">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因人工、材料和设备等价格波动影响合同价格时，根据专用合同条款中约定的数据，按以下公式计算差额并调整合同价格：</w:t>
      </w:r>
    </w:p>
    <w:p w14:paraId="22BAC40F">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object>
          <v:shape id="_x0000_i1025" o:spt="75" type="#_x0000_t75" style="height:21.75pt;width:186.7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p>
    <w:p w14:paraId="05BBE24F">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公式中：ΔP——需调整的价格差额；</w:t>
      </w:r>
    </w:p>
    <w:p w14:paraId="5F22F862">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object>
          <v:shape id="_x0000_i1026" o:spt="75" type="#_x0000_t75" style="height:14.25pt;width:14.25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宋体" w:eastAsia="宋体" w:cs="宋体"/>
          <w:color w:val="000000"/>
          <w:kern w:val="2"/>
          <w:sz w:val="24"/>
          <w:szCs w:val="24"/>
          <w:lang w:val="en-US" w:eastAsia="zh-CN" w:bidi="ar-SA"/>
        </w:rPr>
        <w:t>——约定的付款证书中承包人应得到的已完成工程量的金额。此项金额应不包括价格调整、不计质量保证金的扣留和支付、预付款的支付和扣回。约定的变更及其他金额已按现行价格计价的，也不计在内；</w:t>
      </w:r>
    </w:p>
    <w:p w14:paraId="5458500F">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A——定值权重（即不调部分的权重）；</w:t>
      </w:r>
    </w:p>
    <w:p w14:paraId="2277A0A9">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object>
          <v:shape id="_x0000_i1027" o:spt="75" type="#_x0000_t75" style="height:21.75pt;width:100.45pt;" o:ole="t" filled="f" o:preferrelative="t" stroked="f" coordsize="21600,21600">
            <v:path/>
            <v:fill on="f" focussize="0,0"/>
            <v:stroke on="f"/>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eastAsia="宋体" w:cs="宋体"/>
          <w:color w:val="000000"/>
          <w:kern w:val="2"/>
          <w:sz w:val="24"/>
          <w:szCs w:val="24"/>
          <w:lang w:val="en-US" w:eastAsia="zh-CN" w:bidi="ar-SA"/>
        </w:rPr>
        <w:t>——各可调因子的变值权重（即可调部分的权重），为各可调因子在签约合同价中所占的比例；</w:t>
      </w:r>
    </w:p>
    <w:p w14:paraId="3B9B5F75">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object>
          <v:shape id="_x0000_i1028" o:spt="75" type="#_x0000_t75" style="height:21.75pt;width:100.5pt;" o:ole="t" filled="f" o:preferrelative="t" stroked="f" coordsize="21600,21600">
            <v:path/>
            <v:fill on="f" focussize="0,0"/>
            <v:stroke on="f"/>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eastAsia="宋体" w:cs="宋体"/>
          <w:color w:val="000000"/>
          <w:kern w:val="2"/>
          <w:sz w:val="24"/>
          <w:szCs w:val="24"/>
          <w:lang w:val="en-US" w:eastAsia="zh-CN" w:bidi="ar-SA"/>
        </w:rPr>
        <w:t>——各可调因子的现行价格指数，指约定的付款证书相关周期最后一天的前42天的各可调因子的价格指数；</w:t>
      </w:r>
    </w:p>
    <w:p w14:paraId="6DAF0CE1">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object>
          <v:shape id="_x0000_i1029" o:spt="75" type="#_x0000_t75" style="height:21.75pt;width:108.75pt;" o:ole="t" filled="f" o:preferrelative="t" stroked="f" coordsize="21600,21600">
            <v:path/>
            <v:fill on="f" focussize="0,0"/>
            <v:stroke on="f"/>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eastAsia="宋体" w:cs="宋体"/>
          <w:color w:val="000000"/>
          <w:kern w:val="2"/>
          <w:sz w:val="24"/>
          <w:szCs w:val="24"/>
          <w:lang w:val="en-US" w:eastAsia="zh-CN" w:bidi="ar-SA"/>
        </w:rPr>
        <w:t>——各可调因子的基本价格指数，指基准日期的各可调因子的价格指数。</w:t>
      </w:r>
    </w:p>
    <w:p w14:paraId="61EF383E">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34FF3AC">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（2）暂时确定调整差额</w:t>
      </w:r>
    </w:p>
    <w:p w14:paraId="118B24BD">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在计算调整差额时无现行价格指数的，合同当事人同意暂用前次价格指数计算。实际价格指数有调整的，合同当事人进行相应调整。</w:t>
      </w:r>
    </w:p>
    <w:p w14:paraId="38776F61">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（3）权重的调整</w:t>
      </w:r>
    </w:p>
    <w:p w14:paraId="7174EAC9">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因变更导致合同约定的权重不合理时，按照第4.4款〔商定或确定〕执行。</w:t>
      </w:r>
    </w:p>
    <w:p w14:paraId="6AAA3697">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（4）因承包人原因工期延误后的价格调整</w:t>
      </w:r>
    </w:p>
    <w:p w14:paraId="721CF0F7">
      <w:pPr>
        <w:widowControl w:val="0"/>
        <w:tabs>
          <w:tab w:val="left" w:pos="0"/>
          <w:tab w:val="left" w:pos="360"/>
          <w:tab w:val="left" w:pos="540"/>
        </w:tabs>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因承包人原因未按期竣工的，对合同约定的竣工日期后继续施工的工程，在使用价格调整公式时，应采用计划竣工日期与实际竣工日期的两个价格指数中较低的一个作为现行价格指数。</w:t>
      </w:r>
    </w:p>
    <w:p w14:paraId="5959EC7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第2种方式：采用造价信息进行价格调整。</w:t>
      </w:r>
    </w:p>
    <w:p w14:paraId="473AD76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0CE8FE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6186A4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（2）材料、工程设备价格变化的价款调整按照发包人提供的基准价格，按以下风险范围规定执行：</w:t>
      </w:r>
    </w:p>
    <w:p w14:paraId="5C1C16E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4119F4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A0F790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③承包人在已标价工程量清单或预算书中载明材料单价等于基准价格的：除专用合同条款另有约定外，合同履行期间材料单价涨跌幅以基准价格为基础超过±5%时，其超过部分据实调整。</w:t>
      </w:r>
    </w:p>
    <w:p w14:paraId="23E9B03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32EFA8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前述基准价格是指由发包人在招标文件或专用合同条款中给定的材料、工程设备的价格，该价格原则上应当按照省级或行业建设主管部门或其授权的工程造价管理机构发布的信息价编制。</w:t>
      </w:r>
    </w:p>
    <w:p w14:paraId="47BF19E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（3）施工机械台班单价或施工机械使用费发生变化超过省级或行业建设主管部门或其授权的工程造价管理机构规定的范围时，按规定调整合同价格。</w:t>
      </w:r>
    </w:p>
    <w:p w14:paraId="4FD22BD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第3种方式：专用合同条款约定的其他方式。</w:t>
      </w:r>
    </w:p>
    <w:p w14:paraId="0EDCE942">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36" w:name="_Toc351203579"/>
      <w:bookmarkStart w:id="1037" w:name="_Toc337558798"/>
      <w:bookmarkStart w:id="1038" w:name="_Toc296503093"/>
      <w:bookmarkStart w:id="1039" w:name="_Toc296346594"/>
      <w:r>
        <w:rPr>
          <w:rFonts w:hint="eastAsia" w:ascii="宋体" w:hAnsi="宋体" w:eastAsia="宋体" w:cs="宋体"/>
          <w:color w:val="000000"/>
          <w:kern w:val="2"/>
          <w:sz w:val="24"/>
          <w:szCs w:val="24"/>
          <w:lang w:val="en-US" w:eastAsia="zh-CN" w:bidi="ar-SA"/>
        </w:rPr>
        <w:t>11.2法律变化引起的调整</w:t>
      </w:r>
      <w:bookmarkEnd w:id="1036"/>
    </w:p>
    <w:bookmarkEnd w:id="1037"/>
    <w:bookmarkEnd w:id="1038"/>
    <w:bookmarkEnd w:id="1039"/>
    <w:p w14:paraId="53956A8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F93ACB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因法律变化引起的合同价格和工期调整，合同当事人无法达成一致的，由总监理工程师按第4.4款〔商定或确定〕的约定处理。</w:t>
      </w:r>
    </w:p>
    <w:p w14:paraId="67D0228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因承包人原因造成工期延误，在工期延误期间出现法律变化的，由此增加的费用和（或）延误的工期由承包人承担。</w:t>
      </w:r>
    </w:p>
    <w:p w14:paraId="2D56BF6A">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040" w:name="_Toc256003265"/>
      <w:bookmarkStart w:id="1041" w:name="_Toc256003038"/>
      <w:bookmarkStart w:id="1042" w:name="_Toc256001676"/>
      <w:bookmarkStart w:id="1043" w:name="_Toc256002357"/>
      <w:bookmarkStart w:id="1044" w:name="_Toc256002811"/>
      <w:bookmarkStart w:id="1045" w:name="_Toc256002130"/>
      <w:bookmarkStart w:id="1046" w:name="_Toc256000995"/>
      <w:bookmarkStart w:id="1047" w:name="_Toc256002584"/>
      <w:bookmarkStart w:id="1048" w:name="_Toc256000768"/>
      <w:bookmarkStart w:id="1049" w:name="_Toc8570"/>
      <w:bookmarkStart w:id="1050" w:name="_Toc256003492"/>
      <w:bookmarkStart w:id="1051" w:name="_Toc256000541"/>
      <w:bookmarkStart w:id="1052" w:name="_Toc256001903"/>
      <w:bookmarkStart w:id="1053" w:name="_Toc256003946"/>
      <w:bookmarkStart w:id="1054" w:name="_Toc256000314"/>
      <w:bookmarkStart w:id="1055" w:name="_Toc256000087"/>
      <w:bookmarkStart w:id="1056" w:name="_Toc8116"/>
      <w:bookmarkStart w:id="1057" w:name="_Toc101704627"/>
      <w:bookmarkStart w:id="1058" w:name="_Toc256001222"/>
      <w:bookmarkStart w:id="1059" w:name="_Toc351203580"/>
      <w:bookmarkStart w:id="1060" w:name="_Toc101795220"/>
      <w:bookmarkStart w:id="1061" w:name="_Toc103259101"/>
      <w:bookmarkStart w:id="1062" w:name="_Toc102120277"/>
      <w:bookmarkStart w:id="1063" w:name="_Toc256001449"/>
      <w:bookmarkStart w:id="1064" w:name="_Toc39153747"/>
      <w:bookmarkStart w:id="1065" w:name="_Toc25930302"/>
      <w:bookmarkStart w:id="1066" w:name="_Toc3773"/>
      <w:bookmarkStart w:id="1067" w:name="_Toc256003719"/>
      <w:bookmarkStart w:id="1068" w:name="_Toc337558799"/>
      <w:bookmarkStart w:id="1069" w:name="_Toc296503096"/>
      <w:bookmarkStart w:id="1070" w:name="_Toc296346597"/>
      <w:r>
        <w:rPr>
          <w:rFonts w:hint="eastAsia" w:ascii="宋体" w:hAnsi="宋体" w:eastAsia="宋体" w:cs="宋体"/>
          <w:color w:val="000000"/>
          <w:kern w:val="2"/>
          <w:sz w:val="24"/>
          <w:szCs w:val="24"/>
          <w:lang w:val="en-US" w:eastAsia="zh-CN" w:bidi="ar-SA"/>
        </w:rPr>
        <w:t>12. 合同价格、计量与支付</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bookmarkEnd w:id="1068"/>
    <w:p w14:paraId="4FE302C7">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71" w:name="_Toc351203581"/>
      <w:bookmarkStart w:id="1072" w:name="_Toc337558800"/>
      <w:r>
        <w:rPr>
          <w:rFonts w:hint="eastAsia" w:ascii="宋体" w:hAnsi="宋体" w:eastAsia="宋体" w:cs="宋体"/>
          <w:color w:val="000000"/>
          <w:kern w:val="2"/>
          <w:sz w:val="24"/>
          <w:szCs w:val="24"/>
          <w:lang w:val="en-US" w:eastAsia="zh-CN" w:bidi="ar-SA"/>
        </w:rPr>
        <w:t>12.1 合同价</w:t>
      </w:r>
      <w:bookmarkEnd w:id="1069"/>
      <w:bookmarkEnd w:id="1070"/>
      <w:r>
        <w:rPr>
          <w:rFonts w:hint="eastAsia" w:ascii="宋体" w:hAnsi="宋体" w:eastAsia="宋体" w:cs="宋体"/>
          <w:color w:val="000000"/>
          <w:kern w:val="2"/>
          <w:sz w:val="24"/>
          <w:szCs w:val="24"/>
          <w:lang w:val="en-US" w:eastAsia="zh-CN" w:bidi="ar-SA"/>
        </w:rPr>
        <w:t>格形式</w:t>
      </w:r>
      <w:bookmarkEnd w:id="1071"/>
    </w:p>
    <w:bookmarkEnd w:id="1072"/>
    <w:p w14:paraId="290E1F7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发包人和承包人应在合同协议书中选择下列一种合同价格形式： </w:t>
      </w:r>
    </w:p>
    <w:p w14:paraId="4D90B28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1.单价合同</w:t>
      </w:r>
    </w:p>
    <w:p w14:paraId="798CF5D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528648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2.总价合同</w:t>
      </w:r>
    </w:p>
    <w:p w14:paraId="139838E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AFEE3D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3.其它价格形式</w:t>
      </w:r>
    </w:p>
    <w:p w14:paraId="6F4137D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合同当事人可在专用合同条款中约定其他合同价格形式。</w:t>
      </w:r>
    </w:p>
    <w:p w14:paraId="7FFCBE94">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73" w:name="_Toc296346598"/>
      <w:bookmarkStart w:id="1074" w:name="_Toc296503097"/>
      <w:bookmarkStart w:id="1075" w:name="_Toc351203582"/>
      <w:bookmarkStart w:id="1076" w:name="_Toc337558801"/>
      <w:r>
        <w:rPr>
          <w:rFonts w:hint="eastAsia" w:ascii="宋体" w:hAnsi="宋体" w:eastAsia="宋体" w:cs="宋体"/>
          <w:color w:val="000000"/>
          <w:kern w:val="2"/>
          <w:sz w:val="24"/>
          <w:szCs w:val="24"/>
          <w:lang w:val="en-US" w:eastAsia="zh-CN" w:bidi="ar-SA"/>
        </w:rPr>
        <w:t>12.2预</w:t>
      </w:r>
      <w:bookmarkEnd w:id="1073"/>
      <w:bookmarkEnd w:id="1074"/>
      <w:bookmarkStart w:id="1077" w:name="_Toc296503100"/>
      <w:bookmarkStart w:id="1078" w:name="_Toc296346601"/>
      <w:r>
        <w:rPr>
          <w:rFonts w:hint="eastAsia" w:ascii="宋体" w:hAnsi="宋体" w:eastAsia="宋体" w:cs="宋体"/>
          <w:color w:val="000000"/>
          <w:kern w:val="2"/>
          <w:sz w:val="24"/>
          <w:szCs w:val="24"/>
          <w:lang w:val="en-US" w:eastAsia="zh-CN" w:bidi="ar-SA"/>
        </w:rPr>
        <w:t>付款</w:t>
      </w:r>
      <w:bookmarkEnd w:id="1075"/>
    </w:p>
    <w:bookmarkEnd w:id="1076"/>
    <w:bookmarkEnd w:id="1077"/>
    <w:bookmarkEnd w:id="1078"/>
    <w:p w14:paraId="0150274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12.2.1预付款的支付</w:t>
      </w:r>
    </w:p>
    <w:p w14:paraId="24FEF2C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预付款的支付按照专用合同条款约定执行，但至迟应在开工通知载明的开工日期7天前支付。预付款应当用于材料、工程设备、施工设备的采购及修建临时工程、组织施工队伍进场等。</w:t>
      </w:r>
    </w:p>
    <w:p w14:paraId="68A1D96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除专用合同条款另有约定外，预付款在进度付款中同比例扣回。在颁发工程接收证书前，提前解除合同的，尚未扣完的预付款应与合同价款一并结算。</w:t>
      </w:r>
    </w:p>
    <w:p w14:paraId="3EDD023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发包人逾期支付预付款超过7天的，承包人有权向发包人发出要求预付的催告通知，发包人收到通知后7天内仍未支付的，承包人有权暂停施工，并按第16.1.1项〔发包人违约的情形〕执行。</w:t>
      </w:r>
    </w:p>
    <w:p w14:paraId="0C06F9F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12.2.2 预付款担保</w:t>
      </w:r>
    </w:p>
    <w:p w14:paraId="0612336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11A5C0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发包人在工程款中逐期扣回预付款后，预付款担保额度应相应减少，但剩余的预付款担保金额不得低于未被扣回的预付款金额。</w:t>
      </w:r>
    </w:p>
    <w:p w14:paraId="5A345BC9">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79" w:name="_Toc351203583"/>
      <w:bookmarkStart w:id="1080" w:name="_Toc337558802"/>
      <w:r>
        <w:rPr>
          <w:rFonts w:hint="eastAsia" w:ascii="宋体" w:hAnsi="宋体" w:eastAsia="宋体" w:cs="宋体"/>
          <w:color w:val="000000"/>
          <w:kern w:val="2"/>
          <w:sz w:val="24"/>
          <w:szCs w:val="24"/>
          <w:lang w:val="en-US" w:eastAsia="zh-CN" w:bidi="ar-SA"/>
        </w:rPr>
        <w:t>12.3计量</w:t>
      </w:r>
      <w:bookmarkEnd w:id="1079"/>
    </w:p>
    <w:bookmarkEnd w:id="1080"/>
    <w:p w14:paraId="0F8EFEC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12.3.1 计量原则</w:t>
      </w:r>
    </w:p>
    <w:p w14:paraId="58CF1CC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工程量计量按照合同约定的工程量计算规则、图纸及变更指示等进行计量。工程量计算规则应以相关的国家标准、行业标准等为依据，由合同当事人在专用合同条款中约定。</w:t>
      </w:r>
    </w:p>
    <w:p w14:paraId="7BC53C1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12.3.2 计量周期</w:t>
      </w:r>
    </w:p>
    <w:p w14:paraId="7BFC0B0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除专用合同条款另有约定外，工程量的计量按月进行。</w:t>
      </w:r>
    </w:p>
    <w:p w14:paraId="17CFA87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12.3.3 单价合同的计量</w:t>
      </w:r>
    </w:p>
    <w:p w14:paraId="160A0C8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除专用合同条款另有约定外，单价合同的计量按照本项约定执行：</w:t>
      </w:r>
    </w:p>
    <w:p w14:paraId="4BE1385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（1）承包人应于每月25日向监理人报送上月20日至当月19日已完成的工程量报告，并附具进度付款申请单、已完成工程量报表和有关资料。</w:t>
      </w:r>
    </w:p>
    <w:p w14:paraId="476AF2C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08E1B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（3）监理人未在收到承包人提交的工程量报表后的7天内完成审核的，承包人报送的工程量报告中的工程量视为承包人实际完成的工程量，据此计算工程价款。</w:t>
      </w:r>
    </w:p>
    <w:p w14:paraId="42D278F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12.3.4 总价合同的计量</w:t>
      </w:r>
    </w:p>
    <w:p w14:paraId="2BD9ED6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除专用合同条款另有约定外，按月计量支付的总价合同，按照本项约定执行：</w:t>
      </w:r>
    </w:p>
    <w:p w14:paraId="73C7923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（1）承包人应于每月25日向监理人报送上月20日至当月19日已完成的工程量报告，并附具进度付款申请单、已完成工程量报表和有关资料。</w:t>
      </w:r>
    </w:p>
    <w:p w14:paraId="5773E65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D7ABB7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（3）监理人未在收到承包人提交的工程量报表后的7天内完成复核的，承包人提交的工程量报告中的工程量视为承包人实际完成的工程量。</w:t>
      </w:r>
    </w:p>
    <w:p w14:paraId="46C5591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12.3.5 总价合同采用支付分解表计量支付的，可以按照第12.3.4项〔总价合同的计量〕约定进行计量，但合同价款按照支付分解表进行支付。</w:t>
      </w:r>
    </w:p>
    <w:p w14:paraId="318A23A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12.3.6 其他价格形式合同的计量</w:t>
      </w:r>
    </w:p>
    <w:p w14:paraId="0613AD3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合同当事人可在专用合同条款中约定其他价格形式合同的计量方式和程序。</w:t>
      </w:r>
    </w:p>
    <w:p w14:paraId="11BB1F04">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81" w:name="_Toc296346602"/>
      <w:bookmarkStart w:id="1082" w:name="_Toc296503101"/>
      <w:bookmarkStart w:id="1083" w:name="_Toc351203584"/>
      <w:bookmarkStart w:id="1084" w:name="_Toc337558803"/>
      <w:r>
        <w:rPr>
          <w:rFonts w:hint="eastAsia" w:ascii="宋体" w:hAnsi="宋体" w:eastAsia="宋体" w:cs="宋体"/>
          <w:color w:val="000000"/>
          <w:kern w:val="2"/>
          <w:sz w:val="24"/>
          <w:szCs w:val="24"/>
          <w:lang w:val="en-US" w:eastAsia="zh-CN" w:bidi="ar-SA"/>
        </w:rPr>
        <w:t>12.4工程进度款支</w:t>
      </w:r>
      <w:bookmarkEnd w:id="1081"/>
      <w:bookmarkEnd w:id="1082"/>
      <w:r>
        <w:rPr>
          <w:rFonts w:hint="eastAsia" w:ascii="宋体" w:hAnsi="宋体" w:eastAsia="宋体" w:cs="宋体"/>
          <w:color w:val="000000"/>
          <w:kern w:val="2"/>
          <w:sz w:val="24"/>
          <w:szCs w:val="24"/>
          <w:lang w:val="en-US" w:eastAsia="zh-CN" w:bidi="ar-SA"/>
        </w:rPr>
        <w:t>付</w:t>
      </w:r>
      <w:bookmarkEnd w:id="1083"/>
    </w:p>
    <w:bookmarkEnd w:id="1084"/>
    <w:p w14:paraId="370BC4E2">
      <w:pPr>
        <w:keepNext/>
        <w:keepLines/>
        <w:widowControl w:val="0"/>
        <w:spacing w:line="400" w:lineRule="exact"/>
        <w:ind w:firstLine="480" w:firstLineChars="200"/>
        <w:jc w:val="both"/>
        <w:outlineLvl w:val="4"/>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12.4.1 付款周期</w:t>
      </w:r>
    </w:p>
    <w:p w14:paraId="62E19C4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除专用合同条款另有约定外，付款周期应按照第12.3.2项〔计量周期〕的约定与计量周期保持一致。</w:t>
      </w:r>
    </w:p>
    <w:p w14:paraId="40D9BB3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12.4.2 进度付款申请单的编制</w:t>
      </w:r>
    </w:p>
    <w:p w14:paraId="4E0151A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除专用合同条款另有约定外，进度付款申请单应包括下列内容：</w:t>
      </w:r>
    </w:p>
    <w:p w14:paraId="76C6F10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（1）截至本次付款周期已完成工作对应的金额；</w:t>
      </w:r>
    </w:p>
    <w:p w14:paraId="023BB04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（2）根据第10条〔变更〕应增加和扣减的变更金额；</w:t>
      </w:r>
    </w:p>
    <w:p w14:paraId="691FCFA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（3）根据第12.2款〔预付款〕约定应支付的预付款和扣减的返还预付款；</w:t>
      </w:r>
    </w:p>
    <w:p w14:paraId="74593EE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（4）根据第15.3款〔质量保证金〕约定应扣减的质量保证金；</w:t>
      </w:r>
    </w:p>
    <w:p w14:paraId="1C3BB59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（5）根据第19条〔索赔〕应增加和扣减的索赔金额；</w:t>
      </w:r>
    </w:p>
    <w:p w14:paraId="2E8ECE9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（6）对已签发的进度款支付证书中出现错误的修正，应在本次进度付款中支付或扣除的金额；</w:t>
      </w:r>
    </w:p>
    <w:p w14:paraId="560B74F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（7）根据合同约定应增加和扣减的其他金额。</w:t>
      </w:r>
    </w:p>
    <w:p w14:paraId="6F2612FE">
      <w:pPr>
        <w:keepNext/>
        <w:keepLines/>
        <w:widowControl w:val="0"/>
        <w:spacing w:line="400" w:lineRule="exact"/>
        <w:ind w:firstLine="480" w:firstLineChars="200"/>
        <w:jc w:val="both"/>
        <w:outlineLvl w:val="4"/>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12.4.3 进度付款申请单的提交</w:t>
      </w:r>
    </w:p>
    <w:p w14:paraId="09C18AB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（1）单价合同进度付款申请单的提交</w:t>
      </w:r>
    </w:p>
    <w:p w14:paraId="65373D8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3B829E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（2）总价合同进度付款申请单的提交</w:t>
      </w:r>
    </w:p>
    <w:p w14:paraId="56314DF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总价合同按月计量支付的，承包人按照第12.3.4项〔总价合同的计量〕约定的时间按月向监理人提交进度付款申请单，并附上已完成工程量报表和有关资料。</w:t>
      </w:r>
    </w:p>
    <w:p w14:paraId="1C97DFD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总价合同按支付分解表支付的，承包人应按照第12.4.6项〔支付分解表〕及第12.4.2项〔进度付款申请单的编制〕的约定向监理人提交进度付款申请单。</w:t>
      </w:r>
    </w:p>
    <w:p w14:paraId="4AFA5BC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（3）其他价格形式合同的进度付款申请单的提交</w:t>
      </w:r>
    </w:p>
    <w:p w14:paraId="783A813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合同当事人可在专用合同条款中约定其他价格形式合同的进度付款申请单的编制和提交程序。</w:t>
      </w:r>
    </w:p>
    <w:p w14:paraId="6A6A5FB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12.4.4 进度款审核和支付</w:t>
      </w:r>
    </w:p>
    <w:p w14:paraId="1EEC8C0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64CF94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058314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（2）除专用合同条款另有约定外，发包人应在进度款支付证书或临时进度款支付证书签发后14天内完成支付，发包人逾期支付进度款的，应按照中国人民银行发布的同期同类贷款基准利率支付违约金。</w:t>
      </w:r>
    </w:p>
    <w:p w14:paraId="6C2F7F3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（3）发包人签发进度款支付证书或临时进度款支付证书，不表明发包人已同意、批准或接受了承包人完成的相应部分的工作。</w:t>
      </w:r>
    </w:p>
    <w:p w14:paraId="093244F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12.4.5 进度付款的修正</w:t>
      </w:r>
    </w:p>
    <w:p w14:paraId="1A275FC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在对已签发的进度款支付证书进行阶段汇总和复核中发现错误、遗漏或重复的，发包人和承包人均有权提出修正申请。经发包人和承包人同意的修正，应在下期进度付款中支付或扣除。</w:t>
      </w:r>
    </w:p>
    <w:p w14:paraId="5484EE0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12.4.6 支付分解表</w:t>
      </w:r>
    </w:p>
    <w:p w14:paraId="35753F4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1.支付分解表的编制要求</w:t>
      </w:r>
    </w:p>
    <w:p w14:paraId="52355B8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（1）支付分解表中所列的每期付款金额，应为第12.4.2项〔进度付款申请单的编制〕第（1）目的估算金额；</w:t>
      </w:r>
    </w:p>
    <w:p w14:paraId="4CA8E62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（2）实际进度与施工进度计划不一致的，合同当事人可按照第4.4款〔商定或确定〕修改支付分解表；</w:t>
      </w:r>
    </w:p>
    <w:p w14:paraId="45D4246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（3）不采用支付分解表的，承包人应向发包人和监理人提交按季度编制的支付估算分解表，用于支付参考。</w:t>
      </w:r>
    </w:p>
    <w:p w14:paraId="740DFB1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2.总价合同支付分解表的编制与审批</w:t>
      </w:r>
    </w:p>
    <w:p w14:paraId="7C79263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3CC23A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（2）监理人应在收到支付分解表后7天内完成审核并报送发包人。发包人应在收到经监理人审核的支付分解表后7天内完成审批，经发包人批准的支付分解表为有约束力的支付分解表。</w:t>
      </w:r>
    </w:p>
    <w:p w14:paraId="53637F6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（3）发包人逾期未完成支付分解表审批的，也未及时要求承包人进行修正和提供补充资料的，则承包人提交的支付分解表视为已经获得发包人批准。</w:t>
      </w:r>
    </w:p>
    <w:p w14:paraId="6A35408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3.单价合同的总价项目支付分解表的编制与审批</w:t>
      </w:r>
    </w:p>
    <w:p w14:paraId="44F4734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D383160">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085" w:name="_Toc351203585"/>
      <w:r>
        <w:rPr>
          <w:rFonts w:hint="eastAsia" w:ascii="宋体" w:hAnsi="宋体" w:eastAsia="宋体" w:cs="宋体"/>
          <w:color w:val="000000"/>
          <w:kern w:val="2"/>
          <w:sz w:val="24"/>
          <w:szCs w:val="24"/>
          <w:lang w:val="en-US" w:eastAsia="zh-CN" w:bidi="ar-SA"/>
        </w:rPr>
        <w:t>12.5支付账户</w:t>
      </w:r>
      <w:bookmarkEnd w:id="1085"/>
    </w:p>
    <w:p w14:paraId="53130AA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发包人应将合同价款支付至合同协议书中约定的承包人账户。</w:t>
      </w:r>
    </w:p>
    <w:p w14:paraId="0F93F0D7">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086" w:name="_Toc256003266"/>
      <w:bookmarkStart w:id="1087" w:name="_Toc256000542"/>
      <w:bookmarkStart w:id="1088" w:name="_Toc256000088"/>
      <w:bookmarkStart w:id="1089" w:name="_Toc256002812"/>
      <w:bookmarkStart w:id="1090" w:name="_Toc103259102"/>
      <w:bookmarkStart w:id="1091" w:name="_Toc256003947"/>
      <w:bookmarkStart w:id="1092" w:name="_Toc351203586"/>
      <w:bookmarkStart w:id="1093" w:name="_Toc256002358"/>
      <w:bookmarkStart w:id="1094" w:name="_Toc25930303"/>
      <w:bookmarkStart w:id="1095" w:name="_Toc256000769"/>
      <w:bookmarkStart w:id="1096" w:name="_Toc256000315"/>
      <w:bookmarkStart w:id="1097" w:name="_Toc101704628"/>
      <w:bookmarkStart w:id="1098" w:name="_Toc256002131"/>
      <w:bookmarkStart w:id="1099" w:name="_Toc25665"/>
      <w:bookmarkStart w:id="1100" w:name="_Toc256001223"/>
      <w:bookmarkStart w:id="1101" w:name="_Toc256001677"/>
      <w:bookmarkStart w:id="1102" w:name="_Toc256003493"/>
      <w:bookmarkStart w:id="1103" w:name="_Toc256001450"/>
      <w:bookmarkStart w:id="1104" w:name="_Toc256000996"/>
      <w:bookmarkStart w:id="1105" w:name="_Toc256003720"/>
      <w:bookmarkStart w:id="1106" w:name="_Toc39153748"/>
      <w:bookmarkStart w:id="1107" w:name="_Toc256002585"/>
      <w:bookmarkStart w:id="1108" w:name="_Toc101795221"/>
      <w:bookmarkStart w:id="1109" w:name="_Toc256001904"/>
      <w:bookmarkStart w:id="1110" w:name="_Toc102120278"/>
      <w:bookmarkStart w:id="1111" w:name="_Toc6407"/>
      <w:bookmarkStart w:id="1112" w:name="_Toc256003039"/>
      <w:bookmarkStart w:id="1113" w:name="_Toc22508"/>
      <w:bookmarkStart w:id="1114" w:name="_Toc322522574"/>
      <w:bookmarkStart w:id="1115" w:name="_Toc296503106"/>
      <w:bookmarkStart w:id="1116" w:name="_Toc296346607"/>
      <w:bookmarkStart w:id="1117" w:name="_Toc337558804"/>
      <w:r>
        <w:rPr>
          <w:rFonts w:hint="eastAsia" w:ascii="宋体" w:hAnsi="宋体" w:eastAsia="宋体" w:cs="宋体"/>
          <w:color w:val="000000"/>
          <w:kern w:val="2"/>
          <w:sz w:val="24"/>
          <w:szCs w:val="24"/>
          <w:lang w:val="en-US" w:eastAsia="zh-CN" w:bidi="ar-SA"/>
        </w:rPr>
        <w:t>13. 验收和工程试车</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bookmarkEnd w:id="1114"/>
    <w:bookmarkEnd w:id="1115"/>
    <w:bookmarkEnd w:id="1116"/>
    <w:bookmarkEnd w:id="1117"/>
    <w:p w14:paraId="1FD94562">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18" w:name="_Toc351203587"/>
      <w:bookmarkStart w:id="1119" w:name="_Toc337558805"/>
      <w:bookmarkStart w:id="1120" w:name="_Toc296346611"/>
      <w:bookmarkStart w:id="1121" w:name="_Toc296503110"/>
      <w:r>
        <w:rPr>
          <w:rFonts w:hint="eastAsia" w:ascii="宋体" w:hAnsi="宋体" w:eastAsia="宋体" w:cs="宋体"/>
          <w:color w:val="000000"/>
          <w:kern w:val="2"/>
          <w:sz w:val="24"/>
          <w:szCs w:val="24"/>
          <w:lang w:val="en-US" w:eastAsia="zh-CN" w:bidi="ar-SA"/>
        </w:rPr>
        <w:t>13.1分部分项工程验收</w:t>
      </w:r>
      <w:bookmarkEnd w:id="1118"/>
    </w:p>
    <w:bookmarkEnd w:id="1119"/>
    <w:p w14:paraId="3C3F429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13.1.1 分部分项工程质量应符合国家有关工程施工验收规范、标准及合同约定，承包人应按照施工组织设计的要求完成分部分项工程施工。</w:t>
      </w:r>
    </w:p>
    <w:p w14:paraId="7BC61CB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98BCA5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分部分项工程的验收资料应当作为竣工资料的组成部分。</w:t>
      </w:r>
    </w:p>
    <w:p w14:paraId="6513A68C">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22" w:name="_Toc351203588"/>
      <w:bookmarkStart w:id="1123" w:name="_Toc337558806"/>
      <w:r>
        <w:rPr>
          <w:rFonts w:hint="eastAsia" w:ascii="宋体" w:hAnsi="宋体" w:eastAsia="宋体" w:cs="宋体"/>
          <w:color w:val="000000"/>
          <w:kern w:val="2"/>
          <w:sz w:val="24"/>
          <w:szCs w:val="24"/>
          <w:lang w:val="en-US" w:eastAsia="zh-CN" w:bidi="ar-SA"/>
        </w:rPr>
        <w:t>13.2竣工验收</w:t>
      </w:r>
      <w:bookmarkEnd w:id="1122"/>
    </w:p>
    <w:bookmarkEnd w:id="1120"/>
    <w:bookmarkEnd w:id="1121"/>
    <w:bookmarkEnd w:id="1123"/>
    <w:p w14:paraId="3A1BC93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13.2.1竣工验收条件</w:t>
      </w:r>
    </w:p>
    <w:p w14:paraId="2682AA7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工程具备以下条件的，承包人可以申请竣工验收：</w:t>
      </w:r>
    </w:p>
    <w:p w14:paraId="046302B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（1）除发包人同意的甩项工作和缺陷修补工作外，合同范围内的全部工程以及有关工作，包括合同要求的试验、试运行以及检验均已完成，并符合合同要求；</w:t>
      </w:r>
    </w:p>
    <w:p w14:paraId="050D31D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（2）已按合同约定编制了甩项工作和缺陷修补工作清单以及相应的施工计划；</w:t>
      </w:r>
    </w:p>
    <w:p w14:paraId="70A5BC8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（3）已按合同约定的内容和份数备齐竣工资料。</w:t>
      </w:r>
    </w:p>
    <w:p w14:paraId="02C75F5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13.2.2竣工验收程序</w:t>
      </w:r>
    </w:p>
    <w:p w14:paraId="4C8008E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除专用合同条款另有约定外，承包人申请竣工验收的，应当按照以下程序进行：</w:t>
      </w:r>
    </w:p>
    <w:p w14:paraId="52EE0C5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E977E2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9E8BD0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（3）竣工验收合格的，发包人应在验收合格后14天内向承包人签发工程接收证书。发包人无正当理由逾期不颁发工程接收证书的，自验收合格后第15天起视为已颁发工程接收证书。</w:t>
      </w:r>
    </w:p>
    <w:p w14:paraId="337709B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E16883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DC12A4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除专用合同条款另有约定外，发包人不按照本项约定组织竣工验收、颁发工程接收证书的，每逾期一天，应以签约合同价为基数，按照中国人民银行发布的同期同类贷款基准利率支付违约金。</w:t>
      </w:r>
    </w:p>
    <w:p w14:paraId="36B270D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13.2.3竣工日期</w:t>
      </w:r>
    </w:p>
    <w:p w14:paraId="738E644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2EE4D4A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13.2.4 拒绝接收全部或部分工程</w:t>
      </w:r>
    </w:p>
    <w:p w14:paraId="005FBAB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2ABE20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13.2.5 移交、接收全部与部分工程</w:t>
      </w:r>
    </w:p>
    <w:p w14:paraId="4027F0C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除专用合同条款另有约定外，合同当事人应当在颁发工程接收证书后7天内完成工程的移交。</w:t>
      </w:r>
    </w:p>
    <w:p w14:paraId="695811A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发包人无正当理由不接收工程的，发包人自应当接收工程之日起，承担工程照管、成品保护、保管等与工程有关的各项费用，合同当事人可以在专用合同条款中另行约定发包人逾期接收工程的违约责任。</w:t>
      </w:r>
    </w:p>
    <w:p w14:paraId="7E1C8DA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承包人无正当理由不移交工程的，承包人应承担工程照管、成品保护、保管等与工程有关的各项费用，合同当事人可以在专用合同条款中另行约定承包人无正当理由不移交工程的违约责任。</w:t>
      </w:r>
    </w:p>
    <w:p w14:paraId="59246FE1">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24" w:name="_Toc351203589"/>
      <w:bookmarkStart w:id="1125" w:name="_Toc296346612"/>
      <w:bookmarkStart w:id="1126" w:name="_Toc296503111"/>
      <w:bookmarkStart w:id="1127" w:name="_Toc337558807"/>
      <w:r>
        <w:rPr>
          <w:rFonts w:hint="eastAsia" w:ascii="宋体" w:hAnsi="宋体" w:eastAsia="宋体" w:cs="宋体"/>
          <w:color w:val="000000"/>
          <w:kern w:val="2"/>
          <w:sz w:val="24"/>
          <w:szCs w:val="24"/>
          <w:lang w:val="en-US" w:eastAsia="zh-CN" w:bidi="ar-SA"/>
        </w:rPr>
        <w:t>13.3工程试车</w:t>
      </w:r>
      <w:bookmarkEnd w:id="1124"/>
    </w:p>
    <w:bookmarkEnd w:id="1125"/>
    <w:bookmarkEnd w:id="1126"/>
    <w:bookmarkEnd w:id="1127"/>
    <w:p w14:paraId="1D82C1E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13.3.1试车程序</w:t>
      </w:r>
    </w:p>
    <w:p w14:paraId="192209F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工程需要试车的，除专用合同条款另有约定外，试车内容应与承包人承包范围相一致，试车费用由承包人承担。工程试车应按如下程序进行：</w:t>
      </w:r>
    </w:p>
    <w:p w14:paraId="5B7C957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F710E6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8005B1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4B92FC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13.3.2 试车中的责任</w:t>
      </w:r>
    </w:p>
    <w:p w14:paraId="0D7661F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B7FE1C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AE2B8D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13.3.3 投料试车</w:t>
      </w:r>
    </w:p>
    <w:p w14:paraId="1B3A4D0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如需进行投料试车的，发包人应在工程竣工验收后组织投料试车。发包人要求在工程竣工验收前进行或需要承包人配合时，应征得承包人同意，并在专用合同条款中约定有关事项。</w:t>
      </w:r>
    </w:p>
    <w:p w14:paraId="7DBF3B2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088AC6E">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28" w:name="_Toc351203590"/>
      <w:bookmarkStart w:id="1129" w:name="_Toc337558808"/>
      <w:r>
        <w:rPr>
          <w:rFonts w:hint="eastAsia" w:ascii="宋体" w:hAnsi="宋体" w:eastAsia="宋体" w:cs="宋体"/>
          <w:color w:val="000000"/>
          <w:kern w:val="2"/>
          <w:sz w:val="24"/>
          <w:szCs w:val="24"/>
          <w:lang w:val="en-US" w:eastAsia="zh-CN" w:bidi="ar-SA"/>
        </w:rPr>
        <w:t>13.4提前交付单位工程的验收</w:t>
      </w:r>
      <w:bookmarkEnd w:id="1128"/>
    </w:p>
    <w:bookmarkEnd w:id="1129"/>
    <w:p w14:paraId="655C5E4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13.4.1 发包人需要在工程竣工前使用单位工程的，或承包人提出提前交付已经竣工的单位工程且经发包人同意的，可进行单位工程验收，验收的程序按照第13.2款〔竣工验收〕的约定进行。</w:t>
      </w:r>
    </w:p>
    <w:p w14:paraId="320760F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验收合格后，由监理人向承包人出具经发包人签认的单位工程接收证书。已签发单位工程接收证书的单位工程由发包人负责照管。单位工程的验收成果和结论作为整体工程竣工验收申请报告的附件。</w:t>
      </w:r>
    </w:p>
    <w:p w14:paraId="6931EA5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13.4.2 发包人要求在工程竣工前交付单位工程，由此导致承包人费用增加和（或）工期延误的，由发包人承担由此增加的费用和（或）延误的工期，并支付承包人合理的利润。</w:t>
      </w:r>
    </w:p>
    <w:p w14:paraId="5B665CA5">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30" w:name="_Toc351203591"/>
      <w:r>
        <w:rPr>
          <w:rFonts w:hint="eastAsia" w:ascii="宋体" w:hAnsi="宋体" w:eastAsia="宋体" w:cs="宋体"/>
          <w:color w:val="000000"/>
          <w:kern w:val="2"/>
          <w:sz w:val="24"/>
          <w:szCs w:val="24"/>
          <w:lang w:val="en-US" w:eastAsia="zh-CN" w:bidi="ar-SA"/>
        </w:rPr>
        <w:t>13.5 施工期运行</w:t>
      </w:r>
      <w:bookmarkEnd w:id="1130"/>
    </w:p>
    <w:p w14:paraId="0184DBE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7D5724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13.5.2 在施工期运行中发现工程或工程设备损坏或存在缺陷的，由承包人按第15.2款〔缺陷责任期〕约定进行修复。</w:t>
      </w:r>
    </w:p>
    <w:p w14:paraId="5FB4852F">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31" w:name="_Toc296346613"/>
      <w:bookmarkStart w:id="1132" w:name="_Toc296503112"/>
      <w:bookmarkStart w:id="1133" w:name="_Toc351203592"/>
      <w:bookmarkStart w:id="1134" w:name="_Toc337558809"/>
      <w:r>
        <w:rPr>
          <w:rFonts w:hint="eastAsia" w:ascii="宋体" w:hAnsi="宋体" w:eastAsia="宋体" w:cs="宋体"/>
          <w:color w:val="000000"/>
          <w:kern w:val="2"/>
          <w:sz w:val="24"/>
          <w:szCs w:val="24"/>
          <w:lang w:val="en-US" w:eastAsia="zh-CN" w:bidi="ar-SA"/>
        </w:rPr>
        <w:t>13.6 竣工退</w:t>
      </w:r>
      <w:bookmarkEnd w:id="1131"/>
      <w:bookmarkEnd w:id="1132"/>
      <w:r>
        <w:rPr>
          <w:rFonts w:hint="eastAsia" w:ascii="宋体" w:hAnsi="宋体" w:eastAsia="宋体" w:cs="宋体"/>
          <w:color w:val="000000"/>
          <w:kern w:val="2"/>
          <w:sz w:val="24"/>
          <w:szCs w:val="24"/>
          <w:lang w:val="en-US" w:eastAsia="zh-CN" w:bidi="ar-SA"/>
        </w:rPr>
        <w:t>场</w:t>
      </w:r>
      <w:bookmarkEnd w:id="1133"/>
    </w:p>
    <w:bookmarkEnd w:id="1134"/>
    <w:p w14:paraId="0D3E296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13.6.1 竣工退场</w:t>
      </w:r>
    </w:p>
    <w:p w14:paraId="492B29C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颁发工程接收证书后，承包人应按以下要求对施工现场进行清理：</w:t>
      </w:r>
    </w:p>
    <w:p w14:paraId="0276FE1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（1）施工现场内残留的垃圾已全部清除出场；</w:t>
      </w:r>
    </w:p>
    <w:p w14:paraId="06A364C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（2）临时工程已拆除，场地已进行清理、平整或复原；</w:t>
      </w:r>
    </w:p>
    <w:p w14:paraId="4334A77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（3）按合同约定应撤离的人员、承包人施工设备和剩余的材料，包括废弃的施工设备和材料，已按计划撤离施工现场；</w:t>
      </w:r>
    </w:p>
    <w:p w14:paraId="103D1ED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（4）施工现场周边及其附近道路、河道的施工堆积物，已全部清理；</w:t>
      </w:r>
    </w:p>
    <w:p w14:paraId="15E19A1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（5）施工现场其他场地清理工作已全部完成。</w:t>
      </w:r>
    </w:p>
    <w:p w14:paraId="4CC38CA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15A375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13.6.2 地表还原</w:t>
      </w:r>
    </w:p>
    <w:p w14:paraId="32CA85C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承包人应按发包人要求恢复临时占地及清理场地，承包人未按发包人的要求恢复临时占地，或者场地清理未达到合同约定要求的，发包人有权委托其他人恢复或清理，所发生的费用由承包人承担。</w:t>
      </w:r>
    </w:p>
    <w:p w14:paraId="4B3DC751">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135" w:name="_Toc101704629"/>
      <w:bookmarkStart w:id="1136" w:name="_Toc102120279"/>
      <w:bookmarkStart w:id="1137" w:name="_Toc256000543"/>
      <w:bookmarkStart w:id="1138" w:name="_Toc256002586"/>
      <w:bookmarkStart w:id="1139" w:name="_Toc256002813"/>
      <w:bookmarkStart w:id="1140" w:name="_Toc256001451"/>
      <w:bookmarkStart w:id="1141" w:name="_Toc256000997"/>
      <w:bookmarkStart w:id="1142" w:name="_Toc256000316"/>
      <w:bookmarkStart w:id="1143" w:name="_Toc256003721"/>
      <w:bookmarkStart w:id="1144" w:name="_Toc103259103"/>
      <w:bookmarkStart w:id="1145" w:name="_Toc256003494"/>
      <w:bookmarkStart w:id="1146" w:name="_Toc351203593"/>
      <w:bookmarkStart w:id="1147" w:name="_Toc14426"/>
      <w:bookmarkStart w:id="1148" w:name="_Toc256002359"/>
      <w:bookmarkStart w:id="1149" w:name="_Toc256001224"/>
      <w:bookmarkStart w:id="1150" w:name="_Toc4074"/>
      <w:bookmarkStart w:id="1151" w:name="_Toc256003948"/>
      <w:bookmarkStart w:id="1152" w:name="_Toc256003040"/>
      <w:bookmarkStart w:id="1153" w:name="_Toc256001678"/>
      <w:bookmarkStart w:id="1154" w:name="_Toc11423"/>
      <w:bookmarkStart w:id="1155" w:name="_Toc39153749"/>
      <w:bookmarkStart w:id="1156" w:name="_Toc256002132"/>
      <w:bookmarkStart w:id="1157" w:name="_Toc256000089"/>
      <w:bookmarkStart w:id="1158" w:name="_Toc256000770"/>
      <w:bookmarkStart w:id="1159" w:name="_Toc101795222"/>
      <w:bookmarkStart w:id="1160" w:name="_Toc25930304"/>
      <w:bookmarkStart w:id="1161" w:name="_Toc256003267"/>
      <w:bookmarkStart w:id="1162" w:name="_Toc256001905"/>
      <w:bookmarkStart w:id="1163" w:name="_Toc337558810"/>
      <w:bookmarkStart w:id="1164" w:name="_Toc296346614"/>
      <w:bookmarkStart w:id="1165" w:name="_Toc296503113"/>
      <w:r>
        <w:rPr>
          <w:rFonts w:hint="eastAsia" w:ascii="宋体" w:hAnsi="宋体" w:eastAsia="宋体" w:cs="宋体"/>
          <w:color w:val="000000"/>
          <w:kern w:val="2"/>
          <w:sz w:val="24"/>
          <w:szCs w:val="24"/>
          <w:lang w:val="en-US" w:eastAsia="zh-CN" w:bidi="ar-SA"/>
        </w:rPr>
        <w:t>14. 竣工结算</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bookmarkEnd w:id="1163"/>
    <w:p w14:paraId="2F95AB2D">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66" w:name="_Toc351203594"/>
      <w:bookmarkStart w:id="1167" w:name="_Toc337558811"/>
      <w:r>
        <w:rPr>
          <w:rFonts w:hint="eastAsia" w:ascii="宋体" w:hAnsi="宋体" w:eastAsia="宋体" w:cs="宋体"/>
          <w:color w:val="000000"/>
          <w:kern w:val="2"/>
          <w:sz w:val="24"/>
          <w:szCs w:val="24"/>
          <w:lang w:val="en-US" w:eastAsia="zh-CN" w:bidi="ar-SA"/>
        </w:rPr>
        <w:t>14.1 竣工结算申请</w:t>
      </w:r>
      <w:bookmarkEnd w:id="1166"/>
    </w:p>
    <w:bookmarkEnd w:id="1167"/>
    <w:p w14:paraId="477264B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5007A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除专用合同条款另有约定外，竣工结算申请单应包括以下内容：</w:t>
      </w:r>
    </w:p>
    <w:p w14:paraId="733120B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（1）竣工结算合同价格；</w:t>
      </w:r>
    </w:p>
    <w:p w14:paraId="4B9A4F8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（2）发包人已支付承包人的款项；</w:t>
      </w:r>
    </w:p>
    <w:p w14:paraId="302DC9F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（3）应扣留的质量保证金。已缴纳履约保证金的或提供其他工程质量担保方式的除外； </w:t>
      </w:r>
    </w:p>
    <w:p w14:paraId="58F920E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（4）发包人应支付承包人的合同价款。</w:t>
      </w:r>
    </w:p>
    <w:p w14:paraId="2FBD8D97">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68" w:name="_Toc351203595"/>
      <w:bookmarkStart w:id="1169" w:name="_Toc337558812"/>
      <w:r>
        <w:rPr>
          <w:rFonts w:hint="eastAsia" w:ascii="宋体" w:hAnsi="宋体" w:eastAsia="宋体" w:cs="宋体"/>
          <w:color w:val="000000"/>
          <w:kern w:val="2"/>
          <w:sz w:val="24"/>
          <w:szCs w:val="24"/>
          <w:lang w:val="en-US" w:eastAsia="zh-CN" w:bidi="ar-SA"/>
        </w:rPr>
        <w:t>14.2 竣工结算审核</w:t>
      </w:r>
      <w:bookmarkEnd w:id="1168"/>
    </w:p>
    <w:bookmarkEnd w:id="1169"/>
    <w:p w14:paraId="6CDE1C3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11F5D9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8D120B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4155D2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E50325F">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70" w:name="_Toc351203596"/>
      <w:bookmarkStart w:id="1171" w:name="_Toc337558813"/>
      <w:r>
        <w:rPr>
          <w:rFonts w:hint="eastAsia" w:ascii="宋体" w:hAnsi="宋体" w:eastAsia="宋体" w:cs="宋体"/>
          <w:color w:val="000000"/>
          <w:kern w:val="2"/>
          <w:sz w:val="24"/>
          <w:szCs w:val="24"/>
          <w:lang w:val="en-US" w:eastAsia="zh-CN" w:bidi="ar-SA"/>
        </w:rPr>
        <w:t>14.3 甩项竣工协议</w:t>
      </w:r>
      <w:bookmarkEnd w:id="1170"/>
    </w:p>
    <w:bookmarkEnd w:id="1171"/>
    <w:p w14:paraId="5DB864A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要求甩项竣工的，合同当事人应签订甩项竣工协议。在甩项竣工协议中应明确，合同当事人按照第14.1款〔竣工结算申请〕及14.2款〔竣工结算审核〕的约定，对已完合格工程进行结算，并支付相应合同价款。</w:t>
      </w:r>
    </w:p>
    <w:p w14:paraId="4D2AEA62">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172" w:name="_Toc351203597"/>
      <w:bookmarkStart w:id="1173" w:name="_Toc337558814"/>
      <w:r>
        <w:rPr>
          <w:rFonts w:hint="eastAsia" w:ascii="宋体" w:hAnsi="宋体" w:eastAsia="宋体" w:cs="宋体"/>
          <w:color w:val="000000"/>
          <w:kern w:val="2"/>
          <w:sz w:val="24"/>
          <w:szCs w:val="24"/>
          <w:lang w:val="en-US" w:eastAsia="zh-CN" w:bidi="ar-SA"/>
        </w:rPr>
        <w:t>14.4 最终结清</w:t>
      </w:r>
      <w:bookmarkEnd w:id="1172"/>
    </w:p>
    <w:bookmarkEnd w:id="1173"/>
    <w:p w14:paraId="346BC17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14.4.1 最终结清申请单</w:t>
      </w:r>
    </w:p>
    <w:p w14:paraId="34004D8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（1）除专用合同条款另有约定外，承包人应在缺陷责任期终止证书颁发后7天内，按专用合同条款约定的份数向发包人提交最终结清申请单，并提供相关证明材料。</w:t>
      </w:r>
    </w:p>
    <w:p w14:paraId="78E4987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除专用合同条款另有约定外，最终结清申请单应列明质量保证金、应扣除的质量保证金、缺陷责任期内发生的增减费用。</w:t>
      </w:r>
    </w:p>
    <w:p w14:paraId="5365163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（2）发包人对最终结清申请单内容有异议的，有权要求承包人进行修正和提供补充资料，承包人应向发包人提交修正后的最终结清申请单。</w:t>
      </w:r>
    </w:p>
    <w:p w14:paraId="478A0C1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14.4.2 最终结清证书和支付</w:t>
      </w:r>
    </w:p>
    <w:p w14:paraId="5BCA334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AFC464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BDB5D6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（3）承包人对发包人颁发的最终结清证书有异议的，按第20条〔争议解决〕的约定办理。</w:t>
      </w:r>
    </w:p>
    <w:p w14:paraId="44AF5488">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174" w:name="_Toc256000771"/>
      <w:bookmarkStart w:id="1175" w:name="_Toc256003268"/>
      <w:bookmarkStart w:id="1176" w:name="_Toc256003949"/>
      <w:bookmarkStart w:id="1177" w:name="_Toc256003722"/>
      <w:bookmarkStart w:id="1178" w:name="_Toc20594"/>
      <w:bookmarkStart w:id="1179" w:name="_Toc256003495"/>
      <w:bookmarkStart w:id="1180" w:name="_Toc103259104"/>
      <w:bookmarkStart w:id="1181" w:name="_Toc256001225"/>
      <w:bookmarkStart w:id="1182" w:name="_Toc256002814"/>
      <w:bookmarkStart w:id="1183" w:name="_Toc39153750"/>
      <w:bookmarkStart w:id="1184" w:name="_Toc256001906"/>
      <w:bookmarkStart w:id="1185" w:name="_Toc101704630"/>
      <w:bookmarkStart w:id="1186" w:name="_Toc25930305"/>
      <w:bookmarkStart w:id="1187" w:name="_Toc6420"/>
      <w:bookmarkStart w:id="1188" w:name="_Toc256002360"/>
      <w:bookmarkStart w:id="1189" w:name="_Toc101795223"/>
      <w:bookmarkStart w:id="1190" w:name="_Toc256000544"/>
      <w:bookmarkStart w:id="1191" w:name="_Toc256002133"/>
      <w:bookmarkStart w:id="1192" w:name="_Toc256000998"/>
      <w:bookmarkStart w:id="1193" w:name="_Toc102120280"/>
      <w:bookmarkStart w:id="1194" w:name="_Toc256003041"/>
      <w:bookmarkStart w:id="1195" w:name="_Toc256000317"/>
      <w:bookmarkStart w:id="1196" w:name="_Toc17211"/>
      <w:bookmarkStart w:id="1197" w:name="_Toc256000090"/>
      <w:bookmarkStart w:id="1198" w:name="_Toc256002587"/>
      <w:bookmarkStart w:id="1199" w:name="_Toc256001679"/>
      <w:bookmarkStart w:id="1200" w:name="_Toc256001452"/>
      <w:bookmarkStart w:id="1201" w:name="_Toc351203598"/>
      <w:bookmarkStart w:id="1202" w:name="_Toc337558815"/>
      <w:r>
        <w:rPr>
          <w:rFonts w:hint="eastAsia" w:ascii="宋体" w:hAnsi="宋体" w:eastAsia="宋体" w:cs="宋体"/>
          <w:color w:val="000000"/>
          <w:kern w:val="2"/>
          <w:sz w:val="24"/>
          <w:szCs w:val="24"/>
          <w:lang w:val="en-US" w:eastAsia="zh-CN" w:bidi="ar-SA"/>
        </w:rPr>
        <w:t>15. 缺陷责任与保修</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bookmarkEnd w:id="1164"/>
    <w:bookmarkEnd w:id="1165"/>
    <w:bookmarkEnd w:id="1202"/>
    <w:p w14:paraId="240A8F2D">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03" w:name="_Toc351203599"/>
      <w:bookmarkStart w:id="1204" w:name="_Toc337558816"/>
      <w:bookmarkStart w:id="1205" w:name="_Toc296346615"/>
      <w:bookmarkStart w:id="1206" w:name="_Toc296503114"/>
      <w:r>
        <w:rPr>
          <w:rFonts w:hint="eastAsia" w:ascii="宋体" w:hAnsi="宋体" w:eastAsia="宋体" w:cs="宋体"/>
          <w:color w:val="000000"/>
          <w:kern w:val="2"/>
          <w:sz w:val="24"/>
          <w:szCs w:val="24"/>
          <w:lang w:val="en-US" w:eastAsia="zh-CN" w:bidi="ar-SA"/>
        </w:rPr>
        <w:t>15.1 工程保修的原则</w:t>
      </w:r>
      <w:bookmarkEnd w:id="1203"/>
    </w:p>
    <w:bookmarkEnd w:id="1204"/>
    <w:p w14:paraId="33738F6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在工程移交发包人后，因承包人原因产生的质量缺陷，承包人应承担质量缺陷责任和保修义务。缺陷责任期届满，承包人仍应按合同约定的工程各部位保修年限承担保修义务。</w:t>
      </w:r>
    </w:p>
    <w:p w14:paraId="18A38A65">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07" w:name="_Toc351203600"/>
      <w:bookmarkStart w:id="1208" w:name="_Toc337558817"/>
      <w:r>
        <w:rPr>
          <w:rFonts w:hint="eastAsia" w:ascii="宋体" w:hAnsi="宋体" w:eastAsia="宋体" w:cs="宋体"/>
          <w:color w:val="000000"/>
          <w:kern w:val="2"/>
          <w:sz w:val="24"/>
          <w:szCs w:val="24"/>
          <w:lang w:val="en-US" w:eastAsia="zh-CN" w:bidi="ar-SA"/>
        </w:rPr>
        <w:t>15.2 缺陷责任期</w:t>
      </w:r>
      <w:bookmarkEnd w:id="1205"/>
      <w:bookmarkEnd w:id="1206"/>
      <w:bookmarkEnd w:id="1207"/>
    </w:p>
    <w:bookmarkEnd w:id="1208"/>
    <w:p w14:paraId="3C8B510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15.2.1 缺陷责任期从工程通过竣工验收之日起计算，合同当事人应在专用合同条款约定缺陷责任期的具体期限，但该期限最长不超过24个月。</w:t>
      </w:r>
    </w:p>
    <w:p w14:paraId="3469F4F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FBBF91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38F12D0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由他人原因造成的缺陷，发包人负责组织维修，承包人不承担费用，且发包人不得从保证金中扣除费用。</w:t>
      </w:r>
    </w:p>
    <w:p w14:paraId="0CA46BF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15.2.3 任何一项缺陷或损坏修复后，经检查证明其影响了工程或工程设备的使用性能，承包人应重新进行合同约定的试验和试运行，试验和试运行的全部费用应由责任方承担。</w:t>
      </w:r>
    </w:p>
    <w:p w14:paraId="1946D36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40297DD">
      <w:pPr>
        <w:keepNext/>
        <w:keepLines/>
        <w:widowControl w:val="0"/>
        <w:spacing w:line="400" w:lineRule="exact"/>
        <w:ind w:firstLine="480" w:firstLineChars="200"/>
        <w:jc w:val="left"/>
        <w:outlineLvl w:val="3"/>
        <w:rPr>
          <w:rFonts w:ascii="宋体" w:hAnsi="宋体" w:eastAsia="宋体" w:cs="宋体"/>
          <w:color w:val="000000"/>
          <w:kern w:val="2"/>
          <w:sz w:val="24"/>
          <w:szCs w:val="24"/>
          <w:lang w:val="en-US" w:eastAsia="zh-CN" w:bidi="ar-SA"/>
        </w:rPr>
      </w:pPr>
      <w:bookmarkStart w:id="1209" w:name="_Toc351203601"/>
      <w:bookmarkStart w:id="1210" w:name="_Toc337558818"/>
      <w:bookmarkStart w:id="1211" w:name="_Toc296346616"/>
      <w:bookmarkStart w:id="1212" w:name="_Toc296503115"/>
      <w:r>
        <w:rPr>
          <w:rFonts w:hint="eastAsia" w:ascii="宋体" w:hAnsi="宋体" w:eastAsia="宋体" w:cs="宋体"/>
          <w:color w:val="000000"/>
          <w:kern w:val="2"/>
          <w:sz w:val="24"/>
          <w:szCs w:val="24"/>
          <w:lang w:val="en-US" w:eastAsia="zh-CN" w:bidi="ar-SA"/>
        </w:rPr>
        <w:t>15.3 质量保证金</w:t>
      </w:r>
      <w:bookmarkEnd w:id="1209"/>
    </w:p>
    <w:bookmarkEnd w:id="1210"/>
    <w:p w14:paraId="0AEF145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经合同当事人协商一致扣留质量保证金的，应在专用合同条款中予以明确。</w:t>
      </w:r>
    </w:p>
    <w:p w14:paraId="542A8ED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在工程项目竣工前，承包人已经提供履约担保的，发包人不得同时预留工程质量保证金。</w:t>
      </w:r>
    </w:p>
    <w:p w14:paraId="19B6FF1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15.3.1 承包人提供质量保证金的方式</w:t>
      </w:r>
    </w:p>
    <w:p w14:paraId="3FCE39B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承包人提供质量保证金有以下三种方式：</w:t>
      </w:r>
    </w:p>
    <w:p w14:paraId="170B45F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（1）质量保证金保函； </w:t>
      </w:r>
    </w:p>
    <w:p w14:paraId="747EAC6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（2）相应比例的工程款；</w:t>
      </w:r>
    </w:p>
    <w:p w14:paraId="3478249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（3）双方约定的其他方式。</w:t>
      </w:r>
    </w:p>
    <w:p w14:paraId="76B8C3C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除专用合同条款另有约定外，质量保证金原则上采用上述第（1）种方式。</w:t>
      </w:r>
    </w:p>
    <w:p w14:paraId="40E2089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15.3.2 质量保证金的扣留</w:t>
      </w:r>
    </w:p>
    <w:p w14:paraId="5CE5C17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质量保证金的扣留有以下三种方式：</w:t>
      </w:r>
    </w:p>
    <w:p w14:paraId="7B535B3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（1）在支付工程进度款时逐次扣留，在此情形下，质量保证金的计算基数不包括预付款的支付、扣回以及价格调整的金额；</w:t>
      </w:r>
    </w:p>
    <w:p w14:paraId="7061714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（2）工程竣工结算时一次性扣留质量保证金；</w:t>
      </w:r>
    </w:p>
    <w:p w14:paraId="55EA022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（3）双方约定的其他扣留方式。</w:t>
      </w:r>
    </w:p>
    <w:p w14:paraId="2EFCEDD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除专用合同条款另有约定外，质量保证金的扣留原则上采用上述第（1）种方式。</w:t>
      </w:r>
    </w:p>
    <w:p w14:paraId="05AC684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683CCB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发包人在退还质量保证金的同时按照中国人民银行发布的同期同类贷款基准利率支付利息。</w:t>
      </w:r>
    </w:p>
    <w:p w14:paraId="643FFB3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15.3.3 质量保证金的退还</w:t>
      </w:r>
    </w:p>
    <w:p w14:paraId="0BCC42E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缺陷责任期内，承包人认真履行合同约定的责任，到期后，承包人可向发包人申请返还保证金。</w:t>
      </w:r>
    </w:p>
    <w:p w14:paraId="6EE0BA0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845940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发包人和承包人对保证金预留、返还以及工程维修质量、费用有争议的，按本合同第20条约定的争议和纠纷解决程序处理。</w:t>
      </w:r>
    </w:p>
    <w:p w14:paraId="04C697A1">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13" w:name="_Toc351203602"/>
      <w:bookmarkStart w:id="1214" w:name="_Toc337558819"/>
      <w:r>
        <w:rPr>
          <w:rFonts w:hint="eastAsia" w:ascii="宋体" w:hAnsi="宋体" w:eastAsia="宋体" w:cs="宋体"/>
          <w:color w:val="000000"/>
          <w:kern w:val="2"/>
          <w:sz w:val="24"/>
          <w:szCs w:val="24"/>
          <w:lang w:val="en-US" w:eastAsia="zh-CN" w:bidi="ar-SA"/>
        </w:rPr>
        <w:t>15.4 保修</w:t>
      </w:r>
      <w:bookmarkEnd w:id="1213"/>
    </w:p>
    <w:bookmarkEnd w:id="1211"/>
    <w:bookmarkEnd w:id="1212"/>
    <w:bookmarkEnd w:id="1214"/>
    <w:p w14:paraId="49A9411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15.4.1保修责任</w:t>
      </w:r>
    </w:p>
    <w:p w14:paraId="609FE09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0F94BF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发包人未经竣工验收擅自使用工程的，保修期自转移占有之日起算。</w:t>
      </w:r>
    </w:p>
    <w:p w14:paraId="018DDD5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15.4.2 修复费用</w:t>
      </w:r>
    </w:p>
    <w:p w14:paraId="25FFAF4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保修期内，修复的费用按照以下约定处理：</w:t>
      </w:r>
    </w:p>
    <w:p w14:paraId="7B7EE7B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（1）保修期内，因承包人原因造成工程的缺陷、损坏，承包人应负责修复，并承担修复的费用以及因工程的缺陷、损坏造成的人身伤害和财产损失；</w:t>
      </w:r>
    </w:p>
    <w:p w14:paraId="346643C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（2）保修期内，因发包人使用不当造成工程的缺陷、损坏，可以委托承包人修复，但发包人应承担修复的费用，并支付承包人合理利润；</w:t>
      </w:r>
    </w:p>
    <w:p w14:paraId="4C0572D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（3）因其他原因造成工程的缺陷、损坏，可以委托承包人修复，发包人应承担修复的费用，并支付承包人合理的利润，因工程的缺陷、损坏造成的人身伤害和财产损失由责任方承担。</w:t>
      </w:r>
    </w:p>
    <w:p w14:paraId="5ACB162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15.4.3 修复通知</w:t>
      </w:r>
    </w:p>
    <w:p w14:paraId="3F4825E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484DFC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15.4.4 未能修复</w:t>
      </w:r>
    </w:p>
    <w:p w14:paraId="005B295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9885B5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15.4.5 承包人出入权</w:t>
      </w:r>
    </w:p>
    <w:p w14:paraId="251B7B4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9D3F0B2">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215" w:name="_Toc256003496"/>
      <w:bookmarkStart w:id="1216" w:name="_Toc103259105"/>
      <w:bookmarkStart w:id="1217" w:name="_Toc256000091"/>
      <w:bookmarkStart w:id="1218" w:name="_Toc256001226"/>
      <w:bookmarkStart w:id="1219" w:name="_Toc256003723"/>
      <w:bookmarkStart w:id="1220" w:name="_Toc256003269"/>
      <w:bookmarkStart w:id="1221" w:name="_Toc256002134"/>
      <w:bookmarkStart w:id="1222" w:name="_Toc256002588"/>
      <w:bookmarkStart w:id="1223" w:name="_Toc256001907"/>
      <w:bookmarkStart w:id="1224" w:name="_Toc256002815"/>
      <w:bookmarkStart w:id="1225" w:name="_Toc256000999"/>
      <w:bookmarkStart w:id="1226" w:name="_Toc101795224"/>
      <w:bookmarkStart w:id="1227" w:name="_Toc256002361"/>
      <w:bookmarkStart w:id="1228" w:name="_Toc5532"/>
      <w:bookmarkStart w:id="1229" w:name="_Toc19951"/>
      <w:bookmarkStart w:id="1230" w:name="_Toc25930306"/>
      <w:bookmarkStart w:id="1231" w:name="_Toc256000545"/>
      <w:bookmarkStart w:id="1232" w:name="_Toc102120281"/>
      <w:bookmarkStart w:id="1233" w:name="_Toc351203603"/>
      <w:bookmarkStart w:id="1234" w:name="_Toc256000772"/>
      <w:bookmarkStart w:id="1235" w:name="_Toc101704631"/>
      <w:bookmarkStart w:id="1236" w:name="_Toc256000318"/>
      <w:bookmarkStart w:id="1237" w:name="_Toc256003042"/>
      <w:bookmarkStart w:id="1238" w:name="_Toc39153751"/>
      <w:bookmarkStart w:id="1239" w:name="_Toc11307"/>
      <w:bookmarkStart w:id="1240" w:name="_Toc256001453"/>
      <w:bookmarkStart w:id="1241" w:name="_Toc256001680"/>
      <w:bookmarkStart w:id="1242" w:name="_Toc256003950"/>
      <w:bookmarkStart w:id="1243" w:name="_Toc337558820"/>
      <w:r>
        <w:rPr>
          <w:rFonts w:hint="eastAsia" w:ascii="宋体" w:hAnsi="宋体" w:eastAsia="宋体" w:cs="宋体"/>
          <w:color w:val="000000"/>
          <w:kern w:val="2"/>
          <w:sz w:val="24"/>
          <w:szCs w:val="24"/>
          <w:lang w:val="en-US" w:eastAsia="zh-CN" w:bidi="ar-SA"/>
        </w:rPr>
        <w:t>16. 违约</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bookmarkEnd w:id="1243"/>
    <w:p w14:paraId="54061F54">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44" w:name="_Toc296503129"/>
      <w:bookmarkStart w:id="1245" w:name="_Toc296346630"/>
      <w:bookmarkStart w:id="1246" w:name="_Toc351203604"/>
      <w:bookmarkStart w:id="1247" w:name="_Toc337558821"/>
      <w:r>
        <w:rPr>
          <w:rFonts w:hint="eastAsia" w:ascii="宋体" w:hAnsi="宋体" w:eastAsia="宋体" w:cs="宋体"/>
          <w:color w:val="000000"/>
          <w:kern w:val="2"/>
          <w:sz w:val="24"/>
          <w:szCs w:val="24"/>
          <w:lang w:val="en-US" w:eastAsia="zh-CN" w:bidi="ar-SA"/>
        </w:rPr>
        <w:t>16.1 发</w:t>
      </w:r>
      <w:bookmarkEnd w:id="1244"/>
      <w:bookmarkEnd w:id="1245"/>
      <w:r>
        <w:rPr>
          <w:rFonts w:hint="eastAsia" w:ascii="宋体" w:hAnsi="宋体" w:eastAsia="宋体" w:cs="宋体"/>
          <w:color w:val="000000"/>
          <w:kern w:val="2"/>
          <w:sz w:val="24"/>
          <w:szCs w:val="24"/>
          <w:lang w:val="en-US" w:eastAsia="zh-CN" w:bidi="ar-SA"/>
        </w:rPr>
        <w:t>包人违约</w:t>
      </w:r>
      <w:bookmarkEnd w:id="1246"/>
    </w:p>
    <w:bookmarkEnd w:id="1247"/>
    <w:p w14:paraId="47E00B8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16.1.1 发包人违约的情形</w:t>
      </w:r>
    </w:p>
    <w:p w14:paraId="4432475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在合同履行过程中发生的下列情形，属于发包人违约：</w:t>
      </w:r>
    </w:p>
    <w:p w14:paraId="4DBC4B8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（1）因发包人原因未能在计划开工日期前7天内下达开工通知的；</w:t>
      </w:r>
    </w:p>
    <w:p w14:paraId="0E429CD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（2）因发包人原因未能按合同约定支付合同价款的；</w:t>
      </w:r>
    </w:p>
    <w:p w14:paraId="7D67432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（3）发包人违反第10.1款〔变更的范围〕第（2）项约定，自行实施被取消的工作或转由他人实施的；</w:t>
      </w:r>
    </w:p>
    <w:p w14:paraId="3308BB0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（4）发包人提供的材料、工程设备的规格、数量或质量不符合合同约定，或因发包人原因导致交货日期延误或交货地点变更等情况的；</w:t>
      </w:r>
    </w:p>
    <w:p w14:paraId="34BA900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（5）因发包人违反合同约定造成暂停施工的；</w:t>
      </w:r>
    </w:p>
    <w:p w14:paraId="0624D17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（6）发包人无正当理由没有在约定期限内发出复工指示，导致承包人无法复工的；</w:t>
      </w:r>
    </w:p>
    <w:p w14:paraId="6C5C56D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（7）发包人明确表示或者以其行为表明不履行合同主要义务的；</w:t>
      </w:r>
    </w:p>
    <w:p w14:paraId="7A2E4B6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（8）发包人未能按照合同约定履行其他义务的。</w:t>
      </w:r>
    </w:p>
    <w:p w14:paraId="7714F1B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5637F2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16.1.2 发包人违约的责任</w:t>
      </w:r>
    </w:p>
    <w:p w14:paraId="34E2C24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发包人应承担因其违约给承包人增加的费用和（或）延误的工期，并支付承包人合理的利润。此外，合同当事人可在专用合同条款中另行约定发包人违约责任的承担方式和计算方法。</w:t>
      </w:r>
    </w:p>
    <w:p w14:paraId="7033BC0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16.1.3 因发包人违约解除合同</w:t>
      </w:r>
    </w:p>
    <w:p w14:paraId="29AC24A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24D9E4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16.1.4 因发包人违约解除合同后的付款</w:t>
      </w:r>
    </w:p>
    <w:p w14:paraId="1619FB0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承包人按照本款约定解除合同的，发包人应在解除合同后28天内支付下列款项，并解除履约担保：</w:t>
      </w:r>
    </w:p>
    <w:p w14:paraId="10E623C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（1）合同解除前所完成工作的价款；</w:t>
      </w:r>
    </w:p>
    <w:p w14:paraId="6A7F31C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（2）承包人为工程施工订购并已付款的材料、工程设备和其他物品的价款；</w:t>
      </w:r>
    </w:p>
    <w:p w14:paraId="78C4BB8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（3）承包人撤离施工现场以及遣散承包人人员的款项；</w:t>
      </w:r>
    </w:p>
    <w:p w14:paraId="6AE2E83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（4）按照合同约定在合同解除前应支付的违约金；</w:t>
      </w:r>
    </w:p>
    <w:p w14:paraId="58E4269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（5）按照合同约定应当支付给承包人的其他款项；</w:t>
      </w:r>
    </w:p>
    <w:p w14:paraId="57A7104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（6）按照合同约定应退还的质量保证金；</w:t>
      </w:r>
    </w:p>
    <w:p w14:paraId="02B7D0D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（7）因解除合同给承包人造成的损失。</w:t>
      </w:r>
    </w:p>
    <w:p w14:paraId="3C6208A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合同当事人未能就解除合同后的结清达成一致的，按照第20条〔争议解决〕的约定处理。</w:t>
      </w:r>
    </w:p>
    <w:p w14:paraId="1322CEA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承包人应妥善做好已完工程和与工程有关的已购材料、工程设备的保护和移交工作，并将施工设备和人员撤出施工现场，发包人应为承包人撤出提供必要条件。</w:t>
      </w:r>
    </w:p>
    <w:p w14:paraId="21CAA7D5">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48" w:name="_Toc351203605"/>
      <w:bookmarkStart w:id="1249" w:name="_Toc337558822"/>
      <w:bookmarkStart w:id="1250" w:name="_Toc296503131"/>
      <w:bookmarkStart w:id="1251" w:name="_Toc296346632"/>
      <w:r>
        <w:rPr>
          <w:rFonts w:hint="eastAsia" w:ascii="宋体" w:hAnsi="宋体" w:eastAsia="宋体" w:cs="宋体"/>
          <w:color w:val="000000"/>
          <w:kern w:val="2"/>
          <w:sz w:val="24"/>
          <w:szCs w:val="24"/>
          <w:lang w:val="en-US" w:eastAsia="zh-CN" w:bidi="ar-SA"/>
        </w:rPr>
        <w:t>16.2 承包人违约</w:t>
      </w:r>
      <w:bookmarkEnd w:id="1248"/>
    </w:p>
    <w:bookmarkEnd w:id="1249"/>
    <w:bookmarkEnd w:id="1250"/>
    <w:bookmarkEnd w:id="1251"/>
    <w:p w14:paraId="7B9CCB1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16.2.1 承包人违约的情形</w:t>
      </w:r>
    </w:p>
    <w:p w14:paraId="1B23B9D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在合同履行过程中发生的下列情形，属于承包人违约：</w:t>
      </w:r>
    </w:p>
    <w:p w14:paraId="5B850EA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（1）承包人违反合同约定进行转包或违法分包的；</w:t>
      </w:r>
    </w:p>
    <w:p w14:paraId="7945155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（2）承包人违反合同约定采购和使用不合格的材料和工程设备的；</w:t>
      </w:r>
    </w:p>
    <w:p w14:paraId="690D86A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（3）因承包人原因导致工程质量不符合合同要求的； </w:t>
      </w:r>
    </w:p>
    <w:p w14:paraId="34C68D6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（4）承包人违反第8.9款〔材料与设备专用要求〕的约定，未经批准，私自将已按照合同约定进入施工现场的材料或设备撤离施工现场的；</w:t>
      </w:r>
    </w:p>
    <w:p w14:paraId="473901B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（5）承包人未能按施工进度计划及时完成合同约定的工作，造成工期延误的；</w:t>
      </w:r>
    </w:p>
    <w:p w14:paraId="02494BB6">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（6）承包人在缺陷责任期及保修期内，未能在合理期限对工程缺陷进行修复，或拒绝按发包人要求进行修复的；</w:t>
      </w:r>
    </w:p>
    <w:p w14:paraId="390F7C5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（7）承包人明确表示或者以其行为表明不履行合同主要义务的；</w:t>
      </w:r>
    </w:p>
    <w:p w14:paraId="7A7E01B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（8）承包人未能按照合同约定履行其他义务的。</w:t>
      </w:r>
    </w:p>
    <w:p w14:paraId="1CEAE0B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承包人发生除本项第（7）目约定以外的其他违约情况时，监理人可向承包人发出整改通知，要求其在指定的期限内改正。</w:t>
      </w:r>
    </w:p>
    <w:p w14:paraId="200BB13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16.2.2 承包人违约的责任</w:t>
      </w:r>
    </w:p>
    <w:p w14:paraId="200A3E4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承包人应承担因其违约行为而增加的费用和（或）延误的工期。此外，合同当事人可在专用合同条款中另行约定承包人违约责任的承担方式和计算方法。</w:t>
      </w:r>
    </w:p>
    <w:p w14:paraId="2F6DA72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16.2.3 因承包人违约解除合同</w:t>
      </w:r>
    </w:p>
    <w:p w14:paraId="095D17B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C5FE2D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16.2.4因承包人违约解除合同后的处理</w:t>
      </w:r>
    </w:p>
    <w:p w14:paraId="140CF08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因承包人原因导致合同解除的，则合同当事人应在合同解除后28天内完成估价、付款和清算，并按以下约定执行：</w:t>
      </w:r>
    </w:p>
    <w:p w14:paraId="3EEC1C2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（1）合同解除后，按第4.4款〔商定或确定〕商定或确定承包人实际完成工作对应的合同价款，以及承包人已提供的材料、工程设备、施工设备和临时工程等的价值；</w:t>
      </w:r>
    </w:p>
    <w:p w14:paraId="6057389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（2）合同解除后，承包人应支付的违约金；</w:t>
      </w:r>
    </w:p>
    <w:p w14:paraId="7CD6ECC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（3）合同解除后，因解除合同给发包人造成的损失；</w:t>
      </w:r>
    </w:p>
    <w:p w14:paraId="7D4E844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（4）合同解除后，承包人应按照发包人要求和监理人的指示完成现场的清理和撤离；</w:t>
      </w:r>
    </w:p>
    <w:p w14:paraId="0A66814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（5）发包人和承包人应在合同解除后进行清算，出具最终结清付款证书，结清全部款项。</w:t>
      </w:r>
    </w:p>
    <w:p w14:paraId="5F2EB0B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因承包人违约解除合同的，发包人有权暂停对承包人的付款，查清各项付款和已扣款项。发包人和承包人未能就合同解除后的清算和款项支付达成一致的，按照第20条〔争议解决〕的约定处理。</w:t>
      </w:r>
    </w:p>
    <w:p w14:paraId="7E4353C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16.2.5采购合同权益转让</w:t>
      </w:r>
    </w:p>
    <w:p w14:paraId="10A53CC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29BF1E6">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52" w:name="_Toc351203606"/>
      <w:r>
        <w:rPr>
          <w:rFonts w:hint="eastAsia" w:ascii="宋体" w:hAnsi="宋体" w:eastAsia="宋体" w:cs="宋体"/>
          <w:color w:val="000000"/>
          <w:kern w:val="2"/>
          <w:sz w:val="24"/>
          <w:szCs w:val="24"/>
          <w:lang w:val="en-US" w:eastAsia="zh-CN" w:bidi="ar-SA"/>
        </w:rPr>
        <w:t>16.3 第三人造成的违约</w:t>
      </w:r>
      <w:bookmarkEnd w:id="1252"/>
    </w:p>
    <w:p w14:paraId="487FF9B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在履行合同过程中，一方当事人因第三人的原因造成违约的，应当向对方当事人承担违约责任。一方当事人和第三人之间的纠纷，依照法律规定或者按照约定解决。</w:t>
      </w:r>
    </w:p>
    <w:p w14:paraId="6721A662">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253" w:name="_Toc256003497"/>
      <w:bookmarkStart w:id="1254" w:name="_Toc256003951"/>
      <w:bookmarkStart w:id="1255" w:name="_Toc256001000"/>
      <w:bookmarkStart w:id="1256" w:name="_Toc256000546"/>
      <w:bookmarkStart w:id="1257" w:name="_Toc256001681"/>
      <w:bookmarkStart w:id="1258" w:name="_Toc256000773"/>
      <w:bookmarkStart w:id="1259" w:name="_Toc103259106"/>
      <w:bookmarkStart w:id="1260" w:name="_Toc337558823"/>
      <w:bookmarkStart w:id="1261" w:name="_Toc256001454"/>
      <w:bookmarkStart w:id="1262" w:name="_Toc256002362"/>
      <w:bookmarkStart w:id="1263" w:name="_Toc101704632"/>
      <w:bookmarkStart w:id="1264" w:name="_Toc256000319"/>
      <w:bookmarkStart w:id="1265" w:name="_Toc256003724"/>
      <w:bookmarkStart w:id="1266" w:name="_Toc256001227"/>
      <w:bookmarkStart w:id="1267" w:name="_Toc351203607"/>
      <w:bookmarkStart w:id="1268" w:name="_Toc256003270"/>
      <w:bookmarkStart w:id="1269" w:name="_Toc256002135"/>
      <w:bookmarkStart w:id="1270" w:name="_Toc256003043"/>
      <w:bookmarkStart w:id="1271" w:name="_Toc296346617"/>
      <w:bookmarkStart w:id="1272" w:name="_Toc39153752"/>
      <w:bookmarkStart w:id="1273" w:name="_Toc256002589"/>
      <w:bookmarkStart w:id="1274" w:name="_Toc102120282"/>
      <w:bookmarkStart w:id="1275" w:name="_Toc256002816"/>
      <w:bookmarkStart w:id="1276" w:name="_Toc256001908"/>
      <w:bookmarkStart w:id="1277" w:name="_Toc15196"/>
      <w:bookmarkStart w:id="1278" w:name="_Toc296503116"/>
      <w:bookmarkStart w:id="1279" w:name="_Toc256000092"/>
      <w:bookmarkStart w:id="1280" w:name="_Toc101795225"/>
      <w:bookmarkStart w:id="1281" w:name="_Toc25930307"/>
      <w:bookmarkStart w:id="1282" w:name="_Toc16113"/>
      <w:bookmarkStart w:id="1283" w:name="_Toc7920"/>
      <w:r>
        <w:rPr>
          <w:rFonts w:hint="eastAsia" w:ascii="宋体" w:hAnsi="宋体" w:eastAsia="宋体" w:cs="宋体"/>
          <w:color w:val="000000"/>
          <w:kern w:val="2"/>
          <w:sz w:val="24"/>
          <w:szCs w:val="24"/>
          <w:lang w:val="en-US" w:eastAsia="zh-CN" w:bidi="ar-SA"/>
        </w:rPr>
        <w:t>17. 不可抗力</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1E58F7A8">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84" w:name="_Toc351203608"/>
      <w:bookmarkStart w:id="1285" w:name="_Toc296346618"/>
      <w:bookmarkStart w:id="1286" w:name="_Toc296503117"/>
      <w:bookmarkStart w:id="1287" w:name="_Toc337558824"/>
      <w:r>
        <w:rPr>
          <w:rFonts w:hint="eastAsia" w:ascii="宋体" w:hAnsi="宋体" w:eastAsia="宋体" w:cs="宋体"/>
          <w:color w:val="000000"/>
          <w:kern w:val="2"/>
          <w:sz w:val="24"/>
          <w:szCs w:val="24"/>
          <w:lang w:val="en-US" w:eastAsia="zh-CN" w:bidi="ar-SA"/>
        </w:rPr>
        <w:t>17.1 不可抗力的确认</w:t>
      </w:r>
      <w:bookmarkEnd w:id="1284"/>
    </w:p>
    <w:bookmarkEnd w:id="1285"/>
    <w:bookmarkEnd w:id="1286"/>
    <w:bookmarkEnd w:id="1287"/>
    <w:p w14:paraId="051F676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不可抗力是指合同当事人在签订合同时不可预见，在合同履行过程中不可避免且不能克服的自然灾害和社会性突发事件，如地震、海啸、瘟疫、骚乱、戒严、暴动、战争和专用合同条款中约定的其他情形。</w:t>
      </w:r>
    </w:p>
    <w:p w14:paraId="0981565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B8A01B0">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88" w:name="_Toc351203609"/>
      <w:bookmarkStart w:id="1289" w:name="_Toc337558825"/>
      <w:bookmarkStart w:id="1290" w:name="_Toc296346619"/>
      <w:bookmarkStart w:id="1291" w:name="_Toc296503118"/>
      <w:r>
        <w:rPr>
          <w:rFonts w:hint="eastAsia" w:ascii="宋体" w:hAnsi="宋体" w:eastAsia="宋体" w:cs="宋体"/>
          <w:color w:val="000000"/>
          <w:kern w:val="2"/>
          <w:sz w:val="24"/>
          <w:szCs w:val="24"/>
          <w:lang w:val="en-US" w:eastAsia="zh-CN" w:bidi="ar-SA"/>
        </w:rPr>
        <w:t>17.2 不可抗力的通知</w:t>
      </w:r>
      <w:bookmarkEnd w:id="1288"/>
    </w:p>
    <w:bookmarkEnd w:id="1289"/>
    <w:bookmarkEnd w:id="1290"/>
    <w:bookmarkEnd w:id="1291"/>
    <w:p w14:paraId="66CF697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合同一方当事人遇到不可抗力事件，使其履行合同义务受到阻碍时，应立即通知合同另一方当事人和监理人，书面说明不可抗力和受阻碍的详细情况，并提供必要的证明。</w:t>
      </w:r>
    </w:p>
    <w:p w14:paraId="2190BA4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不可抗力持续发生的，合同一方当事人应及时向合同另一方当事人和监理人提交中间报告，说明不可抗力和履行合同受阻的情况，并于不可抗力事件结束后28天内提交最终报告及有关资料。</w:t>
      </w:r>
    </w:p>
    <w:p w14:paraId="5BA6A939">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92" w:name="_Toc351203610"/>
      <w:bookmarkStart w:id="1293" w:name="_Toc296503119"/>
      <w:bookmarkStart w:id="1294" w:name="_Toc337558826"/>
      <w:bookmarkStart w:id="1295" w:name="_Toc296346620"/>
      <w:r>
        <w:rPr>
          <w:rFonts w:hint="eastAsia" w:ascii="宋体" w:hAnsi="宋体" w:eastAsia="宋体" w:cs="宋体"/>
          <w:color w:val="000000"/>
          <w:kern w:val="2"/>
          <w:sz w:val="24"/>
          <w:szCs w:val="24"/>
          <w:lang w:val="en-US" w:eastAsia="zh-CN" w:bidi="ar-SA"/>
        </w:rPr>
        <w:t>17.3 不可抗力后果的承担</w:t>
      </w:r>
      <w:bookmarkEnd w:id="1292"/>
    </w:p>
    <w:bookmarkEnd w:id="1293"/>
    <w:bookmarkEnd w:id="1294"/>
    <w:bookmarkEnd w:id="1295"/>
    <w:p w14:paraId="3489947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17.3.1 不可抗力引起的后果及造成的损失由合同当事人按照法律规定及合同约定各自承担。不可抗力发生前已完成的工程应当按照合同约定进行计量支付。</w:t>
      </w:r>
    </w:p>
    <w:p w14:paraId="38D6E30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17.3.2 不可抗力导致的人员伤亡、财产损失、费用增加和（或）工期延误等后果，由合同当事人按以下原则承担：</w:t>
      </w:r>
    </w:p>
    <w:p w14:paraId="75E8CAE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（1）永久工程、已运至施工现场的材料和工程设备的损坏，以及因工程损坏造成的第三人人员伤亡和财产损失由发包人承担；</w:t>
      </w:r>
    </w:p>
    <w:p w14:paraId="208F6A6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（2）承包人施工设备的损坏由承包人承担；</w:t>
      </w:r>
    </w:p>
    <w:p w14:paraId="1404D31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（3）发包人和承包人承担各自人员伤亡和财产的损失；</w:t>
      </w:r>
    </w:p>
    <w:p w14:paraId="2B3AA96F">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3FEA70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（5）因不可抗力引起或将引起工期延误，发包人要求赶工的，由此增加的赶工费用由发包人承担；</w:t>
      </w:r>
    </w:p>
    <w:p w14:paraId="2FDFD76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（6）承包人在停工期间按照发包人要求照管、清理和修复工程的费用由发包人承担。</w:t>
      </w:r>
    </w:p>
    <w:p w14:paraId="1E48CC8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不可抗力发生后，合同当事人均应采取措施尽量避免和减少损失的扩大，任何一方当事人没有采取有效措施导致损失扩大的，应对扩大的损失承担责任。</w:t>
      </w:r>
    </w:p>
    <w:p w14:paraId="2DBE07B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因合同一方迟延履行合同义务，在迟延履行期间遭遇不可抗力的，不免除其违约责任。</w:t>
      </w:r>
    </w:p>
    <w:p w14:paraId="33A66ACB">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296" w:name="_Toc351203611"/>
      <w:bookmarkStart w:id="1297" w:name="_Toc337558827"/>
      <w:r>
        <w:rPr>
          <w:rFonts w:hint="eastAsia" w:ascii="宋体" w:hAnsi="宋体" w:eastAsia="宋体" w:cs="宋体"/>
          <w:color w:val="000000"/>
          <w:kern w:val="2"/>
          <w:sz w:val="24"/>
          <w:szCs w:val="24"/>
          <w:lang w:val="en-US" w:eastAsia="zh-CN" w:bidi="ar-SA"/>
        </w:rPr>
        <w:t>17.4 因不可抗力解除合同</w:t>
      </w:r>
      <w:bookmarkEnd w:id="1296"/>
    </w:p>
    <w:bookmarkEnd w:id="1297"/>
    <w:p w14:paraId="365CCD0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因不可抗力导致合同无法履行连续超过84天或累计超过140天的，发包人和承包人均有权解除合同。合同解除后，由双方当事人按照第4.4款〔商定或确定〕商定或确定发包人应支付的款项，该款项包括：</w:t>
      </w:r>
    </w:p>
    <w:p w14:paraId="5511B27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（1）合同解除前承包人已完成工作的价款；</w:t>
      </w:r>
    </w:p>
    <w:p w14:paraId="78AAEBF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（2）承包人为工程订购的并已交付给承包人，或承包人有责任接受交付的材料、工程设备和其他物品的价款；</w:t>
      </w:r>
    </w:p>
    <w:p w14:paraId="75C688E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（3）发包人要求承包人退货或解除订货合同而产生的费用，或因不能退货或解除合同而产生的损失；</w:t>
      </w:r>
    </w:p>
    <w:p w14:paraId="40122B9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（4）承包人撤离施工现场以及遣散承包人人员的费用；</w:t>
      </w:r>
    </w:p>
    <w:p w14:paraId="05EBC5D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（5）按照合同约定在合同解除前应支付给承包人的其他款项；</w:t>
      </w:r>
    </w:p>
    <w:p w14:paraId="05FC8BE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（6）扣减承包人按照合同约定应向发包人支付的款项；</w:t>
      </w:r>
    </w:p>
    <w:p w14:paraId="2FB40DD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（7）双方商定或确定的其他款项。</w:t>
      </w:r>
    </w:p>
    <w:p w14:paraId="661AF47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除专用合同条款另有约定外，合同解除后，发包人应在商定或确定上述款项后28天内完成上述款项的支付。</w:t>
      </w:r>
    </w:p>
    <w:p w14:paraId="649ABCE2">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298" w:name="_Toc256000547"/>
      <w:bookmarkStart w:id="1299" w:name="_Toc256002363"/>
      <w:bookmarkStart w:id="1300" w:name="_Toc351203612"/>
      <w:bookmarkStart w:id="1301" w:name="_Toc256003725"/>
      <w:bookmarkStart w:id="1302" w:name="_Toc101795226"/>
      <w:bookmarkStart w:id="1303" w:name="_Toc23514"/>
      <w:bookmarkStart w:id="1304" w:name="_Toc28988"/>
      <w:bookmarkStart w:id="1305" w:name="_Toc256003044"/>
      <w:bookmarkStart w:id="1306" w:name="_Toc25131"/>
      <w:bookmarkStart w:id="1307" w:name="_Toc101704633"/>
      <w:bookmarkStart w:id="1308" w:name="_Toc256000774"/>
      <w:bookmarkStart w:id="1309" w:name="_Toc256001001"/>
      <w:bookmarkStart w:id="1310" w:name="_Toc256001682"/>
      <w:bookmarkStart w:id="1311" w:name="_Toc256002817"/>
      <w:bookmarkStart w:id="1312" w:name="_Toc256001228"/>
      <w:bookmarkStart w:id="1313" w:name="_Toc256001909"/>
      <w:bookmarkStart w:id="1314" w:name="_Toc256002590"/>
      <w:bookmarkStart w:id="1315" w:name="_Toc256000320"/>
      <w:bookmarkStart w:id="1316" w:name="_Toc25930308"/>
      <w:bookmarkStart w:id="1317" w:name="_Toc256002136"/>
      <w:bookmarkStart w:id="1318" w:name="_Toc102120283"/>
      <w:bookmarkStart w:id="1319" w:name="_Toc103259107"/>
      <w:bookmarkStart w:id="1320" w:name="_Toc256003952"/>
      <w:bookmarkStart w:id="1321" w:name="_Toc256001455"/>
      <w:bookmarkStart w:id="1322" w:name="_Toc256000093"/>
      <w:bookmarkStart w:id="1323" w:name="_Toc39153753"/>
      <w:bookmarkStart w:id="1324" w:name="_Toc256003498"/>
      <w:bookmarkStart w:id="1325" w:name="_Toc256003271"/>
      <w:bookmarkStart w:id="1326" w:name="_Toc337558828"/>
      <w:bookmarkStart w:id="1327" w:name="_Toc296503120"/>
      <w:bookmarkStart w:id="1328" w:name="_Toc296346621"/>
      <w:r>
        <w:rPr>
          <w:rFonts w:hint="eastAsia" w:ascii="宋体" w:hAnsi="宋体" w:eastAsia="宋体" w:cs="宋体"/>
          <w:color w:val="000000"/>
          <w:kern w:val="2"/>
          <w:sz w:val="24"/>
          <w:szCs w:val="24"/>
          <w:lang w:val="en-US" w:eastAsia="zh-CN" w:bidi="ar-SA"/>
        </w:rPr>
        <w:t>18. 保险</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bookmarkEnd w:id="1326"/>
    <w:bookmarkEnd w:id="1327"/>
    <w:bookmarkEnd w:id="1328"/>
    <w:p w14:paraId="1B413C14">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29" w:name="_Toc351203613"/>
      <w:bookmarkStart w:id="1330" w:name="_Toc296346622"/>
      <w:bookmarkStart w:id="1331" w:name="_Toc337558829"/>
      <w:bookmarkStart w:id="1332" w:name="_Toc296503121"/>
      <w:r>
        <w:rPr>
          <w:rFonts w:hint="eastAsia" w:ascii="宋体" w:hAnsi="宋体" w:eastAsia="宋体" w:cs="宋体"/>
          <w:color w:val="000000"/>
          <w:kern w:val="2"/>
          <w:sz w:val="24"/>
          <w:szCs w:val="24"/>
          <w:lang w:val="en-US" w:eastAsia="zh-CN" w:bidi="ar-SA"/>
        </w:rPr>
        <w:t>18.1 工程保险</w:t>
      </w:r>
      <w:bookmarkEnd w:id="1329"/>
    </w:p>
    <w:bookmarkEnd w:id="1330"/>
    <w:bookmarkEnd w:id="1331"/>
    <w:bookmarkEnd w:id="1332"/>
    <w:p w14:paraId="63ADA26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除专用合同条款另有约定外，发包人应投保建筑工程一切险或安装工程一切险；发包人委托承包人投保的，因投保产生的保险费和其他相关费用由发包人承担。</w:t>
      </w:r>
    </w:p>
    <w:p w14:paraId="4F0F4425">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33" w:name="_Toc351203614"/>
      <w:bookmarkStart w:id="1334" w:name="_Toc337558830"/>
      <w:bookmarkStart w:id="1335" w:name="_Toc296346623"/>
      <w:bookmarkStart w:id="1336" w:name="_Toc296503122"/>
      <w:r>
        <w:rPr>
          <w:rFonts w:hint="eastAsia" w:ascii="宋体" w:hAnsi="宋体" w:eastAsia="宋体" w:cs="宋体"/>
          <w:color w:val="000000"/>
          <w:kern w:val="2"/>
          <w:sz w:val="24"/>
          <w:szCs w:val="24"/>
          <w:lang w:val="en-US" w:eastAsia="zh-CN" w:bidi="ar-SA"/>
        </w:rPr>
        <w:t>18.2 工伤保险</w:t>
      </w:r>
      <w:bookmarkEnd w:id="1333"/>
    </w:p>
    <w:bookmarkEnd w:id="1334"/>
    <w:bookmarkEnd w:id="1335"/>
    <w:bookmarkEnd w:id="1336"/>
    <w:p w14:paraId="64082618">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18.2.1 发包人应依照法律规定参加工伤保险，并为在施工现场的全部员工办理工伤保险，缴纳工伤保险费，并要求监理人及由发包人为履行合同聘请的第三方依法参加工伤保险。</w:t>
      </w:r>
    </w:p>
    <w:p w14:paraId="0CD4F9F7">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18.2.2 承包人应依照法律规定参加工伤保险，并为其履行合同的全部员工办理工伤保险，缴纳工伤保险费，并要求分包人及由承包人为履行合同聘请的第三方依法参加工伤保险。</w:t>
      </w:r>
    </w:p>
    <w:p w14:paraId="46623C1D">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37" w:name="_Toc351203615"/>
      <w:bookmarkStart w:id="1338" w:name="_Toc296346626"/>
      <w:bookmarkStart w:id="1339" w:name="_Toc296503125"/>
      <w:bookmarkStart w:id="1340" w:name="_Toc337558831"/>
      <w:r>
        <w:rPr>
          <w:rFonts w:hint="eastAsia" w:ascii="宋体" w:hAnsi="宋体" w:eastAsia="宋体" w:cs="宋体"/>
          <w:color w:val="000000"/>
          <w:kern w:val="2"/>
          <w:sz w:val="24"/>
          <w:szCs w:val="24"/>
          <w:lang w:val="en-US" w:eastAsia="zh-CN" w:bidi="ar-SA"/>
        </w:rPr>
        <w:t>18.3其他保险</w:t>
      </w:r>
      <w:bookmarkEnd w:id="1337"/>
    </w:p>
    <w:bookmarkEnd w:id="1338"/>
    <w:bookmarkEnd w:id="1339"/>
    <w:bookmarkEnd w:id="1340"/>
    <w:p w14:paraId="264DA15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发包人和承包人可以为其施工现场的全部人员办理意外伤害保险并支付保险费，包括其员工及为履行合同聘请的第三方的人员，具体事项由合同当事人在专用合同条款约定。</w:t>
      </w:r>
    </w:p>
    <w:p w14:paraId="783DE75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除专用合同条款另有约定外，承包人应为其施工设备等办理财产保险。</w:t>
      </w:r>
    </w:p>
    <w:p w14:paraId="61BCE2CF">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41" w:name="_Toc351203616"/>
      <w:r>
        <w:rPr>
          <w:rFonts w:hint="eastAsia" w:ascii="宋体" w:hAnsi="宋体" w:eastAsia="宋体" w:cs="宋体"/>
          <w:color w:val="000000"/>
          <w:kern w:val="2"/>
          <w:sz w:val="24"/>
          <w:szCs w:val="24"/>
          <w:lang w:val="en-US" w:eastAsia="zh-CN" w:bidi="ar-SA"/>
        </w:rPr>
        <w:t>18.4持续保险</w:t>
      </w:r>
      <w:bookmarkEnd w:id="1341"/>
    </w:p>
    <w:p w14:paraId="2A850C7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合同当事人应与保险人保持联系，使保险人能够随时了解工程实施中的变动，并确保按保险合同条款要求持续保险。</w:t>
      </w:r>
    </w:p>
    <w:p w14:paraId="309935DC">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42" w:name="_Toc351203617"/>
      <w:bookmarkStart w:id="1343" w:name="_Toc296346627"/>
      <w:bookmarkStart w:id="1344" w:name="_Toc337558832"/>
      <w:bookmarkStart w:id="1345" w:name="_Toc296503126"/>
      <w:r>
        <w:rPr>
          <w:rFonts w:hint="eastAsia" w:ascii="宋体" w:hAnsi="宋体" w:eastAsia="宋体" w:cs="宋体"/>
          <w:color w:val="000000"/>
          <w:kern w:val="2"/>
          <w:sz w:val="24"/>
          <w:szCs w:val="24"/>
          <w:lang w:val="en-US" w:eastAsia="zh-CN" w:bidi="ar-SA"/>
        </w:rPr>
        <w:t>18.5 保险凭证</w:t>
      </w:r>
      <w:bookmarkEnd w:id="1342"/>
    </w:p>
    <w:bookmarkEnd w:id="1343"/>
    <w:bookmarkEnd w:id="1344"/>
    <w:bookmarkEnd w:id="1345"/>
    <w:p w14:paraId="13AEA1A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合同当事人应及时向另一方当事人提交其已投保的各项保险的凭证和保险单复印件。</w:t>
      </w:r>
    </w:p>
    <w:p w14:paraId="45E79E3D">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46" w:name="_Toc351203618"/>
      <w:bookmarkStart w:id="1347" w:name="_Toc296346628"/>
      <w:bookmarkStart w:id="1348" w:name="_Toc296503127"/>
      <w:bookmarkStart w:id="1349" w:name="_Toc337558833"/>
      <w:r>
        <w:rPr>
          <w:rFonts w:hint="eastAsia" w:ascii="宋体" w:hAnsi="宋体" w:eastAsia="宋体" w:cs="宋体"/>
          <w:color w:val="000000"/>
          <w:kern w:val="2"/>
          <w:sz w:val="24"/>
          <w:szCs w:val="24"/>
          <w:lang w:val="en-US" w:eastAsia="zh-CN" w:bidi="ar-SA"/>
        </w:rPr>
        <w:t>18.6 未按约定投保的补救</w:t>
      </w:r>
      <w:bookmarkEnd w:id="1346"/>
    </w:p>
    <w:bookmarkEnd w:id="1347"/>
    <w:bookmarkEnd w:id="1348"/>
    <w:bookmarkEnd w:id="1349"/>
    <w:p w14:paraId="31E43FE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18.6.1发包人未按合同约定办理保险，或未能使保险持续有效的，则承包人可代为办理，所需费用由发包人承担。发包人未按合同约定办理保险，导致未能得到足额赔偿的，由发包人负责补足。</w:t>
      </w:r>
    </w:p>
    <w:p w14:paraId="0887955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18.6.2承包人未按合同约定办理保险，或未能使保险持续有效的，则发包人可代为办理，所需费用由承包人承担。承包人未按合同约定办理保险，导致未能得到足额赔偿的，由承包人负责补足。</w:t>
      </w:r>
    </w:p>
    <w:p w14:paraId="60D57DEF">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50" w:name="_Toc351203619"/>
      <w:bookmarkStart w:id="1351" w:name="_Toc337558834"/>
      <w:r>
        <w:rPr>
          <w:rFonts w:hint="eastAsia" w:ascii="宋体" w:hAnsi="宋体" w:eastAsia="宋体" w:cs="宋体"/>
          <w:color w:val="000000"/>
          <w:kern w:val="2"/>
          <w:sz w:val="24"/>
          <w:szCs w:val="24"/>
          <w:lang w:val="en-US" w:eastAsia="zh-CN" w:bidi="ar-SA"/>
        </w:rPr>
        <w:t>18.7 通知义务</w:t>
      </w:r>
      <w:bookmarkEnd w:id="1350"/>
    </w:p>
    <w:bookmarkEnd w:id="1351"/>
    <w:p w14:paraId="482BCC1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除专用合同条款另有约定外，发包人变更除工伤保险之外的保险合同时，应事先征得承包人同意，并通知监理人；承包人变更除工伤保险之外的保险合同时，应事先征得发包人同意，并通知监理人。</w:t>
      </w:r>
    </w:p>
    <w:p w14:paraId="57578B5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保险事故发生时，投保人应按照保险合同规定的条件和期限及时向保险人报告。发包人和承包人应当在知道保险事故发生后及时通知对方。</w:t>
      </w:r>
    </w:p>
    <w:p w14:paraId="309C9EC2">
      <w:pPr>
        <w:keepNext/>
        <w:keepLines/>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352" w:name="_Toc256001683"/>
      <w:bookmarkStart w:id="1353" w:name="_Toc256000094"/>
      <w:bookmarkStart w:id="1354" w:name="_Toc101704634"/>
      <w:bookmarkStart w:id="1355" w:name="_Toc256002137"/>
      <w:bookmarkStart w:id="1356" w:name="_Toc8304"/>
      <w:bookmarkStart w:id="1357" w:name="_Toc256000775"/>
      <w:bookmarkStart w:id="1358" w:name="_Toc256002364"/>
      <w:bookmarkStart w:id="1359" w:name="_Toc256001910"/>
      <w:bookmarkStart w:id="1360" w:name="_Toc101795227"/>
      <w:bookmarkStart w:id="1361" w:name="_Toc256001456"/>
      <w:bookmarkStart w:id="1362" w:name="_Toc103259108"/>
      <w:bookmarkStart w:id="1363" w:name="_Toc256003953"/>
      <w:bookmarkStart w:id="1364" w:name="_Toc39153754"/>
      <w:bookmarkStart w:id="1365" w:name="_Toc256000321"/>
      <w:bookmarkStart w:id="1366" w:name="_Toc256001229"/>
      <w:bookmarkStart w:id="1367" w:name="_Toc25930309"/>
      <w:bookmarkStart w:id="1368" w:name="_Toc256000548"/>
      <w:bookmarkStart w:id="1369" w:name="_Toc102120284"/>
      <w:bookmarkStart w:id="1370" w:name="_Toc256003726"/>
      <w:bookmarkStart w:id="1371" w:name="_Toc256002818"/>
      <w:bookmarkStart w:id="1372" w:name="_Toc351203620"/>
      <w:bookmarkStart w:id="1373" w:name="_Toc256003045"/>
      <w:bookmarkStart w:id="1374" w:name="_Toc12482"/>
      <w:bookmarkStart w:id="1375" w:name="_Toc256002591"/>
      <w:bookmarkStart w:id="1376" w:name="_Toc256003499"/>
      <w:bookmarkStart w:id="1377" w:name="_Toc256001002"/>
      <w:bookmarkStart w:id="1378" w:name="_Toc256003272"/>
      <w:bookmarkStart w:id="1379" w:name="_Toc26316"/>
      <w:bookmarkStart w:id="1380" w:name="_Toc337558835"/>
      <w:bookmarkStart w:id="1381" w:name="_Toc296346641"/>
      <w:bookmarkStart w:id="1382" w:name="_Toc296503140"/>
      <w:r>
        <w:rPr>
          <w:rFonts w:hint="eastAsia" w:ascii="宋体" w:hAnsi="宋体" w:eastAsia="宋体" w:cs="宋体"/>
          <w:color w:val="000000"/>
          <w:kern w:val="2"/>
          <w:sz w:val="24"/>
          <w:szCs w:val="24"/>
          <w:lang w:val="en-US" w:eastAsia="zh-CN" w:bidi="ar-SA"/>
        </w:rPr>
        <w:t>19. 索赔</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bookmarkEnd w:id="1380"/>
    <w:bookmarkEnd w:id="1381"/>
    <w:bookmarkEnd w:id="1382"/>
    <w:p w14:paraId="0A2FC7AB">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83" w:name="_Toc351203621"/>
      <w:bookmarkStart w:id="1384" w:name="_Toc296503141"/>
      <w:bookmarkStart w:id="1385" w:name="_Toc296346642"/>
      <w:bookmarkStart w:id="1386" w:name="_Toc337558836"/>
      <w:r>
        <w:rPr>
          <w:rFonts w:hint="eastAsia" w:ascii="宋体" w:hAnsi="宋体" w:eastAsia="宋体" w:cs="宋体"/>
          <w:color w:val="000000"/>
          <w:kern w:val="2"/>
          <w:sz w:val="24"/>
          <w:szCs w:val="24"/>
          <w:lang w:val="en-US" w:eastAsia="zh-CN" w:bidi="ar-SA"/>
        </w:rPr>
        <w:t>19.1承包人的索赔</w:t>
      </w:r>
      <w:bookmarkEnd w:id="1383"/>
    </w:p>
    <w:bookmarkEnd w:id="1384"/>
    <w:bookmarkEnd w:id="1385"/>
    <w:bookmarkEnd w:id="1386"/>
    <w:p w14:paraId="2F3BD72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根据合同约定，承包人认为有权得到追加付款和（或）延长工期的，应按以下程序向发包人提出索赔：</w:t>
      </w:r>
    </w:p>
    <w:p w14:paraId="293032EA">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EAF806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（2）承包人应在发出索赔意向通知书后28天内，向监理人正式递交索赔报告；索赔报告应详细说明索赔理由以及要求追加的付款金额和（或）延长的工期，并附必要的记录和证明材料；</w:t>
      </w:r>
    </w:p>
    <w:p w14:paraId="128D1E5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（3）索赔事件具有持续影响的，承包人应按合理时间间隔继续递交延续索赔通知，说明持续影响的实际情况和记录，列出累计的追加付款金额和（或）工期延长天数；</w:t>
      </w:r>
    </w:p>
    <w:p w14:paraId="0885ACE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（4）在索赔事件影响结束后28天内，承包人应向监理人递交最终索赔报告，说明最终要求索赔的追加付款金额和（或）延长的工期，并附必要的记录和证明材料。</w:t>
      </w:r>
    </w:p>
    <w:p w14:paraId="2F495FD9">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87" w:name="_Toc351203622"/>
      <w:bookmarkStart w:id="1388" w:name="_Toc337558837"/>
      <w:bookmarkStart w:id="1389" w:name="_Toc296503142"/>
      <w:bookmarkStart w:id="1390" w:name="_Toc296346643"/>
      <w:r>
        <w:rPr>
          <w:rFonts w:hint="eastAsia" w:ascii="宋体" w:hAnsi="宋体" w:eastAsia="宋体" w:cs="宋体"/>
          <w:color w:val="000000"/>
          <w:kern w:val="2"/>
          <w:sz w:val="24"/>
          <w:szCs w:val="24"/>
          <w:lang w:val="en-US" w:eastAsia="zh-CN" w:bidi="ar-SA"/>
        </w:rPr>
        <w:t>19.2 对承包人索赔的处理</w:t>
      </w:r>
      <w:bookmarkEnd w:id="1387"/>
    </w:p>
    <w:bookmarkEnd w:id="1388"/>
    <w:bookmarkEnd w:id="1389"/>
    <w:bookmarkEnd w:id="1390"/>
    <w:p w14:paraId="538EF74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对承包人索赔的处理如下：</w:t>
      </w:r>
    </w:p>
    <w:p w14:paraId="32F8ECF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（1）监理人应在收到索赔报告后14天内完成审查并报送发包人。监理人对索赔报告存在异议的，有权要求承包人提交全部原始记录副本；</w:t>
      </w:r>
    </w:p>
    <w:p w14:paraId="2D03882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（2）发包人应在监理人收到索赔报告或有关索赔的进一步证明材料后的28天内，由监理人向承包人出具经发包人签认的索赔处理结果。发包人逾期答复的，则视为认可承包人的索赔要求；</w:t>
      </w:r>
    </w:p>
    <w:p w14:paraId="231D1DD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（3）承包人接受索赔处理结果的，索赔款项在当期进度款中进行支付；承包人不接受索赔处理结果的，按照第20条〔争议解决〕约定处理。</w:t>
      </w:r>
    </w:p>
    <w:p w14:paraId="25BFFC6A">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91" w:name="_Toc351203623"/>
      <w:bookmarkStart w:id="1392" w:name="_Toc296503143"/>
      <w:bookmarkStart w:id="1393" w:name="_Toc337558838"/>
      <w:bookmarkStart w:id="1394" w:name="_Toc296346644"/>
      <w:r>
        <w:rPr>
          <w:rFonts w:hint="eastAsia" w:ascii="宋体" w:hAnsi="宋体" w:eastAsia="宋体" w:cs="宋体"/>
          <w:color w:val="000000"/>
          <w:kern w:val="2"/>
          <w:sz w:val="24"/>
          <w:szCs w:val="24"/>
          <w:lang w:val="en-US" w:eastAsia="zh-CN" w:bidi="ar-SA"/>
        </w:rPr>
        <w:t>19.3发包人的索赔</w:t>
      </w:r>
      <w:bookmarkEnd w:id="1391"/>
    </w:p>
    <w:bookmarkEnd w:id="1392"/>
    <w:bookmarkEnd w:id="1393"/>
    <w:bookmarkEnd w:id="1394"/>
    <w:p w14:paraId="7175FD54">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根据合同约定，发包人认为有权得到赔付金额和（或）延长缺陷责任期的，监理人应向承包人发出通知并附有详细的证明。</w:t>
      </w:r>
    </w:p>
    <w:p w14:paraId="7FED014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C9F5273">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95" w:name="_Toc351203624"/>
      <w:bookmarkStart w:id="1396" w:name="_Toc337558839"/>
      <w:bookmarkStart w:id="1397" w:name="_Toc296503144"/>
      <w:bookmarkStart w:id="1398" w:name="_Toc296346645"/>
      <w:r>
        <w:rPr>
          <w:rFonts w:hint="eastAsia" w:ascii="宋体" w:hAnsi="宋体" w:eastAsia="宋体" w:cs="宋体"/>
          <w:color w:val="000000"/>
          <w:kern w:val="2"/>
          <w:sz w:val="24"/>
          <w:szCs w:val="24"/>
          <w:lang w:val="en-US" w:eastAsia="zh-CN" w:bidi="ar-SA"/>
        </w:rPr>
        <w:t>19.4 对发包人索赔的处理</w:t>
      </w:r>
      <w:bookmarkEnd w:id="1395"/>
    </w:p>
    <w:bookmarkEnd w:id="1396"/>
    <w:bookmarkEnd w:id="1397"/>
    <w:bookmarkEnd w:id="1398"/>
    <w:p w14:paraId="618E4815">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对发包人索赔的处理如下：</w:t>
      </w:r>
    </w:p>
    <w:p w14:paraId="3EB46BC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（1）承包人收到发包人提交的索赔报告后，应及时审查索赔报告的内容、查验发包人证明材料；</w:t>
      </w:r>
    </w:p>
    <w:p w14:paraId="50BBA9D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（2）承包人应在收到索赔报告或有关索赔的进一步证明材料后28天内，将索赔处理结果答复发包人。如果承包人未在上述期限内作出答复的，则视为对发包人索赔要求的认可；</w:t>
      </w:r>
    </w:p>
    <w:p w14:paraId="39554B1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（3）承包人接受索赔处理结果的，发包人可从应支付给承包人的合同价款中扣除赔付的金额或延长缺陷责任期；发包人不接受索赔处理结果的，按第20条〔争议解决〕约定处理。</w:t>
      </w:r>
    </w:p>
    <w:p w14:paraId="0A07F965">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399" w:name="_Toc351203625"/>
      <w:r>
        <w:rPr>
          <w:rFonts w:hint="eastAsia" w:ascii="宋体" w:hAnsi="宋体" w:eastAsia="宋体" w:cs="宋体"/>
          <w:color w:val="000000"/>
          <w:kern w:val="2"/>
          <w:sz w:val="24"/>
          <w:szCs w:val="24"/>
          <w:lang w:val="en-US" w:eastAsia="zh-CN" w:bidi="ar-SA"/>
        </w:rPr>
        <w:t>19.5 提出索赔的期限</w:t>
      </w:r>
      <w:bookmarkEnd w:id="1399"/>
    </w:p>
    <w:p w14:paraId="6014BF7B">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（1）承包人按第14.2款〔竣工结算审核〕约定接收竣工付款证书后，应被视为已无权再提出在工程接收证书颁发前所发生的任何索赔。</w:t>
      </w:r>
    </w:p>
    <w:p w14:paraId="181D078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（2）承包人按第14.4款〔最终结清〕提交的最终结清申请单中，只限于提出工程接收证书颁发后发生的索赔。提出索赔的期限自接受最终结清证书时终止。</w:t>
      </w:r>
    </w:p>
    <w:p w14:paraId="63894E99">
      <w:pPr>
        <w:keepNext/>
        <w:keepLines/>
        <w:widowControl w:val="0"/>
        <w:spacing w:line="400" w:lineRule="exact"/>
        <w:ind w:firstLine="480" w:firstLineChars="200"/>
        <w:jc w:val="both"/>
        <w:outlineLvl w:val="3"/>
        <w:rPr>
          <w:rFonts w:ascii="宋体" w:hAnsi="宋体" w:eastAsia="宋体" w:cs="宋体"/>
          <w:color w:val="000000"/>
          <w:kern w:val="2"/>
          <w:sz w:val="24"/>
          <w:szCs w:val="24"/>
          <w:lang w:val="en-US" w:eastAsia="zh-CN" w:bidi="ar-SA"/>
        </w:rPr>
      </w:pPr>
      <w:bookmarkStart w:id="1400" w:name="_Toc351203626"/>
      <w:r>
        <w:rPr>
          <w:rFonts w:hint="eastAsia" w:ascii="宋体" w:hAnsi="宋体" w:eastAsia="宋体" w:cs="宋体"/>
          <w:color w:val="000000"/>
          <w:kern w:val="2"/>
          <w:sz w:val="24"/>
          <w:szCs w:val="24"/>
          <w:lang w:val="en-US" w:eastAsia="zh-CN" w:bidi="ar-SA"/>
        </w:rPr>
        <w:t>20</w:t>
      </w:r>
      <w:bookmarkStart w:id="1401" w:name="_Toc337558840"/>
      <w:bookmarkStart w:id="1402" w:name="_Toc296346647"/>
      <w:bookmarkStart w:id="1403" w:name="_Toc296503146"/>
      <w:r>
        <w:rPr>
          <w:rFonts w:hint="eastAsia" w:ascii="宋体" w:hAnsi="宋体" w:eastAsia="宋体" w:cs="宋体"/>
          <w:color w:val="000000"/>
          <w:kern w:val="2"/>
          <w:sz w:val="24"/>
          <w:szCs w:val="24"/>
          <w:lang w:val="en-US" w:eastAsia="zh-CN" w:bidi="ar-SA"/>
        </w:rPr>
        <w:t>. 争议解决</w:t>
      </w:r>
      <w:bookmarkEnd w:id="1400"/>
    </w:p>
    <w:bookmarkEnd w:id="1401"/>
    <w:bookmarkEnd w:id="1402"/>
    <w:bookmarkEnd w:id="1403"/>
    <w:p w14:paraId="719CE36F">
      <w:pPr>
        <w:keepNext/>
        <w:keepLines/>
        <w:widowControl w:val="0"/>
        <w:spacing w:line="400" w:lineRule="exact"/>
        <w:ind w:firstLine="480" w:firstLineChars="200"/>
        <w:jc w:val="both"/>
        <w:outlineLvl w:val="4"/>
        <w:rPr>
          <w:rFonts w:ascii="宋体" w:hAnsi="宋体" w:eastAsia="宋体" w:cs="宋体"/>
          <w:color w:val="000000"/>
          <w:kern w:val="2"/>
          <w:sz w:val="24"/>
          <w:szCs w:val="24"/>
          <w:lang w:val="en-US" w:eastAsia="zh-CN" w:bidi="ar-SA"/>
        </w:rPr>
      </w:pPr>
      <w:bookmarkStart w:id="1404" w:name="_Toc351203627"/>
      <w:bookmarkStart w:id="1405" w:name="_Toc337558841"/>
      <w:bookmarkStart w:id="1406" w:name="_Toc296503147"/>
      <w:bookmarkStart w:id="1407" w:name="_Toc296346648"/>
      <w:r>
        <w:rPr>
          <w:rFonts w:hint="eastAsia" w:ascii="宋体" w:hAnsi="宋体" w:eastAsia="宋体" w:cs="宋体"/>
          <w:color w:val="000000"/>
          <w:kern w:val="2"/>
          <w:sz w:val="24"/>
          <w:szCs w:val="24"/>
          <w:lang w:val="en-US" w:eastAsia="zh-CN" w:bidi="ar-SA"/>
        </w:rPr>
        <w:t>20.1和解</w:t>
      </w:r>
      <w:bookmarkEnd w:id="1404"/>
    </w:p>
    <w:bookmarkEnd w:id="1405"/>
    <w:bookmarkEnd w:id="1406"/>
    <w:bookmarkEnd w:id="1407"/>
    <w:p w14:paraId="59FA885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合同当事人可以就争议自行和解，自行和解达成协议的经双方签字并盖章后作为合同补充文件，双方均应遵照执行。</w:t>
      </w:r>
    </w:p>
    <w:p w14:paraId="154F29E1">
      <w:pPr>
        <w:keepNext/>
        <w:keepLines/>
        <w:widowControl w:val="0"/>
        <w:spacing w:line="400" w:lineRule="exact"/>
        <w:ind w:firstLine="480" w:firstLineChars="200"/>
        <w:jc w:val="both"/>
        <w:outlineLvl w:val="4"/>
        <w:rPr>
          <w:rFonts w:ascii="宋体" w:hAnsi="宋体" w:eastAsia="宋体" w:cs="宋体"/>
          <w:color w:val="000000"/>
          <w:kern w:val="2"/>
          <w:sz w:val="24"/>
          <w:szCs w:val="24"/>
          <w:lang w:val="en-US" w:eastAsia="zh-CN" w:bidi="ar-SA"/>
        </w:rPr>
      </w:pPr>
      <w:bookmarkStart w:id="1408" w:name="_Toc351203628"/>
      <w:r>
        <w:rPr>
          <w:rFonts w:hint="eastAsia" w:ascii="宋体" w:hAnsi="宋体" w:eastAsia="宋体" w:cs="宋体"/>
          <w:color w:val="000000"/>
          <w:kern w:val="2"/>
          <w:sz w:val="24"/>
          <w:szCs w:val="24"/>
          <w:lang w:val="en-US" w:eastAsia="zh-CN" w:bidi="ar-SA"/>
        </w:rPr>
        <w:t>20</w:t>
      </w:r>
      <w:bookmarkStart w:id="1409" w:name="_Toc296346649"/>
      <w:bookmarkStart w:id="1410" w:name="_Toc296503148"/>
      <w:bookmarkStart w:id="1411" w:name="_Toc337558842"/>
      <w:r>
        <w:rPr>
          <w:rFonts w:hint="eastAsia" w:ascii="宋体" w:hAnsi="宋体" w:eastAsia="宋体" w:cs="宋体"/>
          <w:color w:val="000000"/>
          <w:kern w:val="2"/>
          <w:sz w:val="24"/>
          <w:szCs w:val="24"/>
          <w:lang w:val="en-US" w:eastAsia="zh-CN" w:bidi="ar-SA"/>
        </w:rPr>
        <w:t>.2调解</w:t>
      </w:r>
      <w:bookmarkEnd w:id="1408"/>
    </w:p>
    <w:bookmarkEnd w:id="1409"/>
    <w:bookmarkEnd w:id="1410"/>
    <w:bookmarkEnd w:id="1411"/>
    <w:p w14:paraId="27C1009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合同当事人可以就争议请求建设行政主管部门、行业协会或其他第三方进行调解，调解达成协议的，经双方签字并盖章后作为合同补充文件，双方均应遵照执行。</w:t>
      </w:r>
    </w:p>
    <w:p w14:paraId="6F73408E">
      <w:pPr>
        <w:keepNext/>
        <w:keepLines/>
        <w:widowControl w:val="0"/>
        <w:spacing w:line="400" w:lineRule="exact"/>
        <w:ind w:firstLine="480" w:firstLineChars="200"/>
        <w:jc w:val="both"/>
        <w:outlineLvl w:val="4"/>
        <w:rPr>
          <w:rFonts w:ascii="宋体" w:hAnsi="宋体" w:eastAsia="宋体" w:cs="宋体"/>
          <w:color w:val="000000"/>
          <w:kern w:val="2"/>
          <w:sz w:val="24"/>
          <w:szCs w:val="24"/>
          <w:lang w:val="en-US" w:eastAsia="zh-CN" w:bidi="ar-SA"/>
        </w:rPr>
      </w:pPr>
      <w:bookmarkStart w:id="1412" w:name="_Toc351203629"/>
      <w:bookmarkStart w:id="1413" w:name="_Toc337558843"/>
      <w:bookmarkStart w:id="1414" w:name="_Toc296346650"/>
      <w:bookmarkStart w:id="1415" w:name="_Toc296503149"/>
      <w:r>
        <w:rPr>
          <w:rFonts w:hint="eastAsia" w:ascii="宋体" w:hAnsi="宋体" w:eastAsia="宋体" w:cs="宋体"/>
          <w:color w:val="000000"/>
          <w:kern w:val="2"/>
          <w:sz w:val="24"/>
          <w:szCs w:val="24"/>
          <w:lang w:val="en-US" w:eastAsia="zh-CN" w:bidi="ar-SA"/>
        </w:rPr>
        <w:t>20.3争议评审</w:t>
      </w:r>
      <w:bookmarkEnd w:id="1412"/>
    </w:p>
    <w:bookmarkEnd w:id="1413"/>
    <w:bookmarkEnd w:id="1414"/>
    <w:bookmarkEnd w:id="1415"/>
    <w:p w14:paraId="60CF170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合同当事人在专用合同条款中约定采取争议评审方式解决争议以及评审规则，并按下列约定执行： </w:t>
      </w:r>
    </w:p>
    <w:p w14:paraId="0F62B18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20.3.1 争议评审小组的确定</w:t>
      </w:r>
    </w:p>
    <w:p w14:paraId="7308F49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合同当事人可以共同选择一名或三名争议评审员，组成争议评审小组。除专用合同条款另有约定外，合同当事人应当自合同签订后28天内，或者争议发生后14天内，选定争议评审员。</w:t>
      </w:r>
    </w:p>
    <w:p w14:paraId="7DBFCF69">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68E2F9D">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除专用合同条款另有约定外，评审员报酬由发包人和承包人各承担一半。</w:t>
      </w:r>
    </w:p>
    <w:p w14:paraId="530F1B32">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20.3.2 争议评审小组的决定</w:t>
      </w:r>
    </w:p>
    <w:p w14:paraId="2F67413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3A3A691">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20.3.3 争议评审小组决定的效力</w:t>
      </w:r>
    </w:p>
    <w:p w14:paraId="2BADF79C">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争议评审小组作出的书面决定经合同当事人签字确认后，对双方具有约束力，双方应遵照执行。</w:t>
      </w:r>
    </w:p>
    <w:p w14:paraId="2614184E">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任何一方当事人不接受争议评审小组决定或不履行争议评审小组决定的，双方可选择采用其他争议解决方式。</w:t>
      </w:r>
    </w:p>
    <w:p w14:paraId="3EEC6530">
      <w:pPr>
        <w:keepNext/>
        <w:keepLines/>
        <w:widowControl w:val="0"/>
        <w:spacing w:line="400" w:lineRule="exact"/>
        <w:ind w:firstLine="480" w:firstLineChars="200"/>
        <w:jc w:val="both"/>
        <w:outlineLvl w:val="4"/>
        <w:rPr>
          <w:rFonts w:ascii="宋体" w:hAnsi="宋体" w:eastAsia="宋体" w:cs="宋体"/>
          <w:color w:val="000000"/>
          <w:kern w:val="2"/>
          <w:sz w:val="24"/>
          <w:szCs w:val="24"/>
          <w:lang w:val="en-US" w:eastAsia="zh-CN" w:bidi="ar-SA"/>
        </w:rPr>
      </w:pPr>
      <w:bookmarkStart w:id="1416" w:name="_Toc351203630"/>
      <w:bookmarkStart w:id="1417" w:name="_Toc296346651"/>
      <w:bookmarkStart w:id="1418" w:name="_Toc337558844"/>
      <w:bookmarkStart w:id="1419" w:name="_Toc296503150"/>
      <w:r>
        <w:rPr>
          <w:rFonts w:hint="eastAsia" w:ascii="宋体" w:hAnsi="宋体" w:eastAsia="宋体" w:cs="宋体"/>
          <w:color w:val="000000"/>
          <w:kern w:val="2"/>
          <w:sz w:val="24"/>
          <w:szCs w:val="24"/>
          <w:lang w:val="en-US" w:eastAsia="zh-CN" w:bidi="ar-SA"/>
        </w:rPr>
        <w:t>20.4仲裁或诉讼</w:t>
      </w:r>
      <w:bookmarkEnd w:id="1416"/>
    </w:p>
    <w:bookmarkEnd w:id="1417"/>
    <w:bookmarkEnd w:id="1418"/>
    <w:bookmarkEnd w:id="1419"/>
    <w:p w14:paraId="0755841B">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因合同及合同有关事项产生的争议，合同当事人可以在专用合同条款中约定以下一种方式解决争议：</w:t>
      </w:r>
    </w:p>
    <w:p w14:paraId="537F4AA3">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（1）向约定的仲裁委员会申请仲裁；</w:t>
      </w:r>
    </w:p>
    <w:p w14:paraId="236BCFF0">
      <w:pPr>
        <w:widowControl w:val="0"/>
        <w:autoSpaceDE w:val="0"/>
        <w:autoSpaceDN w:val="0"/>
        <w:adjustRightIn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（2）向有管辖权的人民法院起诉。</w:t>
      </w:r>
    </w:p>
    <w:p w14:paraId="7BEC7AC8">
      <w:pPr>
        <w:keepNext/>
        <w:keepLines/>
        <w:widowControl w:val="0"/>
        <w:spacing w:line="400" w:lineRule="exact"/>
        <w:ind w:firstLine="480" w:firstLineChars="200"/>
        <w:jc w:val="both"/>
        <w:outlineLvl w:val="4"/>
        <w:rPr>
          <w:rFonts w:ascii="宋体" w:hAnsi="宋体" w:eastAsia="宋体" w:cs="宋体"/>
          <w:color w:val="000000"/>
          <w:kern w:val="2"/>
          <w:sz w:val="24"/>
          <w:szCs w:val="24"/>
          <w:lang w:val="en-US" w:eastAsia="zh-CN" w:bidi="ar-SA"/>
        </w:rPr>
      </w:pPr>
      <w:bookmarkStart w:id="1420" w:name="_Toc351203631"/>
      <w:bookmarkStart w:id="1421" w:name="_Toc296503152"/>
      <w:bookmarkStart w:id="1422" w:name="_Toc337558845"/>
      <w:bookmarkStart w:id="1423" w:name="_Toc296346653"/>
      <w:r>
        <w:rPr>
          <w:rFonts w:hint="eastAsia" w:ascii="宋体" w:hAnsi="宋体" w:eastAsia="宋体" w:cs="宋体"/>
          <w:color w:val="000000"/>
          <w:kern w:val="2"/>
          <w:sz w:val="24"/>
          <w:szCs w:val="24"/>
          <w:lang w:val="en-US" w:eastAsia="zh-CN" w:bidi="ar-SA"/>
        </w:rPr>
        <w:t>20.5争议解决条款效力</w:t>
      </w:r>
      <w:bookmarkEnd w:id="1420"/>
    </w:p>
    <w:bookmarkEnd w:id="1421"/>
    <w:bookmarkEnd w:id="1422"/>
    <w:bookmarkEnd w:id="1423"/>
    <w:p w14:paraId="294D8FA6">
      <w:pPr>
        <w:widowControl w:val="0"/>
        <w:spacing w:line="400" w:lineRule="exact"/>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合同有关争议解决的条款独立存在，合同的变更、解除、终止、无效或者被撤销均不影响其效力。</w:t>
      </w:r>
    </w:p>
    <w:p w14:paraId="5766FE11">
      <w:pPr>
        <w:widowControl w:val="0"/>
        <w:spacing w:line="440" w:lineRule="exact"/>
        <w:ind w:firstLine="480" w:firstLineChars="200"/>
        <w:jc w:val="left"/>
        <w:rPr>
          <w:rFonts w:ascii="宋体" w:hAnsi="宋体" w:eastAsia="宋体" w:cs="宋体"/>
          <w:color w:val="000000"/>
          <w:kern w:val="2"/>
          <w:sz w:val="24"/>
          <w:szCs w:val="24"/>
          <w:lang w:val="en-US" w:eastAsia="zh-CN" w:bidi="ar-SA"/>
        </w:rPr>
      </w:pPr>
    </w:p>
    <w:p w14:paraId="075DCAAA">
      <w:pPr>
        <w:keepNext/>
        <w:keepLines/>
        <w:widowControl w:val="0"/>
        <w:spacing w:before="0" w:after="260" w:line="360" w:lineRule="exact"/>
        <w:jc w:val="center"/>
        <w:outlineLvl w:val="0"/>
        <w:rPr>
          <w:rFonts w:ascii="宋体" w:hAnsi="宋体" w:eastAsia="宋体" w:cs="宋体"/>
          <w:b w:val="0"/>
          <w:bCs/>
          <w:color w:val="000000"/>
          <w:kern w:val="44"/>
          <w:sz w:val="24"/>
          <w:szCs w:val="24"/>
          <w:lang w:val="en-US" w:eastAsia="zh-CN" w:bidi="ar-SA"/>
        </w:rPr>
      </w:pPr>
      <w:bookmarkStart w:id="1424" w:name="_Toc256001911"/>
      <w:bookmarkStart w:id="1425" w:name="_Toc256002138"/>
      <w:bookmarkStart w:id="1426" w:name="_Toc256002592"/>
      <w:bookmarkStart w:id="1427" w:name="_Toc256001003"/>
      <w:bookmarkStart w:id="1428" w:name="_Toc256000549"/>
      <w:bookmarkStart w:id="1429" w:name="_Toc256000776"/>
      <w:bookmarkStart w:id="1430" w:name="_Toc256000095"/>
      <w:bookmarkStart w:id="1431" w:name="_Toc256003500"/>
      <w:bookmarkStart w:id="1432" w:name="_Toc256003727"/>
      <w:bookmarkStart w:id="1433" w:name="_Toc256002819"/>
      <w:bookmarkStart w:id="1434" w:name="_Toc256003273"/>
      <w:bookmarkStart w:id="1435" w:name="_Toc256001230"/>
      <w:bookmarkStart w:id="1436" w:name="_Toc256000322"/>
      <w:bookmarkStart w:id="1437" w:name="_Toc256001684"/>
      <w:bookmarkStart w:id="1438" w:name="_Toc256002365"/>
      <w:bookmarkStart w:id="1439" w:name="_Toc256003046"/>
      <w:bookmarkStart w:id="1440" w:name="_Toc256003954"/>
      <w:bookmarkStart w:id="1441" w:name="_Toc256001457"/>
    </w:p>
    <w:p w14:paraId="4BB3D3B6">
      <w:pPr>
        <w:widowControl w:val="0"/>
        <w:jc w:val="both"/>
        <w:rPr>
          <w:rFonts w:ascii="宋体" w:hAnsi="宋体" w:eastAsia="宋体" w:cs="宋体"/>
          <w:b/>
          <w:color w:val="000000"/>
          <w:kern w:val="2"/>
          <w:sz w:val="24"/>
          <w:szCs w:val="24"/>
          <w:lang w:val="en-US" w:eastAsia="zh-CN" w:bidi="ar-SA"/>
        </w:rPr>
      </w:pPr>
    </w:p>
    <w:p w14:paraId="5C9E7950">
      <w:pPr>
        <w:widowControl w:val="0"/>
        <w:jc w:val="both"/>
        <w:rPr>
          <w:rFonts w:ascii="宋体" w:hAnsi="宋体" w:eastAsia="宋体" w:cs="宋体"/>
          <w:b/>
          <w:color w:val="000000"/>
          <w:kern w:val="2"/>
          <w:sz w:val="24"/>
          <w:szCs w:val="24"/>
          <w:lang w:val="en-US" w:eastAsia="zh-CN" w:bidi="ar-SA"/>
        </w:rPr>
      </w:pPr>
    </w:p>
    <w:p w14:paraId="0B0CB93E">
      <w:pPr>
        <w:widowControl w:val="0"/>
        <w:jc w:val="both"/>
        <w:rPr>
          <w:rFonts w:ascii="宋体" w:hAnsi="宋体" w:eastAsia="宋体" w:cs="宋体"/>
          <w:b/>
          <w:color w:val="000000"/>
          <w:kern w:val="2"/>
          <w:sz w:val="24"/>
          <w:szCs w:val="24"/>
          <w:lang w:val="en-US" w:eastAsia="zh-CN" w:bidi="ar-SA"/>
        </w:rPr>
      </w:pPr>
    </w:p>
    <w:p w14:paraId="796D3079">
      <w:pPr>
        <w:widowControl w:val="0"/>
        <w:jc w:val="both"/>
        <w:rPr>
          <w:rFonts w:ascii="宋体" w:hAnsi="宋体" w:eastAsia="宋体" w:cs="宋体"/>
          <w:b/>
          <w:color w:val="000000"/>
          <w:kern w:val="2"/>
          <w:sz w:val="24"/>
          <w:szCs w:val="24"/>
          <w:lang w:val="en-US" w:eastAsia="zh-CN" w:bidi="ar-SA"/>
        </w:rPr>
      </w:pPr>
    </w:p>
    <w:p w14:paraId="35F62DD7">
      <w:pPr>
        <w:widowControl w:val="0"/>
        <w:jc w:val="both"/>
        <w:rPr>
          <w:rFonts w:ascii="宋体" w:hAnsi="宋体" w:eastAsia="宋体" w:cs="宋体"/>
          <w:b/>
          <w:color w:val="000000"/>
          <w:kern w:val="2"/>
          <w:sz w:val="24"/>
          <w:szCs w:val="24"/>
          <w:lang w:val="en-US" w:eastAsia="zh-CN" w:bidi="ar-SA"/>
        </w:rPr>
      </w:pPr>
    </w:p>
    <w:p w14:paraId="1BCAA469">
      <w:pPr>
        <w:widowControl w:val="0"/>
        <w:jc w:val="both"/>
        <w:rPr>
          <w:rFonts w:ascii="宋体" w:hAnsi="宋体" w:eastAsia="宋体" w:cs="宋体"/>
          <w:b/>
          <w:color w:val="000000"/>
          <w:kern w:val="2"/>
          <w:sz w:val="24"/>
          <w:szCs w:val="24"/>
          <w:lang w:val="en-US" w:eastAsia="zh-CN" w:bidi="ar-SA"/>
        </w:rPr>
      </w:pPr>
    </w:p>
    <w:p w14:paraId="0294DBE9">
      <w:pPr>
        <w:widowControl w:val="0"/>
        <w:jc w:val="both"/>
        <w:rPr>
          <w:rFonts w:ascii="宋体" w:hAnsi="宋体" w:eastAsia="宋体" w:cs="宋体"/>
          <w:b/>
          <w:color w:val="000000"/>
          <w:kern w:val="2"/>
          <w:sz w:val="24"/>
          <w:szCs w:val="24"/>
          <w:lang w:val="en-US" w:eastAsia="zh-CN" w:bidi="ar-SA"/>
        </w:rPr>
      </w:pPr>
    </w:p>
    <w:p w14:paraId="56AD284F">
      <w:pPr>
        <w:widowControl w:val="0"/>
        <w:jc w:val="both"/>
        <w:rPr>
          <w:rFonts w:ascii="宋体" w:hAnsi="宋体" w:eastAsia="宋体" w:cs="宋体"/>
          <w:b/>
          <w:color w:val="000000"/>
          <w:kern w:val="2"/>
          <w:sz w:val="24"/>
          <w:szCs w:val="24"/>
          <w:lang w:val="en-US" w:eastAsia="zh-CN" w:bidi="ar-SA"/>
        </w:rPr>
      </w:pPr>
    </w:p>
    <w:p w14:paraId="3F463FA0">
      <w:pPr>
        <w:widowControl w:val="0"/>
        <w:jc w:val="both"/>
        <w:rPr>
          <w:rFonts w:ascii="宋体" w:hAnsi="宋体" w:eastAsia="宋体" w:cs="宋体"/>
          <w:b/>
          <w:color w:val="000000"/>
          <w:kern w:val="2"/>
          <w:sz w:val="24"/>
          <w:szCs w:val="24"/>
          <w:lang w:val="en-US" w:eastAsia="zh-CN" w:bidi="ar-SA"/>
        </w:rPr>
      </w:pPr>
    </w:p>
    <w:p w14:paraId="2A3E1C8F">
      <w:pPr>
        <w:widowControl w:val="0"/>
        <w:jc w:val="both"/>
        <w:rPr>
          <w:rFonts w:ascii="宋体" w:hAnsi="宋体" w:eastAsia="宋体" w:cs="宋体"/>
          <w:b/>
          <w:color w:val="000000"/>
          <w:kern w:val="2"/>
          <w:sz w:val="24"/>
          <w:szCs w:val="24"/>
          <w:lang w:val="en-US" w:eastAsia="zh-CN" w:bidi="ar-SA"/>
        </w:rPr>
      </w:pPr>
    </w:p>
    <w:p w14:paraId="6910CE26">
      <w:pPr>
        <w:widowControl w:val="0"/>
        <w:jc w:val="both"/>
        <w:rPr>
          <w:rFonts w:ascii="宋体" w:hAnsi="宋体" w:eastAsia="宋体" w:cs="宋体"/>
          <w:b/>
          <w:color w:val="000000"/>
          <w:kern w:val="2"/>
          <w:sz w:val="24"/>
          <w:szCs w:val="24"/>
          <w:lang w:val="en-US" w:eastAsia="zh-CN" w:bidi="ar-SA"/>
        </w:rPr>
      </w:pPr>
    </w:p>
    <w:p w14:paraId="56397A7D">
      <w:pPr>
        <w:widowControl w:val="0"/>
        <w:jc w:val="both"/>
        <w:rPr>
          <w:rFonts w:ascii="宋体" w:hAnsi="宋体" w:eastAsia="宋体" w:cs="宋体"/>
          <w:b/>
          <w:color w:val="000000"/>
          <w:kern w:val="2"/>
          <w:sz w:val="24"/>
          <w:szCs w:val="24"/>
          <w:lang w:val="en-US" w:eastAsia="zh-CN" w:bidi="ar-SA"/>
        </w:rPr>
      </w:pPr>
    </w:p>
    <w:p w14:paraId="14163879">
      <w:pPr>
        <w:widowControl w:val="0"/>
        <w:jc w:val="both"/>
        <w:rPr>
          <w:rFonts w:ascii="宋体" w:hAnsi="宋体" w:eastAsia="宋体" w:cs="宋体"/>
          <w:b/>
          <w:color w:val="000000"/>
          <w:kern w:val="2"/>
          <w:sz w:val="24"/>
          <w:szCs w:val="24"/>
          <w:lang w:val="en-US" w:eastAsia="zh-CN" w:bidi="ar-SA"/>
        </w:rPr>
      </w:pPr>
    </w:p>
    <w:p w14:paraId="04FB5EC5">
      <w:pPr>
        <w:widowControl w:val="0"/>
        <w:jc w:val="both"/>
        <w:rPr>
          <w:rFonts w:ascii="宋体" w:hAnsi="宋体" w:eastAsia="宋体" w:cs="宋体"/>
          <w:b/>
          <w:color w:val="000000"/>
          <w:kern w:val="2"/>
          <w:sz w:val="24"/>
          <w:szCs w:val="24"/>
          <w:lang w:val="en-US" w:eastAsia="zh-CN" w:bidi="ar-SA"/>
        </w:rPr>
      </w:pPr>
    </w:p>
    <w:p w14:paraId="6A9896FC">
      <w:pPr>
        <w:keepNext/>
        <w:keepLines/>
        <w:widowControl w:val="0"/>
        <w:spacing w:before="0" w:after="260" w:line="360" w:lineRule="exact"/>
        <w:jc w:val="center"/>
        <w:outlineLvl w:val="0"/>
        <w:rPr>
          <w:rFonts w:ascii="宋体" w:hAnsi="宋体" w:eastAsia="宋体" w:cs="宋体"/>
          <w:b w:val="0"/>
          <w:bCs/>
          <w:color w:val="000000"/>
          <w:kern w:val="44"/>
          <w:sz w:val="24"/>
          <w:szCs w:val="24"/>
          <w:lang w:val="en-US" w:eastAsia="zh-CN" w:bidi="ar-SA"/>
        </w:rPr>
      </w:pPr>
      <w:r>
        <w:rPr>
          <w:rFonts w:hint="eastAsia" w:ascii="宋体" w:hAnsi="宋体" w:eastAsia="宋体" w:cs="宋体"/>
          <w:b w:val="0"/>
          <w:bCs/>
          <w:color w:val="000000"/>
          <w:kern w:val="44"/>
          <w:sz w:val="24"/>
          <w:szCs w:val="24"/>
          <w:lang w:val="en-US" w:eastAsia="zh-CN" w:bidi="ar-SA"/>
        </w:rPr>
        <w:t>第三部分 专用合同条款</w:t>
      </w:r>
      <w:bookmarkEnd w:id="666"/>
      <w:bookmarkEnd w:id="667"/>
      <w:bookmarkEnd w:id="668"/>
      <w:bookmarkEnd w:id="669"/>
      <w:bookmarkEnd w:id="670"/>
      <w:bookmarkEnd w:id="671"/>
      <w:bookmarkEnd w:id="672"/>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683EEBC4">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1442" w:name="_Toc256002593"/>
      <w:bookmarkStart w:id="1443" w:name="_Toc256003955"/>
      <w:bookmarkStart w:id="1444" w:name="_Toc256003047"/>
      <w:bookmarkStart w:id="1445" w:name="_Toc256003501"/>
      <w:bookmarkStart w:id="1446" w:name="_Toc256001912"/>
      <w:bookmarkStart w:id="1447" w:name="_Toc256001231"/>
      <w:bookmarkStart w:id="1448" w:name="_Toc256000777"/>
      <w:bookmarkStart w:id="1449" w:name="_Toc256000323"/>
      <w:bookmarkStart w:id="1450" w:name="_Toc256001458"/>
      <w:bookmarkStart w:id="1451" w:name="_Toc256000096"/>
      <w:bookmarkStart w:id="1452" w:name="_Toc256002820"/>
      <w:bookmarkStart w:id="1453" w:name="_Toc1281606529"/>
      <w:bookmarkStart w:id="1454" w:name="_Toc1742251250"/>
      <w:bookmarkStart w:id="1455" w:name="_Toc256003274"/>
      <w:bookmarkStart w:id="1456" w:name="_Toc256000550"/>
      <w:bookmarkStart w:id="1457" w:name="_Toc256002366"/>
      <w:bookmarkStart w:id="1458" w:name="_Toc256002139"/>
      <w:bookmarkStart w:id="1459" w:name="_Toc256001685"/>
      <w:bookmarkStart w:id="1460" w:name="_Toc256003728"/>
      <w:bookmarkStart w:id="1461" w:name="_Toc256001004"/>
      <w:r>
        <w:rPr>
          <w:rFonts w:hint="eastAsia" w:ascii="宋体" w:hAnsi="宋体" w:eastAsia="宋体" w:cs="宋体"/>
          <w:b w:val="0"/>
          <w:bCs/>
          <w:color w:val="000000"/>
          <w:kern w:val="2"/>
          <w:sz w:val="24"/>
          <w:szCs w:val="24"/>
          <w:lang w:val="en-US" w:eastAsia="zh-CN" w:bidi="ar-SA"/>
        </w:rPr>
        <w:t>1</w:t>
      </w:r>
      <w:bookmarkStart w:id="1462" w:name="_Toc296944495"/>
      <w:bookmarkStart w:id="1463" w:name="_Toc297048342"/>
      <w:bookmarkStart w:id="1464" w:name="_Toc292559866"/>
      <w:bookmarkStart w:id="1465" w:name="_Toc292559361"/>
      <w:bookmarkStart w:id="1466" w:name="_Toc297120456"/>
      <w:bookmarkStart w:id="1467" w:name="_Toc296347155"/>
      <w:bookmarkStart w:id="1468" w:name="_Toc296346657"/>
      <w:bookmarkStart w:id="1469" w:name="_Toc296891196"/>
      <w:bookmarkStart w:id="1470" w:name="_Toc296503156"/>
      <w:bookmarkStart w:id="1471" w:name="_Toc296890984"/>
      <w:r>
        <w:rPr>
          <w:rFonts w:hint="eastAsia" w:ascii="宋体" w:hAnsi="宋体" w:eastAsia="宋体" w:cs="宋体"/>
          <w:b w:val="0"/>
          <w:bCs/>
          <w:color w:val="000000"/>
          <w:kern w:val="2"/>
          <w:sz w:val="24"/>
          <w:szCs w:val="24"/>
          <w:lang w:val="en-US" w:eastAsia="zh-CN" w:bidi="ar-SA"/>
        </w:rPr>
        <w:t>. 一般约定</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bookmarkEnd w:id="1462"/>
    <w:bookmarkEnd w:id="1463"/>
    <w:bookmarkEnd w:id="1464"/>
    <w:bookmarkEnd w:id="1465"/>
    <w:bookmarkEnd w:id="1466"/>
    <w:bookmarkEnd w:id="1467"/>
    <w:bookmarkEnd w:id="1468"/>
    <w:bookmarkEnd w:id="1469"/>
    <w:bookmarkEnd w:id="1470"/>
    <w:bookmarkEnd w:id="1471"/>
    <w:p w14:paraId="50EA98EB">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472" w:name="_Toc256002367"/>
      <w:bookmarkStart w:id="1473" w:name="_Toc256000324"/>
      <w:bookmarkStart w:id="1474" w:name="_Toc256003048"/>
      <w:bookmarkStart w:id="1475" w:name="_Toc256001459"/>
      <w:bookmarkStart w:id="1476" w:name="_Toc28755"/>
      <w:bookmarkStart w:id="1477" w:name="_Toc276302670"/>
      <w:bookmarkStart w:id="1478" w:name="_Toc256003729"/>
      <w:bookmarkStart w:id="1479" w:name="_Toc256001232"/>
      <w:bookmarkStart w:id="1480" w:name="_Toc256003502"/>
      <w:bookmarkStart w:id="1481" w:name="_Toc256000551"/>
      <w:bookmarkStart w:id="1482" w:name="_Toc256002140"/>
      <w:bookmarkStart w:id="1483" w:name="_Toc256001913"/>
      <w:bookmarkStart w:id="1484" w:name="_Toc256001005"/>
      <w:bookmarkStart w:id="1485" w:name="_Toc256000097"/>
      <w:bookmarkStart w:id="1486" w:name="_Toc1772939203"/>
      <w:bookmarkStart w:id="1487" w:name="_Toc256002821"/>
      <w:bookmarkStart w:id="1488" w:name="_Toc256003275"/>
      <w:bookmarkStart w:id="1489" w:name="_Toc256001686"/>
      <w:bookmarkStart w:id="1490" w:name="_Toc256000778"/>
      <w:bookmarkStart w:id="1491" w:name="_Toc256003956"/>
      <w:bookmarkStart w:id="1492" w:name="_Toc256002594"/>
      <w:r>
        <w:rPr>
          <w:rFonts w:hint="eastAsia" w:ascii="宋体" w:hAnsi="宋体" w:eastAsia="宋体" w:cs="宋体"/>
          <w:color w:val="000000"/>
          <w:kern w:val="2"/>
          <w:sz w:val="24"/>
          <w:szCs w:val="24"/>
          <w:lang w:val="en-US" w:eastAsia="zh-CN" w:bidi="ar-SA"/>
        </w:rPr>
        <w:t>1.1 词语定义</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59949A7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bookmarkStart w:id="1493" w:name="_Toc27949"/>
      <w:bookmarkStart w:id="1494" w:name="_Toc29853"/>
      <w:bookmarkStart w:id="1495" w:name="_Toc2479"/>
      <w:r>
        <w:rPr>
          <w:rFonts w:hint="eastAsia" w:ascii="宋体" w:hAnsi="宋体" w:eastAsia="宋体" w:cs="宋体"/>
          <w:color w:val="000000"/>
          <w:kern w:val="0"/>
          <w:sz w:val="24"/>
          <w:szCs w:val="24"/>
          <w:lang w:val="en-US" w:eastAsia="zh-CN" w:bidi="ar-SA"/>
        </w:rPr>
        <w:t>本款修改1.1.2.4、1.1.2.5，补充1.1.3.11、</w:t>
      </w:r>
      <w:r>
        <w:rPr>
          <w:rFonts w:hint="eastAsia" w:ascii="宋体" w:hAnsi="宋体" w:eastAsia="宋体" w:cs="宋体"/>
          <w:color w:val="000000"/>
          <w:kern w:val="2"/>
          <w:sz w:val="24"/>
          <w:szCs w:val="24"/>
          <w:lang w:val="en-US" w:eastAsia="zh-CN" w:bidi="ar-SA"/>
        </w:rPr>
        <w:t>1.1.3.12、1.1.3.13</w:t>
      </w:r>
      <w:r>
        <w:rPr>
          <w:rFonts w:hint="eastAsia" w:ascii="宋体" w:hAnsi="宋体" w:eastAsia="宋体" w:cs="宋体"/>
          <w:color w:val="000000"/>
          <w:kern w:val="0"/>
          <w:sz w:val="24"/>
          <w:szCs w:val="24"/>
          <w:lang w:val="en-US" w:eastAsia="zh-CN" w:bidi="ar-SA"/>
        </w:rPr>
        <w:t>、1.1.4.8。</w:t>
      </w:r>
      <w:bookmarkEnd w:id="1493"/>
      <w:bookmarkEnd w:id="1494"/>
      <w:bookmarkEnd w:id="1495"/>
    </w:p>
    <w:p w14:paraId="0D6A42F2">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1.1.1合同</w:t>
      </w:r>
    </w:p>
    <w:p w14:paraId="0168490A">
      <w:pPr>
        <w:widowControl w:val="0"/>
        <w:autoSpaceDE w:val="0"/>
        <w:autoSpaceDN w:val="0"/>
        <w:adjustRightInd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1.1.1.10 合同文件包括：（1）中标通知书；（2）投标函及其附录； （3）专用合同条款及其附件；（4）通用合同条款；（5）技术标准和要求；（6）图纸；（7）已标价工程量清单或预算书；（8）其他合同文件。</w:t>
      </w:r>
    </w:p>
    <w:p w14:paraId="19D4827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 合同当事人及其他相关方</w:t>
      </w:r>
    </w:p>
    <w:p w14:paraId="639B63E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1.1.2.4 监理人和总监理工程师：</w:t>
      </w:r>
    </w:p>
    <w:p w14:paraId="071118AA">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名    称：；</w:t>
      </w:r>
    </w:p>
    <w:p w14:paraId="3C6ECAC9">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资质类别和等级：；</w:t>
      </w:r>
    </w:p>
    <w:p w14:paraId="6BBD4153">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总监理工程师姓名：；联系电话：；</w:t>
      </w:r>
    </w:p>
    <w:p w14:paraId="77BC4A15">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总监理工程师执业资格证书号：；</w:t>
      </w:r>
    </w:p>
    <w:p w14:paraId="430D1908">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电子信箱： ；</w:t>
      </w:r>
    </w:p>
    <w:p w14:paraId="71D17906">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通信地址：。</w:t>
      </w:r>
    </w:p>
    <w:p w14:paraId="2C2191A7">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1.1.2.5 设计人和设计项目负责人： </w:t>
      </w:r>
    </w:p>
    <w:p w14:paraId="2AEFD783">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名    称：；</w:t>
      </w:r>
    </w:p>
    <w:p w14:paraId="6D768301">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资质类别和等级：；</w:t>
      </w:r>
    </w:p>
    <w:p w14:paraId="45DE5F0A">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项目负责人姓名：；联系电话：；</w:t>
      </w:r>
    </w:p>
    <w:p w14:paraId="2201C85E">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电子信箱：；</w:t>
      </w:r>
    </w:p>
    <w:p w14:paraId="4C6BF313">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通信地址：。</w:t>
      </w:r>
    </w:p>
    <w:p w14:paraId="639C958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 工程和设备</w:t>
      </w:r>
    </w:p>
    <w:p w14:paraId="43F62A1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1.1.3.7 作为施工现场组成部分的其他场所包括：无。</w:t>
      </w:r>
    </w:p>
    <w:p w14:paraId="3D5FF1A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1.1.3.9 永久占地包括：无。</w:t>
      </w:r>
    </w:p>
    <w:p w14:paraId="5BF6BB5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1.1.3.10 临时占地包括： 施工场地周围道路。</w:t>
      </w:r>
    </w:p>
    <w:p w14:paraId="1CB7665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14:paraId="5C1C5F0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1.1.3.12 绿化工程：是指树木、花卉、草坪、地被植物等的种植工程。</w:t>
      </w:r>
    </w:p>
    <w:p w14:paraId="7B90058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1.1.3.13 绿化养护：是指对绿地内植物采取的整形修剪、松土除草、灌溉与排水、施肥、有害生物防治、改植与补植、绿地防护（如防台风、防寒）等技术措施。</w:t>
      </w:r>
    </w:p>
    <w:p w14:paraId="605A64E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 日期和期限</w:t>
      </w:r>
    </w:p>
    <w:p w14:paraId="56359763">
      <w:pPr>
        <w:widowControl w:val="0"/>
        <w:spacing w:line="400" w:lineRule="exact"/>
        <w:ind w:firstLine="480" w:firstLineChars="200"/>
        <w:jc w:val="both"/>
        <w:rPr>
          <w:rFonts w:ascii="宋体" w:hAnsi="宋体" w:eastAsia="宋体" w:cs="宋体"/>
          <w:b/>
          <w:bCs/>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1.1.4.8 绿化养护期：是指承包人按照合同约定进行绿化养护的期限，从工程竣工验收合格之日起计算。绿化养护期12个月。</w:t>
      </w:r>
    </w:p>
    <w:p w14:paraId="67054E33">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496" w:name="_Toc256002141"/>
      <w:bookmarkStart w:id="1497" w:name="_Toc256002822"/>
      <w:bookmarkStart w:id="1498" w:name="_Toc256003957"/>
      <w:bookmarkStart w:id="1499" w:name="_Toc28173"/>
      <w:bookmarkStart w:id="1500" w:name="_Toc256002595"/>
      <w:bookmarkStart w:id="1501" w:name="_Toc256001687"/>
      <w:bookmarkStart w:id="1502" w:name="_Toc256001006"/>
      <w:bookmarkStart w:id="1503" w:name="_Toc256003503"/>
      <w:bookmarkStart w:id="1504" w:name="_Toc256003049"/>
      <w:bookmarkStart w:id="1505" w:name="_Toc256003730"/>
      <w:bookmarkStart w:id="1506" w:name="_Toc256001914"/>
      <w:bookmarkStart w:id="1507" w:name="_Toc256001233"/>
      <w:bookmarkStart w:id="1508" w:name="_Toc256000552"/>
      <w:bookmarkStart w:id="1509" w:name="_Toc256000325"/>
      <w:bookmarkStart w:id="1510" w:name="_Toc256003276"/>
      <w:bookmarkStart w:id="1511" w:name="_Toc256000098"/>
      <w:bookmarkStart w:id="1512" w:name="_Toc859792571"/>
      <w:bookmarkStart w:id="1513" w:name="_Toc256002368"/>
      <w:bookmarkStart w:id="1514" w:name="_Toc256001460"/>
      <w:bookmarkStart w:id="1515" w:name="_Toc857078921"/>
      <w:bookmarkStart w:id="1516" w:name="_Toc256000779"/>
      <w:r>
        <w:rPr>
          <w:rFonts w:hint="eastAsia" w:ascii="宋体" w:hAnsi="宋体" w:eastAsia="宋体" w:cs="宋体"/>
          <w:color w:val="000000"/>
          <w:kern w:val="2"/>
          <w:sz w:val="24"/>
          <w:szCs w:val="24"/>
          <w:lang w:val="en-US" w:eastAsia="zh-CN" w:bidi="ar-SA"/>
        </w:rPr>
        <w:t>1.3 法律</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3896201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适用于合同的法律法规文件</w:t>
      </w:r>
      <w:bookmarkStart w:id="1517" w:name="_Toc20831"/>
      <w:bookmarkStart w:id="1518" w:name="_Toc1028117936"/>
      <w:bookmarkStart w:id="1519" w:name="_Toc1984547573"/>
      <w:r>
        <w:rPr>
          <w:rFonts w:hint="eastAsia" w:ascii="宋体" w:hAnsi="宋体" w:eastAsia="宋体" w:cs="宋体"/>
          <w:color w:val="000000"/>
          <w:kern w:val="2"/>
          <w:sz w:val="24"/>
          <w:szCs w:val="24"/>
          <w:lang w:val="en-US" w:eastAsia="zh-CN" w:bidi="ar-SA"/>
        </w:rPr>
        <w:t>《中华人民共和国民法典》、《中华人民共和国建筑法》、《中华人民共和国招标投标法》、《建设工程质量管理条例》等。</w:t>
      </w:r>
    </w:p>
    <w:p w14:paraId="74F7793C">
      <w:pPr>
        <w:widowControl w:val="0"/>
        <w:autoSpaceDE w:val="0"/>
        <w:autoSpaceDN w:val="0"/>
        <w:adjustRightInd w:val="0"/>
        <w:spacing w:line="400" w:lineRule="exact"/>
        <w:ind w:left="596" w:leftChars="284"/>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 标准和规范</w:t>
      </w:r>
      <w:bookmarkEnd w:id="1517"/>
      <w:bookmarkEnd w:id="1518"/>
      <w:bookmarkEnd w:id="1519"/>
    </w:p>
    <w:p w14:paraId="7881C110">
      <w:pPr>
        <w:widowControl w:val="0"/>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本款修改1.4.1、1.4.2。</w:t>
      </w:r>
    </w:p>
    <w:p w14:paraId="434A7CAD">
      <w:pPr>
        <w:widowControl w:val="0"/>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1.4.1适用于工程的标准规范包括：</w:t>
      </w:r>
    </w:p>
    <w:p w14:paraId="0DFB0103">
      <w:pPr>
        <w:widowControl/>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园林绿化工程施工及验收规范（CJJ82）；</w:t>
      </w:r>
    </w:p>
    <w:p w14:paraId="787E2D0C">
      <w:pPr>
        <w:widowControl w:val="0"/>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园林绿化养护标准（CJJ/T287）；</w:t>
      </w:r>
    </w:p>
    <w:p w14:paraId="6DBB6E7E">
      <w:pPr>
        <w:widowControl w:val="0"/>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建设工程工程量清单计价规范（GB50500）；</w:t>
      </w:r>
    </w:p>
    <w:p w14:paraId="5D9F4163">
      <w:pPr>
        <w:widowControl w:val="0"/>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园林绿化工程工程量计算规范（GB50858）；</w:t>
      </w:r>
    </w:p>
    <w:p w14:paraId="09A7BE6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与园林绿化行业相关的行业标准、地方标准：</w:t>
      </w:r>
      <w:bookmarkStart w:id="1520" w:name="_Toc29821"/>
      <w:bookmarkStart w:id="1521" w:name="_Toc1033"/>
      <w:bookmarkStart w:id="1522" w:name="_Toc2729"/>
      <w:r>
        <w:rPr>
          <w:rFonts w:hint="eastAsia" w:ascii="宋体" w:hAnsi="宋体" w:eastAsia="宋体" w:cs="宋体"/>
          <w:color w:val="000000"/>
          <w:kern w:val="2"/>
          <w:sz w:val="24"/>
          <w:szCs w:val="24"/>
          <w:lang w:val="en-US" w:eastAsia="zh-CN" w:bidi="ar-SA"/>
        </w:rPr>
        <w:t>本项目应按国家颁发的有关规范、标准及省、市有关规定设计及施工。除非合同中另有规定，施工所用的规范及标准须采用最新版本，如以上规范、标准出现冲突，以最严格的为准。如遇设计或施工规范和标准对同一问题的处理出现相互矛盾的情况时，承包人应及时通知监理工程师，并提出解决办法，征得监理工程师和发包人的</w:t>
      </w:r>
      <w:r>
        <w:rPr>
          <w:rFonts w:hint="eastAsia" w:ascii="宋体" w:hAnsi="宋体" w:eastAsia="宋体" w:cs="宋体"/>
          <w:color w:val="FF0000"/>
          <w:kern w:val="2"/>
          <w:sz w:val="24"/>
          <w:szCs w:val="24"/>
          <w:lang w:val="en-US" w:eastAsia="zh-CN" w:bidi="ar-SA"/>
        </w:rPr>
        <w:t>书面</w:t>
      </w:r>
      <w:r>
        <w:rPr>
          <w:rFonts w:hint="eastAsia" w:ascii="宋体" w:hAnsi="宋体" w:eastAsia="宋体" w:cs="宋体"/>
          <w:color w:val="000000"/>
          <w:kern w:val="2"/>
          <w:sz w:val="24"/>
          <w:szCs w:val="24"/>
          <w:lang w:val="en-US" w:eastAsia="zh-CN" w:bidi="ar-SA"/>
        </w:rPr>
        <w:t xml:space="preserve">同意后实施。 </w:t>
      </w:r>
    </w:p>
    <w:p w14:paraId="54B8CA4B">
      <w:pPr>
        <w:widowControl w:val="0"/>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1.4.2 发包人提供国外标准、规范的名称：</w:t>
      </w:r>
      <w:bookmarkEnd w:id="1520"/>
      <w:bookmarkEnd w:id="1521"/>
      <w:bookmarkEnd w:id="1522"/>
      <w:r>
        <w:rPr>
          <w:rFonts w:hint="eastAsia" w:ascii="宋体" w:hAnsi="宋体" w:eastAsia="宋体" w:cs="宋体"/>
          <w:color w:val="000000"/>
          <w:kern w:val="2"/>
          <w:sz w:val="24"/>
          <w:szCs w:val="24"/>
          <w:lang w:val="en-US" w:eastAsia="zh-CN" w:bidi="ar-SA"/>
        </w:rPr>
        <w:t xml:space="preserve"> 无 。</w:t>
      </w:r>
    </w:p>
    <w:p w14:paraId="4DC19C2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发包人提供国外标准、规范的份数：无。</w:t>
      </w:r>
    </w:p>
    <w:p w14:paraId="6EADDDF7">
      <w:pPr>
        <w:widowControl w:val="0"/>
        <w:spacing w:line="400" w:lineRule="exact"/>
        <w:ind w:left="596" w:leftChars="284"/>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1.4.3 发包人对工程的技术标准和功能要求的特殊要求：无。</w:t>
      </w:r>
    </w:p>
    <w:p w14:paraId="00A4E097">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523" w:name="_Toc256002369"/>
      <w:bookmarkStart w:id="1524" w:name="_Toc498019564"/>
      <w:bookmarkStart w:id="1525" w:name="_Toc256003731"/>
      <w:bookmarkStart w:id="1526" w:name="_Toc256002596"/>
      <w:bookmarkStart w:id="1527" w:name="_Toc256001688"/>
      <w:bookmarkStart w:id="1528" w:name="_Toc256001461"/>
      <w:bookmarkStart w:id="1529" w:name="_Toc256003958"/>
      <w:bookmarkStart w:id="1530" w:name="_Toc256002142"/>
      <w:bookmarkStart w:id="1531" w:name="_Toc659781100"/>
      <w:bookmarkStart w:id="1532" w:name="_Toc256001915"/>
      <w:bookmarkStart w:id="1533" w:name="_Toc256003504"/>
      <w:bookmarkStart w:id="1534" w:name="_Toc256000780"/>
      <w:bookmarkStart w:id="1535" w:name="_Toc256000326"/>
      <w:bookmarkStart w:id="1536" w:name="_Toc256001234"/>
      <w:bookmarkStart w:id="1537" w:name="_Toc256003050"/>
      <w:bookmarkStart w:id="1538" w:name="_Toc21978"/>
      <w:bookmarkStart w:id="1539" w:name="_Toc256000553"/>
      <w:bookmarkStart w:id="1540" w:name="_Toc256001007"/>
      <w:bookmarkStart w:id="1541" w:name="_Toc256003277"/>
      <w:bookmarkStart w:id="1542" w:name="_Toc256002823"/>
      <w:bookmarkStart w:id="1543" w:name="_Toc256000099"/>
      <w:r>
        <w:rPr>
          <w:rFonts w:hint="eastAsia" w:ascii="宋体" w:hAnsi="宋体" w:eastAsia="宋体" w:cs="宋体"/>
          <w:color w:val="000000"/>
          <w:kern w:val="2"/>
          <w:sz w:val="24"/>
          <w:szCs w:val="24"/>
          <w:lang w:val="en-US" w:eastAsia="zh-CN" w:bidi="ar-SA"/>
        </w:rPr>
        <w:t>1.5 合同文件的优先顺序</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0556538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文件组成及优先顺序为：（1）施工合同协议书；（2）中标通知书；（3）专用条款；（4）招标文件、投标书及其附件；（5）通用条款；（6）标准、规范及有关技术资料；（7）图纸；（8）工程量清单；（9）工程报价单或预算书。</w:t>
      </w:r>
    </w:p>
    <w:p w14:paraId="5B175D8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1.5.1 对于同一类合同文件，以其最新版本或最新颁发者为准；</w:t>
      </w:r>
    </w:p>
    <w:p w14:paraId="59D745A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1.5.2如果合同出现模糊、矛盾或不一致之处（本合同另有约定的除外），以发包人的解释和澄清为准。</w:t>
      </w:r>
    </w:p>
    <w:p w14:paraId="5B0089B4">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544" w:name="_Toc256000554"/>
      <w:bookmarkStart w:id="1545" w:name="_Toc256002143"/>
      <w:bookmarkStart w:id="1546" w:name="_Toc256001462"/>
      <w:bookmarkStart w:id="1547" w:name="_Toc256002824"/>
      <w:bookmarkStart w:id="1548" w:name="_Toc256001916"/>
      <w:bookmarkStart w:id="1549" w:name="_Toc256001689"/>
      <w:bookmarkStart w:id="1550" w:name="_Toc256003278"/>
      <w:bookmarkStart w:id="1551" w:name="_Toc1984271900"/>
      <w:bookmarkStart w:id="1552" w:name="_Toc12618"/>
      <w:bookmarkStart w:id="1553" w:name="_Toc256000781"/>
      <w:bookmarkStart w:id="1554" w:name="_Toc256000100"/>
      <w:bookmarkStart w:id="1555" w:name="_Toc256003732"/>
      <w:bookmarkStart w:id="1556" w:name="_Toc256001235"/>
      <w:bookmarkStart w:id="1557" w:name="_Toc256001008"/>
      <w:bookmarkStart w:id="1558" w:name="_Toc256002597"/>
      <w:bookmarkStart w:id="1559" w:name="_Toc256003505"/>
      <w:bookmarkStart w:id="1560" w:name="_Toc1088158122"/>
      <w:bookmarkStart w:id="1561" w:name="_Toc256003959"/>
      <w:bookmarkStart w:id="1562" w:name="_Toc256003051"/>
      <w:bookmarkStart w:id="1563" w:name="_Toc256002370"/>
      <w:bookmarkStart w:id="1564" w:name="_Toc256000327"/>
      <w:bookmarkStart w:id="1565" w:name="_Toc256002234"/>
      <w:bookmarkStart w:id="1566" w:name="_Toc256003596"/>
      <w:bookmarkStart w:id="1567" w:name="_Toc256003142"/>
      <w:bookmarkStart w:id="1568" w:name="_Toc256001326"/>
      <w:bookmarkStart w:id="1569" w:name="_Toc256002007"/>
      <w:bookmarkStart w:id="1570" w:name="_Toc256000418"/>
      <w:bookmarkStart w:id="1571" w:name="_Toc256000645"/>
      <w:bookmarkStart w:id="1572" w:name="_Toc256002688"/>
      <w:bookmarkStart w:id="1573" w:name="_Toc14607"/>
      <w:bookmarkStart w:id="1574" w:name="_Toc256002461"/>
      <w:bookmarkStart w:id="1575" w:name="_Toc256002915"/>
      <w:bookmarkStart w:id="1576" w:name="_Toc256003369"/>
      <w:bookmarkStart w:id="1577" w:name="_Toc256001780"/>
      <w:bookmarkStart w:id="1578" w:name="_Toc256003823"/>
      <w:bookmarkStart w:id="1579" w:name="_Toc256001553"/>
      <w:bookmarkStart w:id="1580" w:name="_Toc256000872"/>
      <w:bookmarkStart w:id="1581" w:name="_Toc256001099"/>
      <w:bookmarkStart w:id="1582" w:name="_Toc256000191"/>
      <w:bookmarkStart w:id="1583" w:name="_Toc256004050"/>
      <w:bookmarkStart w:id="1584" w:name="_Toc18712"/>
      <w:r>
        <w:rPr>
          <w:rFonts w:hint="eastAsia" w:ascii="宋体" w:hAnsi="宋体" w:eastAsia="宋体" w:cs="宋体"/>
          <w:color w:val="000000"/>
          <w:kern w:val="2"/>
          <w:sz w:val="24"/>
          <w:szCs w:val="24"/>
          <w:lang w:val="en-US" w:eastAsia="zh-CN" w:bidi="ar-SA"/>
        </w:rPr>
        <w:t>1.6 图纸和承包人文件</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r>
        <w:rPr>
          <w:rFonts w:hint="eastAsia" w:ascii="宋体" w:hAnsi="宋体" w:eastAsia="宋体" w:cs="宋体"/>
          <w:color w:val="000000"/>
          <w:kern w:val="2"/>
          <w:sz w:val="24"/>
          <w:szCs w:val="24"/>
          <w:lang w:val="en-US" w:eastAsia="zh-CN" w:bidi="ar-SA"/>
        </w:rPr>
        <w:tab/>
      </w:r>
    </w:p>
    <w:p w14:paraId="4FA8242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 图纸的提供</w:t>
      </w:r>
    </w:p>
    <w:p w14:paraId="11E0F83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发包人向承包人提供图纸的期限： 开工前 ；</w:t>
      </w:r>
    </w:p>
    <w:p w14:paraId="7D16CC6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发包人向承包人提供图纸的数量：提供全套施工图叁套；</w:t>
      </w:r>
    </w:p>
    <w:p w14:paraId="75AF304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发包人向承包人提供图纸的内容：招标范围内各专业。</w:t>
      </w:r>
    </w:p>
    <w:p w14:paraId="0051308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对图纸的保密要求：承包人对资料保管不当、遗失、转借他人、复制等原因造成泄密后果，发包人对此保留终生追究的权利。承包人对资料保管不善导致泄密的，应承担违约金每次10000元，并赔偿由此给发包人造成的损失，包括但不限于直接或间接损失。</w:t>
      </w:r>
    </w:p>
    <w:p w14:paraId="52B780B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1.6.4 承包人文件</w:t>
      </w:r>
    </w:p>
    <w:p w14:paraId="53C0E158">
      <w:pPr>
        <w:widowControl w:val="0"/>
        <w:spacing w:line="400" w:lineRule="exact"/>
        <w:ind w:left="596" w:leftChars="284"/>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需要由承包人提供的文件，包括：</w:t>
      </w:r>
      <w:r>
        <w:rPr>
          <w:rFonts w:hint="eastAsia" w:ascii="宋体" w:hAnsi="宋体" w:eastAsia="宋体" w:cs="宋体"/>
          <w:color w:val="000000"/>
          <w:kern w:val="2"/>
          <w:sz w:val="24"/>
          <w:szCs w:val="24"/>
          <w:u w:val="single"/>
          <w:lang w:val="en-US" w:eastAsia="zh-CN" w:bidi="ar-SA"/>
        </w:rPr>
        <w:t>施工组织方案、施工总进度计划、项目部组成人员等，及其他发包人、监理人所需材料；</w:t>
      </w:r>
    </w:p>
    <w:p w14:paraId="17DF579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承包人提供的文件的期限为：                         ；</w:t>
      </w:r>
    </w:p>
    <w:p w14:paraId="103541E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承包人提供的文件的数量为：                         ；</w:t>
      </w:r>
    </w:p>
    <w:p w14:paraId="1F8BB9A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承包人提供的文件的形式为：                         ；</w:t>
      </w:r>
    </w:p>
    <w:p w14:paraId="2DD3561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发包人审批承包人文件的期限：                       。</w:t>
      </w:r>
    </w:p>
    <w:p w14:paraId="33B5375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1.6.5 现场图纸准备</w:t>
      </w:r>
    </w:p>
    <w:p w14:paraId="5BEF98C5">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关于现场图纸准备的约定：</w:t>
      </w:r>
      <w:r>
        <w:rPr>
          <w:rFonts w:hint="eastAsia" w:ascii="宋体" w:hAnsi="宋体" w:eastAsia="宋体" w:cs="宋体"/>
          <w:color w:val="000000"/>
          <w:kern w:val="2"/>
          <w:sz w:val="24"/>
          <w:szCs w:val="24"/>
          <w:u w:val="single"/>
          <w:lang w:val="en-US" w:eastAsia="zh-CN" w:bidi="ar-SA"/>
        </w:rPr>
        <w:t>承包人应在现场保存一套完整的图纸和承包人文件，供发包人、监理人及有关人员进行工程检查时使用。</w:t>
      </w:r>
    </w:p>
    <w:p w14:paraId="4ACF3E59">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585" w:name="_Toc256001236"/>
      <w:bookmarkStart w:id="1586" w:name="_Toc256000101"/>
      <w:bookmarkStart w:id="1587" w:name="_Toc280711937"/>
      <w:bookmarkStart w:id="1588" w:name="_Toc256002598"/>
      <w:bookmarkStart w:id="1589" w:name="_Toc13200089"/>
      <w:bookmarkStart w:id="1590" w:name="_Toc256000555"/>
      <w:bookmarkStart w:id="1591" w:name="_Toc256001463"/>
      <w:bookmarkStart w:id="1592" w:name="_Toc256003279"/>
      <w:bookmarkStart w:id="1593" w:name="_Toc256000782"/>
      <w:bookmarkStart w:id="1594" w:name="_Toc256003052"/>
      <w:bookmarkStart w:id="1595" w:name="_Toc256000328"/>
      <w:bookmarkStart w:id="1596" w:name="_Toc256001917"/>
      <w:bookmarkStart w:id="1597" w:name="_Toc256001009"/>
      <w:bookmarkStart w:id="1598" w:name="_Toc256001690"/>
      <w:bookmarkStart w:id="1599" w:name="_Toc256003506"/>
      <w:bookmarkStart w:id="1600" w:name="_Toc256003733"/>
      <w:bookmarkStart w:id="1601" w:name="_Toc256002371"/>
      <w:bookmarkStart w:id="1602" w:name="_Toc256002144"/>
      <w:bookmarkStart w:id="1603" w:name="_Toc256003960"/>
      <w:bookmarkStart w:id="1604" w:name="_Toc256002825"/>
      <w:bookmarkStart w:id="1605" w:name="_Toc18371"/>
      <w:r>
        <w:rPr>
          <w:rFonts w:hint="eastAsia" w:ascii="宋体" w:hAnsi="宋体" w:eastAsia="宋体" w:cs="宋体"/>
          <w:color w:val="000000"/>
          <w:kern w:val="2"/>
          <w:sz w:val="24"/>
          <w:szCs w:val="24"/>
          <w:lang w:val="en-US" w:eastAsia="zh-CN" w:bidi="ar-SA"/>
        </w:rPr>
        <w:t>1.7 联络</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5ACA746C">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1.7.1 发包人和承包人应当在</w:t>
      </w:r>
      <w:r>
        <w:rPr>
          <w:rFonts w:hint="eastAsia" w:ascii="宋体" w:hAnsi="宋体" w:eastAsia="宋体" w:cs="宋体"/>
          <w:color w:val="000000"/>
          <w:kern w:val="2"/>
          <w:sz w:val="24"/>
          <w:szCs w:val="24"/>
          <w:u w:val="single"/>
          <w:lang w:val="en-US" w:eastAsia="zh-CN" w:bidi="ar-SA"/>
        </w:rPr>
        <w:t xml:space="preserve"> 3 </w:t>
      </w:r>
      <w:r>
        <w:rPr>
          <w:rFonts w:hint="eastAsia" w:ascii="宋体" w:hAnsi="宋体" w:eastAsia="宋体" w:cs="宋体"/>
          <w:color w:val="000000"/>
          <w:kern w:val="2"/>
          <w:sz w:val="24"/>
          <w:szCs w:val="24"/>
          <w:lang w:val="en-US" w:eastAsia="zh-CN" w:bidi="ar-SA"/>
        </w:rPr>
        <w:t>天内将与合同有关的通知、批准、证明、证书、指示、指令、要求、请求、同意、意见、确</w:t>
      </w:r>
      <w:r>
        <w:rPr>
          <w:rFonts w:hint="eastAsia" w:ascii="宋体" w:hAnsi="宋体" w:eastAsia="宋体" w:cs="宋体"/>
          <w:color w:val="000000"/>
          <w:kern w:val="0"/>
          <w:sz w:val="24"/>
          <w:szCs w:val="24"/>
          <w:lang w:val="en-US" w:eastAsia="zh-CN" w:bidi="ar-SA"/>
        </w:rPr>
        <w:t>定和决定等书面函件送达对方当事人。承包人接收文件的时间需在通知后24小时内，若超过此时间未接收，发包人发出的通知或文件视为已经送达，由此造成的所有损失由承包人承担。</w:t>
      </w:r>
    </w:p>
    <w:p w14:paraId="2284BD2B">
      <w:pPr>
        <w:spacing w:line="360" w:lineRule="exact"/>
        <w:ind w:firstLine="480" w:firstLineChars="200"/>
        <w:rPr>
          <w:rFonts w:ascii="宋体" w:hAnsi="宋体" w:cs="宋体"/>
          <w:color w:val="000000"/>
          <w:kern w:val="0"/>
          <w:sz w:val="24"/>
        </w:rPr>
      </w:pPr>
      <w:bookmarkStart w:id="1606" w:name="_Toc256000329"/>
      <w:bookmarkStart w:id="1607" w:name="_Toc256003053"/>
      <w:bookmarkStart w:id="1608" w:name="_Toc256001918"/>
      <w:bookmarkStart w:id="1609" w:name="_Toc256003280"/>
      <w:bookmarkStart w:id="1610" w:name="_Toc256003734"/>
      <w:bookmarkStart w:id="1611" w:name="_Toc256001237"/>
      <w:bookmarkStart w:id="1612" w:name="_Toc256003507"/>
      <w:bookmarkStart w:id="1613" w:name="_Toc256000783"/>
      <w:bookmarkStart w:id="1614" w:name="_Toc1289155066"/>
      <w:bookmarkStart w:id="1615" w:name="_Toc256001691"/>
      <w:bookmarkStart w:id="1616" w:name="_Toc256002826"/>
      <w:bookmarkStart w:id="1617" w:name="_Toc256002599"/>
      <w:bookmarkStart w:id="1618" w:name="_Toc256003961"/>
      <w:bookmarkStart w:id="1619" w:name="_Toc1023515055"/>
      <w:bookmarkStart w:id="1620" w:name="_Toc256002372"/>
      <w:bookmarkStart w:id="1621" w:name="_Toc256001464"/>
      <w:bookmarkStart w:id="1622" w:name="_Toc8108"/>
      <w:bookmarkStart w:id="1623" w:name="_Toc256000102"/>
      <w:bookmarkStart w:id="1624" w:name="_Toc256002145"/>
      <w:bookmarkStart w:id="1625" w:name="_Toc256001010"/>
      <w:bookmarkStart w:id="1626" w:name="_Toc256000556"/>
      <w:r>
        <w:rPr>
          <w:rFonts w:hint="eastAsia" w:ascii="宋体" w:hAnsi="宋体" w:cs="宋体"/>
          <w:color w:val="000000"/>
          <w:kern w:val="0"/>
          <w:sz w:val="24"/>
        </w:rPr>
        <w:t>1.7.2 发包人接收文件的地点：</w:t>
      </w:r>
      <w:r>
        <w:rPr>
          <w:rFonts w:hint="eastAsia" w:ascii="宋体" w:hAnsi="宋体" w:cs="宋体"/>
          <w:color w:val="000000"/>
          <w:sz w:val="24"/>
          <w:u w:val="single"/>
        </w:rPr>
        <w:t xml:space="preserve"> 南京市文体路56号十楼</w:t>
      </w:r>
      <w:r>
        <w:rPr>
          <w:rFonts w:hint="eastAsia" w:ascii="宋体" w:hAnsi="宋体" w:cs="宋体"/>
          <w:color w:val="000000"/>
          <w:kern w:val="0"/>
          <w:sz w:val="24"/>
        </w:rPr>
        <w:t>；</w:t>
      </w:r>
    </w:p>
    <w:p w14:paraId="2D650FA1">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发包人指定的接收人为：</w:t>
      </w:r>
      <w:r>
        <w:rPr>
          <w:rFonts w:hint="eastAsia" w:ascii="宋体" w:hAnsi="宋体" w:cs="宋体"/>
          <w:color w:val="000000"/>
          <w:sz w:val="24"/>
          <w:u w:val="single"/>
        </w:rPr>
        <w:t>发包人项目经理或发包人其他工作人员</w:t>
      </w:r>
      <w:r>
        <w:rPr>
          <w:rFonts w:hint="eastAsia" w:ascii="宋体" w:hAnsi="宋体" w:cs="宋体"/>
          <w:color w:val="000000"/>
          <w:kern w:val="0"/>
          <w:sz w:val="24"/>
        </w:rPr>
        <w:t>。</w:t>
      </w:r>
    </w:p>
    <w:p w14:paraId="0BDF7CB5">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承包人接收文件的地点：；</w:t>
      </w:r>
    </w:p>
    <w:p w14:paraId="2D061103">
      <w:pPr>
        <w:spacing w:line="36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承包人指定的接收人为：</w:t>
      </w:r>
      <w:r>
        <w:rPr>
          <w:rFonts w:hint="eastAsia" w:ascii="宋体" w:hAnsi="宋体" w:cs="宋体"/>
          <w:color w:val="000000"/>
          <w:kern w:val="0"/>
          <w:sz w:val="24"/>
          <w:u w:val="single"/>
        </w:rPr>
        <w:t xml:space="preserve">                                  。</w:t>
      </w:r>
    </w:p>
    <w:p w14:paraId="2ABF35C3">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监理人接收文件的地点：；</w:t>
      </w:r>
    </w:p>
    <w:p w14:paraId="30D12DC7">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监理人指定的接收人为：。</w:t>
      </w:r>
    </w:p>
    <w:p w14:paraId="0272EA97">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 交通运输</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18A213E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bookmarkStart w:id="1627" w:name="_Toc17087"/>
      <w:bookmarkStart w:id="1628" w:name="_Toc8013"/>
      <w:bookmarkStart w:id="1629" w:name="_Toc9787"/>
      <w:r>
        <w:rPr>
          <w:rFonts w:hint="eastAsia" w:ascii="宋体" w:hAnsi="宋体" w:eastAsia="宋体" w:cs="宋体"/>
          <w:color w:val="000000"/>
          <w:kern w:val="2"/>
          <w:sz w:val="24"/>
          <w:szCs w:val="24"/>
          <w:lang w:val="en-US" w:eastAsia="zh-CN" w:bidi="ar-SA"/>
        </w:rPr>
        <w:t>1</w:t>
      </w:r>
      <w:bookmarkStart w:id="1630" w:name="_Toc312677986"/>
      <w:bookmarkStart w:id="1631" w:name="_Toc300934943"/>
      <w:bookmarkStart w:id="1632" w:name="_Toc303539100"/>
      <w:bookmarkStart w:id="1633" w:name="_Toc318581155"/>
      <w:bookmarkStart w:id="1634" w:name="_Toc304295521"/>
      <w:r>
        <w:rPr>
          <w:rFonts w:hint="eastAsia" w:ascii="宋体" w:hAnsi="宋体" w:eastAsia="宋体" w:cs="宋体"/>
          <w:color w:val="000000"/>
          <w:kern w:val="2"/>
          <w:sz w:val="24"/>
          <w:szCs w:val="24"/>
          <w:lang w:val="en-US" w:eastAsia="zh-CN" w:bidi="ar-SA"/>
        </w:rPr>
        <w:t>.10.1 出入现场的权利</w:t>
      </w:r>
      <w:bookmarkEnd w:id="1627"/>
      <w:bookmarkEnd w:id="1628"/>
      <w:bookmarkEnd w:id="1629"/>
    </w:p>
    <w:p w14:paraId="4A10018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关于出入现场的权利的约定：</w:t>
      </w:r>
      <w:r>
        <w:rPr>
          <w:rFonts w:hint="eastAsia" w:ascii="宋体" w:hAnsi="宋体" w:eastAsia="宋体" w:cs="宋体"/>
          <w:color w:val="000000"/>
          <w:kern w:val="2"/>
          <w:sz w:val="24"/>
          <w:szCs w:val="24"/>
          <w:u w:val="single"/>
          <w:lang w:val="en-US" w:eastAsia="zh-CN" w:bidi="ar-SA"/>
        </w:rPr>
        <w:t>承包人项目组成员以及项目施工人员，其中施工人员应当按发包人格式文档要求登记造册报监理及发包人审核留存，对施工中增加的人员应及时补登记，只有登记造册的项目施工人员（至发包人驻现场项目部办理出入证胸牌后）方可进入施工现场，其他无关人员一律不能进入施工现场，否则由此而产生的后果由承包人自行负责，如在实际过程中，承包人拒绝承担责任而使发包人承担责任的，或承包人因此给发包人造成其它损害的，由此产生的一切责任包括但不限于代理费、公证费、鉴定费、诉讼费等由承包人承担，上述费用，发包人有权在应付工程款中直接扣除。</w:t>
      </w:r>
    </w:p>
    <w:bookmarkEnd w:id="1630"/>
    <w:bookmarkEnd w:id="1631"/>
    <w:bookmarkEnd w:id="1632"/>
    <w:bookmarkEnd w:id="1633"/>
    <w:bookmarkEnd w:id="1634"/>
    <w:p w14:paraId="074F9C2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1635" w:name="_Toc30188"/>
      <w:bookmarkStart w:id="1636" w:name="_Toc4066"/>
      <w:bookmarkStart w:id="1637" w:name="_Toc3062"/>
      <w:r>
        <w:rPr>
          <w:rFonts w:hint="eastAsia" w:ascii="宋体" w:hAnsi="宋体" w:eastAsia="宋体" w:cs="宋体"/>
          <w:color w:val="000000"/>
          <w:kern w:val="2"/>
          <w:sz w:val="24"/>
          <w:szCs w:val="24"/>
          <w:lang w:val="en-US" w:eastAsia="zh-CN" w:bidi="ar-SA"/>
        </w:rPr>
        <w:t>1</w:t>
      </w:r>
      <w:bookmarkStart w:id="1638" w:name="_Toc312677987"/>
      <w:bookmarkStart w:id="1639" w:name="_Toc304295522"/>
      <w:bookmarkStart w:id="1640" w:name="_Toc318581156"/>
      <w:bookmarkStart w:id="1641" w:name="_Toc300934944"/>
      <w:bookmarkStart w:id="1642" w:name="_Toc303539101"/>
      <w:r>
        <w:rPr>
          <w:rFonts w:hint="eastAsia" w:ascii="宋体" w:hAnsi="宋体" w:eastAsia="宋体" w:cs="宋体"/>
          <w:color w:val="000000"/>
          <w:kern w:val="2"/>
          <w:sz w:val="24"/>
          <w:szCs w:val="24"/>
          <w:lang w:val="en-US" w:eastAsia="zh-CN" w:bidi="ar-SA"/>
        </w:rPr>
        <w:t>.10.3 场内交通</w:t>
      </w:r>
      <w:bookmarkEnd w:id="1635"/>
      <w:bookmarkEnd w:id="1636"/>
      <w:bookmarkEnd w:id="1637"/>
    </w:p>
    <w:p w14:paraId="420D4A27">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关于场外交通和场内交通的边界的约定：</w:t>
      </w:r>
      <w:r>
        <w:rPr>
          <w:rFonts w:hint="eastAsia" w:ascii="宋体" w:hAnsi="宋体" w:eastAsia="宋体" w:cs="宋体"/>
          <w:color w:val="000000"/>
          <w:kern w:val="0"/>
          <w:sz w:val="24"/>
          <w:szCs w:val="24"/>
          <w:u w:val="single"/>
          <w:lang w:val="en-US" w:eastAsia="zh-CN" w:bidi="ar-SA"/>
        </w:rPr>
        <w:t>视项目现场情况另行约定。</w:t>
      </w:r>
    </w:p>
    <w:p w14:paraId="1534140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关于发包人向承包人免费提供满足工程施工需要的场内道路和交通设施的约定：。</w:t>
      </w:r>
      <w:bookmarkEnd w:id="1638"/>
      <w:bookmarkEnd w:id="1639"/>
      <w:bookmarkEnd w:id="1640"/>
      <w:bookmarkEnd w:id="1641"/>
      <w:bookmarkEnd w:id="1642"/>
      <w:bookmarkStart w:id="1643" w:name="_Toc318581157"/>
    </w:p>
    <w:p w14:paraId="288094D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1.10.4 超大件和超重件的运输</w:t>
      </w:r>
    </w:p>
    <w:p w14:paraId="3ECA833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运输超大件或超重件所需的道路和桥梁临时加固改造费用和其他有关费用由</w:t>
      </w:r>
      <w:r>
        <w:rPr>
          <w:rFonts w:hint="eastAsia" w:ascii="宋体" w:hAnsi="宋体" w:eastAsia="宋体" w:cs="宋体"/>
          <w:color w:val="000000"/>
          <w:kern w:val="2"/>
          <w:sz w:val="24"/>
          <w:szCs w:val="24"/>
          <w:u w:val="single"/>
          <w:lang w:val="en-US" w:eastAsia="zh-CN" w:bidi="ar-SA"/>
        </w:rPr>
        <w:t>承包人</w:t>
      </w:r>
      <w:r>
        <w:rPr>
          <w:rFonts w:hint="eastAsia" w:ascii="宋体" w:hAnsi="宋体" w:eastAsia="宋体" w:cs="宋体"/>
          <w:color w:val="000000"/>
          <w:kern w:val="2"/>
          <w:sz w:val="24"/>
          <w:szCs w:val="24"/>
          <w:lang w:val="en-US" w:eastAsia="zh-CN" w:bidi="ar-SA"/>
        </w:rPr>
        <w:t>承担。</w:t>
      </w:r>
    </w:p>
    <w:bookmarkEnd w:id="1643"/>
    <w:p w14:paraId="76C0B564">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644" w:name="_Toc256002600"/>
      <w:bookmarkStart w:id="1645" w:name="_Toc17638"/>
      <w:bookmarkStart w:id="1646" w:name="_Toc1760605217"/>
      <w:bookmarkStart w:id="1647" w:name="_Toc869890155"/>
      <w:bookmarkStart w:id="1648" w:name="_Toc256003054"/>
      <w:bookmarkStart w:id="1649" w:name="_Toc256002373"/>
      <w:bookmarkStart w:id="1650" w:name="_Toc256000784"/>
      <w:bookmarkStart w:id="1651" w:name="_Toc256001011"/>
      <w:bookmarkStart w:id="1652" w:name="_Toc256001238"/>
      <w:bookmarkStart w:id="1653" w:name="_Toc256003735"/>
      <w:bookmarkStart w:id="1654" w:name="_Toc256003508"/>
      <w:bookmarkStart w:id="1655" w:name="_Toc256003962"/>
      <w:bookmarkStart w:id="1656" w:name="_Toc256000557"/>
      <w:bookmarkStart w:id="1657" w:name="_Toc256001465"/>
      <w:bookmarkStart w:id="1658" w:name="_Toc256002827"/>
      <w:bookmarkStart w:id="1659" w:name="_Toc256002146"/>
      <w:bookmarkStart w:id="1660" w:name="_Toc256000103"/>
      <w:bookmarkStart w:id="1661" w:name="_Toc256003281"/>
      <w:bookmarkStart w:id="1662" w:name="_Toc256000330"/>
      <w:bookmarkStart w:id="1663" w:name="_Toc256001919"/>
      <w:bookmarkStart w:id="1664" w:name="_Toc256001692"/>
      <w:r>
        <w:rPr>
          <w:rFonts w:hint="eastAsia" w:ascii="宋体" w:hAnsi="宋体" w:eastAsia="宋体" w:cs="宋体"/>
          <w:color w:val="000000"/>
          <w:kern w:val="2"/>
          <w:sz w:val="24"/>
          <w:szCs w:val="24"/>
          <w:lang w:val="en-US" w:eastAsia="zh-CN" w:bidi="ar-SA"/>
        </w:rPr>
        <w:t>1.11 知识产权</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14:paraId="7E9730B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kern w:val="2"/>
          <w:sz w:val="24"/>
          <w:szCs w:val="24"/>
          <w:u w:val="single"/>
          <w:lang w:val="en-US" w:eastAsia="zh-CN" w:bidi="ar-SA"/>
        </w:rPr>
        <w:t>属发包人</w:t>
      </w:r>
      <w:r>
        <w:rPr>
          <w:rFonts w:hint="eastAsia" w:ascii="宋体" w:hAnsi="宋体" w:eastAsia="宋体" w:cs="宋体"/>
          <w:color w:val="000000"/>
          <w:kern w:val="2"/>
          <w:sz w:val="24"/>
          <w:szCs w:val="24"/>
          <w:lang w:val="en-US" w:eastAsia="zh-CN" w:bidi="ar-SA"/>
        </w:rPr>
        <w:t>。</w:t>
      </w:r>
    </w:p>
    <w:p w14:paraId="3E1204DF">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关于发包人提供的上述文件的使用限制的要求：</w:t>
      </w:r>
      <w:r>
        <w:rPr>
          <w:rFonts w:hint="eastAsia" w:ascii="宋体" w:hAnsi="宋体" w:eastAsia="宋体" w:cs="宋体"/>
          <w:color w:val="000000"/>
          <w:kern w:val="2"/>
          <w:sz w:val="24"/>
          <w:szCs w:val="24"/>
          <w:u w:val="single"/>
          <w:lang w:val="en-US" w:eastAsia="zh-CN" w:bidi="ar-SA"/>
        </w:rPr>
        <w:t>仅限于此工程项目。</w:t>
      </w:r>
    </w:p>
    <w:p w14:paraId="02862D8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未经发包人允许，承包人不得为了合同以外的目的而复制、使用，或提供给任何第三方。</w:t>
      </w:r>
    </w:p>
    <w:p w14:paraId="0BD49C54">
      <w:pPr>
        <w:widowControl w:val="0"/>
        <w:spacing w:line="400" w:lineRule="exact"/>
        <w:ind w:left="596" w:leftChars="284"/>
        <w:jc w:val="both"/>
        <w:rPr>
          <w:rFonts w:ascii="宋体" w:hAnsi="宋体" w:eastAsia="宋体" w:cs="宋体"/>
          <w:color w:val="000000"/>
          <w:kern w:val="2"/>
          <w:sz w:val="24"/>
          <w:szCs w:val="24"/>
          <w:lang w:val="en-US" w:eastAsia="zh-CN" w:bidi="ar-SA"/>
        </w:rPr>
      </w:pPr>
      <w:bookmarkStart w:id="1665" w:name="_Toc11158"/>
      <w:bookmarkStart w:id="1666" w:name="_Toc14488"/>
      <w:bookmarkStart w:id="1667" w:name="_Toc29973"/>
      <w:r>
        <w:rPr>
          <w:rFonts w:hint="eastAsia" w:ascii="宋体" w:hAnsi="宋体" w:eastAsia="宋体" w:cs="宋体"/>
          <w:color w:val="000000"/>
          <w:kern w:val="2"/>
          <w:sz w:val="24"/>
          <w:szCs w:val="24"/>
          <w:lang w:val="en-US" w:eastAsia="zh-CN" w:bidi="ar-SA"/>
        </w:rPr>
        <w:t>1.11.2 关于承包人为实施工程所编制文件的著作权的归属：</w:t>
      </w:r>
      <w:bookmarkEnd w:id="1665"/>
      <w:bookmarkEnd w:id="1666"/>
      <w:bookmarkEnd w:id="1667"/>
    </w:p>
    <w:p w14:paraId="474282CB">
      <w:pPr>
        <w:widowControl w:val="0"/>
        <w:spacing w:line="360" w:lineRule="auto"/>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除署名权以外的著作权属于发包人。</w:t>
      </w:r>
    </w:p>
    <w:p w14:paraId="5C8F013A">
      <w:pPr>
        <w:widowControl w:val="0"/>
        <w:spacing w:line="360" w:lineRule="auto"/>
        <w:ind w:firstLine="480" w:firstLineChars="200"/>
        <w:jc w:val="left"/>
        <w:rPr>
          <w:rFonts w:ascii="Calibri" w:hAnsi="Calibri" w:eastAsia="宋体" w:cs="Times New Roman"/>
          <w:color w:val="000000"/>
          <w:kern w:val="2"/>
          <w:sz w:val="21"/>
          <w:szCs w:val="20"/>
          <w:lang w:val="en-US" w:eastAsia="zh-CN" w:bidi="ar-SA"/>
        </w:rPr>
      </w:pPr>
      <w:r>
        <w:rPr>
          <w:rFonts w:hint="eastAsia" w:ascii="宋体" w:hAnsi="宋体" w:eastAsia="宋体" w:cs="宋体"/>
          <w:color w:val="000000"/>
          <w:kern w:val="2"/>
          <w:sz w:val="24"/>
          <w:szCs w:val="24"/>
          <w:lang w:val="en-US" w:eastAsia="zh-CN" w:bidi="ar-SA"/>
        </w:rPr>
        <w:t>关于承包人提供的上述文件的使用限制的要求：</w:t>
      </w:r>
      <w:bookmarkStart w:id="1668" w:name="_Toc22809"/>
      <w:bookmarkStart w:id="1669" w:name="_Toc13562"/>
      <w:bookmarkStart w:id="1670" w:name="_Toc4666"/>
      <w:r>
        <w:rPr>
          <w:rFonts w:hint="eastAsia" w:ascii="宋体" w:hAnsi="宋体" w:eastAsia="宋体" w:cs="宋体"/>
          <w:color w:val="000000"/>
          <w:kern w:val="2"/>
          <w:sz w:val="24"/>
          <w:szCs w:val="24"/>
          <w:u w:val="single"/>
          <w:lang w:val="en-US" w:eastAsia="zh-CN" w:bidi="ar-SA"/>
        </w:rPr>
        <w:t>仅限于此工程项目。</w:t>
      </w:r>
      <w:r>
        <w:rPr>
          <w:rFonts w:hint="eastAsia" w:ascii="宋体" w:hAnsi="宋体" w:eastAsia="宋体" w:cs="宋体"/>
          <w:color w:val="000000"/>
          <w:kern w:val="2"/>
          <w:sz w:val="24"/>
          <w:szCs w:val="24"/>
          <w:lang w:val="en-US" w:eastAsia="zh-CN" w:bidi="ar-SA"/>
        </w:rPr>
        <w:t>未经发包人书面同意，承包人不得为了合同以外的目的而复制、使用上述文件或将之提供给任何第三方。</w:t>
      </w:r>
    </w:p>
    <w:p w14:paraId="05D5A486">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1.11.4 承包人在施工过程中所采用的专利、专有技术、技术秘密的使用费的承担方式：</w:t>
      </w:r>
      <w:bookmarkEnd w:id="1668"/>
      <w:bookmarkEnd w:id="1669"/>
      <w:bookmarkEnd w:id="1670"/>
      <w:bookmarkStart w:id="1671" w:name="_Toc4484"/>
      <w:r>
        <w:rPr>
          <w:rFonts w:hint="eastAsia" w:ascii="宋体" w:hAnsi="宋体" w:eastAsia="宋体" w:cs="宋体"/>
          <w:color w:val="000000"/>
          <w:kern w:val="2"/>
          <w:sz w:val="24"/>
          <w:szCs w:val="24"/>
          <w:u w:val="single"/>
          <w:lang w:val="en-US" w:eastAsia="zh-CN" w:bidi="ar-SA"/>
        </w:rPr>
        <w:t>由承包人承担 ，已包含在合同价款中。若合同变更、终止、解除，上述知识产权条款依然有效。</w:t>
      </w:r>
    </w:p>
    <w:p w14:paraId="7BB4E0A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 工程量清单错误的修正</w:t>
      </w:r>
      <w:bookmarkEnd w:id="1671"/>
    </w:p>
    <w:p w14:paraId="7D2F950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本款修改为：</w:t>
      </w:r>
    </w:p>
    <w:p w14:paraId="493E9EB4">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承包人应在合同签订后对发包人提供的工程量清单、图纸和现场进行核查和踏察，如发现差异，应在</w:t>
      </w:r>
      <w:r>
        <w:rPr>
          <w:rFonts w:hint="eastAsia" w:ascii="宋体" w:hAnsi="宋体" w:eastAsia="宋体" w:cs="宋体"/>
          <w:color w:val="000000"/>
          <w:kern w:val="2"/>
          <w:sz w:val="24"/>
          <w:szCs w:val="24"/>
          <w:u w:val="single"/>
          <w:lang w:val="en-US" w:eastAsia="zh-CN" w:bidi="ar-SA"/>
        </w:rPr>
        <w:t xml:space="preserve"> 14 </w:t>
      </w:r>
      <w:r>
        <w:rPr>
          <w:rFonts w:hint="eastAsia" w:ascii="宋体" w:hAnsi="宋体" w:eastAsia="宋体" w:cs="宋体"/>
          <w:color w:val="000000"/>
          <w:kern w:val="2"/>
          <w:sz w:val="24"/>
          <w:szCs w:val="24"/>
          <w:lang w:val="en-US" w:eastAsia="zh-CN" w:bidi="ar-SA"/>
        </w:rPr>
        <w:t>天内以书面形式向发包人提出；有下列情形之一时，发包人应予以修正，并相应调整合同价格：</w:t>
      </w:r>
    </w:p>
    <w:p w14:paraId="5BC7ECD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出现工程量清单错误时，是否调整合同价格：</w:t>
      </w:r>
      <w:r>
        <w:rPr>
          <w:rFonts w:hint="eastAsia" w:ascii="宋体" w:hAnsi="宋体" w:eastAsia="宋体" w:cs="宋体"/>
          <w:color w:val="000000"/>
          <w:kern w:val="0"/>
          <w:sz w:val="24"/>
          <w:szCs w:val="24"/>
          <w:lang w:val="en-US" w:eastAsia="zh-CN" w:bidi="ar-SA"/>
        </w:rPr>
        <w:t>。</w:t>
      </w:r>
    </w:p>
    <w:p w14:paraId="701CA126">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允许调整合同价格的工程量偏差范围：</w:t>
      </w:r>
      <w:r>
        <w:rPr>
          <w:rFonts w:hint="eastAsia" w:ascii="宋体" w:hAnsi="宋体" w:eastAsia="宋体" w:cs="宋体"/>
          <w:color w:val="000000"/>
          <w:kern w:val="0"/>
          <w:sz w:val="24"/>
          <w:szCs w:val="24"/>
          <w:lang w:val="en-US" w:eastAsia="zh-CN" w:bidi="ar-SA"/>
        </w:rPr>
        <w:t>。</w:t>
      </w:r>
    </w:p>
    <w:p w14:paraId="48153F1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由招标代理、跟踪审计、承包人、发包人、监理共同核对，经以上五方共同书面认定后，按10.4.1变更估价原则条款执行。</w:t>
      </w:r>
    </w:p>
    <w:p w14:paraId="693687D8">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1672" w:name="_Toc256002147"/>
      <w:bookmarkStart w:id="1673" w:name="_Toc256003963"/>
      <w:bookmarkStart w:id="1674" w:name="_Toc2049858434"/>
      <w:bookmarkStart w:id="1675" w:name="_Toc256002601"/>
      <w:bookmarkStart w:id="1676" w:name="_Toc256001466"/>
      <w:bookmarkStart w:id="1677" w:name="_Toc256000785"/>
      <w:bookmarkStart w:id="1678" w:name="_Toc256001012"/>
      <w:bookmarkStart w:id="1679" w:name="_Toc256000104"/>
      <w:bookmarkStart w:id="1680" w:name="_Toc125523837"/>
      <w:bookmarkStart w:id="1681" w:name="_Toc256002374"/>
      <w:bookmarkStart w:id="1682" w:name="_Toc256003055"/>
      <w:bookmarkStart w:id="1683" w:name="_Toc256003282"/>
      <w:bookmarkStart w:id="1684" w:name="_Toc256002828"/>
      <w:bookmarkStart w:id="1685" w:name="_Toc256001239"/>
      <w:bookmarkStart w:id="1686" w:name="_Toc256001920"/>
      <w:bookmarkStart w:id="1687" w:name="_Toc256000331"/>
      <w:bookmarkStart w:id="1688" w:name="_Toc256003509"/>
      <w:bookmarkStart w:id="1689" w:name="_Toc256001693"/>
      <w:bookmarkStart w:id="1690" w:name="_Toc256003736"/>
      <w:bookmarkStart w:id="1691" w:name="_Toc256000558"/>
      <w:r>
        <w:rPr>
          <w:rFonts w:hint="eastAsia" w:ascii="宋体" w:hAnsi="宋体" w:eastAsia="宋体" w:cs="宋体"/>
          <w:b w:val="0"/>
          <w:bCs/>
          <w:color w:val="000000"/>
          <w:kern w:val="2"/>
          <w:sz w:val="24"/>
          <w:szCs w:val="24"/>
          <w:lang w:val="en-US" w:eastAsia="zh-CN" w:bidi="ar-SA"/>
        </w:rPr>
        <w:t>2</w:t>
      </w:r>
      <w:bookmarkStart w:id="1692" w:name="_Toc296944496"/>
      <w:bookmarkStart w:id="1693" w:name="_Toc292559362"/>
      <w:bookmarkStart w:id="1694" w:name="_Toc296891197"/>
      <w:bookmarkStart w:id="1695" w:name="_Toc296890985"/>
      <w:bookmarkStart w:id="1696" w:name="_Toc297120457"/>
      <w:bookmarkStart w:id="1697" w:name="_Toc296346658"/>
      <w:bookmarkStart w:id="1698" w:name="_Toc292559867"/>
      <w:bookmarkStart w:id="1699" w:name="_Toc297048343"/>
      <w:bookmarkStart w:id="1700" w:name="_Toc296347156"/>
      <w:bookmarkStart w:id="1701" w:name="_Toc296503157"/>
      <w:r>
        <w:rPr>
          <w:rFonts w:hint="eastAsia" w:ascii="宋体" w:hAnsi="宋体" w:eastAsia="宋体" w:cs="宋体"/>
          <w:b w:val="0"/>
          <w:bCs/>
          <w:color w:val="000000"/>
          <w:kern w:val="2"/>
          <w:sz w:val="24"/>
          <w:szCs w:val="24"/>
          <w:lang w:val="en-US" w:eastAsia="zh-CN" w:bidi="ar-SA"/>
        </w:rPr>
        <w:t>. 发包人</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140B9499">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702" w:name="_Toc256002375"/>
      <w:bookmarkStart w:id="1703" w:name="_Toc256003283"/>
      <w:bookmarkStart w:id="1704" w:name="_Toc1613310203"/>
      <w:bookmarkStart w:id="1705" w:name="_Toc256001694"/>
      <w:bookmarkStart w:id="1706" w:name="_Toc256001240"/>
      <w:bookmarkStart w:id="1707" w:name="_Toc256002829"/>
      <w:bookmarkStart w:id="1708" w:name="_Toc351203510"/>
      <w:bookmarkStart w:id="1709" w:name="_Toc256000332"/>
      <w:bookmarkStart w:id="1710" w:name="_Toc256001013"/>
      <w:bookmarkStart w:id="1711" w:name="_Toc256002148"/>
      <w:bookmarkStart w:id="1712" w:name="_Toc256001921"/>
      <w:bookmarkStart w:id="1713" w:name="_Toc256002602"/>
      <w:bookmarkStart w:id="1714" w:name="_Toc256000786"/>
      <w:bookmarkStart w:id="1715" w:name="_Toc256003737"/>
      <w:bookmarkStart w:id="1716" w:name="_Toc256003964"/>
      <w:bookmarkStart w:id="1717" w:name="_Toc29214"/>
      <w:bookmarkStart w:id="1718" w:name="_Toc256003056"/>
      <w:bookmarkStart w:id="1719" w:name="_Toc256000559"/>
      <w:bookmarkStart w:id="1720" w:name="_Toc256001467"/>
      <w:bookmarkStart w:id="1721" w:name="_Toc493482386"/>
      <w:bookmarkStart w:id="1722" w:name="_Toc256003510"/>
      <w:bookmarkStart w:id="1723" w:name="_Toc256000105"/>
      <w:r>
        <w:rPr>
          <w:rFonts w:hint="eastAsia" w:ascii="宋体" w:hAnsi="宋体" w:eastAsia="宋体" w:cs="宋体"/>
          <w:color w:val="000000"/>
          <w:kern w:val="2"/>
          <w:sz w:val="24"/>
          <w:szCs w:val="24"/>
          <w:lang w:val="en-US" w:eastAsia="zh-CN" w:bidi="ar-SA"/>
        </w:rPr>
        <w:t>2.1 许可或批准</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76E317E6">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724" w:name="_Toc850751199"/>
      <w:bookmarkStart w:id="1725" w:name="_Toc256000106"/>
      <w:bookmarkStart w:id="1726" w:name="_Toc256001468"/>
      <w:bookmarkStart w:id="1727" w:name="_Toc256001014"/>
      <w:bookmarkStart w:id="1728" w:name="_Toc256001695"/>
      <w:bookmarkStart w:id="1729" w:name="_Toc256001922"/>
      <w:bookmarkStart w:id="1730" w:name="_Toc256000560"/>
      <w:bookmarkStart w:id="1731" w:name="_Toc256003738"/>
      <w:bookmarkStart w:id="1732" w:name="_Toc256000333"/>
      <w:bookmarkStart w:id="1733" w:name="_Toc256002603"/>
      <w:bookmarkStart w:id="1734" w:name="_Toc256002830"/>
      <w:bookmarkStart w:id="1735" w:name="_Toc256003057"/>
      <w:bookmarkStart w:id="1736" w:name="_Toc256003511"/>
      <w:bookmarkStart w:id="1737" w:name="_Toc122621003"/>
      <w:bookmarkStart w:id="1738" w:name="_Toc256000787"/>
      <w:bookmarkStart w:id="1739" w:name="_Toc256002376"/>
      <w:bookmarkStart w:id="1740" w:name="_Toc256003284"/>
      <w:bookmarkStart w:id="1741" w:name="_Toc256001241"/>
      <w:bookmarkStart w:id="1742" w:name="_Toc256002149"/>
      <w:bookmarkStart w:id="1743" w:name="_Toc256003965"/>
      <w:r>
        <w:rPr>
          <w:rFonts w:hint="eastAsia" w:ascii="宋体" w:hAnsi="宋体" w:eastAsia="宋体" w:cs="宋体"/>
          <w:color w:val="000000"/>
          <w:kern w:val="0"/>
          <w:sz w:val="24"/>
          <w:szCs w:val="24"/>
          <w:lang w:val="en-US" w:eastAsia="zh-CN" w:bidi="ar-SA"/>
        </w:rPr>
        <w:t>本款补充2.1.1、2.4.3。</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3A2AB0ED">
      <w:pPr>
        <w:widowControl w:val="0"/>
        <w:snapToGrid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2.1.1 根据相关规定提供园林绿化施工所需的许可或批准。</w:t>
      </w:r>
      <w:bookmarkEnd w:id="1692"/>
      <w:bookmarkEnd w:id="1693"/>
      <w:bookmarkEnd w:id="1694"/>
      <w:bookmarkEnd w:id="1695"/>
      <w:bookmarkEnd w:id="1696"/>
      <w:bookmarkEnd w:id="1697"/>
      <w:bookmarkEnd w:id="1698"/>
      <w:bookmarkEnd w:id="1699"/>
      <w:bookmarkEnd w:id="1700"/>
      <w:bookmarkEnd w:id="1701"/>
      <w:bookmarkStart w:id="1744" w:name="_Toc17753"/>
    </w:p>
    <w:p w14:paraId="65A80DA8">
      <w:pPr>
        <w:widowControl w:val="0"/>
        <w:snapToGrid w:val="0"/>
        <w:spacing w:line="400" w:lineRule="exact"/>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承包人不得以提早或推迟开工时间为由要求增加费用和（或）延误工期。</w:t>
      </w:r>
    </w:p>
    <w:p w14:paraId="6D6E57A0">
      <w:pPr>
        <w:widowControl w:val="0"/>
        <w:snapToGrid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 发包人代表</w:t>
      </w:r>
      <w:bookmarkEnd w:id="1744"/>
    </w:p>
    <w:p w14:paraId="63DC01EC">
      <w:pPr>
        <w:widowControl w:val="0"/>
        <w:snapToGrid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发包人代表：</w:t>
      </w:r>
    </w:p>
    <w:p w14:paraId="6EBBA35D">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姓    名：；身份证号：；</w:t>
      </w:r>
    </w:p>
    <w:p w14:paraId="2F899C30">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职    务：；</w:t>
      </w:r>
    </w:p>
    <w:p w14:paraId="409D3CC5">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联系电话：；</w:t>
      </w:r>
    </w:p>
    <w:p w14:paraId="6143C47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电子信箱：；</w:t>
      </w:r>
    </w:p>
    <w:p w14:paraId="5AE3A29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通信地址：；</w:t>
      </w:r>
    </w:p>
    <w:p w14:paraId="729CB33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发包人对发包人代表的授权范围如下：</w:t>
      </w:r>
    </w:p>
    <w:p w14:paraId="4B65A91F">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主持开展施工现场的全面工作及监理工作的检查、工程造价的签证认可。负责工程建设的内、外部关系协调，对工程投资影响因素的确认，负责解决应由发包人处理的问题。所有工程结算依据资料均以发包人代表的签字并经发包人盖章确认，同时满足发包人对结算依据资料的管理及审批程序方为有效。</w:t>
      </w:r>
    </w:p>
    <w:p w14:paraId="20F00515">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745" w:name="_Toc256002377"/>
      <w:bookmarkStart w:id="1746" w:name="_Toc256003739"/>
      <w:bookmarkStart w:id="1747" w:name="_Toc256002604"/>
      <w:bookmarkStart w:id="1748" w:name="_Toc256002150"/>
      <w:bookmarkStart w:id="1749" w:name="_Toc256003285"/>
      <w:bookmarkStart w:id="1750" w:name="_Toc256002831"/>
      <w:bookmarkStart w:id="1751" w:name="_Toc256000788"/>
      <w:bookmarkStart w:id="1752" w:name="_Toc256003512"/>
      <w:bookmarkStart w:id="1753" w:name="_Toc256003058"/>
      <w:bookmarkStart w:id="1754" w:name="_Toc256001923"/>
      <w:bookmarkStart w:id="1755" w:name="_Toc256000107"/>
      <w:bookmarkStart w:id="1756" w:name="_Toc256001015"/>
      <w:bookmarkStart w:id="1757" w:name="_Toc256000561"/>
      <w:bookmarkStart w:id="1758" w:name="_Toc256000334"/>
      <w:bookmarkStart w:id="1759" w:name="_Toc256001469"/>
      <w:bookmarkStart w:id="1760" w:name="_Toc26646"/>
      <w:bookmarkStart w:id="1761" w:name="_Toc571308452"/>
      <w:bookmarkStart w:id="1762" w:name="_Toc256001696"/>
      <w:bookmarkStart w:id="1763" w:name="_Toc256003966"/>
      <w:bookmarkStart w:id="1764" w:name="_Toc1335716241"/>
      <w:bookmarkStart w:id="1765" w:name="_Toc256001242"/>
      <w:r>
        <w:rPr>
          <w:rFonts w:hint="eastAsia" w:ascii="宋体" w:hAnsi="宋体" w:eastAsia="宋体" w:cs="宋体"/>
          <w:color w:val="000000"/>
          <w:kern w:val="2"/>
          <w:sz w:val="24"/>
          <w:szCs w:val="24"/>
          <w:lang w:val="en-US" w:eastAsia="zh-CN" w:bidi="ar-SA"/>
        </w:rPr>
        <w:t>2.3 施工现场、施工条件和基础资料的提供</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18E06CA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2.3.1 提供施工现场</w:t>
      </w:r>
    </w:p>
    <w:p w14:paraId="4682C3AD">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2"/>
          <w:sz w:val="24"/>
          <w:szCs w:val="24"/>
          <w:lang w:val="en-US" w:eastAsia="zh-CN" w:bidi="ar-SA"/>
        </w:rPr>
        <w:t>关于发包人移交施工现场的期限要求：</w:t>
      </w:r>
      <w:r>
        <w:rPr>
          <w:rFonts w:hint="eastAsia" w:ascii="宋体" w:hAnsi="宋体" w:eastAsia="宋体" w:cs="宋体"/>
          <w:color w:val="000000"/>
          <w:kern w:val="0"/>
          <w:sz w:val="24"/>
          <w:szCs w:val="24"/>
          <w:u w:val="single"/>
          <w:lang w:val="en-US" w:eastAsia="zh-CN" w:bidi="ar-SA"/>
        </w:rPr>
        <w:t>签订合同且签署开工令后3日内。</w:t>
      </w:r>
    </w:p>
    <w:p w14:paraId="27D408A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2.3.2 提供施工条件</w:t>
      </w:r>
    </w:p>
    <w:p w14:paraId="3943E723">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2"/>
          <w:sz w:val="24"/>
          <w:szCs w:val="24"/>
          <w:lang w:val="en-US" w:eastAsia="zh-CN" w:bidi="ar-SA"/>
        </w:rPr>
        <w:t>关于发包人应负责提供施工所需要的条件，包括：</w:t>
      </w:r>
      <w:r>
        <w:rPr>
          <w:rFonts w:hint="eastAsia" w:ascii="宋体" w:hAnsi="宋体" w:eastAsia="宋体" w:cs="宋体"/>
          <w:color w:val="000000"/>
          <w:kern w:val="0"/>
          <w:sz w:val="24"/>
          <w:szCs w:val="24"/>
          <w:u w:val="single"/>
          <w:lang w:val="en-US" w:eastAsia="zh-CN" w:bidi="ar-SA"/>
        </w:rPr>
        <w:t>材料进出场、保管、堆放与搬运（含二次搬运）、临时用水用电及施工现场不提供住宿与办公等，均由承包人自行考虑解决，相关费用应含入投标报价中，发包人不再另行支付。</w:t>
      </w:r>
    </w:p>
    <w:p w14:paraId="3AE70EF0">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2.4资金来源证明及支付担保</w:t>
      </w:r>
    </w:p>
    <w:p w14:paraId="6FB16C3A">
      <w:pPr>
        <w:keepNext/>
        <w:keepLines/>
        <w:widowControl w:val="0"/>
        <w:spacing w:before="0" w:after="0" w:line="400" w:lineRule="exact"/>
        <w:ind w:firstLine="480" w:firstLineChars="200"/>
        <w:jc w:val="both"/>
        <w:outlineLvl w:val="1"/>
        <w:rPr>
          <w:rFonts w:ascii="宋体" w:hAnsi="宋体" w:eastAsia="宋体" w:cs="宋体"/>
          <w:b w:val="0"/>
          <w:bCs w:val="0"/>
          <w:color w:val="000000"/>
          <w:kern w:val="0"/>
          <w:sz w:val="24"/>
          <w:szCs w:val="24"/>
          <w:u w:val="single"/>
          <w:lang w:val="en-US" w:eastAsia="zh-CN" w:bidi="ar-SA"/>
        </w:rPr>
      </w:pPr>
      <w:bookmarkStart w:id="1766" w:name="_Toc256000335"/>
      <w:bookmarkStart w:id="1767" w:name="_Toc256002378"/>
      <w:bookmarkStart w:id="1768" w:name="_Toc256002151"/>
      <w:bookmarkStart w:id="1769" w:name="_Toc256000789"/>
      <w:bookmarkStart w:id="1770" w:name="_Toc256001470"/>
      <w:bookmarkStart w:id="1771" w:name="_Toc256002832"/>
      <w:bookmarkStart w:id="1772" w:name="_Toc256003967"/>
      <w:bookmarkStart w:id="1773" w:name="_Toc256003513"/>
      <w:bookmarkStart w:id="1774" w:name="_Toc507831889"/>
      <w:bookmarkStart w:id="1775" w:name="_Toc256002605"/>
      <w:bookmarkStart w:id="1776" w:name="_Toc256001016"/>
      <w:bookmarkStart w:id="1777" w:name="_Toc256001697"/>
      <w:bookmarkStart w:id="1778" w:name="_Toc256003059"/>
      <w:bookmarkStart w:id="1779" w:name="_Toc224169773"/>
      <w:bookmarkStart w:id="1780" w:name="_Toc256000562"/>
      <w:bookmarkStart w:id="1781" w:name="_Toc256003740"/>
      <w:bookmarkStart w:id="1782" w:name="_Toc256000108"/>
      <w:bookmarkStart w:id="1783" w:name="_Toc256001243"/>
      <w:bookmarkStart w:id="1784" w:name="_Toc256003286"/>
      <w:bookmarkStart w:id="1785" w:name="_Toc256001924"/>
      <w:r>
        <w:rPr>
          <w:rFonts w:hint="eastAsia" w:ascii="宋体" w:hAnsi="宋体" w:eastAsia="宋体" w:cs="宋体"/>
          <w:b w:val="0"/>
          <w:bCs w:val="0"/>
          <w:color w:val="000000"/>
          <w:kern w:val="0"/>
          <w:sz w:val="24"/>
          <w:szCs w:val="24"/>
          <w:u w:val="single"/>
          <w:lang w:val="en-US" w:eastAsia="zh-CN" w:bidi="ar-SA"/>
        </w:rPr>
        <w:t>发包人提供资金来源证明的期限要求：/</w:t>
      </w:r>
    </w:p>
    <w:p w14:paraId="3F58F116">
      <w:pPr>
        <w:keepNext/>
        <w:keepLines/>
        <w:widowControl w:val="0"/>
        <w:spacing w:before="0" w:after="0" w:line="400" w:lineRule="exact"/>
        <w:ind w:firstLine="480" w:firstLineChars="200"/>
        <w:jc w:val="both"/>
        <w:outlineLvl w:val="1"/>
        <w:rPr>
          <w:rFonts w:ascii="宋体" w:hAnsi="宋体" w:eastAsia="宋体" w:cs="宋体"/>
          <w:b w:val="0"/>
          <w:bCs w:val="0"/>
          <w:color w:val="000000"/>
          <w:kern w:val="0"/>
          <w:sz w:val="24"/>
          <w:szCs w:val="24"/>
          <w:u w:val="single"/>
          <w:lang w:val="en-US" w:eastAsia="zh-CN" w:bidi="ar-SA"/>
        </w:rPr>
      </w:pPr>
      <w:r>
        <w:rPr>
          <w:rFonts w:hint="eastAsia" w:ascii="宋体" w:hAnsi="宋体" w:eastAsia="宋体" w:cs="宋体"/>
          <w:b w:val="0"/>
          <w:bCs w:val="0"/>
          <w:color w:val="000000"/>
          <w:kern w:val="0"/>
          <w:sz w:val="24"/>
          <w:szCs w:val="24"/>
          <w:u w:val="single"/>
          <w:lang w:val="en-US" w:eastAsia="zh-CN" w:bidi="ar-SA"/>
        </w:rPr>
        <w:t>发包人是否提供支付担保：否</w:t>
      </w:r>
    </w:p>
    <w:p w14:paraId="7992CAEE">
      <w:pPr>
        <w:keepNext/>
        <w:keepLines/>
        <w:widowControl w:val="0"/>
        <w:spacing w:before="0" w:after="0" w:line="400" w:lineRule="exact"/>
        <w:ind w:firstLine="480" w:firstLineChars="200"/>
        <w:jc w:val="both"/>
        <w:outlineLvl w:val="1"/>
        <w:rPr>
          <w:rFonts w:ascii="宋体" w:hAnsi="宋体" w:eastAsia="宋体" w:cs="宋体"/>
          <w:b w:val="0"/>
          <w:bCs w:val="0"/>
          <w:color w:val="000000"/>
          <w:kern w:val="0"/>
          <w:sz w:val="24"/>
          <w:szCs w:val="24"/>
          <w:u w:val="single"/>
          <w:lang w:val="en-US" w:eastAsia="zh-CN" w:bidi="ar-SA"/>
        </w:rPr>
      </w:pPr>
      <w:r>
        <w:rPr>
          <w:rFonts w:hint="eastAsia" w:ascii="宋体" w:hAnsi="宋体" w:eastAsia="宋体" w:cs="宋体"/>
          <w:b w:val="0"/>
          <w:bCs w:val="0"/>
          <w:color w:val="000000"/>
          <w:kern w:val="0"/>
          <w:sz w:val="24"/>
          <w:szCs w:val="24"/>
          <w:u w:val="single"/>
          <w:lang w:val="en-US" w:eastAsia="zh-CN" w:bidi="ar-SA"/>
        </w:rPr>
        <w:t>发包人提供支付担保的形式：/。</w:t>
      </w:r>
    </w:p>
    <w:p w14:paraId="406819A8">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w:t>
      </w:r>
      <w:bookmarkStart w:id="1786" w:name="_Toc296346659"/>
      <w:bookmarkStart w:id="1787" w:name="_Toc292559868"/>
      <w:bookmarkStart w:id="1788" w:name="_Toc296944497"/>
      <w:bookmarkStart w:id="1789" w:name="_Toc297120458"/>
      <w:bookmarkStart w:id="1790" w:name="_Toc292559363"/>
      <w:bookmarkStart w:id="1791" w:name="_Toc296503158"/>
      <w:bookmarkStart w:id="1792" w:name="_Toc296890986"/>
      <w:bookmarkStart w:id="1793" w:name="_Toc296347157"/>
      <w:bookmarkStart w:id="1794" w:name="_Toc297048344"/>
      <w:bookmarkStart w:id="1795" w:name="_Toc296891198"/>
      <w:r>
        <w:rPr>
          <w:rFonts w:hint="eastAsia" w:ascii="宋体" w:hAnsi="宋体" w:eastAsia="宋体" w:cs="宋体"/>
          <w:b w:val="0"/>
          <w:bCs/>
          <w:color w:val="000000"/>
          <w:kern w:val="2"/>
          <w:sz w:val="24"/>
          <w:szCs w:val="24"/>
          <w:lang w:val="en-US" w:eastAsia="zh-CN" w:bidi="ar-SA"/>
        </w:rPr>
        <w:t>. 承包人</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bookmarkEnd w:id="1786"/>
    <w:bookmarkEnd w:id="1787"/>
    <w:bookmarkEnd w:id="1788"/>
    <w:bookmarkEnd w:id="1789"/>
    <w:bookmarkEnd w:id="1790"/>
    <w:bookmarkEnd w:id="1791"/>
    <w:bookmarkEnd w:id="1792"/>
    <w:bookmarkEnd w:id="1793"/>
    <w:bookmarkEnd w:id="1794"/>
    <w:bookmarkEnd w:id="1795"/>
    <w:p w14:paraId="5D6F0FC5">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796" w:name="_Toc256001698"/>
      <w:bookmarkStart w:id="1797" w:name="_Toc256001244"/>
      <w:bookmarkStart w:id="1798" w:name="_Toc256000790"/>
      <w:bookmarkStart w:id="1799" w:name="_Toc256001471"/>
      <w:bookmarkStart w:id="1800" w:name="_Toc256003741"/>
      <w:bookmarkStart w:id="1801" w:name="_Toc256003060"/>
      <w:bookmarkStart w:id="1802" w:name="_Toc256002833"/>
      <w:bookmarkStart w:id="1803" w:name="_Toc256003968"/>
      <w:bookmarkStart w:id="1804" w:name="_Toc256000109"/>
      <w:bookmarkStart w:id="1805" w:name="_Toc256003514"/>
      <w:bookmarkStart w:id="1806" w:name="_Toc256000336"/>
      <w:bookmarkStart w:id="1807" w:name="_Toc256001017"/>
      <w:bookmarkStart w:id="1808" w:name="_Toc256002152"/>
      <w:bookmarkStart w:id="1809" w:name="_Toc256002379"/>
      <w:bookmarkStart w:id="1810" w:name="_Toc1604068603"/>
      <w:bookmarkStart w:id="1811" w:name="_Toc256002606"/>
      <w:bookmarkStart w:id="1812" w:name="_Toc256001925"/>
      <w:bookmarkStart w:id="1813" w:name="_Toc1540549183"/>
      <w:bookmarkStart w:id="1814" w:name="_Toc19452"/>
      <w:bookmarkStart w:id="1815" w:name="_Toc256000563"/>
      <w:bookmarkStart w:id="1816" w:name="_Toc256003287"/>
      <w:r>
        <w:rPr>
          <w:rFonts w:hint="eastAsia" w:ascii="宋体" w:hAnsi="宋体" w:eastAsia="宋体" w:cs="宋体"/>
          <w:color w:val="000000"/>
          <w:kern w:val="2"/>
          <w:sz w:val="24"/>
          <w:szCs w:val="24"/>
          <w:lang w:val="en-US" w:eastAsia="zh-CN" w:bidi="ar-SA"/>
        </w:rPr>
        <w:t>3.1 承包人的一般义务</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06033EC6">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（1）承包人提交的竣工资料的内容：</w:t>
      </w:r>
      <w:r>
        <w:rPr>
          <w:rFonts w:hint="eastAsia" w:ascii="宋体" w:hAnsi="宋体" w:eastAsia="宋体" w:cs="宋体"/>
          <w:color w:val="000000"/>
          <w:kern w:val="2"/>
          <w:sz w:val="24"/>
          <w:szCs w:val="24"/>
          <w:u w:val="single"/>
          <w:lang w:val="en-US" w:eastAsia="zh-CN" w:bidi="ar-SA"/>
        </w:rPr>
        <w:t>提供竣工图、竣工验收资料、竣工结算资料、设计变更、签证等,按国家关于工程竣工有关规定,应当由承包人提供的相关资料因非发包人原因而无法备案的,造成的损失由承包人承担</w:t>
      </w:r>
      <w:r>
        <w:rPr>
          <w:rFonts w:hint="eastAsia" w:ascii="宋体" w:hAnsi="宋体" w:eastAsia="宋体" w:cs="宋体"/>
          <w:color w:val="000000"/>
          <w:kern w:val="2"/>
          <w:sz w:val="24"/>
          <w:szCs w:val="24"/>
          <w:lang w:val="en-US" w:eastAsia="zh-CN" w:bidi="ar-SA"/>
        </w:rPr>
        <w:t>。</w:t>
      </w:r>
    </w:p>
    <w:p w14:paraId="0E6E63B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承包人需要提交的竣工资料套数：</w:t>
      </w:r>
      <w:r>
        <w:rPr>
          <w:rFonts w:hint="eastAsia" w:ascii="宋体" w:hAnsi="宋体" w:eastAsia="宋体" w:cs="宋体"/>
          <w:color w:val="000000"/>
          <w:kern w:val="2"/>
          <w:sz w:val="24"/>
          <w:szCs w:val="24"/>
          <w:u w:val="single"/>
          <w:lang w:val="en-US" w:eastAsia="zh-CN" w:bidi="ar-SA"/>
        </w:rPr>
        <w:t xml:space="preserve"> 陆套 </w:t>
      </w:r>
      <w:r>
        <w:rPr>
          <w:rFonts w:hint="eastAsia" w:ascii="宋体" w:hAnsi="宋体" w:eastAsia="宋体" w:cs="宋体"/>
          <w:color w:val="000000"/>
          <w:kern w:val="2"/>
          <w:sz w:val="24"/>
          <w:szCs w:val="24"/>
          <w:lang w:val="en-US" w:eastAsia="zh-CN" w:bidi="ar-SA"/>
        </w:rPr>
        <w:t>。</w:t>
      </w:r>
    </w:p>
    <w:p w14:paraId="75D3246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承包人提交的竣工资料的费用承担：</w:t>
      </w:r>
      <w:r>
        <w:rPr>
          <w:rFonts w:hint="eastAsia" w:ascii="宋体" w:hAnsi="宋体" w:eastAsia="宋体" w:cs="宋体"/>
          <w:color w:val="000000"/>
          <w:kern w:val="2"/>
          <w:sz w:val="24"/>
          <w:szCs w:val="24"/>
          <w:u w:val="single"/>
          <w:lang w:val="en-US" w:eastAsia="zh-CN" w:bidi="ar-SA"/>
        </w:rPr>
        <w:t>自行承担（已包含在合同价款中）</w:t>
      </w:r>
      <w:r>
        <w:rPr>
          <w:rFonts w:hint="eastAsia" w:ascii="宋体" w:hAnsi="宋体" w:eastAsia="宋体" w:cs="宋体"/>
          <w:color w:val="000000"/>
          <w:kern w:val="2"/>
          <w:sz w:val="24"/>
          <w:szCs w:val="24"/>
          <w:lang w:val="en-US" w:eastAsia="zh-CN" w:bidi="ar-SA"/>
        </w:rPr>
        <w:t>。</w:t>
      </w:r>
    </w:p>
    <w:p w14:paraId="7B0A01B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承包人提交的竣工资料移交时间：</w:t>
      </w:r>
      <w:r>
        <w:rPr>
          <w:rFonts w:hint="eastAsia" w:ascii="宋体" w:hAnsi="宋体" w:eastAsia="宋体" w:cs="宋体"/>
          <w:color w:val="000000"/>
          <w:kern w:val="2"/>
          <w:sz w:val="24"/>
          <w:szCs w:val="24"/>
          <w:u w:val="single"/>
          <w:lang w:val="en-US" w:eastAsia="zh-CN" w:bidi="ar-SA"/>
        </w:rPr>
        <w:t>工程竣工一个月内。承包人延迟提供竣工资料的违约责任，如每延迟一天，承包人需向发包人承担合同总价款万分之3的违约金，延迟超过7天的，发包人有权解除合同，本合同自解除通知到达承包人时解除，并要求承包人赔偿由此造成的一切损失。</w:t>
      </w:r>
    </w:p>
    <w:p w14:paraId="2937128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承包人提交的竣工资料形式要求：</w:t>
      </w:r>
      <w:r>
        <w:rPr>
          <w:rFonts w:hint="eastAsia" w:ascii="宋体" w:hAnsi="宋体" w:eastAsia="宋体" w:cs="宋体"/>
          <w:color w:val="000000"/>
          <w:kern w:val="2"/>
          <w:sz w:val="24"/>
          <w:szCs w:val="24"/>
          <w:u w:val="single"/>
          <w:lang w:val="en-US" w:eastAsia="zh-CN" w:bidi="ar-SA"/>
        </w:rPr>
        <w:t>书面资料、电子资料</w:t>
      </w:r>
      <w:r>
        <w:rPr>
          <w:rFonts w:hint="eastAsia" w:ascii="宋体" w:hAnsi="宋体" w:eastAsia="宋体" w:cs="宋体"/>
          <w:color w:val="000000"/>
          <w:kern w:val="2"/>
          <w:sz w:val="24"/>
          <w:szCs w:val="24"/>
          <w:lang w:val="en-US" w:eastAsia="zh-CN" w:bidi="ar-SA"/>
        </w:rPr>
        <w:t>。</w:t>
      </w:r>
    </w:p>
    <w:p w14:paraId="3D72E87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（2）承包人应履行的其他义务：</w:t>
      </w:r>
    </w:p>
    <w:p w14:paraId="3C126103">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1、应提供计划、报表的名称及完成时间：</w:t>
      </w:r>
    </w:p>
    <w:p w14:paraId="3498E44D">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 xml:space="preserve">开工前7日内，根据发包人、监理要求提供合同内容工程建设项目总进度计划、材料设备总需求计划、材料设备供应计划表。 </w:t>
      </w:r>
    </w:p>
    <w:p w14:paraId="0FFDF6C1">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2、承担施工安全保卫工作及非夜间施工照明的责任和要求：</w:t>
      </w:r>
    </w:p>
    <w:p w14:paraId="2A4997EE">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 xml:space="preserve">承包人对施工现场的消防安全监督管理应符合江苏省建设厅《建设工程施工现场消防安全标准》的要求。 建立和执行防火管理制度。在火灾易发地区（如木工房等）施工或储存使用易燃器材时，应采取特殊消防安全措施，现场严禁吸烟；施工现场临时用电安全参照《施工现场临时用电安全技术规范》（JGJ46—2005）规范执行。费用由承包人承担。承包人认真做好施工现场的安全防护工作（包括照明、安全设施等），承包人对安全防护工作负全责（责任和费用均由承包人承担，如在实际过程中，承包人拒绝承担责任而使发包人承担责任的，或承包人因此给发包人造成其它损害的，由此产生的一切责任包括但不限于代理费、公证费、鉴定费、诉讼费等由承包人承担，上述费用，发包人有权在应付工程款中直接扣除。）  </w:t>
      </w:r>
    </w:p>
    <w:p w14:paraId="1C55645A">
      <w:pPr>
        <w:widowControl w:val="0"/>
        <w:spacing w:line="400" w:lineRule="exact"/>
        <w:ind w:firstLine="480" w:firstLineChars="200"/>
        <w:jc w:val="left"/>
        <w:rPr>
          <w:rFonts w:ascii="宋体" w:hAnsi="宋体" w:eastAsia="宋体" w:cs="宋体"/>
          <w:color w:val="000000"/>
          <w:kern w:val="0"/>
          <w:sz w:val="24"/>
          <w:szCs w:val="24"/>
          <w:lang w:val="en-US" w:eastAsia="zh-CN" w:bidi="ar-SA"/>
        </w:rPr>
      </w:pPr>
      <w:bookmarkStart w:id="1817" w:name="_Toc1559532044"/>
      <w:bookmarkStart w:id="1818" w:name="_Toc12983"/>
      <w:bookmarkStart w:id="1819" w:name="_Toc324146790"/>
      <w:r>
        <w:rPr>
          <w:rFonts w:hint="eastAsia" w:ascii="宋体" w:hAnsi="宋体" w:eastAsia="宋体" w:cs="宋体"/>
          <w:color w:val="000000"/>
          <w:kern w:val="0"/>
          <w:sz w:val="24"/>
          <w:szCs w:val="24"/>
          <w:lang w:val="en-US" w:eastAsia="zh-CN" w:bidi="ar-SA"/>
        </w:rPr>
        <w:t>3、向发包人提供的办公和生活房屋及设施的要求：无。</w:t>
      </w:r>
    </w:p>
    <w:p w14:paraId="03899F09">
      <w:pPr>
        <w:widowControl w:val="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4、需办理的有关施工场地交通、环卫、施工噪音管理、树木移植等手续：若因承包人原因报审手续未通过，承包人应当向发包人支付1000元/次的违约金；承包人需</w:t>
      </w:r>
      <w:r>
        <w:rPr>
          <w:rFonts w:hint="eastAsia" w:ascii="宋体" w:hAnsi="宋体" w:eastAsia="宋体" w:cs="宋体"/>
          <w:color w:val="FF0000"/>
          <w:kern w:val="0"/>
          <w:sz w:val="24"/>
          <w:szCs w:val="24"/>
          <w:lang w:val="en-US" w:eastAsia="zh-CN" w:bidi="ar-SA"/>
        </w:rPr>
        <w:t>在收到发包人通知后3天内</w:t>
      </w:r>
      <w:r>
        <w:rPr>
          <w:rFonts w:hint="eastAsia" w:ascii="宋体" w:hAnsi="宋体" w:eastAsia="宋体" w:cs="宋体"/>
          <w:color w:val="000000"/>
          <w:kern w:val="0"/>
          <w:sz w:val="24"/>
          <w:szCs w:val="24"/>
          <w:lang w:val="en-US" w:eastAsia="zh-CN" w:bidi="ar-SA"/>
        </w:rPr>
        <w:t>提供相关资料，逾期承包人应当向发包人支付500元/天的违约金。此项工作及费用由承包人负责，发包人不再补贴。</w:t>
      </w:r>
    </w:p>
    <w:p w14:paraId="30E150B9">
      <w:pPr>
        <w:widowControl w:val="0"/>
        <w:spacing w:line="400" w:lineRule="exact"/>
        <w:ind w:firstLine="240" w:firstLineChars="1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5、已完工程成品保护的特殊要求及费用承担：</w:t>
      </w:r>
    </w:p>
    <w:p w14:paraId="47370295">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现场工程全部成品、半成品在竣工验收交付前均由承包人负责管理和保护，费用含在投标报价中，不再调整。</w:t>
      </w:r>
    </w:p>
    <w:p w14:paraId="26290B42">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6、施工场地周围地下管线和邻近建筑物、构筑物（含文物保护建筑）、古树名木的保护要求及费用承担：</w:t>
      </w:r>
    </w:p>
    <w:p w14:paraId="209F90A7">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承包人对该工程履行总承包责任和义务，施工期间严格按照招标文件、投标文件及（经批准的）施工组织设计要求进行保护，所发生费用在投标报价中。如有保护不周而至毁坏、死亡者，承包人依法定规定进行补偿或赔偿。如在实际过程中，承包人拒绝承担责任而使发包人承担责任的，或承包人因此给发包人造成其它损害的，由此产生的一切责任包括但不限于代理费、公证费、鉴定费、诉讼费等由承包人承担，上述费用，发包人有权在应付工程款中直接扣除。</w:t>
      </w:r>
    </w:p>
    <w:p w14:paraId="5E5C66F5">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7、施工场清洁卫生的要求：</w:t>
      </w:r>
      <w:r>
        <w:rPr>
          <w:rFonts w:hint="eastAsia" w:ascii="宋体" w:hAnsi="宋体" w:eastAsia="宋体" w:cs="宋体"/>
          <w:color w:val="000000"/>
          <w:kern w:val="0"/>
          <w:sz w:val="24"/>
          <w:szCs w:val="24"/>
          <w:u w:val="single"/>
          <w:lang w:val="en-US" w:eastAsia="zh-CN" w:bidi="ar-SA"/>
        </w:rPr>
        <w:t>承包人须按标化工地现场要求组织施工。</w:t>
      </w:r>
    </w:p>
    <w:p w14:paraId="0A60A300">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（3）双方约定承包人应做的其他工作：</w:t>
      </w:r>
    </w:p>
    <w:p w14:paraId="13B4E137">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u w:val="single"/>
          <w:lang w:val="en-US" w:eastAsia="zh-CN" w:bidi="ar-SA"/>
        </w:rPr>
        <w:t>施工期间保证场内相邻道路的畅通，安全防护减少噪音干扰和灰尘处理。</w:t>
      </w:r>
    </w:p>
    <w:p w14:paraId="58B5041A">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2、施工现场所有外部协调工作由承包人解决。若因承包人不履行或未完全履行上述约定工作，产生工程质量问题，影响工程进度，造成有关部门找发包人处理，发包人有权责令承包人停工和暂停支付工程款直到问题解决，并可先行处理理赔，费用从承包人工程款中扣除。延误工期不予顺延，发包人另追究违约损失。</w:t>
      </w:r>
    </w:p>
    <w:p w14:paraId="12244582">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3、承包人需充分考虑施工过程对周边安全的影响，并采取相关保障措施，该部分费用已计入投标报价。如有发包人、第三人及承包人自身因施工原因造成人身伤害或财产损失，由承包人负全部责任，并赔偿相应损失。</w:t>
      </w:r>
    </w:p>
    <w:p w14:paraId="1DEDF7DC">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4、承包人在投标前应自行查看现场，并已全面了解施工现场相关情况，充分考虑各类不利因素及所需各种措施。承包人需要充分考虑相关影响，包括但不限于施工所需场地硬化、便道；施工期间的排水、降水、沉淀池；地下交叉管线处理、施工区域的先后顺序，施工过程中可能存在人员、材料、设备等多次进出场，材料堆场占用停车位、夜间施工及赶工等各类因素，以及相关需采取的各类措施、需搭设临时设施、大型机械设备进出场及安拆、完工程成品保护等措施，深化设计费、各类施工方案专家评审费、按政策性文件规定应由承包人承担的检验检测费所需的配套设施设备等。</w:t>
      </w:r>
    </w:p>
    <w:p w14:paraId="3DE3D2F1">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u w:val="single"/>
          <w:lang w:val="en-US" w:eastAsia="zh-CN" w:bidi="ar-SA"/>
        </w:rPr>
        <w:t>承包人已充分考虑施工所需各项措施及费用并计入投标报价，无论施工过程中是否需增加和调整措施项目，无论施工过程中是否发生变更，工程量清单报价中的措施费结算时：安全文明措施费按政策调整，脚手架和模板按实结算，实名制相关费用达到规定标准方予以计取，其他一律不作调整。</w:t>
      </w:r>
    </w:p>
    <w:p w14:paraId="7D8207F3">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820" w:name="_Toc256002834"/>
      <w:bookmarkStart w:id="1821" w:name="_Toc256003515"/>
      <w:bookmarkStart w:id="1822" w:name="_Toc256002380"/>
      <w:bookmarkStart w:id="1823" w:name="_Toc256001699"/>
      <w:bookmarkStart w:id="1824" w:name="_Toc256002153"/>
      <w:bookmarkStart w:id="1825" w:name="_Toc256000337"/>
      <w:bookmarkStart w:id="1826" w:name="_Toc256002607"/>
      <w:bookmarkStart w:id="1827" w:name="_Toc256000110"/>
      <w:bookmarkStart w:id="1828" w:name="_Toc256003969"/>
      <w:bookmarkStart w:id="1829" w:name="_Toc256000564"/>
      <w:bookmarkStart w:id="1830" w:name="_Toc256003288"/>
      <w:bookmarkStart w:id="1831" w:name="_Toc256001245"/>
      <w:bookmarkStart w:id="1832" w:name="_Toc256001926"/>
      <w:bookmarkStart w:id="1833" w:name="_Toc256003061"/>
      <w:bookmarkStart w:id="1834" w:name="_Toc256003742"/>
      <w:bookmarkStart w:id="1835" w:name="_Toc256000791"/>
      <w:bookmarkStart w:id="1836" w:name="_Toc256001018"/>
      <w:bookmarkStart w:id="1837" w:name="_Toc256001472"/>
      <w:r>
        <w:rPr>
          <w:rFonts w:hint="eastAsia" w:ascii="宋体" w:hAnsi="宋体" w:eastAsia="宋体" w:cs="宋体"/>
          <w:color w:val="000000"/>
          <w:kern w:val="2"/>
          <w:sz w:val="24"/>
          <w:szCs w:val="24"/>
          <w:lang w:val="en-US" w:eastAsia="zh-CN" w:bidi="ar-SA"/>
        </w:rPr>
        <w:t>3.2 项目经理</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14:paraId="46B5E52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本款修改为：</w:t>
      </w:r>
    </w:p>
    <w:p w14:paraId="76343E2C">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 xml:space="preserve">3.2.1 </w:t>
      </w:r>
      <w:r>
        <w:rPr>
          <w:rFonts w:hint="eastAsia" w:ascii="宋体" w:hAnsi="宋体" w:eastAsia="宋体" w:cs="宋体"/>
          <w:color w:val="000000"/>
          <w:kern w:val="2"/>
          <w:sz w:val="24"/>
          <w:szCs w:val="24"/>
          <w:lang w:val="en-US" w:eastAsia="zh-CN" w:bidi="ar-SA"/>
        </w:rPr>
        <w:t>项目负责人：</w:t>
      </w:r>
    </w:p>
    <w:p w14:paraId="1AE22CF0">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姓    名：；身份证号：；</w:t>
      </w:r>
    </w:p>
    <w:p w14:paraId="542ECE1F">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相关证书及编号：；</w:t>
      </w:r>
    </w:p>
    <w:p w14:paraId="364C856C">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联系电话：；</w:t>
      </w:r>
    </w:p>
    <w:p w14:paraId="31755164">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电子信箱：；</w:t>
      </w:r>
    </w:p>
    <w:p w14:paraId="75F86AF7">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通信地址：；</w:t>
      </w:r>
    </w:p>
    <w:p w14:paraId="46ACA8B7">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3.2.2</w:t>
      </w:r>
      <w:r>
        <w:rPr>
          <w:rFonts w:hint="eastAsia" w:ascii="宋体" w:hAnsi="宋体" w:eastAsia="宋体" w:cs="宋体"/>
          <w:color w:val="000000"/>
          <w:kern w:val="2"/>
          <w:sz w:val="24"/>
          <w:szCs w:val="24"/>
          <w:lang w:val="en-US" w:eastAsia="zh-CN" w:bidi="ar-SA"/>
        </w:rPr>
        <w:t>承包人对项目经理的授权范围如下：</w:t>
      </w:r>
      <w:r>
        <w:rPr>
          <w:rFonts w:hint="eastAsia" w:ascii="宋体" w:hAnsi="宋体" w:eastAsia="宋体" w:cs="宋体"/>
          <w:color w:val="000000"/>
          <w:kern w:val="0"/>
          <w:sz w:val="24"/>
          <w:szCs w:val="24"/>
          <w:u w:val="single"/>
          <w:lang w:val="en-US" w:eastAsia="zh-CN" w:bidi="ar-SA"/>
        </w:rPr>
        <w:t>本工程上的全权委托代理人，代表承包人处理执行合同中的一切实务，包括但不限于合同的实施、变更等。</w:t>
      </w:r>
    </w:p>
    <w:p w14:paraId="48D2258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1、关于</w:t>
      </w:r>
      <w:r>
        <w:rPr>
          <w:rFonts w:hint="eastAsia" w:ascii="宋体" w:hAnsi="宋体" w:eastAsia="宋体" w:cs="宋体"/>
          <w:color w:val="FF0000"/>
          <w:kern w:val="2"/>
          <w:sz w:val="24"/>
          <w:szCs w:val="24"/>
          <w:lang w:val="en-US" w:eastAsia="zh-CN" w:bidi="ar-SA"/>
        </w:rPr>
        <w:t>项目经理</w:t>
      </w:r>
      <w:r>
        <w:rPr>
          <w:rFonts w:hint="eastAsia" w:ascii="宋体" w:hAnsi="宋体" w:eastAsia="宋体" w:cs="宋体"/>
          <w:color w:val="000000"/>
          <w:kern w:val="2"/>
          <w:sz w:val="24"/>
          <w:szCs w:val="24"/>
          <w:lang w:val="en-US" w:eastAsia="zh-CN" w:bidi="ar-SA"/>
        </w:rPr>
        <w:t>每月在施工现场的时间要求：一周不少于六天，每天不少于8小时 ，每月不少于二十五天必须在本工程现场工作，且必须参加每周召开的例会，并接受业主代表和监理总监的监督，发包人发现项目经理不在本工程现场工作，发包人有权按每天1000元人民币的标准扣除违约金，项目经理每次例会无故不参加的扣除违约金1000元/次。如项目经理一周有2天或二周累计5天不在现场，为承包人严重违约，发包人有权解除合同，将承包人清退出场，解除合同的同时不免除承包人应当承担的上述违约责任。</w:t>
      </w:r>
    </w:p>
    <w:p w14:paraId="3247DC07">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3.2.3 承包人需要更换项目经理的约定：按通用条款执行（承包人需要更换项目经理的，应提前14天书面通知发包人和监理人，并征得发包人书面同意。通知中应当载明继任项目经理的注册执业资格、管理经验等资料，继任项目经理继续履行职责。未经发包人书面同意，承包人不得擅自更换项目经理）。承包人擅自更换项目经理的，应按照专用合同条款的约定承担违约责任：</w:t>
      </w:r>
    </w:p>
    <w:p w14:paraId="0CE508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承包人现场项目经理必须是资格预审时提供的项目经理，承包人若无正当理由擅自更换项目经理，承包人将承担 10万元的违约金，且发包人有权单方终止合同，承包人还应承担因此造成的损失。</w:t>
      </w:r>
    </w:p>
    <w:p w14:paraId="56321205">
      <w:pPr>
        <w:widowControl w:val="0"/>
        <w:spacing w:line="400" w:lineRule="exact"/>
        <w:ind w:firstLine="6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3.2.4 承包人无正当理由拒绝更换项目经理的违约责任：</w:t>
      </w:r>
      <w:r>
        <w:rPr>
          <w:rFonts w:hint="eastAsia" w:ascii="宋体" w:hAnsi="宋体" w:eastAsia="宋体" w:cs="宋体"/>
          <w:color w:val="000000"/>
          <w:kern w:val="2"/>
          <w:sz w:val="24"/>
          <w:szCs w:val="24"/>
          <w:u w:val="single"/>
          <w:lang w:val="en-US" w:eastAsia="zh-CN" w:bidi="ar-SA"/>
        </w:rPr>
        <w:t>发包人有权要求承包人撤换调整其认为不称职的项目经理及项目部成员，承包人拒绝的，发包人有权解除合同。</w:t>
      </w:r>
    </w:p>
    <w:p w14:paraId="2BBF4F31">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838" w:name="_Toc256000792"/>
      <w:bookmarkStart w:id="1839" w:name="_Toc1073182267"/>
      <w:bookmarkStart w:id="1840" w:name="_Toc7876"/>
      <w:bookmarkStart w:id="1841" w:name="_Toc256001473"/>
      <w:bookmarkStart w:id="1842" w:name="_Toc256003970"/>
      <w:bookmarkStart w:id="1843" w:name="_Toc256003743"/>
      <w:bookmarkStart w:id="1844" w:name="_Toc256002608"/>
      <w:bookmarkStart w:id="1845" w:name="_Toc256003516"/>
      <w:bookmarkStart w:id="1846" w:name="_Toc256001019"/>
      <w:bookmarkStart w:id="1847" w:name="_Toc256000565"/>
      <w:bookmarkStart w:id="1848" w:name="_Toc256003289"/>
      <w:bookmarkStart w:id="1849" w:name="_Toc256003062"/>
      <w:bookmarkStart w:id="1850" w:name="_Toc256002381"/>
      <w:bookmarkStart w:id="1851" w:name="_Toc256002154"/>
      <w:bookmarkStart w:id="1852" w:name="_Toc256000338"/>
      <w:bookmarkStart w:id="1853" w:name="_Toc256001700"/>
      <w:bookmarkStart w:id="1854" w:name="_Toc256001246"/>
      <w:bookmarkStart w:id="1855" w:name="_Toc256000111"/>
      <w:bookmarkStart w:id="1856" w:name="_Toc256001927"/>
      <w:bookmarkStart w:id="1857" w:name="_Toc1539542666"/>
      <w:bookmarkStart w:id="1858" w:name="_Toc256002835"/>
      <w:r>
        <w:rPr>
          <w:rFonts w:hint="eastAsia" w:ascii="宋体" w:hAnsi="宋体" w:eastAsia="宋体" w:cs="宋体"/>
          <w:color w:val="000000"/>
          <w:kern w:val="2"/>
          <w:sz w:val="24"/>
          <w:szCs w:val="24"/>
          <w:lang w:val="en-US" w:eastAsia="zh-CN" w:bidi="ar-SA"/>
        </w:rPr>
        <w:t>3.3 承包人人员</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14:paraId="0D58F2F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本款补充3.3.6。</w:t>
      </w:r>
    </w:p>
    <w:p w14:paraId="2D51FB9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3.3.1 承包人提交项目管理机构及施工现场管理人员安排报告的期限：</w:t>
      </w:r>
      <w:r>
        <w:rPr>
          <w:rFonts w:hint="eastAsia" w:ascii="宋体" w:hAnsi="宋体" w:eastAsia="宋体" w:cs="宋体"/>
          <w:color w:val="000000"/>
          <w:kern w:val="2"/>
          <w:sz w:val="24"/>
          <w:szCs w:val="24"/>
          <w:u w:val="single"/>
          <w:lang w:val="en-US" w:eastAsia="zh-CN" w:bidi="ar-SA"/>
        </w:rPr>
        <w:t>开工前一周</w:t>
      </w:r>
      <w:r>
        <w:rPr>
          <w:rFonts w:hint="eastAsia" w:ascii="宋体" w:hAnsi="宋体" w:eastAsia="宋体" w:cs="宋体"/>
          <w:color w:val="000000"/>
          <w:kern w:val="2"/>
          <w:sz w:val="24"/>
          <w:szCs w:val="24"/>
          <w:lang w:val="en-US" w:eastAsia="zh-CN" w:bidi="ar-SA"/>
        </w:rPr>
        <w:t>。</w:t>
      </w:r>
    </w:p>
    <w:p w14:paraId="04836ACA">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3.3.2 承包人无正当理由拒绝撤换主要施工管理人员的违约责任：</w:t>
      </w:r>
      <w:r>
        <w:rPr>
          <w:rFonts w:hint="eastAsia" w:ascii="宋体" w:hAnsi="宋体" w:eastAsia="宋体" w:cs="宋体"/>
          <w:color w:val="000000"/>
          <w:kern w:val="2"/>
          <w:sz w:val="24"/>
          <w:szCs w:val="24"/>
          <w:u w:val="single"/>
          <w:lang w:val="en-US" w:eastAsia="zh-CN" w:bidi="ar-SA"/>
        </w:rPr>
        <w:t>发包人有权要求承包人撤换调整其认为不称职的项目经理及项目部成员，承包人拒绝的，发包人有权解除合同。</w:t>
      </w:r>
    </w:p>
    <w:p w14:paraId="50B2AF6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3.3.3 承包人主要施工管理人员离开施工现场的批准要求：</w:t>
      </w:r>
      <w:r>
        <w:rPr>
          <w:rFonts w:hint="eastAsia" w:ascii="宋体" w:hAnsi="宋体" w:eastAsia="宋体" w:cs="宋体"/>
          <w:color w:val="000000"/>
          <w:kern w:val="2"/>
          <w:sz w:val="24"/>
          <w:szCs w:val="24"/>
          <w:u w:val="single"/>
          <w:lang w:val="en-US" w:eastAsia="zh-CN" w:bidi="ar-SA"/>
        </w:rPr>
        <w:t>经发包人书面批准</w:t>
      </w:r>
      <w:r>
        <w:rPr>
          <w:rFonts w:hint="eastAsia" w:ascii="宋体" w:hAnsi="宋体" w:eastAsia="宋体" w:cs="宋体"/>
          <w:color w:val="000000"/>
          <w:kern w:val="2"/>
          <w:sz w:val="24"/>
          <w:szCs w:val="24"/>
          <w:lang w:val="en-US" w:eastAsia="zh-CN" w:bidi="ar-SA"/>
        </w:rPr>
        <w:t>。</w:t>
      </w:r>
    </w:p>
    <w:p w14:paraId="4D28762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3.3.4 承包人擅自更换主要施工管理人员的违约责任：</w:t>
      </w:r>
      <w:r>
        <w:rPr>
          <w:rFonts w:hint="eastAsia" w:ascii="宋体" w:hAnsi="宋体" w:eastAsia="宋体" w:cs="宋体"/>
          <w:color w:val="000000"/>
          <w:kern w:val="2"/>
          <w:sz w:val="24"/>
          <w:szCs w:val="24"/>
          <w:u w:val="single"/>
          <w:lang w:val="en-US" w:eastAsia="zh-CN" w:bidi="ar-SA"/>
        </w:rPr>
        <w:t>投标文件中及合同中明确的项目经理和各专业人员不得擅自变更，开工时或施工过程中若有擅自变更，发包人有权解除合同，并追究由此带来的发包人一切损失</w:t>
      </w:r>
      <w:r>
        <w:rPr>
          <w:rFonts w:hint="eastAsia" w:ascii="宋体" w:hAnsi="宋体" w:eastAsia="宋体" w:cs="宋体"/>
          <w:color w:val="000000"/>
          <w:kern w:val="2"/>
          <w:sz w:val="24"/>
          <w:szCs w:val="24"/>
          <w:lang w:val="en-US" w:eastAsia="zh-CN" w:bidi="ar-SA"/>
        </w:rPr>
        <w:t>。</w:t>
      </w:r>
    </w:p>
    <w:p w14:paraId="3D842B1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承包人主要施工管理人员擅自离开施工现场的违约责任：</w:t>
      </w:r>
      <w:r>
        <w:rPr>
          <w:rFonts w:hint="eastAsia" w:ascii="宋体" w:hAnsi="宋体" w:eastAsia="宋体" w:cs="宋体"/>
          <w:color w:val="000000"/>
          <w:kern w:val="2"/>
          <w:sz w:val="24"/>
          <w:szCs w:val="24"/>
          <w:u w:val="single"/>
          <w:lang w:val="en-US" w:eastAsia="zh-CN" w:bidi="ar-SA"/>
        </w:rPr>
        <w:t>主要人员必须常驻现场，若出现未经发包人书面批准的主要人员更换的情况，</w:t>
      </w:r>
      <w:bookmarkStart w:id="1859" w:name="_Hlk127948153"/>
      <w:r>
        <w:rPr>
          <w:rFonts w:hint="eastAsia" w:ascii="宋体" w:hAnsi="宋体" w:eastAsia="宋体" w:cs="宋体"/>
          <w:color w:val="000000"/>
          <w:kern w:val="2"/>
          <w:sz w:val="24"/>
          <w:szCs w:val="24"/>
          <w:u w:val="single"/>
          <w:lang w:val="en-US" w:eastAsia="zh-CN" w:bidi="ar-SA"/>
        </w:rPr>
        <w:t>发包人将处罚承包人2000元/次的违约金</w:t>
      </w:r>
      <w:bookmarkEnd w:id="1859"/>
      <w:r>
        <w:rPr>
          <w:rFonts w:hint="eastAsia" w:ascii="宋体" w:hAnsi="宋体" w:eastAsia="宋体" w:cs="宋体"/>
          <w:color w:val="000000"/>
          <w:kern w:val="2"/>
          <w:sz w:val="24"/>
          <w:szCs w:val="24"/>
          <w:u w:val="single"/>
          <w:lang w:val="en-US" w:eastAsia="zh-CN" w:bidi="ar-SA"/>
        </w:rPr>
        <w:t>。若因此给发包人带来损失的，承包人应赔偿发包人全部损失</w:t>
      </w:r>
      <w:r>
        <w:rPr>
          <w:rFonts w:hint="eastAsia" w:ascii="宋体" w:hAnsi="宋体" w:eastAsia="宋体" w:cs="宋体"/>
          <w:color w:val="000000"/>
          <w:kern w:val="2"/>
          <w:sz w:val="24"/>
          <w:szCs w:val="24"/>
          <w:lang w:val="en-US" w:eastAsia="zh-CN" w:bidi="ar-SA"/>
        </w:rPr>
        <w:t>。</w:t>
      </w:r>
    </w:p>
    <w:p w14:paraId="28B43037">
      <w:pPr>
        <w:widowControl w:val="0"/>
        <w:spacing w:line="40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3.3.5 技术负责人</w:t>
      </w:r>
    </w:p>
    <w:p w14:paraId="685CA239">
      <w:pPr>
        <w:widowControl w:val="0"/>
        <w:spacing w:line="360" w:lineRule="exact"/>
        <w:ind w:firstLine="480" w:firstLineChars="200"/>
        <w:jc w:val="both"/>
        <w:rPr>
          <w:rFonts w:ascii="宋体" w:hAnsi="宋体" w:eastAsia="宋体" w:cs="宋体"/>
          <w:color w:val="000000"/>
          <w:kern w:val="2"/>
          <w:sz w:val="24"/>
          <w:szCs w:val="24"/>
          <w:u w:val="single"/>
          <w:lang w:val="en-US" w:eastAsia="zh-CN" w:bidi="ar-SA"/>
        </w:rPr>
      </w:pPr>
      <w:bookmarkStart w:id="1860" w:name="_Toc256003063"/>
      <w:bookmarkStart w:id="1861" w:name="_Toc256001928"/>
      <w:bookmarkStart w:id="1862" w:name="_Toc256000339"/>
      <w:bookmarkStart w:id="1863" w:name="_Toc256001474"/>
      <w:bookmarkStart w:id="1864" w:name="_Toc256003744"/>
      <w:bookmarkStart w:id="1865" w:name="_Toc256000566"/>
      <w:bookmarkStart w:id="1866" w:name="_Toc256003290"/>
      <w:bookmarkStart w:id="1867" w:name="_Toc256000793"/>
      <w:bookmarkStart w:id="1868" w:name="_Toc256000112"/>
      <w:bookmarkStart w:id="1869" w:name="_Toc256003971"/>
      <w:bookmarkStart w:id="1870" w:name="_Toc256002382"/>
      <w:bookmarkStart w:id="1871" w:name="_Toc824057593"/>
      <w:bookmarkStart w:id="1872" w:name="_Toc256002836"/>
      <w:bookmarkStart w:id="1873" w:name="_Toc256001247"/>
      <w:bookmarkStart w:id="1874" w:name="_Toc1011775723"/>
      <w:bookmarkStart w:id="1875" w:name="_Toc29840"/>
      <w:bookmarkStart w:id="1876" w:name="_Toc256002155"/>
      <w:bookmarkStart w:id="1877" w:name="_Toc256001020"/>
      <w:bookmarkStart w:id="1878" w:name="_Toc256001701"/>
      <w:bookmarkStart w:id="1879" w:name="_Toc256003517"/>
      <w:bookmarkStart w:id="1880" w:name="_Toc256002609"/>
      <w:r>
        <w:rPr>
          <w:rFonts w:hint="eastAsia" w:ascii="宋体" w:hAnsi="宋体" w:eastAsia="宋体" w:cs="宋体"/>
          <w:color w:val="000000"/>
          <w:kern w:val="2"/>
          <w:sz w:val="24"/>
          <w:szCs w:val="24"/>
          <w:lang w:val="en-US" w:eastAsia="zh-CN" w:bidi="ar-SA"/>
        </w:rPr>
        <w:t>姓名：；身份证号：；</w:t>
      </w:r>
    </w:p>
    <w:p w14:paraId="786E257F">
      <w:pPr>
        <w:widowControl w:val="0"/>
        <w:spacing w:line="3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专业：；职称等级：。</w:t>
      </w:r>
    </w:p>
    <w:p w14:paraId="0100853B">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bookmarkStart w:id="1881" w:name="_Toc303539102"/>
      <w:bookmarkStart w:id="1882" w:name="_Toc304295523"/>
      <w:bookmarkStart w:id="1883" w:name="_Toc296347158"/>
      <w:bookmarkStart w:id="1884" w:name="_Toc312677988"/>
      <w:bookmarkStart w:id="1885" w:name="_Toc296944498"/>
      <w:bookmarkStart w:id="1886" w:name="_Toc296503159"/>
      <w:bookmarkStart w:id="1887" w:name="_Toc292559364"/>
      <w:bookmarkStart w:id="1888" w:name="_Toc297216151"/>
      <w:bookmarkStart w:id="1889" w:name="_Toc297048345"/>
      <w:bookmarkStart w:id="1890" w:name="_Toc297123492"/>
      <w:bookmarkStart w:id="1891" w:name="_Toc297120459"/>
      <w:bookmarkStart w:id="1892" w:name="_Toc300934945"/>
      <w:bookmarkStart w:id="1893" w:name="_Toc296890987"/>
      <w:bookmarkStart w:id="1894" w:name="_Toc296891199"/>
      <w:bookmarkStart w:id="1895" w:name="_Toc292559869"/>
      <w:bookmarkStart w:id="1896" w:name="_Toc296346660"/>
      <w:r>
        <w:rPr>
          <w:rFonts w:hint="eastAsia" w:ascii="宋体" w:hAnsi="宋体" w:eastAsia="宋体" w:cs="宋体"/>
          <w:color w:val="000000"/>
          <w:kern w:val="2"/>
          <w:sz w:val="24"/>
          <w:szCs w:val="24"/>
          <w:lang w:val="en-US" w:eastAsia="zh-CN" w:bidi="ar-SA"/>
        </w:rPr>
        <w:t>.5 分包</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p>
    <w:p w14:paraId="5614CA1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本款修改3.5.1、3.5.2。</w:t>
      </w:r>
    </w:p>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14:paraId="674D562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bookmarkStart w:id="1897" w:name="_Toc297120460"/>
      <w:bookmarkStart w:id="1898" w:name="_Toc296346661"/>
      <w:bookmarkStart w:id="1899" w:name="_Toc296503160"/>
      <w:bookmarkStart w:id="1900" w:name="_Toc297048346"/>
      <w:bookmarkStart w:id="1901" w:name="_Toc297123493"/>
      <w:bookmarkStart w:id="1902" w:name="_Toc296347159"/>
      <w:bookmarkStart w:id="1903" w:name="_Toc297216152"/>
      <w:bookmarkStart w:id="1904" w:name="_Toc296944499"/>
      <w:bookmarkStart w:id="1905" w:name="_Toc292559870"/>
      <w:bookmarkStart w:id="1906" w:name="_Toc292559365"/>
      <w:bookmarkStart w:id="1907" w:name="_Toc296890988"/>
      <w:bookmarkStart w:id="1908" w:name="_Toc296891200"/>
      <w:bookmarkStart w:id="1909" w:name="_Toc304295524"/>
      <w:bookmarkStart w:id="1910" w:name="_Toc303539103"/>
      <w:bookmarkStart w:id="1911" w:name="_Toc300934946"/>
      <w:bookmarkStart w:id="1912" w:name="_Toc312677989"/>
      <w:bookmarkStart w:id="1913" w:name="_Toc318581158"/>
      <w:r>
        <w:rPr>
          <w:rFonts w:hint="eastAsia" w:ascii="宋体" w:hAnsi="宋体" w:eastAsia="宋体" w:cs="宋体"/>
          <w:color w:val="000000"/>
          <w:kern w:val="2"/>
          <w:sz w:val="24"/>
          <w:szCs w:val="24"/>
          <w:lang w:val="en-US" w:eastAsia="zh-CN" w:bidi="ar-SA"/>
        </w:rPr>
        <w:t>.5.1 分包的一般约定</w:t>
      </w:r>
    </w:p>
    <w:p w14:paraId="1721F3F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若发包人发现承包人擅自分包，发包人有权要求承包人退场，一切损失和后果均由承包人承担，并视情况向建设行政主管部门报告，如确认有未经发包人批准的第三方施工单位进场，发包人有权要求承包人立即整改，发包人有权要求未经发包人批准的第三方施工单位退场，同时由承包人应向发包人支付违约金___</w:t>
      </w:r>
      <w:r>
        <w:rPr>
          <w:rFonts w:hint="eastAsia" w:ascii="宋体" w:hAnsi="宋体" w:eastAsia="宋体" w:cs="宋体"/>
          <w:color w:val="000000"/>
          <w:kern w:val="2"/>
          <w:sz w:val="24"/>
          <w:szCs w:val="24"/>
          <w:u w:val="single"/>
          <w:lang w:val="en-US" w:eastAsia="zh-CN" w:bidi="ar-SA"/>
        </w:rPr>
        <w:t>5</w:t>
      </w:r>
      <w:r>
        <w:rPr>
          <w:rFonts w:hint="eastAsia" w:ascii="宋体" w:hAnsi="宋体" w:eastAsia="宋体" w:cs="宋体"/>
          <w:color w:val="000000"/>
          <w:kern w:val="2"/>
          <w:sz w:val="24"/>
          <w:szCs w:val="24"/>
          <w:lang w:val="en-US" w:eastAsia="zh-CN" w:bidi="ar-SA"/>
        </w:rPr>
        <w:t>__万元；发包人的实际损失高于此违约金的，承包人还需赔偿发包人实际损失，包括但不限于发包人直接、间接损失，以及因依法维权产生的律师费，保全费，公证费，差旅费等。发包人有权在应付承包人费用中直接扣除前述违约金或赔偿金等。经发包人准许的分包，分包合同不得与本合同发生抵触。分包合同不解除承包人对该分包工程的任何义务与责任，承包人在分包现场派驻监督管理人员，保证合同的履行。分包单位的任何违约行为，均视为承包人违约。分包单位对所分包的项目和承包人一样负有连带责任。</w:t>
      </w:r>
    </w:p>
    <w:p w14:paraId="78253E3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（2）禁止分包的工程包括：本工程未经发包人书面同意，禁止分包。</w:t>
      </w:r>
    </w:p>
    <w:p w14:paraId="1605721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（3）主体结构、关键性工作的范围：本协议约定的所有施工内容</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Start w:id="1914" w:name="_Toc304295525"/>
      <w:bookmarkStart w:id="1915" w:name="_Toc297048347"/>
      <w:bookmarkStart w:id="1916" w:name="_Toc297216153"/>
      <w:bookmarkStart w:id="1917" w:name="_Toc296347160"/>
      <w:bookmarkStart w:id="1918" w:name="_Toc297123494"/>
      <w:bookmarkStart w:id="1919" w:name="_Toc297120461"/>
      <w:bookmarkStart w:id="1920" w:name="_Toc296503161"/>
      <w:bookmarkStart w:id="1921" w:name="_Toc296890989"/>
      <w:bookmarkStart w:id="1922" w:name="_Toc303539104"/>
      <w:bookmarkStart w:id="1923" w:name="_Toc300934947"/>
      <w:bookmarkStart w:id="1924" w:name="_Toc296346662"/>
      <w:bookmarkStart w:id="1925" w:name="_Toc296891201"/>
      <w:bookmarkStart w:id="1926" w:name="_Toc296944500"/>
      <w:r>
        <w:rPr>
          <w:rFonts w:hint="eastAsia" w:ascii="宋体" w:hAnsi="宋体" w:eastAsia="宋体" w:cs="宋体"/>
          <w:color w:val="000000"/>
          <w:kern w:val="2"/>
          <w:sz w:val="24"/>
          <w:szCs w:val="24"/>
          <w:lang w:val="en-US" w:eastAsia="zh-CN" w:bidi="ar-SA"/>
        </w:rPr>
        <w:t>。</w:t>
      </w:r>
    </w:p>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14:paraId="2FFEABE9">
      <w:pPr>
        <w:widowControl w:val="0"/>
        <w:spacing w:line="400" w:lineRule="exact"/>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3</w:t>
      </w:r>
      <w:bookmarkStart w:id="1927" w:name="_Toc312677990"/>
      <w:bookmarkStart w:id="1928" w:name="_Toc318581159"/>
      <w:r>
        <w:rPr>
          <w:rFonts w:hint="eastAsia" w:ascii="宋体" w:hAnsi="宋体" w:eastAsia="宋体" w:cs="宋体"/>
          <w:color w:val="000000"/>
          <w:kern w:val="2"/>
          <w:sz w:val="24"/>
          <w:szCs w:val="24"/>
          <w:lang w:val="en-US" w:eastAsia="zh-CN" w:bidi="ar-SA"/>
        </w:rPr>
        <w:t>.5.2 分包的确定</w:t>
      </w:r>
    </w:p>
    <w:p w14:paraId="6F94610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允许分包的专业工程包括：</w:t>
      </w:r>
      <w:r>
        <w:rPr>
          <w:rFonts w:hint="eastAsia" w:ascii="宋体" w:hAnsi="宋体" w:eastAsia="宋体" w:cs="宋体"/>
          <w:color w:val="000000"/>
          <w:kern w:val="2"/>
          <w:sz w:val="24"/>
          <w:szCs w:val="24"/>
          <w:u w:val="single"/>
          <w:lang w:val="en-US" w:eastAsia="zh-CN" w:bidi="ar-SA"/>
        </w:rPr>
        <w:t xml:space="preserve"> 无 </w:t>
      </w:r>
      <w:r>
        <w:rPr>
          <w:rFonts w:hint="eastAsia" w:ascii="宋体" w:hAnsi="宋体" w:eastAsia="宋体" w:cs="宋体"/>
          <w:color w:val="000000"/>
          <w:kern w:val="2"/>
          <w:sz w:val="24"/>
          <w:szCs w:val="24"/>
          <w:lang w:val="en-US" w:eastAsia="zh-CN" w:bidi="ar-SA"/>
        </w:rPr>
        <w:t>。</w:t>
      </w:r>
    </w:p>
    <w:p w14:paraId="62C2BF6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涉及分包的工程内容，分包工程承包人的资格应符合国家相关规定。</w:t>
      </w:r>
    </w:p>
    <w:p w14:paraId="4661955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其他关于分包的约定：</w:t>
      </w:r>
      <w:r>
        <w:rPr>
          <w:rFonts w:hint="eastAsia" w:ascii="宋体" w:hAnsi="宋体" w:eastAsia="宋体" w:cs="宋体"/>
          <w:color w:val="000000"/>
          <w:kern w:val="2"/>
          <w:sz w:val="24"/>
          <w:szCs w:val="24"/>
          <w:u w:val="single"/>
          <w:lang w:val="en-US" w:eastAsia="zh-CN" w:bidi="ar-SA"/>
        </w:rPr>
        <w:t>无</w:t>
      </w:r>
      <w:r>
        <w:rPr>
          <w:rFonts w:hint="eastAsia" w:ascii="宋体" w:hAnsi="宋体" w:eastAsia="宋体" w:cs="宋体"/>
          <w:color w:val="000000"/>
          <w:kern w:val="2"/>
          <w:sz w:val="24"/>
          <w:szCs w:val="24"/>
          <w:lang w:val="en-US" w:eastAsia="zh-CN" w:bidi="ar-SA"/>
        </w:rPr>
        <w:t>。</w:t>
      </w:r>
    </w:p>
    <w:p w14:paraId="0544E1A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3.5.3 分包合同价款</w:t>
      </w:r>
    </w:p>
    <w:p w14:paraId="64B016E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关于分包合同价款支付的约定：</w:t>
      </w:r>
      <w:r>
        <w:rPr>
          <w:rFonts w:hint="eastAsia" w:ascii="宋体" w:hAnsi="宋体" w:eastAsia="宋体" w:cs="宋体"/>
          <w:color w:val="000000"/>
          <w:kern w:val="2"/>
          <w:sz w:val="24"/>
          <w:szCs w:val="24"/>
          <w:u w:val="single"/>
          <w:lang w:val="en-US" w:eastAsia="zh-CN" w:bidi="ar-SA"/>
        </w:rPr>
        <w:t>无</w:t>
      </w:r>
      <w:r>
        <w:rPr>
          <w:rFonts w:hint="eastAsia" w:ascii="宋体" w:hAnsi="宋体" w:eastAsia="宋体" w:cs="宋体"/>
          <w:color w:val="000000"/>
          <w:kern w:val="2"/>
          <w:sz w:val="24"/>
          <w:szCs w:val="24"/>
          <w:lang w:val="en-US" w:eastAsia="zh-CN" w:bidi="ar-SA"/>
        </w:rPr>
        <w:t>。</w:t>
      </w:r>
    </w:p>
    <w:bookmarkEnd w:id="1927"/>
    <w:bookmarkEnd w:id="1928"/>
    <w:p w14:paraId="68D0B1DC">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929" w:name="_Toc256000113"/>
      <w:bookmarkStart w:id="1930" w:name="_Toc256002383"/>
      <w:bookmarkStart w:id="1931" w:name="_Toc256000340"/>
      <w:bookmarkStart w:id="1932" w:name="_Toc30018"/>
      <w:bookmarkStart w:id="1933" w:name="_Toc256000567"/>
      <w:bookmarkStart w:id="1934" w:name="_Toc256003972"/>
      <w:bookmarkStart w:id="1935" w:name="_Toc1926667033"/>
      <w:bookmarkStart w:id="1936" w:name="_Toc256002610"/>
      <w:bookmarkStart w:id="1937" w:name="_Toc256003745"/>
      <w:bookmarkStart w:id="1938" w:name="_Toc256003064"/>
      <w:bookmarkStart w:id="1939" w:name="_Toc1754831627"/>
      <w:bookmarkStart w:id="1940" w:name="_Toc256001475"/>
      <w:bookmarkStart w:id="1941" w:name="_Toc256003291"/>
      <w:bookmarkStart w:id="1942" w:name="_Toc256002156"/>
      <w:bookmarkStart w:id="1943" w:name="_Toc256000794"/>
      <w:bookmarkStart w:id="1944" w:name="_Toc256001021"/>
      <w:bookmarkStart w:id="1945" w:name="_Toc256001248"/>
      <w:bookmarkStart w:id="1946" w:name="_Toc256002837"/>
      <w:bookmarkStart w:id="1947" w:name="_Toc256003518"/>
      <w:bookmarkStart w:id="1948" w:name="_Toc256001929"/>
      <w:bookmarkStart w:id="1949" w:name="_Toc256001702"/>
      <w:r>
        <w:rPr>
          <w:rFonts w:hint="eastAsia" w:ascii="宋体" w:hAnsi="宋体" w:eastAsia="宋体" w:cs="宋体"/>
          <w:color w:val="000000"/>
          <w:kern w:val="2"/>
          <w:sz w:val="24"/>
          <w:szCs w:val="24"/>
          <w:lang w:val="en-US" w:eastAsia="zh-CN" w:bidi="ar-SA"/>
        </w:rPr>
        <w:t>3.6 工程照管与成品、半成品保护</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122C76D4">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1950" w:name="_Toc256002611"/>
      <w:bookmarkStart w:id="1951" w:name="_Toc256003065"/>
      <w:bookmarkStart w:id="1952" w:name="_Toc256000568"/>
      <w:bookmarkStart w:id="1953" w:name="_Toc786970481"/>
      <w:bookmarkStart w:id="1954" w:name="_Toc256002384"/>
      <w:bookmarkStart w:id="1955" w:name="_Toc65997439"/>
      <w:bookmarkStart w:id="1956" w:name="_Toc256000795"/>
      <w:bookmarkStart w:id="1957" w:name="_Toc256001930"/>
      <w:bookmarkStart w:id="1958" w:name="_Toc256002838"/>
      <w:bookmarkStart w:id="1959" w:name="_Toc256003292"/>
      <w:bookmarkStart w:id="1960" w:name="_Toc256001703"/>
      <w:bookmarkStart w:id="1961" w:name="_Toc256001476"/>
      <w:bookmarkStart w:id="1962" w:name="_Toc256002157"/>
      <w:bookmarkStart w:id="1963" w:name="_Toc256001022"/>
      <w:bookmarkStart w:id="1964" w:name="_Toc256003973"/>
      <w:bookmarkStart w:id="1965" w:name="_Toc256000114"/>
      <w:bookmarkStart w:id="1966" w:name="_Toc256003746"/>
      <w:bookmarkStart w:id="1967" w:name="_Toc256000341"/>
      <w:bookmarkStart w:id="1968" w:name="_Toc256003519"/>
      <w:bookmarkStart w:id="1969" w:name="_Toc256001249"/>
      <w:r>
        <w:rPr>
          <w:rFonts w:hint="eastAsia" w:ascii="宋体" w:hAnsi="宋体" w:eastAsia="宋体" w:cs="宋体"/>
          <w:color w:val="000000"/>
          <w:kern w:val="2"/>
          <w:sz w:val="24"/>
          <w:szCs w:val="24"/>
          <w:lang w:val="en-US" w:eastAsia="zh-CN" w:bidi="ar-SA"/>
        </w:rPr>
        <w:t>本款补充3.6.2。</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14:paraId="73B45401">
      <w:pPr>
        <w:widowControl w:val="0"/>
        <w:snapToGrid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3.6.1 承包人负责照管工程及工程相关的材料、工程设备的起始时间：</w:t>
      </w:r>
      <w:r>
        <w:rPr>
          <w:rFonts w:hint="eastAsia" w:ascii="宋体" w:hAnsi="宋体" w:eastAsia="宋体" w:cs="宋体"/>
          <w:color w:val="000000"/>
          <w:kern w:val="0"/>
          <w:sz w:val="24"/>
          <w:szCs w:val="24"/>
          <w:u w:val="single"/>
          <w:lang w:val="en-US" w:eastAsia="zh-CN" w:bidi="ar-SA"/>
        </w:rPr>
        <w:t xml:space="preserve"> 自发包人移交施工现场之日起，至颁发工程竣工证书之日后30天 。</w:t>
      </w:r>
    </w:p>
    <w:p w14:paraId="53AF0BF2">
      <w:pPr>
        <w:widowControl w:val="0"/>
        <w:snapToGrid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3.6.2 现状树木的保护起始时间：</w:t>
      </w:r>
      <w:r>
        <w:rPr>
          <w:rFonts w:hint="eastAsia" w:ascii="宋体" w:hAnsi="宋体" w:eastAsia="宋体" w:cs="宋体"/>
          <w:color w:val="000000"/>
          <w:kern w:val="0"/>
          <w:sz w:val="24"/>
          <w:szCs w:val="24"/>
          <w:u w:val="single"/>
          <w:lang w:val="en-US" w:eastAsia="zh-CN" w:bidi="ar-SA"/>
        </w:rPr>
        <w:t>合同签订开始</w:t>
      </w:r>
      <w:r>
        <w:rPr>
          <w:rFonts w:hint="eastAsia" w:ascii="宋体" w:hAnsi="宋体" w:eastAsia="宋体" w:cs="宋体"/>
          <w:color w:val="000000"/>
          <w:kern w:val="0"/>
          <w:sz w:val="24"/>
          <w:szCs w:val="24"/>
          <w:lang w:val="en-US" w:eastAsia="zh-CN" w:bidi="ar-SA"/>
        </w:rPr>
        <w:t xml:space="preserve">。 </w:t>
      </w:r>
    </w:p>
    <w:p w14:paraId="4E7CDDFB">
      <w:pPr>
        <w:widowControl w:val="0"/>
        <w:snapToGrid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现状树木的保护范围：</w:t>
      </w:r>
      <w:r>
        <w:rPr>
          <w:rFonts w:hint="eastAsia" w:ascii="宋体" w:hAnsi="宋体" w:eastAsia="宋体" w:cs="宋体"/>
          <w:color w:val="000000"/>
          <w:kern w:val="0"/>
          <w:sz w:val="24"/>
          <w:szCs w:val="24"/>
          <w:u w:val="single"/>
          <w:lang w:val="en-US" w:eastAsia="zh-CN" w:bidi="ar-SA"/>
        </w:rPr>
        <w:t>工程围挡范围</w:t>
      </w:r>
      <w:r>
        <w:rPr>
          <w:rFonts w:hint="eastAsia" w:ascii="宋体" w:hAnsi="宋体" w:eastAsia="宋体" w:cs="宋体"/>
          <w:color w:val="000000"/>
          <w:kern w:val="0"/>
          <w:sz w:val="24"/>
          <w:szCs w:val="24"/>
          <w:lang w:val="en-US" w:eastAsia="zh-CN" w:bidi="ar-SA"/>
        </w:rPr>
        <w:t>。</w:t>
      </w:r>
    </w:p>
    <w:p w14:paraId="76C3DA30">
      <w:pPr>
        <w:keepNext/>
        <w:keepLines/>
        <w:widowControl w:val="0"/>
        <w:spacing w:before="0" w:after="0" w:line="400" w:lineRule="exact"/>
        <w:ind w:firstLine="480" w:firstLineChars="200"/>
        <w:jc w:val="both"/>
        <w:outlineLvl w:val="1"/>
        <w:rPr>
          <w:rFonts w:ascii="宋体" w:hAnsi="宋体" w:eastAsia="宋体" w:cs="宋体"/>
          <w:b w:val="0"/>
          <w:bCs w:val="0"/>
          <w:color w:val="000000"/>
          <w:kern w:val="0"/>
          <w:sz w:val="24"/>
          <w:szCs w:val="24"/>
          <w:lang w:val="en-US" w:eastAsia="zh-CN" w:bidi="ar-SA"/>
        </w:rPr>
      </w:pPr>
      <w:bookmarkStart w:id="1970" w:name="_Toc256000115"/>
      <w:bookmarkStart w:id="1971" w:name="_Toc256000569"/>
      <w:bookmarkStart w:id="1972" w:name="_Toc2142794716"/>
      <w:bookmarkStart w:id="1973" w:name="_Toc256001023"/>
      <w:bookmarkStart w:id="1974" w:name="_Toc1195865979"/>
      <w:bookmarkStart w:id="1975" w:name="_Toc256002612"/>
      <w:bookmarkStart w:id="1976" w:name="_Toc256000796"/>
      <w:bookmarkStart w:id="1977" w:name="_Toc256003747"/>
      <w:bookmarkStart w:id="1978" w:name="_Toc256000342"/>
      <w:bookmarkStart w:id="1979" w:name="_Toc256001250"/>
      <w:bookmarkStart w:id="1980" w:name="_Toc256003520"/>
      <w:bookmarkStart w:id="1981" w:name="_Toc256002158"/>
      <w:bookmarkStart w:id="1982" w:name="_Toc256002839"/>
      <w:bookmarkStart w:id="1983" w:name="_Toc256001477"/>
      <w:bookmarkStart w:id="1984" w:name="_Toc256001931"/>
      <w:bookmarkStart w:id="1985" w:name="_Toc256002385"/>
      <w:bookmarkStart w:id="1986" w:name="_Toc256003974"/>
      <w:bookmarkStart w:id="1987" w:name="_Toc256003293"/>
      <w:bookmarkStart w:id="1988" w:name="_Toc256001704"/>
      <w:bookmarkStart w:id="1989" w:name="_Toc256003066"/>
      <w:r>
        <w:rPr>
          <w:rFonts w:hint="eastAsia" w:ascii="宋体" w:hAnsi="宋体" w:eastAsia="宋体" w:cs="宋体"/>
          <w:b w:val="0"/>
          <w:bCs w:val="0"/>
          <w:color w:val="000000"/>
          <w:kern w:val="0"/>
          <w:sz w:val="24"/>
          <w:szCs w:val="24"/>
          <w:lang w:val="en-US" w:eastAsia="zh-CN" w:bidi="ar-SA"/>
        </w:rPr>
        <w:t>3.7履约担保</w:t>
      </w:r>
    </w:p>
    <w:p w14:paraId="1AA8116E">
      <w:pPr>
        <w:keepNext/>
        <w:keepLines/>
        <w:widowControl w:val="0"/>
        <w:spacing w:before="0" w:after="0" w:line="400" w:lineRule="exact"/>
        <w:ind w:firstLine="480" w:firstLineChars="200"/>
        <w:jc w:val="both"/>
        <w:outlineLvl w:val="1"/>
        <w:rPr>
          <w:rFonts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承包人是否提供履约担保：否</w:t>
      </w:r>
    </w:p>
    <w:p w14:paraId="10FD4833">
      <w:pPr>
        <w:keepNext/>
        <w:keepLines/>
        <w:widowControl w:val="0"/>
        <w:spacing w:before="0" w:after="0" w:line="400" w:lineRule="exact"/>
        <w:ind w:firstLine="480" w:firstLineChars="200"/>
        <w:jc w:val="both"/>
        <w:outlineLvl w:val="1"/>
        <w:rPr>
          <w:rFonts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承包人提供履约担保的形式、金额及期限的：/。</w:t>
      </w:r>
    </w:p>
    <w:p w14:paraId="4893439C">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w:t>
      </w:r>
      <w:bookmarkStart w:id="1990" w:name="_Toc296890990"/>
      <w:bookmarkStart w:id="1991" w:name="_Toc267251413"/>
      <w:bookmarkStart w:id="1992" w:name="_Toc296346663"/>
      <w:bookmarkStart w:id="1993" w:name="_Toc297120462"/>
      <w:bookmarkStart w:id="1994" w:name="_Toc292559871"/>
      <w:bookmarkStart w:id="1995" w:name="_Toc292559366"/>
      <w:bookmarkStart w:id="1996" w:name="_Toc296891202"/>
      <w:bookmarkStart w:id="1997" w:name="_Toc296347161"/>
      <w:bookmarkStart w:id="1998" w:name="_Toc296503162"/>
      <w:bookmarkStart w:id="1999" w:name="_Toc297048348"/>
      <w:bookmarkStart w:id="2000" w:name="_Toc296944501"/>
      <w:r>
        <w:rPr>
          <w:rFonts w:hint="eastAsia" w:ascii="宋体" w:hAnsi="宋体" w:eastAsia="宋体" w:cs="宋体"/>
          <w:b w:val="0"/>
          <w:bCs/>
          <w:color w:val="000000"/>
          <w:kern w:val="2"/>
          <w:sz w:val="24"/>
          <w:szCs w:val="24"/>
          <w:lang w:val="en-US" w:eastAsia="zh-CN" w:bidi="ar-SA"/>
        </w:rPr>
        <w:t>. 监</w:t>
      </w:r>
      <w:bookmarkEnd w:id="1990"/>
      <w:bookmarkEnd w:id="1991"/>
      <w:bookmarkEnd w:id="1992"/>
      <w:bookmarkEnd w:id="1993"/>
      <w:bookmarkEnd w:id="1994"/>
      <w:bookmarkEnd w:id="1995"/>
      <w:bookmarkEnd w:id="1996"/>
      <w:bookmarkEnd w:id="1997"/>
      <w:bookmarkEnd w:id="1998"/>
      <w:bookmarkEnd w:id="1999"/>
      <w:bookmarkEnd w:id="2000"/>
      <w:r>
        <w:rPr>
          <w:rFonts w:hint="eastAsia" w:ascii="宋体" w:hAnsi="宋体" w:eastAsia="宋体" w:cs="宋体"/>
          <w:b w:val="0"/>
          <w:bCs/>
          <w:color w:val="000000"/>
          <w:kern w:val="2"/>
          <w:sz w:val="24"/>
          <w:szCs w:val="24"/>
          <w:lang w:val="en-US" w:eastAsia="zh-CN" w:bidi="ar-SA"/>
        </w:rPr>
        <w:t>理人</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22BA3E64">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001" w:name="_Toc256001478"/>
      <w:bookmarkStart w:id="2002" w:name="_Toc256003748"/>
      <w:bookmarkStart w:id="2003" w:name="_Toc256000570"/>
      <w:bookmarkStart w:id="2004" w:name="_Toc1325789808"/>
      <w:bookmarkStart w:id="2005" w:name="_Toc256002386"/>
      <w:bookmarkStart w:id="2006" w:name="_Toc256002159"/>
      <w:bookmarkStart w:id="2007" w:name="_Toc256000116"/>
      <w:bookmarkStart w:id="2008" w:name="_Toc256003975"/>
      <w:bookmarkStart w:id="2009" w:name="_Toc256000343"/>
      <w:bookmarkStart w:id="2010" w:name="_Toc22333"/>
      <w:bookmarkStart w:id="2011" w:name="_Toc256001705"/>
      <w:bookmarkStart w:id="2012" w:name="_Toc256003067"/>
      <w:bookmarkStart w:id="2013" w:name="_Toc256000797"/>
      <w:bookmarkStart w:id="2014" w:name="_Toc256001024"/>
      <w:bookmarkStart w:id="2015" w:name="_Toc256002840"/>
      <w:bookmarkStart w:id="2016" w:name="_Toc256001932"/>
      <w:bookmarkStart w:id="2017" w:name="_Toc256003521"/>
      <w:bookmarkStart w:id="2018" w:name="_Toc256003294"/>
      <w:bookmarkStart w:id="2019" w:name="_Toc256002613"/>
      <w:bookmarkStart w:id="2020" w:name="_Toc256001251"/>
      <w:bookmarkStart w:id="2021" w:name="_Toc189823449"/>
      <w:r>
        <w:rPr>
          <w:rFonts w:hint="eastAsia" w:ascii="宋体" w:hAnsi="宋体" w:eastAsia="宋体" w:cs="宋体"/>
          <w:color w:val="000000"/>
          <w:kern w:val="2"/>
          <w:sz w:val="24"/>
          <w:szCs w:val="24"/>
          <w:lang w:val="en-US" w:eastAsia="zh-CN" w:bidi="ar-SA"/>
        </w:rPr>
        <w:t>4.1 监理人的一般规定</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p>
    <w:p w14:paraId="5E6172F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关于监理人的监理内容：</w:t>
      </w:r>
      <w:r>
        <w:rPr>
          <w:rFonts w:hint="eastAsia" w:ascii="宋体" w:hAnsi="宋体" w:eastAsia="宋体" w:cs="宋体"/>
          <w:color w:val="000000"/>
          <w:kern w:val="2"/>
          <w:sz w:val="24"/>
          <w:szCs w:val="24"/>
          <w:u w:val="single"/>
          <w:lang w:val="en-US" w:eastAsia="zh-CN" w:bidi="ar-SA"/>
        </w:rPr>
        <w:t>施工及保修阶段的“四控制、二管理、一协调”全过程监理</w:t>
      </w:r>
      <w:r>
        <w:rPr>
          <w:rFonts w:hint="eastAsia" w:ascii="宋体" w:hAnsi="宋体" w:eastAsia="宋体" w:cs="宋体"/>
          <w:color w:val="000000"/>
          <w:kern w:val="2"/>
          <w:sz w:val="24"/>
          <w:szCs w:val="24"/>
          <w:lang w:val="en-US" w:eastAsia="zh-CN" w:bidi="ar-SA"/>
        </w:rPr>
        <w:t>。</w:t>
      </w:r>
    </w:p>
    <w:p w14:paraId="5D94B56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关于监理人的监理权限：</w:t>
      </w:r>
      <w:r>
        <w:rPr>
          <w:rFonts w:hint="eastAsia" w:ascii="宋体" w:hAnsi="宋体" w:eastAsia="宋体" w:cs="宋体"/>
          <w:color w:val="000000"/>
          <w:kern w:val="2"/>
          <w:sz w:val="24"/>
          <w:szCs w:val="24"/>
          <w:u w:val="single"/>
          <w:lang w:val="en-US" w:eastAsia="zh-CN" w:bidi="ar-SA"/>
        </w:rPr>
        <w:t xml:space="preserve">对建设工程的质量控制、进度控制、投资控制、合同管理、信息管理和各方协调工作，监督施工单位对工程施工进行科学管理，安全施工，文明施工，具体详见监理合同一切涉及工程价款变化的事项，如签证、设计变更等，需经发包人书面同意，否则不能作为结算等依据。 </w:t>
      </w:r>
    </w:p>
    <w:p w14:paraId="3C9CC081">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关于监理人在施工现场的办公场所、生活场所的提供和费用承担的约定：</w:t>
      </w:r>
      <w:r>
        <w:rPr>
          <w:rFonts w:hint="eastAsia" w:ascii="宋体" w:hAnsi="宋体" w:eastAsia="宋体" w:cs="宋体"/>
          <w:color w:val="000000"/>
          <w:kern w:val="2"/>
          <w:sz w:val="24"/>
          <w:szCs w:val="24"/>
          <w:u w:val="single"/>
          <w:lang w:val="en-US" w:eastAsia="zh-CN" w:bidi="ar-SA"/>
        </w:rPr>
        <w:t xml:space="preserve"> 由承包人承担，费用已计入总合同价款中 </w:t>
      </w:r>
      <w:r>
        <w:rPr>
          <w:rFonts w:hint="eastAsia" w:ascii="宋体" w:hAnsi="宋体" w:eastAsia="宋体" w:cs="宋体"/>
          <w:color w:val="000000"/>
          <w:kern w:val="2"/>
          <w:sz w:val="24"/>
          <w:szCs w:val="24"/>
          <w:lang w:val="en-US" w:eastAsia="zh-CN" w:bidi="ar-SA"/>
        </w:rPr>
        <w:t>。</w:t>
      </w:r>
    </w:p>
    <w:p w14:paraId="7B389C36">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022" w:name="_Toc256002614"/>
      <w:bookmarkStart w:id="2023" w:name="_Toc256001252"/>
      <w:bookmarkStart w:id="2024" w:name="_Toc256003068"/>
      <w:bookmarkStart w:id="2025" w:name="_Toc256000117"/>
      <w:bookmarkStart w:id="2026" w:name="_Toc256000571"/>
      <w:bookmarkStart w:id="2027" w:name="_Toc256003976"/>
      <w:bookmarkStart w:id="2028" w:name="_Toc256000798"/>
      <w:bookmarkStart w:id="2029" w:name="_Toc256000344"/>
      <w:bookmarkStart w:id="2030" w:name="_Toc256001025"/>
      <w:bookmarkStart w:id="2031" w:name="_Toc1275710936"/>
      <w:bookmarkStart w:id="2032" w:name="_Toc256003295"/>
      <w:bookmarkStart w:id="2033" w:name="_Toc256003749"/>
      <w:bookmarkStart w:id="2034" w:name="_Toc256001933"/>
      <w:bookmarkStart w:id="2035" w:name="_Toc256001706"/>
      <w:bookmarkStart w:id="2036" w:name="_Toc1416"/>
      <w:bookmarkStart w:id="2037" w:name="_Toc256001479"/>
      <w:bookmarkStart w:id="2038" w:name="_Toc256002841"/>
      <w:bookmarkStart w:id="2039" w:name="_Toc1881790026"/>
      <w:bookmarkStart w:id="2040" w:name="_Toc256002387"/>
      <w:bookmarkStart w:id="2041" w:name="_Toc256002160"/>
      <w:bookmarkStart w:id="2042" w:name="_Toc256003522"/>
      <w:r>
        <w:rPr>
          <w:rFonts w:hint="eastAsia" w:ascii="宋体" w:hAnsi="宋体" w:eastAsia="宋体" w:cs="宋体"/>
          <w:color w:val="000000"/>
          <w:kern w:val="2"/>
          <w:sz w:val="24"/>
          <w:szCs w:val="24"/>
          <w:lang w:val="en-US" w:eastAsia="zh-CN" w:bidi="ar-SA"/>
        </w:rPr>
        <w:t>4.2 监理人员</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5B9EBB5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总监理工程师：</w:t>
      </w:r>
    </w:p>
    <w:p w14:paraId="00CDF88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姓    名： ；</w:t>
      </w:r>
    </w:p>
    <w:p w14:paraId="530ACD5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职    务： ；</w:t>
      </w:r>
    </w:p>
    <w:p w14:paraId="2670385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监理工程师执业资格证书号：  ；</w:t>
      </w:r>
    </w:p>
    <w:p w14:paraId="2D26697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联系电话： </w:t>
      </w:r>
    </w:p>
    <w:p w14:paraId="6221809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电子信箱： </w:t>
      </w:r>
    </w:p>
    <w:p w14:paraId="06981C6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通信地址： </w:t>
      </w:r>
    </w:p>
    <w:p w14:paraId="7F249D5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关于监理人的其他约定：。</w:t>
      </w:r>
    </w:p>
    <w:p w14:paraId="56467800">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043" w:name="_Toc256002388"/>
      <w:bookmarkStart w:id="2044" w:name="_Toc1839233093"/>
      <w:bookmarkStart w:id="2045" w:name="_Toc256001480"/>
      <w:bookmarkStart w:id="2046" w:name="_Toc256000345"/>
      <w:bookmarkStart w:id="2047" w:name="_Toc256002161"/>
      <w:bookmarkStart w:id="2048" w:name="_Toc256001253"/>
      <w:bookmarkStart w:id="2049" w:name="_Toc256003523"/>
      <w:bookmarkStart w:id="2050" w:name="_Toc256001026"/>
      <w:bookmarkStart w:id="2051" w:name="_Toc256000118"/>
      <w:bookmarkStart w:id="2052" w:name="_Toc256002615"/>
      <w:bookmarkStart w:id="2053" w:name="_Toc256003069"/>
      <w:bookmarkStart w:id="2054" w:name="_Toc256003977"/>
      <w:bookmarkStart w:id="2055" w:name="_Toc256001934"/>
      <w:bookmarkStart w:id="2056" w:name="_Toc256002842"/>
      <w:bookmarkStart w:id="2057" w:name="_Toc20339"/>
      <w:bookmarkStart w:id="2058" w:name="_Toc256003296"/>
      <w:bookmarkStart w:id="2059" w:name="_Toc351297407"/>
      <w:bookmarkStart w:id="2060" w:name="_Toc256000799"/>
      <w:bookmarkStart w:id="2061" w:name="_Toc256000572"/>
      <w:bookmarkStart w:id="2062" w:name="_Toc256001707"/>
      <w:bookmarkStart w:id="2063" w:name="_Toc256003750"/>
      <w:r>
        <w:rPr>
          <w:rFonts w:hint="eastAsia" w:ascii="宋体" w:hAnsi="宋体" w:eastAsia="宋体" w:cs="宋体"/>
          <w:color w:val="000000"/>
          <w:kern w:val="2"/>
          <w:sz w:val="24"/>
          <w:szCs w:val="24"/>
          <w:lang w:val="en-US" w:eastAsia="zh-CN" w:bidi="ar-SA"/>
        </w:rPr>
        <w:t>4.3商定或确定</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14:paraId="2A489ED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bookmarkStart w:id="2064" w:name="_Toc267251418"/>
      <w:r>
        <w:rPr>
          <w:rFonts w:hint="eastAsia" w:ascii="宋体" w:hAnsi="宋体" w:eastAsia="宋体" w:cs="宋体"/>
          <w:color w:val="000000"/>
          <w:kern w:val="2"/>
          <w:sz w:val="24"/>
          <w:szCs w:val="24"/>
          <w:lang w:val="en-US" w:eastAsia="zh-CN" w:bidi="ar-SA"/>
        </w:rPr>
        <w:t>在发包人和承包人不能通过协商达成一致意见时，发包人授权监理人对以下事项进行确定：</w:t>
      </w:r>
    </w:p>
    <w:p w14:paraId="54C49DFC">
      <w:pPr>
        <w:widowControl w:val="0"/>
        <w:autoSpaceDE w:val="0"/>
        <w:autoSpaceDN w:val="0"/>
        <w:adjustRightInd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w:t>
      </w:r>
    </w:p>
    <w:p w14:paraId="06F73B83">
      <w:pPr>
        <w:widowControl w:val="0"/>
        <w:autoSpaceDE w:val="0"/>
        <w:autoSpaceDN w:val="0"/>
        <w:adjustRightInd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w:t>
      </w:r>
    </w:p>
    <w:p w14:paraId="5B312D04">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2"/>
          <w:sz w:val="24"/>
          <w:szCs w:val="24"/>
          <w:u w:val="single"/>
          <w:lang w:val="en-US" w:eastAsia="zh-CN" w:bidi="ar-SA"/>
        </w:rPr>
        <w:t>/</w:t>
      </w:r>
      <w:r>
        <w:rPr>
          <w:rFonts w:hint="eastAsia" w:ascii="宋体" w:hAnsi="宋体" w:eastAsia="宋体" w:cs="宋体"/>
          <w:color w:val="000000"/>
          <w:kern w:val="2"/>
          <w:sz w:val="24"/>
          <w:szCs w:val="24"/>
          <w:lang w:val="en-US" w:eastAsia="zh-CN" w:bidi="ar-SA"/>
        </w:rPr>
        <w:t>。</w:t>
      </w:r>
    </w:p>
    <w:p w14:paraId="13A5E128">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2065" w:name="_Toc256003751"/>
      <w:bookmarkStart w:id="2066" w:name="_Toc256000800"/>
      <w:bookmarkStart w:id="2067" w:name="_Toc256002616"/>
      <w:bookmarkStart w:id="2068" w:name="_Toc256000119"/>
      <w:bookmarkStart w:id="2069" w:name="_Toc256002389"/>
      <w:bookmarkStart w:id="2070" w:name="_Toc256001027"/>
      <w:bookmarkStart w:id="2071" w:name="_Toc256002843"/>
      <w:bookmarkStart w:id="2072" w:name="_Toc256000346"/>
      <w:bookmarkStart w:id="2073" w:name="_Toc256003978"/>
      <w:bookmarkStart w:id="2074" w:name="_Toc256001708"/>
      <w:bookmarkStart w:id="2075" w:name="_Toc256003070"/>
      <w:bookmarkStart w:id="2076" w:name="_Toc441549874"/>
      <w:bookmarkStart w:id="2077" w:name="_Toc256001254"/>
      <w:bookmarkStart w:id="2078" w:name="_Toc256003297"/>
      <w:bookmarkStart w:id="2079" w:name="_Toc256002162"/>
      <w:bookmarkStart w:id="2080" w:name="_Toc256001481"/>
      <w:bookmarkStart w:id="2081" w:name="_Toc256003524"/>
      <w:bookmarkStart w:id="2082" w:name="_Toc1767461773"/>
      <w:bookmarkStart w:id="2083" w:name="_Toc256000573"/>
      <w:bookmarkStart w:id="2084" w:name="_Toc256001935"/>
      <w:r>
        <w:rPr>
          <w:rFonts w:hint="eastAsia" w:ascii="宋体" w:hAnsi="宋体" w:eastAsia="宋体" w:cs="宋体"/>
          <w:b w:val="0"/>
          <w:bCs/>
          <w:color w:val="000000"/>
          <w:kern w:val="2"/>
          <w:sz w:val="24"/>
          <w:szCs w:val="24"/>
          <w:lang w:val="en-US" w:eastAsia="zh-CN" w:bidi="ar-SA"/>
        </w:rPr>
        <w:t>5</w:t>
      </w:r>
      <w:bookmarkEnd w:id="2064"/>
      <w:bookmarkStart w:id="2085" w:name="_Toc296890991"/>
      <w:bookmarkStart w:id="2086" w:name="_Toc296503163"/>
      <w:bookmarkStart w:id="2087" w:name="_Toc292559367"/>
      <w:bookmarkStart w:id="2088" w:name="_Toc292559872"/>
      <w:bookmarkStart w:id="2089" w:name="_Toc297048349"/>
      <w:bookmarkStart w:id="2090" w:name="_Toc296944502"/>
      <w:bookmarkStart w:id="2091" w:name="_Toc296347162"/>
      <w:bookmarkStart w:id="2092" w:name="_Toc297120463"/>
      <w:bookmarkStart w:id="2093" w:name="_Toc296346664"/>
      <w:bookmarkStart w:id="2094" w:name="_Toc296891203"/>
      <w:r>
        <w:rPr>
          <w:rFonts w:hint="eastAsia" w:ascii="宋体" w:hAnsi="宋体" w:eastAsia="宋体" w:cs="宋体"/>
          <w:b w:val="0"/>
          <w:bCs/>
          <w:color w:val="000000"/>
          <w:kern w:val="2"/>
          <w:sz w:val="24"/>
          <w:szCs w:val="24"/>
          <w:lang w:val="en-US" w:eastAsia="zh-CN" w:bidi="ar-SA"/>
        </w:rPr>
        <w:t>. 工程质量</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14:paraId="263AB613">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095" w:name="_Toc256001482"/>
      <w:bookmarkStart w:id="2096" w:name="_Toc256000120"/>
      <w:bookmarkStart w:id="2097" w:name="_Toc256002390"/>
      <w:bookmarkStart w:id="2098" w:name="_Toc256003979"/>
      <w:bookmarkStart w:id="2099" w:name="_Toc256002163"/>
      <w:bookmarkStart w:id="2100" w:name="_Toc256001255"/>
      <w:bookmarkStart w:id="2101" w:name="_Toc256003071"/>
      <w:bookmarkStart w:id="2102" w:name="_Toc256000574"/>
      <w:bookmarkStart w:id="2103" w:name="_Toc256003752"/>
      <w:bookmarkStart w:id="2104" w:name="_Toc256001709"/>
      <w:bookmarkStart w:id="2105" w:name="_Toc256001028"/>
      <w:bookmarkStart w:id="2106" w:name="_Toc256001936"/>
      <w:bookmarkStart w:id="2107" w:name="_Toc18820"/>
      <w:bookmarkStart w:id="2108" w:name="_Toc256000801"/>
      <w:bookmarkStart w:id="2109" w:name="_Toc256003298"/>
      <w:bookmarkStart w:id="2110" w:name="_Toc1592482993"/>
      <w:bookmarkStart w:id="2111" w:name="_Toc256002844"/>
      <w:bookmarkStart w:id="2112" w:name="_Toc256002617"/>
      <w:bookmarkStart w:id="2113" w:name="_Toc256003525"/>
      <w:bookmarkStart w:id="2114" w:name="_Toc928117446"/>
      <w:bookmarkStart w:id="2115" w:name="_Toc256000347"/>
      <w:r>
        <w:rPr>
          <w:rFonts w:hint="eastAsia" w:ascii="宋体" w:hAnsi="宋体" w:eastAsia="宋体" w:cs="宋体"/>
          <w:color w:val="000000"/>
          <w:kern w:val="2"/>
          <w:sz w:val="24"/>
          <w:szCs w:val="24"/>
          <w:lang w:val="en-US" w:eastAsia="zh-CN" w:bidi="ar-SA"/>
        </w:rPr>
        <w:t>5.1 质量要求</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14:paraId="46C1F14B">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116" w:name="_Toc256001710"/>
      <w:bookmarkStart w:id="2117" w:name="_Toc256001483"/>
      <w:bookmarkStart w:id="2118" w:name="_Toc256000802"/>
      <w:bookmarkStart w:id="2119" w:name="_Toc256003753"/>
      <w:bookmarkStart w:id="2120" w:name="_Toc256002845"/>
      <w:bookmarkStart w:id="2121" w:name="_Toc256002618"/>
      <w:bookmarkStart w:id="2122" w:name="_Toc256001256"/>
      <w:bookmarkStart w:id="2123" w:name="_Toc256001029"/>
      <w:bookmarkStart w:id="2124" w:name="_Toc256001937"/>
      <w:bookmarkStart w:id="2125" w:name="_Toc256002391"/>
      <w:bookmarkStart w:id="2126" w:name="_Toc256000348"/>
      <w:bookmarkStart w:id="2127" w:name="_Toc256000575"/>
      <w:bookmarkStart w:id="2128" w:name="_Toc256000121"/>
      <w:bookmarkStart w:id="2129" w:name="_Toc256002164"/>
      <w:bookmarkStart w:id="2130" w:name="_Toc256003980"/>
      <w:bookmarkStart w:id="2131" w:name="_Toc256003526"/>
      <w:bookmarkStart w:id="2132" w:name="_Toc256003072"/>
      <w:bookmarkStart w:id="2133" w:name="_Toc256003299"/>
      <w:r>
        <w:rPr>
          <w:rFonts w:hint="eastAsia" w:ascii="宋体" w:hAnsi="宋体" w:eastAsia="宋体" w:cs="宋体"/>
          <w:color w:val="000000"/>
          <w:kern w:val="2"/>
          <w:sz w:val="24"/>
          <w:szCs w:val="24"/>
          <w:lang w:val="en-US" w:eastAsia="zh-CN" w:bidi="ar-SA"/>
        </w:rPr>
        <w:t>5</w:t>
      </w:r>
      <w:bookmarkStart w:id="2134" w:name="_Toc318581164"/>
      <w:bookmarkStart w:id="2135" w:name="_Toc297123496"/>
      <w:bookmarkStart w:id="2136" w:name="_Toc304295527"/>
      <w:bookmarkStart w:id="2137" w:name="_Toc303539106"/>
      <w:bookmarkStart w:id="2138" w:name="_Toc312677997"/>
      <w:bookmarkStart w:id="2139" w:name="_Toc297216155"/>
      <w:bookmarkStart w:id="2140" w:name="_Toc300934949"/>
      <w:r>
        <w:rPr>
          <w:rFonts w:hint="eastAsia" w:ascii="宋体" w:hAnsi="宋体" w:eastAsia="宋体" w:cs="宋体"/>
          <w:color w:val="000000"/>
          <w:kern w:val="2"/>
          <w:sz w:val="24"/>
          <w:szCs w:val="24"/>
          <w:lang w:val="en-US" w:eastAsia="zh-CN" w:bidi="ar-SA"/>
        </w:rPr>
        <w:t>.1.1 特殊质量标准和要求：</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14:paraId="1882AF4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1、工程质量符合国家及行业施工验收规范合格标准。承包人须严格按照国家相关标准规范、省市有关规定执行。</w:t>
      </w:r>
    </w:p>
    <w:p w14:paraId="344475DA">
      <w:pPr>
        <w:widowControl w:val="0"/>
        <w:spacing w:line="400" w:lineRule="exact"/>
        <w:ind w:firstLine="480" w:firstLineChars="200"/>
        <w:jc w:val="both"/>
        <w:outlineLvl w:val="2"/>
        <w:rPr>
          <w:rFonts w:ascii="宋体" w:hAnsi="宋体" w:eastAsia="宋体" w:cs="宋体"/>
          <w:color w:val="000000"/>
          <w:kern w:val="2"/>
          <w:sz w:val="24"/>
          <w:szCs w:val="24"/>
          <w:u w:val="single"/>
          <w:lang w:val="en-US" w:eastAsia="zh-CN" w:bidi="ar-SA"/>
        </w:rPr>
      </w:pPr>
      <w:bookmarkStart w:id="2141" w:name="_Toc256000122"/>
      <w:bookmarkStart w:id="2142" w:name="_Toc256000576"/>
      <w:bookmarkStart w:id="2143" w:name="_Toc256000349"/>
      <w:bookmarkStart w:id="2144" w:name="_Toc256002165"/>
      <w:bookmarkStart w:id="2145" w:name="_Toc256001030"/>
      <w:bookmarkStart w:id="2146" w:name="_Toc256003981"/>
      <w:bookmarkStart w:id="2147" w:name="_Toc256001257"/>
      <w:bookmarkStart w:id="2148" w:name="_Toc256003754"/>
      <w:bookmarkStart w:id="2149" w:name="_Toc256000803"/>
      <w:bookmarkStart w:id="2150" w:name="_Toc256002619"/>
      <w:bookmarkStart w:id="2151" w:name="_Toc256001484"/>
      <w:bookmarkStart w:id="2152" w:name="_Toc256001938"/>
      <w:bookmarkStart w:id="2153" w:name="_Toc256002846"/>
      <w:bookmarkStart w:id="2154" w:name="_Toc256003073"/>
      <w:bookmarkStart w:id="2155" w:name="_Toc256002392"/>
      <w:bookmarkStart w:id="2156" w:name="_Toc256003300"/>
      <w:bookmarkStart w:id="2157" w:name="_Toc256003527"/>
      <w:bookmarkStart w:id="2158" w:name="_Toc256001711"/>
      <w:r>
        <w:rPr>
          <w:rFonts w:hint="eastAsia" w:ascii="宋体" w:hAnsi="宋体" w:eastAsia="宋体" w:cs="宋体"/>
          <w:color w:val="000000"/>
          <w:kern w:val="2"/>
          <w:sz w:val="24"/>
          <w:szCs w:val="24"/>
          <w:u w:val="single"/>
          <w:lang w:val="en-US" w:eastAsia="zh-CN" w:bidi="ar-SA"/>
        </w:rPr>
        <w:t>2、承包人必须按发包人批准的施工组织设计、分项工程及关键部位的专项施工方案施工，现场放线后，须经监理、发包人专业工程师复核后才能施工，严把工序报验关；</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r>
        <w:rPr>
          <w:rFonts w:hint="eastAsia" w:ascii="宋体" w:hAnsi="宋体" w:eastAsia="宋体" w:cs="宋体"/>
          <w:color w:val="000000"/>
          <w:kern w:val="2"/>
          <w:sz w:val="24"/>
          <w:szCs w:val="24"/>
          <w:u w:val="single"/>
          <w:lang w:val="en-US" w:eastAsia="zh-CN" w:bidi="ar-SA"/>
        </w:rPr>
        <w:t>为保证施工质量，施工难点以及容易发生质量通病的地方，承包人应先报 施工方案经监理及发包人确认，发包人可根据实际情况要求承包人做施工样板，样板经发包人验收合格后，承包人方可按样板进行大面积施工。</w:t>
      </w:r>
    </w:p>
    <w:p w14:paraId="701E3E40">
      <w:pPr>
        <w:widowControl w:val="0"/>
        <w:jc w:val="left"/>
        <w:rPr>
          <w:rFonts w:ascii="Calibri" w:hAnsi="Calibri" w:eastAsia="宋体" w:cs="Times New Roman"/>
          <w:color w:val="000000"/>
          <w:kern w:val="2"/>
          <w:sz w:val="21"/>
          <w:szCs w:val="20"/>
          <w:lang w:val="en-US" w:eastAsia="zh-CN" w:bidi="ar-SA"/>
        </w:rPr>
      </w:pPr>
      <w:bookmarkStart w:id="2159" w:name="_Toc256001031"/>
      <w:bookmarkStart w:id="2160" w:name="_Toc256003074"/>
      <w:bookmarkStart w:id="2161" w:name="_Toc256001485"/>
      <w:bookmarkStart w:id="2162" w:name="_Toc256000577"/>
      <w:bookmarkStart w:id="2163" w:name="_Toc256003301"/>
      <w:bookmarkStart w:id="2164" w:name="_Toc256001712"/>
      <w:bookmarkStart w:id="2165" w:name="_Toc256001939"/>
      <w:bookmarkStart w:id="2166" w:name="_Toc256001258"/>
      <w:bookmarkStart w:id="2167" w:name="_Toc256000123"/>
      <w:bookmarkStart w:id="2168" w:name="_Toc256000350"/>
      <w:bookmarkStart w:id="2169" w:name="_Toc256002166"/>
      <w:bookmarkStart w:id="2170" w:name="_Toc256002620"/>
      <w:bookmarkStart w:id="2171" w:name="_Toc256002393"/>
      <w:bookmarkStart w:id="2172" w:name="_Toc256000804"/>
      <w:bookmarkStart w:id="2173" w:name="_Toc256003528"/>
      <w:bookmarkStart w:id="2174" w:name="_Toc256003982"/>
      <w:bookmarkStart w:id="2175" w:name="_Toc256002847"/>
      <w:bookmarkStart w:id="2176" w:name="_Toc256003755"/>
      <w:r>
        <w:rPr>
          <w:rFonts w:hint="eastAsia" w:ascii="宋体" w:hAnsi="宋体" w:eastAsia="宋体" w:cs="宋体"/>
          <w:color w:val="000000"/>
          <w:kern w:val="2"/>
          <w:sz w:val="24"/>
          <w:szCs w:val="24"/>
          <w:u w:val="single"/>
          <w:lang w:val="en-US" w:eastAsia="zh-CN" w:bidi="ar-SA"/>
        </w:rPr>
        <w:t>3、在收到发包人的质量安全隐患整改通知后需整改到位，承包人拒绝整改继续施工的，每发现一次，支付违约金1000元。如果下道工序的质量问题是由上道工序引起的，承包人须承担1000-5000元/次的违约金，发包人有权在工程款中直接予以扣除</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rPr>
          <w:rFonts w:hint="eastAsia" w:ascii="宋体" w:hAnsi="宋体" w:eastAsia="宋体" w:cs="宋体"/>
          <w:color w:val="000000"/>
          <w:kern w:val="2"/>
          <w:sz w:val="24"/>
          <w:szCs w:val="24"/>
          <w:u w:val="single"/>
          <w:lang w:val="en-US" w:eastAsia="zh-CN" w:bidi="ar-SA"/>
        </w:rPr>
        <w:t>，承包人拒绝整改三次以上的，发包人有权解除合同，本合同自解除通知到达乙方时解除；</w:t>
      </w:r>
    </w:p>
    <w:p w14:paraId="369A1DC3">
      <w:pPr>
        <w:widowControl w:val="0"/>
        <w:spacing w:line="400" w:lineRule="exact"/>
        <w:ind w:firstLine="480" w:firstLineChars="200"/>
        <w:jc w:val="both"/>
        <w:outlineLvl w:val="2"/>
        <w:rPr>
          <w:rFonts w:ascii="宋体" w:hAnsi="宋体" w:eastAsia="宋体" w:cs="宋体"/>
          <w:color w:val="000000"/>
          <w:kern w:val="2"/>
          <w:sz w:val="24"/>
          <w:szCs w:val="24"/>
          <w:u w:val="single"/>
          <w:lang w:val="en-US" w:eastAsia="zh-CN" w:bidi="ar-SA"/>
        </w:rPr>
      </w:pPr>
      <w:bookmarkStart w:id="2177" w:name="_Toc256001259"/>
      <w:bookmarkStart w:id="2178" w:name="_Toc256003075"/>
      <w:bookmarkStart w:id="2179" w:name="_Toc256001032"/>
      <w:bookmarkStart w:id="2180" w:name="_Toc256000578"/>
      <w:bookmarkStart w:id="2181" w:name="_Toc256003756"/>
      <w:bookmarkStart w:id="2182" w:name="_Toc256002394"/>
      <w:bookmarkStart w:id="2183" w:name="_Toc256003983"/>
      <w:bookmarkStart w:id="2184" w:name="_Toc256001713"/>
      <w:bookmarkStart w:id="2185" w:name="_Toc256002848"/>
      <w:bookmarkStart w:id="2186" w:name="_Toc256000124"/>
      <w:bookmarkStart w:id="2187" w:name="_Toc256002167"/>
      <w:bookmarkStart w:id="2188" w:name="_Toc256003529"/>
      <w:bookmarkStart w:id="2189" w:name="_Toc256002621"/>
      <w:bookmarkStart w:id="2190" w:name="_Toc256000351"/>
      <w:bookmarkStart w:id="2191" w:name="_Toc256003302"/>
      <w:bookmarkStart w:id="2192" w:name="_Toc256001486"/>
      <w:bookmarkStart w:id="2193" w:name="_Toc256000805"/>
      <w:bookmarkStart w:id="2194" w:name="_Toc256001940"/>
      <w:r>
        <w:rPr>
          <w:rFonts w:hint="eastAsia" w:ascii="宋体" w:hAnsi="宋体" w:eastAsia="宋体" w:cs="宋体"/>
          <w:color w:val="000000"/>
          <w:kern w:val="2"/>
          <w:sz w:val="24"/>
          <w:szCs w:val="24"/>
          <w:u w:val="single"/>
          <w:lang w:val="en-US" w:eastAsia="zh-CN" w:bidi="ar-SA"/>
        </w:rPr>
        <w:t>4、施工过程中若出现质量事故，承包人必须立即上报监理及发包人，发包人视情况严重性上报质监、行业监管部门，查明原因，要求承包人停工整改，工期不得顺延，同时承包人须承担1-5万元的违约金，直至清退出场，违约金不足以弥补发包人损失的，承包人应当补足；</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14:paraId="22AAD4FA">
      <w:pPr>
        <w:widowControl w:val="0"/>
        <w:spacing w:line="400" w:lineRule="exact"/>
        <w:ind w:firstLine="480" w:firstLineChars="200"/>
        <w:jc w:val="both"/>
        <w:outlineLvl w:val="2"/>
        <w:rPr>
          <w:rFonts w:ascii="宋体" w:hAnsi="宋体" w:eastAsia="宋体" w:cs="宋体"/>
          <w:color w:val="000000"/>
          <w:kern w:val="2"/>
          <w:sz w:val="24"/>
          <w:szCs w:val="24"/>
          <w:u w:val="single"/>
          <w:lang w:val="en-US" w:eastAsia="zh-CN" w:bidi="ar-SA"/>
        </w:rPr>
      </w:pPr>
      <w:bookmarkStart w:id="2195" w:name="_Toc256001260"/>
      <w:bookmarkStart w:id="2196" w:name="_Toc256003757"/>
      <w:bookmarkStart w:id="2197" w:name="_Toc256000579"/>
      <w:bookmarkStart w:id="2198" w:name="_Toc256002168"/>
      <w:bookmarkStart w:id="2199" w:name="_Toc256002849"/>
      <w:bookmarkStart w:id="2200" w:name="_Toc256002395"/>
      <w:bookmarkStart w:id="2201" w:name="_Toc256003303"/>
      <w:bookmarkStart w:id="2202" w:name="_Toc256002622"/>
      <w:bookmarkStart w:id="2203" w:name="_Toc256001487"/>
      <w:bookmarkStart w:id="2204" w:name="_Toc256000806"/>
      <w:bookmarkStart w:id="2205" w:name="_Toc256000125"/>
      <w:bookmarkStart w:id="2206" w:name="_Toc256003984"/>
      <w:bookmarkStart w:id="2207" w:name="_Toc256003530"/>
      <w:bookmarkStart w:id="2208" w:name="_Toc256001033"/>
      <w:bookmarkStart w:id="2209" w:name="_Toc256001941"/>
      <w:bookmarkStart w:id="2210" w:name="_Toc256003076"/>
      <w:bookmarkStart w:id="2211" w:name="_Toc256001714"/>
      <w:bookmarkStart w:id="2212" w:name="_Toc256000352"/>
      <w:r>
        <w:rPr>
          <w:rFonts w:hint="eastAsia" w:ascii="宋体" w:hAnsi="宋体" w:eastAsia="宋体" w:cs="宋体"/>
          <w:color w:val="000000"/>
          <w:kern w:val="2"/>
          <w:sz w:val="24"/>
          <w:szCs w:val="24"/>
          <w:u w:val="single"/>
          <w:lang w:val="en-US" w:eastAsia="zh-CN" w:bidi="ar-SA"/>
        </w:rPr>
        <w:t>5、隐蔽工程、工序必须经监理工程师验收合格后方可隐蔽或进行下道工序施工，未经监理工程师验收合格擅自隐蔽或进行下道工序施工的需整改到位，每发现一次，需承担违约金1000-3000元。若因此导致质量、安全隐患的，给予10000元的违约金。导致质量、安全事故的，给予100000元的违约金。承包人承担由此造成的一切损失。违约金不足以弥补发包人损失的，承包人应当承担赔偿责任。</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14:paraId="5634ACD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关于工程奖项的约定：</w:t>
      </w:r>
      <w:r>
        <w:rPr>
          <w:rFonts w:hint="eastAsia" w:ascii="宋体" w:hAnsi="宋体" w:eastAsia="宋体" w:cs="宋体"/>
          <w:color w:val="000000"/>
          <w:kern w:val="2"/>
          <w:sz w:val="24"/>
          <w:szCs w:val="24"/>
          <w:u w:val="single"/>
          <w:lang w:val="en-US" w:eastAsia="zh-CN" w:bidi="ar-SA"/>
        </w:rPr>
        <w:t>/</w:t>
      </w:r>
      <w:r>
        <w:rPr>
          <w:rFonts w:hint="eastAsia" w:ascii="宋体" w:hAnsi="宋体" w:eastAsia="宋体" w:cs="宋体"/>
          <w:color w:val="000000"/>
          <w:kern w:val="2"/>
          <w:sz w:val="24"/>
          <w:szCs w:val="24"/>
          <w:lang w:val="en-US" w:eastAsia="zh-CN" w:bidi="ar-SA"/>
        </w:rPr>
        <w:t>。</w:t>
      </w:r>
    </w:p>
    <w:p w14:paraId="4BE88DCE">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213" w:name="_Toc256003985"/>
      <w:bookmarkStart w:id="2214" w:name="_Toc256003531"/>
      <w:bookmarkStart w:id="2215" w:name="_Toc256003304"/>
      <w:bookmarkStart w:id="2216" w:name="_Toc256003758"/>
      <w:bookmarkStart w:id="2217" w:name="_Toc256002850"/>
      <w:bookmarkStart w:id="2218" w:name="_Toc256001715"/>
      <w:bookmarkStart w:id="2219" w:name="_Toc462538044"/>
      <w:bookmarkStart w:id="2220" w:name="_Toc1292415266"/>
      <w:bookmarkStart w:id="2221" w:name="_Toc256002396"/>
      <w:bookmarkStart w:id="2222" w:name="_Toc256000126"/>
      <w:bookmarkStart w:id="2223" w:name="_Toc256000580"/>
      <w:bookmarkStart w:id="2224" w:name="_Toc256001261"/>
      <w:bookmarkStart w:id="2225" w:name="_Toc256002169"/>
      <w:bookmarkStart w:id="2226" w:name="_Toc256001488"/>
      <w:bookmarkStart w:id="2227" w:name="_Toc256000353"/>
      <w:bookmarkStart w:id="2228" w:name="_Toc256003077"/>
      <w:bookmarkStart w:id="2229" w:name="_Toc15546"/>
      <w:bookmarkStart w:id="2230" w:name="_Toc256001942"/>
      <w:bookmarkStart w:id="2231" w:name="_Toc256001034"/>
      <w:bookmarkStart w:id="2232" w:name="_Toc256000807"/>
      <w:bookmarkStart w:id="2233" w:name="_Toc256002623"/>
      <w:r>
        <w:rPr>
          <w:rFonts w:hint="eastAsia" w:ascii="宋体" w:hAnsi="宋体" w:eastAsia="宋体" w:cs="宋体"/>
          <w:color w:val="000000"/>
          <w:kern w:val="2"/>
          <w:sz w:val="24"/>
          <w:szCs w:val="24"/>
          <w:lang w:val="en-US" w:eastAsia="zh-CN" w:bidi="ar-SA"/>
        </w:rPr>
        <w:t>5.3 隐蔽工程检查</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p>
    <w:p w14:paraId="7583D5E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5.3.1 承包人提前通知监理人隐蔽工程检查的期限的约定：</w:t>
      </w:r>
      <w:r>
        <w:rPr>
          <w:rFonts w:hint="eastAsia" w:ascii="宋体" w:hAnsi="宋体" w:eastAsia="宋体" w:cs="宋体"/>
          <w:color w:val="000000"/>
          <w:kern w:val="2"/>
          <w:sz w:val="24"/>
          <w:szCs w:val="24"/>
          <w:u w:val="single"/>
          <w:lang w:val="en-US" w:eastAsia="zh-CN" w:bidi="ar-SA"/>
        </w:rPr>
        <w:t>按通用条款执行。</w:t>
      </w:r>
    </w:p>
    <w:p w14:paraId="3D7A2D5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监理人不能按时进行检查时，应提前</w:t>
      </w:r>
      <w:r>
        <w:rPr>
          <w:rFonts w:hint="eastAsia" w:ascii="宋体" w:hAnsi="宋体" w:eastAsia="宋体" w:cs="宋体"/>
          <w:color w:val="000000"/>
          <w:kern w:val="2"/>
          <w:sz w:val="24"/>
          <w:szCs w:val="24"/>
          <w:u w:val="single"/>
          <w:lang w:val="en-US" w:eastAsia="zh-CN" w:bidi="ar-SA"/>
        </w:rPr>
        <w:t xml:space="preserve"> 24</w:t>
      </w:r>
      <w:r>
        <w:rPr>
          <w:rFonts w:hint="eastAsia" w:ascii="宋体" w:hAnsi="宋体" w:eastAsia="宋体" w:cs="宋体"/>
          <w:color w:val="000000"/>
          <w:kern w:val="2"/>
          <w:sz w:val="24"/>
          <w:szCs w:val="24"/>
          <w:lang w:val="en-US" w:eastAsia="zh-CN" w:bidi="ar-SA"/>
        </w:rPr>
        <w:t>小时提交书面延期要求。</w:t>
      </w:r>
    </w:p>
    <w:p w14:paraId="5EDD9C1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关于延期最长不得超过</w:t>
      </w:r>
      <w:r>
        <w:rPr>
          <w:rFonts w:hint="eastAsia" w:ascii="宋体" w:hAnsi="宋体" w:eastAsia="宋体" w:cs="宋体"/>
          <w:color w:val="000000"/>
          <w:kern w:val="2"/>
          <w:sz w:val="24"/>
          <w:szCs w:val="24"/>
          <w:u w:val="single"/>
          <w:lang w:val="en-US" w:eastAsia="zh-CN" w:bidi="ar-SA"/>
        </w:rPr>
        <w:t>48</w:t>
      </w:r>
      <w:r>
        <w:rPr>
          <w:rFonts w:hint="eastAsia" w:ascii="宋体" w:hAnsi="宋体" w:eastAsia="宋体" w:cs="宋体"/>
          <w:color w:val="000000"/>
          <w:kern w:val="2"/>
          <w:sz w:val="24"/>
          <w:szCs w:val="24"/>
          <w:lang w:val="en-US" w:eastAsia="zh-CN" w:bidi="ar-SA"/>
        </w:rPr>
        <w:t>小时。</w:t>
      </w:r>
    </w:p>
    <w:p w14:paraId="07AE7C3E">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5.4重新检验    </w:t>
      </w:r>
    </w:p>
    <w:p w14:paraId="7C9E85EA">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无论工程是否进行验收，当其要求已经隐蔽的工程重新检验时，承包人应按要求进行剥离或开孔，并在检验后重新覆盖或修复。检验不合格时，承包人承担发生的全部费用，工期不顺延。</w:t>
      </w:r>
    </w:p>
    <w:p w14:paraId="37778A2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5.4.1 工程质量</w:t>
      </w:r>
    </w:p>
    <w:p w14:paraId="40A4480C">
      <w:pPr>
        <w:widowControl w:val="0"/>
        <w:spacing w:line="400" w:lineRule="exact"/>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承包人施工的工程质量应通过有关部门验收。若为不合格工程，承包人应向发包人支付工程总造价的20％作为质量违约金，并进行整改，工期不顺延，交付验收质量标准不得降低，且承包人对由此造成的一切损失及法律责任负责。   </w:t>
      </w:r>
    </w:p>
    <w:p w14:paraId="0C3A0F3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5.4.2检查和返工      </w:t>
      </w:r>
    </w:p>
    <w:p w14:paraId="759E78C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承包人应严格按照施工规范、技术规程以及经监理工程师和发包人审核批复的实施性施工组织设计精心组织施工，确保工程进度及质量。在工序验收中，如检查发现质量不合格，承包人除必须返工至达标外，还应向发包人支付每项/次2000元违约金。在分项工程验收中，如在各类抽测、抽检、抽查中发现质量不合格，除必须返工达标外，还应向发包人支付每项/次2000-20000元 违约金，并承担全部检测费用。</w:t>
      </w:r>
    </w:p>
    <w:p w14:paraId="1411C782">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（2）承包人在发生工程质量问题时，隐瞒监理工程师及发包人，或有偷工减料行为、使用假冒伪劣产品行为，除及时进行整改外另需向发包人支付10000-40000元/次的质量违约金。 </w:t>
      </w:r>
    </w:p>
    <w:p w14:paraId="6FA52CF1">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2234" w:name="_Toc256003986"/>
      <w:bookmarkStart w:id="2235" w:name="_Toc256001716"/>
      <w:bookmarkStart w:id="2236" w:name="_Toc256001943"/>
      <w:bookmarkStart w:id="2237" w:name="_Toc1885616336"/>
      <w:bookmarkStart w:id="2238" w:name="_Toc256002624"/>
      <w:bookmarkStart w:id="2239" w:name="_Toc256002170"/>
      <w:bookmarkStart w:id="2240" w:name="_Toc256003305"/>
      <w:bookmarkStart w:id="2241" w:name="_Toc256001035"/>
      <w:bookmarkStart w:id="2242" w:name="_Toc256000581"/>
      <w:bookmarkStart w:id="2243" w:name="_Toc256003532"/>
      <w:bookmarkStart w:id="2244" w:name="_Toc256003759"/>
      <w:bookmarkStart w:id="2245" w:name="_Toc256001262"/>
      <w:bookmarkStart w:id="2246" w:name="_Toc714606691"/>
      <w:bookmarkStart w:id="2247" w:name="_Toc256000127"/>
      <w:bookmarkStart w:id="2248" w:name="_Toc256002851"/>
      <w:bookmarkStart w:id="2249" w:name="_Toc256001489"/>
      <w:bookmarkStart w:id="2250" w:name="_Toc256000354"/>
      <w:bookmarkStart w:id="2251" w:name="_Toc256000808"/>
      <w:bookmarkStart w:id="2252" w:name="_Toc256003078"/>
      <w:bookmarkStart w:id="2253" w:name="_Toc256002397"/>
      <w:r>
        <w:rPr>
          <w:rFonts w:hint="eastAsia" w:ascii="宋体" w:hAnsi="宋体" w:eastAsia="宋体" w:cs="宋体"/>
          <w:b w:val="0"/>
          <w:bCs/>
          <w:color w:val="000000"/>
          <w:kern w:val="2"/>
          <w:sz w:val="24"/>
          <w:szCs w:val="24"/>
          <w:lang w:val="en-US" w:eastAsia="zh-CN" w:bidi="ar-SA"/>
        </w:rPr>
        <w:t>6. 安全文明施工与环境保护</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0A0FC2C1">
      <w:pPr>
        <w:widowControl w:val="0"/>
        <w:spacing w:line="400" w:lineRule="exact"/>
        <w:jc w:val="both"/>
        <w:outlineLvl w:val="2"/>
        <w:rPr>
          <w:rFonts w:ascii="宋体" w:hAnsi="宋体" w:eastAsia="宋体" w:cs="宋体"/>
          <w:color w:val="000000"/>
          <w:kern w:val="2"/>
          <w:sz w:val="24"/>
          <w:szCs w:val="24"/>
          <w:lang w:val="en-US" w:eastAsia="zh-CN" w:bidi="ar-SA"/>
        </w:rPr>
      </w:pPr>
      <w:bookmarkStart w:id="2254" w:name="_Toc256000355"/>
      <w:bookmarkStart w:id="2255" w:name="_Toc256001717"/>
      <w:bookmarkStart w:id="2256" w:name="_Toc256001490"/>
      <w:bookmarkStart w:id="2257" w:name="_Toc256000128"/>
      <w:bookmarkStart w:id="2258" w:name="_Toc11638"/>
      <w:bookmarkStart w:id="2259" w:name="_Toc256002852"/>
      <w:bookmarkStart w:id="2260" w:name="_Toc256000809"/>
      <w:bookmarkStart w:id="2261" w:name="_Toc552749545"/>
      <w:bookmarkStart w:id="2262" w:name="_Toc256003533"/>
      <w:bookmarkStart w:id="2263" w:name="_Toc256001944"/>
      <w:bookmarkStart w:id="2264" w:name="_Toc256002398"/>
      <w:bookmarkStart w:id="2265" w:name="_Toc526548747"/>
      <w:bookmarkStart w:id="2266" w:name="_Toc256001036"/>
      <w:bookmarkStart w:id="2267" w:name="_Toc256003760"/>
      <w:bookmarkStart w:id="2268" w:name="_Toc256003306"/>
      <w:bookmarkStart w:id="2269" w:name="_Toc256001263"/>
      <w:bookmarkStart w:id="2270" w:name="_Toc256002171"/>
      <w:bookmarkStart w:id="2271" w:name="_Toc256000582"/>
      <w:bookmarkStart w:id="2272" w:name="_Toc256002625"/>
      <w:bookmarkStart w:id="2273" w:name="_Toc256003079"/>
      <w:bookmarkStart w:id="2274" w:name="_Toc256003987"/>
      <w:r>
        <w:rPr>
          <w:rFonts w:hint="eastAsia" w:ascii="宋体" w:hAnsi="宋体" w:eastAsia="宋体" w:cs="宋体"/>
          <w:color w:val="000000"/>
          <w:kern w:val="2"/>
          <w:sz w:val="24"/>
          <w:szCs w:val="24"/>
          <w:lang w:val="en-US" w:eastAsia="zh-CN" w:bidi="ar-SA"/>
        </w:rPr>
        <w:t>6.1 安全文明施工</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14:paraId="7CFD8FA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6.1.1 项目安全生产的达标目标及相应事项的约定：</w:t>
      </w:r>
    </w:p>
    <w:p w14:paraId="5D931F6E">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u w:val="single"/>
          <w:lang w:val="en-US" w:eastAsia="zh-CN" w:bidi="ar-SA"/>
        </w:rPr>
        <w:t>1）本工程发包人要求参照标化工地现场，承包人须按此现场要求组织施工。施工中发生的一切安全事故（包含人身、机械、设备、材料等）全部由承包人自行解决，所有费用全部由承包人承担。承包人应严格按照各项规定组织施工，采取有效防护措施，并在安全管理方面除正常进行安全学习、安全教育外，同时应高度重视全部施工期间的安全工作，并配备专职安全人员。</w:t>
      </w:r>
    </w:p>
    <w:p w14:paraId="763F1574">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（2）承包人负责统一管理施工现场消防设施，负责防火责任区的划分，防火器材的配备及设置，配备足额的安全员和安全设施。</w:t>
      </w:r>
    </w:p>
    <w:p w14:paraId="1C23E24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6.1.2 关于治安保卫的特别约定：</w:t>
      </w:r>
    </w:p>
    <w:p w14:paraId="3F4401EB">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承包人服从发包人的安全管理规定，必须承担施工期间安全保卫的责任,包括对进出工地的车辆、人员进行管理；施工现场的照明由承包人负责解决，费用已含在合同价款中。因承包人安保工作不善导致现场发生偷盗，责任由承包人承担。 承包人同时负责施工现场第三人的人身安全。所有安全事故及责任，由承包人承担。如承包人未履行上述约定及通用条款相关义务造成工程、财产和人身伤害，由承包人承担责任，赔偿损失及支付发生的费用。</w:t>
      </w:r>
    </w:p>
    <w:p w14:paraId="5BDC431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关于编制施工场地治安管理计划的约定：</w:t>
      </w:r>
    </w:p>
    <w:p w14:paraId="7809F4C3">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在开工前提交的施工组织设计中必须要有此部分内容，应当包括临时用电、安全挡护、职工安全教育和安全管理、机电设备使用管理办法、突发情况应急方案等。 </w:t>
      </w:r>
    </w:p>
    <w:p w14:paraId="23A53A5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6.1.3 文明施工</w:t>
      </w:r>
    </w:p>
    <w:p w14:paraId="1220B2C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合同当事人对文明施工的要求：</w:t>
      </w:r>
    </w:p>
    <w:p w14:paraId="7BD1E182">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（1）承包人须定期上报现场一线操作工人名单、人数、籍贯等。如有人员调整，必须及时通知发包人；</w:t>
      </w:r>
    </w:p>
    <w:p w14:paraId="56D3F89A">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（2）施工人员未经允许不得进入已经交付的工程区域 ；</w:t>
      </w:r>
    </w:p>
    <w:p w14:paraId="7C29E08E">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（3）承包人对施工范围内的安全防火承担责任；</w:t>
      </w:r>
    </w:p>
    <w:p w14:paraId="234416C7">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（4）施工期间必须做好场地清洁卫生，且需满足施工组织设计及施工进度需求，做到净车出场，避免在场外道路上“抛、洒、滴、漏”。由此产生的责任和费用由承包人承担；</w:t>
      </w:r>
    </w:p>
    <w:p w14:paraId="57AFC758">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（7）承包人严禁污水乱排放，将生活垃圾集中外运；</w:t>
      </w:r>
    </w:p>
    <w:p w14:paraId="38E12CD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（8）对施工场地内的已完工程、在建工程、管沟、管网等进行保护；</w:t>
      </w:r>
    </w:p>
    <w:p w14:paraId="704EF2B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（9）施工期间必须挂牌上岗并统一着装；</w:t>
      </w:r>
    </w:p>
    <w:p w14:paraId="06EF94FE">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（10）禁止乱堆乱放材料与机械设备；</w:t>
      </w:r>
    </w:p>
    <w:p w14:paraId="2CC5E8D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（11）预制场、土场必须设置标语牌（包括安全、质量、环境、操作规程等。</w:t>
      </w:r>
    </w:p>
    <w:p w14:paraId="2905790F">
      <w:pPr>
        <w:widowControl w:val="0"/>
        <w:spacing w:line="400" w:lineRule="exact"/>
        <w:ind w:firstLine="480" w:firstLineChars="200"/>
        <w:jc w:val="both"/>
        <w:rPr>
          <w:rFonts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u w:val="single"/>
          <w:lang w:val="en-US" w:eastAsia="zh-CN" w:bidi="ar-SA"/>
        </w:rPr>
        <w:t>（12）严格按照南京市人民政府令第287号《南京市扬尘污染防治管理办法》及控制扬尘十项措施执行，以及《市政府关于进一步加强建设工程文明施工管理的若干意见》执行，如有因扬尘防治不到位或其他文明施工不到位，导致项目被行政处罚或通报，发包人有权按照合同约定进行扣罚,且承包人需承担给发包人带来额外税额及罚款等经济损失。</w:t>
      </w:r>
    </w:p>
    <w:p w14:paraId="3E9B7A9F">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（13）在施工现场禁止使用国一及以下和排放不达标的非道路移动机械。施工现场全部使用水性建筑涂料。</w:t>
      </w:r>
    </w:p>
    <w:p w14:paraId="2465214D">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14）施工场地围挡标准须满足《建邺区建设工地围挡标准》中：主干道建设工地围挡标准。该笔费用已计入承包人投标报价，发包人不再另行支付。如承包人搭设的施工围挡未达到合同约定要求，视同工序验收质量不合格，发包人有权按本合同专用条款标准进行扣罚。</w:t>
      </w:r>
    </w:p>
    <w:p w14:paraId="3330F7C9">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6.1.4关于安全文明施工费支付比例和支付期限的约定：</w:t>
      </w:r>
      <w:r>
        <w:rPr>
          <w:rFonts w:hint="eastAsia" w:ascii="宋体" w:hAnsi="宋体" w:eastAsia="宋体" w:cs="宋体"/>
          <w:color w:val="000000"/>
          <w:kern w:val="2"/>
          <w:sz w:val="24"/>
          <w:szCs w:val="24"/>
          <w:u w:val="single"/>
          <w:lang w:val="en-US" w:eastAsia="zh-CN" w:bidi="ar-SA"/>
        </w:rPr>
        <w:t xml:space="preserve">预付款已包含安全文明措施费的60%，其余部分与进度款同期支付。对于安全文明施工费，承包人须保证专款专用，并不得以此费用不足而减少现场安全文明施工措施费的投入 </w:t>
      </w:r>
      <w:r>
        <w:rPr>
          <w:rFonts w:hint="eastAsia" w:ascii="宋体" w:hAnsi="宋体" w:eastAsia="宋体" w:cs="宋体"/>
          <w:color w:val="000000"/>
          <w:kern w:val="2"/>
          <w:sz w:val="24"/>
          <w:szCs w:val="24"/>
          <w:lang w:val="en-US" w:eastAsia="zh-CN" w:bidi="ar-SA"/>
        </w:rPr>
        <w:t>。</w:t>
      </w:r>
    </w:p>
    <w:p w14:paraId="25B27424">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275" w:name="_Toc256003307"/>
      <w:bookmarkStart w:id="2276" w:name="_Toc256002172"/>
      <w:bookmarkStart w:id="2277" w:name="_Toc256001491"/>
      <w:bookmarkStart w:id="2278" w:name="_Toc256000356"/>
      <w:bookmarkStart w:id="2279" w:name="_Toc256003534"/>
      <w:bookmarkStart w:id="2280" w:name="_Toc256002853"/>
      <w:bookmarkStart w:id="2281" w:name="_Toc1716959566"/>
      <w:bookmarkStart w:id="2282" w:name="_Toc256000129"/>
      <w:bookmarkStart w:id="2283" w:name="_Toc256003988"/>
      <w:bookmarkStart w:id="2284" w:name="_Toc256002626"/>
      <w:bookmarkStart w:id="2285" w:name="_Toc584454933"/>
      <w:bookmarkStart w:id="2286" w:name="_Toc256001264"/>
      <w:bookmarkStart w:id="2287" w:name="_Toc256003761"/>
      <w:bookmarkStart w:id="2288" w:name="_Toc256000583"/>
      <w:bookmarkStart w:id="2289" w:name="_Toc256000810"/>
      <w:bookmarkStart w:id="2290" w:name="_Toc256001718"/>
      <w:bookmarkStart w:id="2291" w:name="_Toc256002399"/>
      <w:bookmarkStart w:id="2292" w:name="_Toc256001037"/>
      <w:bookmarkStart w:id="2293" w:name="_Toc256003080"/>
      <w:bookmarkStart w:id="2294" w:name="_Toc256001945"/>
      <w:r>
        <w:rPr>
          <w:rFonts w:hint="eastAsia" w:ascii="宋体" w:hAnsi="宋体" w:eastAsia="宋体" w:cs="宋体"/>
          <w:color w:val="000000"/>
          <w:kern w:val="2"/>
          <w:sz w:val="24"/>
          <w:szCs w:val="24"/>
          <w:lang w:val="en-US" w:eastAsia="zh-CN" w:bidi="ar-SA"/>
        </w:rPr>
        <w:t>6.2 环境保护</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14:paraId="32336C1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本款补充：</w:t>
      </w:r>
    </w:p>
    <w:p w14:paraId="68AFEBF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合同当事人对农药、肥料的使用要求：</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bookmarkEnd w:id="2134"/>
    <w:bookmarkEnd w:id="2135"/>
    <w:bookmarkEnd w:id="2136"/>
    <w:bookmarkEnd w:id="2137"/>
    <w:bookmarkEnd w:id="2138"/>
    <w:bookmarkEnd w:id="2139"/>
    <w:bookmarkEnd w:id="2140"/>
    <w:p w14:paraId="1E6F8B17">
      <w:pPr>
        <w:keepNext/>
        <w:keepLines/>
        <w:widowControl w:val="0"/>
        <w:numPr>
          <w:ilvl w:val="0"/>
          <w:numId w:val="4"/>
        </w:numPr>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2295" w:name="_Toc256003308"/>
      <w:bookmarkStart w:id="2296" w:name="_Toc256002854"/>
      <w:bookmarkStart w:id="2297" w:name="_Toc256001719"/>
      <w:bookmarkStart w:id="2298" w:name="_Toc256000584"/>
      <w:bookmarkStart w:id="2299" w:name="_Toc256000811"/>
      <w:bookmarkStart w:id="2300" w:name="_Toc1019739217"/>
      <w:bookmarkStart w:id="2301" w:name="_Toc256003989"/>
      <w:bookmarkStart w:id="2302" w:name="_Toc256001946"/>
      <w:bookmarkStart w:id="2303" w:name="_Toc256000130"/>
      <w:bookmarkStart w:id="2304" w:name="_Toc256003081"/>
      <w:bookmarkStart w:id="2305" w:name="_Toc256001265"/>
      <w:bookmarkStart w:id="2306" w:name="_Toc309374293"/>
      <w:bookmarkStart w:id="2307" w:name="_Toc256002400"/>
      <w:bookmarkStart w:id="2308" w:name="_Toc256003535"/>
      <w:bookmarkStart w:id="2309" w:name="_Toc256001492"/>
      <w:bookmarkStart w:id="2310" w:name="_Toc256002173"/>
      <w:bookmarkStart w:id="2311" w:name="_Toc256000357"/>
      <w:bookmarkStart w:id="2312" w:name="_Toc256003762"/>
      <w:bookmarkStart w:id="2313" w:name="_Toc256001038"/>
      <w:bookmarkStart w:id="2314" w:name="_Toc256002627"/>
      <w:r>
        <w:rPr>
          <w:rFonts w:hint="eastAsia" w:ascii="宋体" w:hAnsi="宋体" w:eastAsia="宋体" w:cs="宋体"/>
          <w:b w:val="0"/>
          <w:bCs/>
          <w:color w:val="000000"/>
          <w:kern w:val="2"/>
          <w:sz w:val="24"/>
          <w:szCs w:val="24"/>
          <w:lang w:val="en-US" w:eastAsia="zh-CN" w:bidi="ar-SA"/>
        </w:rPr>
        <w:t>工期和进度</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14:paraId="47137744">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2315" w:name="_Toc256001720"/>
      <w:bookmarkStart w:id="2316" w:name="_Toc256003536"/>
      <w:bookmarkStart w:id="2317" w:name="_Toc829052215"/>
      <w:bookmarkStart w:id="2318" w:name="_Toc256001266"/>
      <w:bookmarkStart w:id="2319" w:name="_Toc256000585"/>
      <w:bookmarkStart w:id="2320" w:name="_Toc256000358"/>
      <w:bookmarkStart w:id="2321" w:name="_Toc256003309"/>
      <w:bookmarkStart w:id="2322" w:name="_Toc256000812"/>
      <w:bookmarkStart w:id="2323" w:name="_Toc256002855"/>
      <w:bookmarkStart w:id="2324" w:name="_Toc256002628"/>
      <w:bookmarkStart w:id="2325" w:name="_Toc256000131"/>
      <w:bookmarkStart w:id="2326" w:name="_Toc256002401"/>
      <w:bookmarkStart w:id="2327" w:name="_Toc256001947"/>
      <w:bookmarkStart w:id="2328" w:name="_Toc256003082"/>
      <w:bookmarkStart w:id="2329" w:name="_Toc20685"/>
      <w:bookmarkStart w:id="2330" w:name="_Toc152004302"/>
      <w:bookmarkStart w:id="2331" w:name="_Toc256002174"/>
      <w:bookmarkStart w:id="2332" w:name="_Toc256001039"/>
      <w:bookmarkStart w:id="2333" w:name="_Toc256003763"/>
      <w:bookmarkStart w:id="2334" w:name="_Toc256003990"/>
      <w:bookmarkStart w:id="2335" w:name="_Toc256001493"/>
      <w:r>
        <w:rPr>
          <w:rFonts w:hint="eastAsia" w:ascii="宋体" w:hAnsi="宋体" w:eastAsia="宋体" w:cs="宋体"/>
          <w:color w:val="000000"/>
          <w:kern w:val="2"/>
          <w:sz w:val="24"/>
          <w:szCs w:val="24"/>
          <w:lang w:val="en-US" w:eastAsia="zh-CN" w:bidi="ar-SA"/>
        </w:rPr>
        <w:t>7.1 施工组织设计</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14:paraId="147740D2">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2336" w:name="_Toc256000813"/>
      <w:bookmarkStart w:id="2337" w:name="_Toc256002856"/>
      <w:bookmarkStart w:id="2338" w:name="_Toc256001494"/>
      <w:bookmarkStart w:id="2339" w:name="_Toc256000359"/>
      <w:bookmarkStart w:id="2340" w:name="_Toc256003537"/>
      <w:bookmarkStart w:id="2341" w:name="_Toc429268490"/>
      <w:bookmarkStart w:id="2342" w:name="_Toc1441533854"/>
      <w:bookmarkStart w:id="2343" w:name="_Toc256001040"/>
      <w:bookmarkStart w:id="2344" w:name="_Toc256000132"/>
      <w:bookmarkStart w:id="2345" w:name="_Toc256002402"/>
      <w:bookmarkStart w:id="2346" w:name="_Toc256003310"/>
      <w:bookmarkStart w:id="2347" w:name="_Toc256003764"/>
      <w:bookmarkStart w:id="2348" w:name="_Toc256001948"/>
      <w:bookmarkStart w:id="2349" w:name="_Toc256003991"/>
      <w:bookmarkStart w:id="2350" w:name="_Toc256003083"/>
      <w:bookmarkStart w:id="2351" w:name="_Toc256000586"/>
      <w:bookmarkStart w:id="2352" w:name="_Toc256001721"/>
      <w:bookmarkStart w:id="2353" w:name="_Toc256002629"/>
      <w:bookmarkStart w:id="2354" w:name="_Toc256002175"/>
      <w:bookmarkStart w:id="2355" w:name="_Toc256001267"/>
      <w:r>
        <w:rPr>
          <w:rFonts w:hint="eastAsia" w:ascii="宋体" w:hAnsi="宋体" w:eastAsia="宋体" w:cs="宋体"/>
          <w:color w:val="000000"/>
          <w:kern w:val="0"/>
          <w:sz w:val="24"/>
          <w:szCs w:val="24"/>
          <w:lang w:val="en-US" w:eastAsia="zh-CN" w:bidi="ar-SA"/>
        </w:rPr>
        <w:t>本款修改7.1.1。</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14:paraId="495224E2">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2356" w:name="_Toc256001722"/>
      <w:bookmarkStart w:id="2357" w:name="_Toc1337492230"/>
      <w:bookmarkStart w:id="2358" w:name="_Toc256002176"/>
      <w:bookmarkStart w:id="2359" w:name="_Toc256002857"/>
      <w:bookmarkStart w:id="2360" w:name="_Toc856803142"/>
      <w:bookmarkStart w:id="2361" w:name="_Toc256001268"/>
      <w:bookmarkStart w:id="2362" w:name="_Toc256000814"/>
      <w:bookmarkStart w:id="2363" w:name="_Toc256002403"/>
      <w:bookmarkStart w:id="2364" w:name="_Toc256003538"/>
      <w:bookmarkStart w:id="2365" w:name="_Toc256003765"/>
      <w:bookmarkStart w:id="2366" w:name="_Toc256003992"/>
      <w:bookmarkStart w:id="2367" w:name="_Toc256002630"/>
      <w:bookmarkStart w:id="2368" w:name="_Toc256001495"/>
      <w:bookmarkStart w:id="2369" w:name="_Toc256000133"/>
      <w:bookmarkStart w:id="2370" w:name="_Toc256000587"/>
      <w:bookmarkStart w:id="2371" w:name="_Toc256001949"/>
      <w:bookmarkStart w:id="2372" w:name="_Toc256003084"/>
      <w:bookmarkStart w:id="2373" w:name="_Toc256003311"/>
      <w:bookmarkStart w:id="2374" w:name="_Toc256001041"/>
      <w:bookmarkStart w:id="2375" w:name="_Toc256000360"/>
      <w:r>
        <w:rPr>
          <w:rFonts w:hint="eastAsia" w:ascii="宋体" w:hAnsi="宋体" w:eastAsia="宋体" w:cs="宋体"/>
          <w:color w:val="000000"/>
          <w:kern w:val="0"/>
          <w:sz w:val="24"/>
          <w:szCs w:val="24"/>
          <w:lang w:val="en-US" w:eastAsia="zh-CN" w:bidi="ar-SA"/>
        </w:rPr>
        <w:t xml:space="preserve">7.1.1 </w:t>
      </w:r>
      <w:r>
        <w:rPr>
          <w:rFonts w:hint="eastAsia" w:ascii="宋体" w:hAnsi="宋体" w:eastAsia="宋体" w:cs="宋体"/>
          <w:color w:val="000000"/>
          <w:kern w:val="2"/>
          <w:sz w:val="24"/>
          <w:szCs w:val="24"/>
          <w:lang w:val="en-US" w:eastAsia="zh-CN" w:bidi="ar-SA"/>
        </w:rPr>
        <w:t>工程涉及以下内容的，合</w:t>
      </w:r>
      <w:r>
        <w:rPr>
          <w:rFonts w:hint="eastAsia" w:ascii="宋体" w:hAnsi="宋体" w:eastAsia="宋体" w:cs="宋体"/>
          <w:color w:val="000000"/>
          <w:kern w:val="0"/>
          <w:sz w:val="24"/>
          <w:szCs w:val="24"/>
          <w:lang w:val="en-US" w:eastAsia="zh-CN" w:bidi="ar-SA"/>
        </w:rPr>
        <w:t>同当事人约定的施工组织设计还应包括此类工程内容的专项施工方案：</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14:paraId="66DE644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2376" w:name="_Hlk127951490"/>
      <w:bookmarkStart w:id="2377" w:name="_Toc650023867"/>
      <w:bookmarkStart w:id="2378" w:name="_Toc1488833316"/>
      <w:r>
        <w:rPr>
          <w:rFonts w:hint="eastAsia" w:ascii="宋体" w:hAnsi="宋体" w:eastAsia="宋体" w:cs="宋体"/>
          <w:color w:val="000000"/>
          <w:kern w:val="2"/>
          <w:sz w:val="24"/>
          <w:szCs w:val="24"/>
          <w:lang w:val="en-US" w:eastAsia="zh-CN" w:bidi="ar-SA"/>
        </w:rPr>
        <w:t>☑</w:t>
      </w:r>
      <w:bookmarkEnd w:id="2376"/>
      <w:r>
        <w:rPr>
          <w:rFonts w:hint="eastAsia" w:ascii="宋体" w:hAnsi="宋体" w:eastAsia="宋体" w:cs="宋体"/>
          <w:color w:val="000000"/>
          <w:kern w:val="2"/>
          <w:sz w:val="24"/>
          <w:szCs w:val="24"/>
          <w:lang w:val="en-US" w:eastAsia="zh-CN" w:bidi="ar-SA"/>
        </w:rPr>
        <w:t>现状树木保护；</w:t>
      </w:r>
      <w:bookmarkEnd w:id="2377"/>
      <w:bookmarkEnd w:id="2378"/>
    </w:p>
    <w:p w14:paraId="42BDBFB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2379" w:name="_Toc266056742"/>
      <w:bookmarkStart w:id="2380" w:name="_Toc382208328"/>
      <w:r>
        <w:rPr>
          <w:rFonts w:hint="eastAsia" w:ascii="宋体" w:hAnsi="宋体" w:eastAsia="宋体" w:cs="宋体"/>
          <w:color w:val="000000"/>
          <w:kern w:val="2"/>
          <w:sz w:val="24"/>
          <w:szCs w:val="24"/>
          <w:lang w:val="en-US" w:eastAsia="zh-CN" w:bidi="ar-SA"/>
        </w:rPr>
        <w:t>☑古树名木保护;</w:t>
      </w:r>
      <w:bookmarkEnd w:id="2379"/>
      <w:bookmarkEnd w:id="2380"/>
    </w:p>
    <w:p w14:paraId="203CA4F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2381" w:name="_Toc1137515080"/>
      <w:bookmarkStart w:id="2382" w:name="_Toc1350692319"/>
      <w:r>
        <w:rPr>
          <w:rFonts w:ascii="Wingdings" w:hAnsi="Wingdings"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土壤改良;</w:t>
      </w:r>
      <w:bookmarkEnd w:id="2381"/>
      <w:bookmarkEnd w:id="2382"/>
    </w:p>
    <w:p w14:paraId="653EA085">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2383" w:name="_Toc256003085"/>
      <w:bookmarkStart w:id="2384" w:name="_Toc256000134"/>
      <w:bookmarkStart w:id="2385" w:name="_Toc256001950"/>
      <w:bookmarkStart w:id="2386" w:name="_Toc256001723"/>
      <w:bookmarkStart w:id="2387" w:name="_Toc256002177"/>
      <w:bookmarkStart w:id="2388" w:name="_Toc256003766"/>
      <w:bookmarkStart w:id="2389" w:name="_Toc256002404"/>
      <w:bookmarkStart w:id="2390" w:name="_Toc256003993"/>
      <w:bookmarkStart w:id="2391" w:name="_Toc1673538922"/>
      <w:bookmarkStart w:id="2392" w:name="_Toc256002858"/>
      <w:bookmarkStart w:id="2393" w:name="_Toc256001042"/>
      <w:bookmarkStart w:id="2394" w:name="_Toc256000815"/>
      <w:bookmarkStart w:id="2395" w:name="_Toc256001496"/>
      <w:bookmarkStart w:id="2396" w:name="_Toc256001269"/>
      <w:bookmarkStart w:id="2397" w:name="_Toc256003312"/>
      <w:bookmarkStart w:id="2398" w:name="_Toc256000361"/>
      <w:bookmarkStart w:id="2399" w:name="_Toc630504734"/>
      <w:bookmarkStart w:id="2400" w:name="_Toc256002631"/>
      <w:bookmarkStart w:id="2401" w:name="_Toc256000588"/>
      <w:bookmarkStart w:id="2402" w:name="_Toc256003539"/>
      <w:r>
        <w:rPr>
          <w:rFonts w:ascii="Wingdings" w:hAnsi="Wingdings"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其他内容：。</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52AD1787">
      <w:pPr>
        <w:widowControl w:val="0"/>
        <w:autoSpaceDE w:val="0"/>
        <w:autoSpaceDN w:val="0"/>
        <w:adjustRightInd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 xml:space="preserve">7.1.2 </w:t>
      </w:r>
      <w:r>
        <w:rPr>
          <w:rFonts w:hint="eastAsia" w:ascii="宋体" w:hAnsi="宋体" w:eastAsia="宋体" w:cs="宋体"/>
          <w:color w:val="000000"/>
          <w:kern w:val="0"/>
          <w:sz w:val="24"/>
          <w:szCs w:val="24"/>
          <w:lang w:val="en-US" w:eastAsia="zh-CN" w:bidi="ar-SA"/>
        </w:rPr>
        <w:t>施工组织设计的提交和修改</w:t>
      </w:r>
    </w:p>
    <w:p w14:paraId="7BF5F2F7">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承包人提交详细施工组织设计的期限的约定：</w:t>
      </w:r>
      <w:r>
        <w:rPr>
          <w:rFonts w:hint="eastAsia" w:ascii="宋体" w:hAnsi="宋体" w:eastAsia="宋体" w:cs="宋体"/>
          <w:color w:val="000000"/>
          <w:kern w:val="0"/>
          <w:sz w:val="24"/>
          <w:szCs w:val="24"/>
          <w:u w:val="single"/>
          <w:lang w:val="en-US" w:eastAsia="zh-CN" w:bidi="ar-SA"/>
        </w:rPr>
        <w:t xml:space="preserve">合同签订后7日内 </w:t>
      </w:r>
      <w:r>
        <w:rPr>
          <w:rFonts w:hint="eastAsia" w:ascii="宋体" w:hAnsi="宋体" w:eastAsia="宋体" w:cs="宋体"/>
          <w:color w:val="000000"/>
          <w:kern w:val="0"/>
          <w:sz w:val="24"/>
          <w:szCs w:val="24"/>
          <w:lang w:val="en-US" w:eastAsia="zh-CN" w:bidi="ar-SA"/>
        </w:rPr>
        <w:t>。</w:t>
      </w:r>
    </w:p>
    <w:p w14:paraId="392DA82B">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发包人和监理人在收到详细的施工组织设计后确认或提出修改意见的期限：</w:t>
      </w:r>
      <w:r>
        <w:rPr>
          <w:rFonts w:hint="eastAsia" w:ascii="宋体" w:hAnsi="宋体" w:eastAsia="宋体" w:cs="宋体"/>
          <w:color w:val="000000"/>
          <w:kern w:val="2"/>
          <w:sz w:val="24"/>
          <w:szCs w:val="24"/>
          <w:u w:val="single"/>
          <w:lang w:val="en-US" w:eastAsia="zh-CN" w:bidi="ar-SA"/>
        </w:rPr>
        <w:t xml:space="preserve">  7日 </w:t>
      </w:r>
      <w:r>
        <w:rPr>
          <w:rFonts w:hint="eastAsia" w:ascii="宋体" w:hAnsi="宋体" w:eastAsia="宋体" w:cs="宋体"/>
          <w:color w:val="000000"/>
          <w:kern w:val="2"/>
          <w:sz w:val="24"/>
          <w:szCs w:val="24"/>
          <w:lang w:val="en-US" w:eastAsia="zh-CN" w:bidi="ar-SA"/>
        </w:rPr>
        <w:t>。</w:t>
      </w:r>
    </w:p>
    <w:p w14:paraId="50E874E2">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403" w:name="_Toc256003313"/>
      <w:bookmarkStart w:id="2404" w:name="_Toc1135946897"/>
      <w:bookmarkStart w:id="2405" w:name="_Toc256001497"/>
      <w:bookmarkStart w:id="2406" w:name="_Toc256000362"/>
      <w:bookmarkStart w:id="2407" w:name="_Toc256003767"/>
      <w:bookmarkStart w:id="2408" w:name="_Toc256003086"/>
      <w:bookmarkStart w:id="2409" w:name="_Toc256002178"/>
      <w:bookmarkStart w:id="2410" w:name="_Toc256000816"/>
      <w:bookmarkStart w:id="2411" w:name="_Toc256001724"/>
      <w:bookmarkStart w:id="2412" w:name="_Toc256001270"/>
      <w:bookmarkStart w:id="2413" w:name="_Toc256001951"/>
      <w:bookmarkStart w:id="2414" w:name="_Toc256002405"/>
      <w:bookmarkStart w:id="2415" w:name="_Toc256002859"/>
      <w:bookmarkStart w:id="2416" w:name="_Toc256003540"/>
      <w:bookmarkStart w:id="2417" w:name="_Toc256000589"/>
      <w:bookmarkStart w:id="2418" w:name="_Toc256000135"/>
      <w:bookmarkStart w:id="2419" w:name="_Toc2142813545"/>
      <w:bookmarkStart w:id="2420" w:name="_Toc256003994"/>
      <w:bookmarkStart w:id="2421" w:name="_Toc256001043"/>
      <w:bookmarkStart w:id="2422" w:name="_Toc14427"/>
      <w:bookmarkStart w:id="2423" w:name="_Toc256002632"/>
      <w:r>
        <w:rPr>
          <w:rFonts w:hint="eastAsia" w:ascii="宋体" w:hAnsi="宋体" w:eastAsia="宋体" w:cs="宋体"/>
          <w:color w:val="000000"/>
          <w:kern w:val="2"/>
          <w:sz w:val="24"/>
          <w:szCs w:val="24"/>
          <w:lang w:val="en-US" w:eastAsia="zh-CN" w:bidi="ar-SA"/>
        </w:rPr>
        <w:t>7</w:t>
      </w:r>
      <w:bookmarkStart w:id="2424" w:name="_Toc297216173"/>
      <w:bookmarkStart w:id="2425" w:name="_Toc312678005"/>
      <w:bookmarkStart w:id="2426" w:name="_Toc312677479"/>
      <w:bookmarkStart w:id="2427" w:name="_Toc303539123"/>
      <w:bookmarkStart w:id="2428" w:name="_Toc300934966"/>
      <w:bookmarkStart w:id="2429" w:name="_Toc297123514"/>
      <w:bookmarkStart w:id="2430" w:name="_Toc304295541"/>
      <w:r>
        <w:rPr>
          <w:rFonts w:hint="eastAsia" w:ascii="宋体" w:hAnsi="宋体" w:eastAsia="宋体" w:cs="宋体"/>
          <w:color w:val="000000"/>
          <w:kern w:val="2"/>
          <w:sz w:val="24"/>
          <w:szCs w:val="24"/>
          <w:lang w:val="en-US" w:eastAsia="zh-CN" w:bidi="ar-SA"/>
        </w:rPr>
        <w:t>.2 施工进度计划</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14:paraId="6DC96D4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7.2.1 施工进度计划的修订</w:t>
      </w:r>
    </w:p>
    <w:p w14:paraId="55957D7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发包人和监理人在收到修订的施工进度计划后确认或提出修改意见的期限：</w:t>
      </w:r>
      <w:r>
        <w:rPr>
          <w:rFonts w:hint="eastAsia" w:ascii="宋体" w:hAnsi="宋体" w:eastAsia="宋体" w:cs="宋体"/>
          <w:color w:val="000000"/>
          <w:kern w:val="2"/>
          <w:sz w:val="24"/>
          <w:szCs w:val="24"/>
          <w:u w:val="single"/>
          <w:lang w:val="en-US" w:eastAsia="zh-CN" w:bidi="ar-SA"/>
        </w:rPr>
        <w:t>7日,开工前七天向发包人、监理提出总进度计划。开工后每周例会时报周进度计划。承包人提供的施工组织设计必须是交发包人、监理方审核后的施工组织设计</w:t>
      </w:r>
      <w:r>
        <w:rPr>
          <w:rFonts w:hint="eastAsia" w:ascii="宋体" w:hAnsi="宋体" w:eastAsia="宋体" w:cs="宋体"/>
          <w:color w:val="000000"/>
          <w:kern w:val="2"/>
          <w:sz w:val="24"/>
          <w:szCs w:val="24"/>
          <w:lang w:val="en-US" w:eastAsia="zh-CN" w:bidi="ar-SA"/>
        </w:rPr>
        <w:t>。</w:t>
      </w:r>
    </w:p>
    <w:p w14:paraId="5C98781D">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431" w:name="_Toc256002406"/>
      <w:bookmarkStart w:id="2432" w:name="_Toc256001044"/>
      <w:bookmarkStart w:id="2433" w:name="_Toc256000363"/>
      <w:bookmarkStart w:id="2434" w:name="_Toc256000817"/>
      <w:bookmarkStart w:id="2435" w:name="_Toc256001725"/>
      <w:bookmarkStart w:id="2436" w:name="_Toc256002179"/>
      <w:bookmarkStart w:id="2437" w:name="_Toc256003541"/>
      <w:bookmarkStart w:id="2438" w:name="_Toc1263038917"/>
      <w:bookmarkStart w:id="2439" w:name="_Toc256003768"/>
      <w:bookmarkStart w:id="2440" w:name="_Toc6687"/>
      <w:bookmarkStart w:id="2441" w:name="_Toc256001271"/>
      <w:bookmarkStart w:id="2442" w:name="_Toc1253067105"/>
      <w:bookmarkStart w:id="2443" w:name="_Toc256003087"/>
      <w:bookmarkStart w:id="2444" w:name="_Toc256002633"/>
      <w:bookmarkStart w:id="2445" w:name="_Toc256003995"/>
      <w:bookmarkStart w:id="2446" w:name="_Toc256003314"/>
      <w:bookmarkStart w:id="2447" w:name="_Toc256000590"/>
      <w:bookmarkStart w:id="2448" w:name="_Toc256001498"/>
      <w:bookmarkStart w:id="2449" w:name="_Toc256000136"/>
      <w:bookmarkStart w:id="2450" w:name="_Toc256002860"/>
      <w:bookmarkStart w:id="2451" w:name="_Toc256001952"/>
      <w:r>
        <w:rPr>
          <w:rFonts w:hint="eastAsia" w:ascii="宋体" w:hAnsi="宋体" w:eastAsia="宋体" w:cs="宋体"/>
          <w:color w:val="000000"/>
          <w:kern w:val="2"/>
          <w:sz w:val="24"/>
          <w:szCs w:val="24"/>
          <w:lang w:val="en-US" w:eastAsia="zh-CN" w:bidi="ar-SA"/>
        </w:rPr>
        <w:t>7.3 开工</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14:paraId="09BEF08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本款修改7.3.1。</w:t>
      </w:r>
    </w:p>
    <w:p w14:paraId="27BAED2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7.3.1 开工准备</w:t>
      </w:r>
    </w:p>
    <w:p w14:paraId="1DB9E1DC">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关于承包人提交</w:t>
      </w:r>
      <w:r>
        <w:rPr>
          <w:rFonts w:hint="eastAsia" w:ascii="宋体" w:hAnsi="宋体" w:eastAsia="宋体" w:cs="宋体"/>
          <w:color w:val="000000"/>
          <w:kern w:val="0"/>
          <w:sz w:val="24"/>
          <w:szCs w:val="24"/>
          <w:lang w:val="en-US" w:eastAsia="zh-CN" w:bidi="ar-SA"/>
        </w:rPr>
        <w:t>工程开工报审表的期限：</w:t>
      </w:r>
      <w:r>
        <w:rPr>
          <w:rFonts w:hint="eastAsia" w:ascii="宋体" w:hAnsi="宋体" w:eastAsia="宋体" w:cs="宋体"/>
          <w:color w:val="000000"/>
          <w:kern w:val="2"/>
          <w:sz w:val="24"/>
          <w:szCs w:val="24"/>
          <w:u w:val="single"/>
          <w:lang w:val="en-US" w:eastAsia="zh-CN" w:bidi="ar-SA"/>
        </w:rPr>
        <w:t>开工前7天</w:t>
      </w:r>
      <w:r>
        <w:rPr>
          <w:rFonts w:hint="eastAsia" w:ascii="宋体" w:hAnsi="宋体" w:eastAsia="宋体" w:cs="宋体"/>
          <w:color w:val="000000"/>
          <w:kern w:val="2"/>
          <w:sz w:val="24"/>
          <w:szCs w:val="24"/>
          <w:lang w:val="en-US" w:eastAsia="zh-CN" w:bidi="ar-SA"/>
        </w:rPr>
        <w:t>。</w:t>
      </w:r>
    </w:p>
    <w:p w14:paraId="4A5CA12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关于发包人应完成的其他开工准备工作及期限：</w:t>
      </w:r>
      <w:r>
        <w:rPr>
          <w:rFonts w:hint="eastAsia" w:ascii="宋体" w:hAnsi="宋体" w:eastAsia="宋体" w:cs="宋体"/>
          <w:color w:val="000000"/>
          <w:kern w:val="2"/>
          <w:sz w:val="24"/>
          <w:szCs w:val="24"/>
          <w:u w:val="single"/>
          <w:lang w:val="en-US" w:eastAsia="zh-CN" w:bidi="ar-SA"/>
        </w:rPr>
        <w:t xml:space="preserve">无 </w:t>
      </w:r>
      <w:r>
        <w:rPr>
          <w:rFonts w:hint="eastAsia" w:ascii="宋体" w:hAnsi="宋体" w:eastAsia="宋体" w:cs="宋体"/>
          <w:color w:val="000000"/>
          <w:kern w:val="2"/>
          <w:sz w:val="24"/>
          <w:szCs w:val="24"/>
          <w:lang w:val="en-US" w:eastAsia="zh-CN" w:bidi="ar-SA"/>
        </w:rPr>
        <w:t>。</w:t>
      </w:r>
    </w:p>
    <w:p w14:paraId="78A0758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关于承包人应完成的其他开工准备工作及期限：</w:t>
      </w:r>
      <w:r>
        <w:rPr>
          <w:rFonts w:hint="eastAsia" w:ascii="宋体" w:hAnsi="宋体" w:eastAsia="宋体" w:cs="宋体"/>
          <w:color w:val="000000"/>
          <w:kern w:val="2"/>
          <w:sz w:val="24"/>
          <w:szCs w:val="24"/>
          <w:u w:val="single"/>
          <w:lang w:val="en-US" w:eastAsia="zh-CN" w:bidi="ar-SA"/>
        </w:rPr>
        <w:t>临时设施搭建、材料、设备、人员等，合同签订后10日</w:t>
      </w:r>
      <w:r>
        <w:rPr>
          <w:rFonts w:hint="eastAsia" w:ascii="宋体" w:hAnsi="宋体" w:eastAsia="宋体" w:cs="宋体"/>
          <w:color w:val="000000"/>
          <w:kern w:val="2"/>
          <w:sz w:val="24"/>
          <w:szCs w:val="24"/>
          <w:lang w:val="en-US" w:eastAsia="zh-CN" w:bidi="ar-SA"/>
        </w:rPr>
        <w:t>。</w:t>
      </w:r>
    </w:p>
    <w:bookmarkEnd w:id="2424"/>
    <w:bookmarkEnd w:id="2425"/>
    <w:bookmarkEnd w:id="2426"/>
    <w:bookmarkEnd w:id="2427"/>
    <w:bookmarkEnd w:id="2428"/>
    <w:bookmarkEnd w:id="2429"/>
    <w:bookmarkEnd w:id="2430"/>
    <w:p w14:paraId="1C7C02FD">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452" w:name="_Toc256002180"/>
      <w:bookmarkStart w:id="2453" w:name="_Toc19537660"/>
      <w:bookmarkStart w:id="2454" w:name="_Toc256000137"/>
      <w:bookmarkStart w:id="2455" w:name="_Toc256003542"/>
      <w:bookmarkStart w:id="2456" w:name="_Toc256000591"/>
      <w:bookmarkStart w:id="2457" w:name="_Toc256001953"/>
      <w:bookmarkStart w:id="2458" w:name="_Toc17408"/>
      <w:bookmarkStart w:id="2459" w:name="_Toc256003088"/>
      <w:bookmarkStart w:id="2460" w:name="_Toc256003315"/>
      <w:bookmarkStart w:id="2461" w:name="_Toc256001499"/>
      <w:bookmarkStart w:id="2462" w:name="_Toc256002861"/>
      <w:bookmarkStart w:id="2463" w:name="_Toc256003996"/>
      <w:bookmarkStart w:id="2464" w:name="_Toc256000364"/>
      <w:bookmarkStart w:id="2465" w:name="_Toc96331289"/>
      <w:bookmarkStart w:id="2466" w:name="_Toc256001272"/>
      <w:bookmarkStart w:id="2467" w:name="_Toc256002407"/>
      <w:bookmarkStart w:id="2468" w:name="_Toc256003769"/>
      <w:bookmarkStart w:id="2469" w:name="_Toc256002634"/>
      <w:bookmarkStart w:id="2470" w:name="_Toc256001045"/>
      <w:bookmarkStart w:id="2471" w:name="_Toc256000818"/>
      <w:bookmarkStart w:id="2472" w:name="_Toc256001726"/>
      <w:r>
        <w:rPr>
          <w:rFonts w:hint="eastAsia" w:ascii="宋体" w:hAnsi="宋体" w:eastAsia="宋体" w:cs="宋体"/>
          <w:color w:val="000000"/>
          <w:kern w:val="2"/>
          <w:sz w:val="24"/>
          <w:szCs w:val="24"/>
          <w:lang w:val="en-US" w:eastAsia="zh-CN" w:bidi="ar-SA"/>
        </w:rPr>
        <w:t>7.4 测量放线</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14:paraId="1443869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本款修改7.4.1。</w:t>
      </w:r>
    </w:p>
    <w:p w14:paraId="6D6C42E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7.4.1 发包人通过监理人向承包人提供测量基准点、基准线和水准点及其书面资料的期限：</w:t>
      </w:r>
    </w:p>
    <w:p w14:paraId="6E2143BC">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开工前提供水准点与坐标管制点，按施工图要求由发包人、承包人、监理现场交验。交验后，承包人应妥善保护场内水准点及控制点，任何破坏或遗失应由承包人负责费用。</w:t>
      </w:r>
      <w:bookmarkStart w:id="2473" w:name="_Toc1986698096"/>
      <w:bookmarkStart w:id="2474" w:name="_Toc117950900"/>
      <w:bookmarkStart w:id="2475" w:name="_Toc20355"/>
    </w:p>
    <w:p w14:paraId="7C395653">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476" w:name="_Toc256001727"/>
      <w:bookmarkStart w:id="2477" w:name="_Toc256002408"/>
      <w:bookmarkStart w:id="2478" w:name="_Toc256000365"/>
      <w:bookmarkStart w:id="2479" w:name="_Toc256002635"/>
      <w:bookmarkStart w:id="2480" w:name="_Toc256001273"/>
      <w:bookmarkStart w:id="2481" w:name="_Toc256002181"/>
      <w:bookmarkStart w:id="2482" w:name="_Toc256000819"/>
      <w:bookmarkStart w:id="2483" w:name="_Toc256000592"/>
      <w:bookmarkStart w:id="2484" w:name="_Toc256003543"/>
      <w:bookmarkStart w:id="2485" w:name="_Toc256001046"/>
      <w:bookmarkStart w:id="2486" w:name="_Toc256003089"/>
      <w:bookmarkStart w:id="2487" w:name="_Toc256003316"/>
      <w:bookmarkStart w:id="2488" w:name="_Toc256001954"/>
      <w:bookmarkStart w:id="2489" w:name="_Toc256003770"/>
      <w:bookmarkStart w:id="2490" w:name="_Toc256001500"/>
      <w:bookmarkStart w:id="2491" w:name="_Toc256003997"/>
      <w:bookmarkStart w:id="2492" w:name="_Toc256002862"/>
      <w:bookmarkStart w:id="2493" w:name="_Toc256000138"/>
      <w:r>
        <w:rPr>
          <w:rFonts w:hint="eastAsia" w:ascii="宋体" w:hAnsi="宋体" w:eastAsia="宋体" w:cs="宋体"/>
          <w:color w:val="000000"/>
          <w:kern w:val="2"/>
          <w:sz w:val="24"/>
          <w:szCs w:val="24"/>
          <w:lang w:val="en-US" w:eastAsia="zh-CN" w:bidi="ar-SA"/>
        </w:rPr>
        <w:t>7</w:t>
      </w:r>
      <w:bookmarkStart w:id="2494" w:name="_Toc297123516"/>
      <w:bookmarkStart w:id="2495" w:name="_Toc304295546"/>
      <w:bookmarkStart w:id="2496" w:name="_Toc312677484"/>
      <w:bookmarkStart w:id="2497" w:name="_Toc297216175"/>
      <w:bookmarkStart w:id="2498" w:name="_Toc303539125"/>
      <w:bookmarkStart w:id="2499" w:name="_Toc312678010"/>
      <w:bookmarkStart w:id="2500" w:name="_Toc300934968"/>
      <w:r>
        <w:rPr>
          <w:rFonts w:hint="eastAsia" w:ascii="宋体" w:hAnsi="宋体" w:eastAsia="宋体" w:cs="宋体"/>
          <w:color w:val="000000"/>
          <w:kern w:val="2"/>
          <w:sz w:val="24"/>
          <w:szCs w:val="24"/>
          <w:lang w:val="en-US" w:eastAsia="zh-CN" w:bidi="ar-SA"/>
        </w:rPr>
        <w:t>.5 工期延误</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bookmarkEnd w:id="2494"/>
    <w:bookmarkEnd w:id="2495"/>
    <w:bookmarkEnd w:id="2496"/>
    <w:bookmarkEnd w:id="2497"/>
    <w:bookmarkEnd w:id="2498"/>
    <w:bookmarkEnd w:id="2499"/>
    <w:bookmarkEnd w:id="2500"/>
    <w:p w14:paraId="553EFFD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7.5.1 因发包人原因导致工期延误</w:t>
      </w:r>
    </w:p>
    <w:p w14:paraId="78BCC21E">
      <w:pPr>
        <w:widowControl/>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发包人原因导致工期延误的其他情形：因发包人原因或者政府相关政策、要求等原因造成暂停施工的，承包人应积极配合发包人做好施工计划调整，并合理调整人员和施工机械，工期顺延，发包人不承担由此造成的损失，也不调增费用。</w:t>
      </w:r>
    </w:p>
    <w:p w14:paraId="2D7CA5D7">
      <w:pPr>
        <w:widowControl w:val="0"/>
        <w:spacing w:line="400" w:lineRule="exact"/>
        <w:ind w:firstLine="600" w:firstLineChars="25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高（中）考、节假日、市（区）内重大活动期间以及发包人需要的时间段内，可能对施工做出某些限制和配合要求，承包人应予以服从，并按照要求作出必要的配合，这可能降低承包人的工效，发包人对合同工期按实际日历天数顺延，不增加承包人的费用支付。</w:t>
      </w:r>
    </w:p>
    <w:p w14:paraId="07BF8D4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实际情况发包人及时调整施工进度时承包人必须服从，并不得因此而要求增加赶工费用。承包人必须严格服从发包人、监理对工程施工的管理。若发包人认为承包人的现场投入不能满足施工需要，发包人有要求承包人增加人员、机械设备、财力和物力满足现场需要的权利，承包人对此不得拒绝。</w:t>
      </w:r>
    </w:p>
    <w:p w14:paraId="3F2D935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bookmarkStart w:id="2501" w:name="_Toc312677486"/>
      <w:bookmarkStart w:id="2502" w:name="_Toc312678012"/>
      <w:bookmarkStart w:id="2503" w:name="_Toc318581169"/>
      <w:bookmarkStart w:id="2504" w:name="_Toc303539127"/>
      <w:bookmarkStart w:id="2505" w:name="_Toc297123518"/>
      <w:bookmarkStart w:id="2506" w:name="_Toc297216177"/>
      <w:bookmarkStart w:id="2507" w:name="_Toc300934970"/>
      <w:bookmarkStart w:id="2508" w:name="_Toc304295548"/>
      <w:r>
        <w:rPr>
          <w:rFonts w:hint="eastAsia" w:ascii="宋体" w:hAnsi="宋体" w:eastAsia="宋体" w:cs="宋体"/>
          <w:color w:val="000000"/>
          <w:kern w:val="2"/>
          <w:sz w:val="24"/>
          <w:szCs w:val="24"/>
          <w:lang w:val="en-US" w:eastAsia="zh-CN" w:bidi="ar-SA"/>
        </w:rPr>
        <w:t>.5.2 因承包人原因导致工期延误</w:t>
      </w:r>
    </w:p>
    <w:bookmarkEnd w:id="2501"/>
    <w:bookmarkEnd w:id="2502"/>
    <w:bookmarkEnd w:id="2503"/>
    <w:p w14:paraId="58686ECC">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因</w:t>
      </w:r>
      <w:bookmarkStart w:id="2509" w:name="_Toc312677487"/>
      <w:bookmarkStart w:id="2510" w:name="_Toc312678013"/>
      <w:bookmarkStart w:id="2511" w:name="_Toc318581170"/>
      <w:r>
        <w:rPr>
          <w:rFonts w:hint="eastAsia" w:ascii="宋体" w:hAnsi="宋体" w:eastAsia="宋体" w:cs="宋体"/>
          <w:color w:val="000000"/>
          <w:kern w:val="2"/>
          <w:sz w:val="24"/>
          <w:szCs w:val="24"/>
          <w:lang w:val="en-US" w:eastAsia="zh-CN" w:bidi="ar-SA"/>
        </w:rPr>
        <w:t>承包人原因造成工期延误，逾期竣工违约金的计算方法为：</w:t>
      </w:r>
    </w:p>
    <w:bookmarkEnd w:id="2504"/>
    <w:bookmarkEnd w:id="2505"/>
    <w:bookmarkEnd w:id="2506"/>
    <w:bookmarkEnd w:id="2507"/>
    <w:bookmarkEnd w:id="2508"/>
    <w:bookmarkEnd w:id="2509"/>
    <w:bookmarkEnd w:id="2510"/>
    <w:bookmarkEnd w:id="2511"/>
    <w:p w14:paraId="13F0B2A9">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本项目自发包人或者监理下达书面开工通知之日起，开始计算工期，如因承包人原因不能及时开工，视同延误工期，每推迟一天开工，发包人有权按</w:t>
      </w:r>
      <w:bookmarkStart w:id="2512" w:name="_Hlk103535194"/>
      <w:r>
        <w:rPr>
          <w:rFonts w:hint="eastAsia" w:ascii="宋体" w:hAnsi="宋体" w:eastAsia="宋体" w:cs="宋体"/>
          <w:color w:val="000000"/>
          <w:kern w:val="2"/>
          <w:sz w:val="24"/>
          <w:szCs w:val="24"/>
          <w:u w:val="single"/>
          <w:lang w:val="en-US" w:eastAsia="zh-CN" w:bidi="ar-SA"/>
        </w:rPr>
        <w:t>合同价的2‰/天</w:t>
      </w:r>
      <w:bookmarkEnd w:id="2512"/>
      <w:r>
        <w:rPr>
          <w:rFonts w:hint="eastAsia" w:ascii="宋体" w:hAnsi="宋体" w:eastAsia="宋体" w:cs="宋体"/>
          <w:color w:val="000000"/>
          <w:kern w:val="2"/>
          <w:sz w:val="24"/>
          <w:szCs w:val="24"/>
          <w:u w:val="single"/>
          <w:lang w:val="en-US" w:eastAsia="zh-CN" w:bidi="ar-SA"/>
        </w:rPr>
        <w:t>扣罚。承包人不能按合同总工期竣工，每推迟一天，承包人应向发包人支付逾期违约金按合同价的2‰/天</w:t>
      </w:r>
      <w:r>
        <w:rPr>
          <w:rFonts w:hint="eastAsia" w:ascii="宋体" w:hAnsi="宋体" w:eastAsia="宋体" w:cs="宋体"/>
          <w:color w:val="000000"/>
          <w:kern w:val="2"/>
          <w:sz w:val="24"/>
          <w:szCs w:val="24"/>
          <w:lang w:val="en-US" w:eastAsia="zh-CN" w:bidi="ar-SA"/>
        </w:rPr>
        <w:t>。</w:t>
      </w:r>
    </w:p>
    <w:p w14:paraId="4A26082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因承包人原因造成工期延误，逾</w:t>
      </w:r>
      <w:bookmarkStart w:id="2513" w:name="_Toc318581171"/>
      <w:bookmarkStart w:id="2514" w:name="_Toc312678014"/>
      <w:r>
        <w:rPr>
          <w:rFonts w:hint="eastAsia" w:ascii="宋体" w:hAnsi="宋体" w:eastAsia="宋体" w:cs="宋体"/>
          <w:color w:val="000000"/>
          <w:kern w:val="2"/>
          <w:sz w:val="24"/>
          <w:szCs w:val="24"/>
          <w:lang w:val="en-US" w:eastAsia="zh-CN" w:bidi="ar-SA"/>
        </w:rPr>
        <w:t>期竣工违约金的上限：</w:t>
      </w:r>
      <w:r>
        <w:rPr>
          <w:rFonts w:hint="eastAsia" w:ascii="宋体" w:hAnsi="宋体" w:eastAsia="宋体" w:cs="宋体"/>
          <w:color w:val="000000"/>
          <w:kern w:val="2"/>
          <w:sz w:val="24"/>
          <w:szCs w:val="24"/>
          <w:u w:val="single"/>
          <w:lang w:val="en-US" w:eastAsia="zh-CN" w:bidi="ar-SA"/>
        </w:rPr>
        <w:t>合同价的10%</w:t>
      </w:r>
      <w:r>
        <w:rPr>
          <w:rFonts w:hint="eastAsia" w:ascii="宋体" w:hAnsi="宋体" w:eastAsia="宋体" w:cs="宋体"/>
          <w:color w:val="000000"/>
          <w:kern w:val="2"/>
          <w:sz w:val="24"/>
          <w:szCs w:val="24"/>
          <w:lang w:val="en-US" w:eastAsia="zh-CN" w:bidi="ar-SA"/>
        </w:rPr>
        <w:t>。</w:t>
      </w:r>
    </w:p>
    <w:p w14:paraId="1287DDB1">
      <w:pPr>
        <w:widowControl/>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因承包人原因造成工期延误，承包人应承担的赔偿责任及其他责任为：工期延误20天以上，发包人还有权解除合同并追究承包人延误工期由此造成的一切责任。</w:t>
      </w:r>
    </w:p>
    <w:bookmarkEnd w:id="2513"/>
    <w:bookmarkEnd w:id="2514"/>
    <w:p w14:paraId="410A0CD5">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515" w:name="_Toc256000139"/>
      <w:bookmarkStart w:id="2516" w:name="_Toc256003090"/>
      <w:bookmarkStart w:id="2517" w:name="_Toc256003998"/>
      <w:bookmarkStart w:id="2518" w:name="_Toc256001274"/>
      <w:bookmarkStart w:id="2519" w:name="_Toc256000593"/>
      <w:bookmarkStart w:id="2520" w:name="_Toc28024"/>
      <w:bookmarkStart w:id="2521" w:name="_Toc256002636"/>
      <w:bookmarkStart w:id="2522" w:name="_Toc441299698"/>
      <w:bookmarkStart w:id="2523" w:name="_Toc256001728"/>
      <w:bookmarkStart w:id="2524" w:name="_Toc256000366"/>
      <w:bookmarkStart w:id="2525" w:name="_Toc256001501"/>
      <w:bookmarkStart w:id="2526" w:name="_Toc256002182"/>
      <w:bookmarkStart w:id="2527" w:name="_Toc256003544"/>
      <w:bookmarkStart w:id="2528" w:name="_Toc256001955"/>
      <w:bookmarkStart w:id="2529" w:name="_Toc1834347369"/>
      <w:bookmarkStart w:id="2530" w:name="_Toc256002863"/>
      <w:bookmarkStart w:id="2531" w:name="_Toc256003771"/>
      <w:bookmarkStart w:id="2532" w:name="_Toc256000820"/>
      <w:bookmarkStart w:id="2533" w:name="_Toc256001047"/>
      <w:bookmarkStart w:id="2534" w:name="_Toc256002409"/>
      <w:bookmarkStart w:id="2535" w:name="_Toc256003317"/>
      <w:r>
        <w:rPr>
          <w:rFonts w:hint="eastAsia" w:ascii="宋体" w:hAnsi="宋体" w:eastAsia="宋体" w:cs="宋体"/>
          <w:color w:val="000000"/>
          <w:kern w:val="2"/>
          <w:sz w:val="24"/>
          <w:szCs w:val="24"/>
          <w:lang w:val="en-US" w:eastAsia="zh-CN" w:bidi="ar-SA"/>
        </w:rPr>
        <w:t>7</w:t>
      </w:r>
      <w:bookmarkStart w:id="2536" w:name="_Toc312678015"/>
      <w:bookmarkStart w:id="2537" w:name="_Toc300934971"/>
      <w:bookmarkStart w:id="2538" w:name="_Toc297216178"/>
      <w:bookmarkStart w:id="2539" w:name="_Toc304295549"/>
      <w:bookmarkStart w:id="2540" w:name="_Toc297123519"/>
      <w:bookmarkStart w:id="2541" w:name="_Toc303539128"/>
      <w:r>
        <w:rPr>
          <w:rFonts w:hint="eastAsia" w:ascii="宋体" w:hAnsi="宋体" w:eastAsia="宋体" w:cs="宋体"/>
          <w:color w:val="000000"/>
          <w:kern w:val="2"/>
          <w:sz w:val="24"/>
          <w:szCs w:val="24"/>
          <w:lang w:val="en-US" w:eastAsia="zh-CN" w:bidi="ar-SA"/>
        </w:rPr>
        <w:t>.6 不</w:t>
      </w:r>
      <w:bookmarkEnd w:id="2536"/>
      <w:bookmarkEnd w:id="2537"/>
      <w:bookmarkEnd w:id="2538"/>
      <w:bookmarkEnd w:id="2539"/>
      <w:bookmarkEnd w:id="2540"/>
      <w:bookmarkEnd w:id="2541"/>
      <w:r>
        <w:rPr>
          <w:rFonts w:hint="eastAsia" w:ascii="宋体" w:hAnsi="宋体" w:eastAsia="宋体" w:cs="宋体"/>
          <w:color w:val="000000"/>
          <w:kern w:val="2"/>
          <w:sz w:val="24"/>
          <w:szCs w:val="24"/>
          <w:lang w:val="en-US" w:eastAsia="zh-CN" w:bidi="ar-SA"/>
        </w:rPr>
        <w:t>利物质条件</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14:paraId="6FD1197B">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bookmarkStart w:id="2542" w:name="_Toc297216179"/>
      <w:bookmarkStart w:id="2543" w:name="_Toc303539129"/>
      <w:bookmarkStart w:id="2544" w:name="_Toc318581172"/>
      <w:bookmarkStart w:id="2545" w:name="_Toc304295550"/>
      <w:bookmarkStart w:id="2546" w:name="_Toc297123520"/>
      <w:bookmarkStart w:id="2547" w:name="_Toc300934972"/>
      <w:bookmarkStart w:id="2548" w:name="_Toc312678016"/>
      <w:r>
        <w:rPr>
          <w:rFonts w:hint="eastAsia" w:ascii="宋体" w:hAnsi="宋体" w:eastAsia="宋体" w:cs="宋体"/>
          <w:color w:val="000000"/>
          <w:kern w:val="2"/>
          <w:sz w:val="24"/>
          <w:szCs w:val="24"/>
          <w:lang w:val="en-US" w:eastAsia="zh-CN" w:bidi="ar-SA"/>
        </w:rPr>
        <w:t>不利物质条件的其他情形和有关约定：</w:t>
      </w:r>
      <w:r>
        <w:rPr>
          <w:rFonts w:hint="eastAsia" w:ascii="宋体" w:hAnsi="宋体" w:eastAsia="宋体" w:cs="宋体"/>
          <w:color w:val="000000"/>
          <w:kern w:val="2"/>
          <w:sz w:val="24"/>
          <w:szCs w:val="24"/>
          <w:u w:val="single"/>
          <w:lang w:val="en-US" w:eastAsia="zh-CN" w:bidi="ar-SA"/>
        </w:rPr>
        <w:t xml:space="preserve">  无  </w:t>
      </w:r>
      <w:r>
        <w:rPr>
          <w:rFonts w:hint="eastAsia" w:ascii="宋体" w:hAnsi="宋体" w:eastAsia="宋体" w:cs="宋体"/>
          <w:color w:val="000000"/>
          <w:kern w:val="2"/>
          <w:sz w:val="24"/>
          <w:szCs w:val="24"/>
          <w:lang w:val="en-US" w:eastAsia="zh-CN" w:bidi="ar-SA"/>
        </w:rPr>
        <w:t>。</w:t>
      </w:r>
    </w:p>
    <w:bookmarkEnd w:id="2542"/>
    <w:bookmarkEnd w:id="2543"/>
    <w:bookmarkEnd w:id="2544"/>
    <w:bookmarkEnd w:id="2545"/>
    <w:bookmarkEnd w:id="2546"/>
    <w:bookmarkEnd w:id="2547"/>
    <w:bookmarkEnd w:id="2548"/>
    <w:p w14:paraId="6AF2036C">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549" w:name="_Toc256000821"/>
      <w:bookmarkStart w:id="2550" w:name="_Toc256000367"/>
      <w:bookmarkStart w:id="2551" w:name="_Toc256003545"/>
      <w:bookmarkStart w:id="2552" w:name="_Toc256002864"/>
      <w:bookmarkStart w:id="2553" w:name="_Toc32335"/>
      <w:bookmarkStart w:id="2554" w:name="_Toc256003091"/>
      <w:bookmarkStart w:id="2555" w:name="_Toc256002183"/>
      <w:bookmarkStart w:id="2556" w:name="_Toc256003999"/>
      <w:bookmarkStart w:id="2557" w:name="_Toc1225022270"/>
      <w:bookmarkStart w:id="2558" w:name="_Toc256003318"/>
      <w:bookmarkStart w:id="2559" w:name="_Toc256001729"/>
      <w:bookmarkStart w:id="2560" w:name="_Toc256000140"/>
      <w:bookmarkStart w:id="2561" w:name="_Toc256001275"/>
      <w:bookmarkStart w:id="2562" w:name="_Toc256001502"/>
      <w:bookmarkStart w:id="2563" w:name="_Toc1077505333"/>
      <w:bookmarkStart w:id="2564" w:name="_Toc256002410"/>
      <w:bookmarkStart w:id="2565" w:name="_Toc256001048"/>
      <w:bookmarkStart w:id="2566" w:name="_Toc256002637"/>
      <w:bookmarkStart w:id="2567" w:name="_Toc256003772"/>
      <w:bookmarkStart w:id="2568" w:name="_Toc256001956"/>
      <w:bookmarkStart w:id="2569" w:name="_Toc256000594"/>
      <w:r>
        <w:rPr>
          <w:rFonts w:hint="eastAsia" w:ascii="宋体" w:hAnsi="宋体" w:eastAsia="宋体" w:cs="宋体"/>
          <w:color w:val="000000"/>
          <w:kern w:val="2"/>
          <w:sz w:val="24"/>
          <w:szCs w:val="24"/>
          <w:lang w:val="en-US" w:eastAsia="zh-CN" w:bidi="ar-SA"/>
        </w:rPr>
        <w:t>7</w:t>
      </w:r>
      <w:bookmarkStart w:id="2570" w:name="_Toc303539130"/>
      <w:bookmarkStart w:id="2571" w:name="_Toc312678017"/>
      <w:bookmarkStart w:id="2572" w:name="_Toc297216180"/>
      <w:bookmarkStart w:id="2573" w:name="_Toc297123521"/>
      <w:bookmarkStart w:id="2574" w:name="_Toc300934973"/>
      <w:bookmarkStart w:id="2575" w:name="_Toc304295551"/>
      <w:r>
        <w:rPr>
          <w:rFonts w:hint="eastAsia" w:ascii="宋体" w:hAnsi="宋体" w:eastAsia="宋体" w:cs="宋体"/>
          <w:color w:val="000000"/>
          <w:kern w:val="2"/>
          <w:sz w:val="24"/>
          <w:szCs w:val="24"/>
          <w:lang w:val="en-US" w:eastAsia="zh-CN" w:bidi="ar-SA"/>
        </w:rPr>
        <w:t>.7 异常恶劣的气候条件</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bookmarkEnd w:id="2570"/>
    <w:bookmarkEnd w:id="2571"/>
    <w:bookmarkEnd w:id="2572"/>
    <w:bookmarkEnd w:id="2573"/>
    <w:bookmarkEnd w:id="2574"/>
    <w:bookmarkEnd w:id="2575"/>
    <w:p w14:paraId="4FE533D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发包人和承包人同意以下情形视为异常恶劣的气候条件：</w:t>
      </w:r>
    </w:p>
    <w:p w14:paraId="501DE09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u w:val="single"/>
          <w:lang w:val="en-US" w:eastAsia="zh-CN" w:bidi="ar-SA"/>
        </w:rPr>
        <w:t xml:space="preserve"> 按通用条款执行 </w:t>
      </w:r>
      <w:r>
        <w:rPr>
          <w:rFonts w:hint="eastAsia" w:ascii="宋体" w:hAnsi="宋体" w:eastAsia="宋体" w:cs="宋体"/>
          <w:color w:val="000000"/>
          <w:kern w:val="2"/>
          <w:sz w:val="24"/>
          <w:szCs w:val="24"/>
          <w:lang w:val="en-US" w:eastAsia="zh-CN" w:bidi="ar-SA"/>
        </w:rPr>
        <w:t>；</w:t>
      </w:r>
    </w:p>
    <w:p w14:paraId="46D561A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28C0454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 xml:space="preserve"> 。</w:t>
      </w:r>
    </w:p>
    <w:p w14:paraId="3EBB4696">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576" w:name="_Toc256003092"/>
      <w:bookmarkStart w:id="2577" w:name="_Toc18194"/>
      <w:bookmarkStart w:id="2578" w:name="_Toc256002184"/>
      <w:bookmarkStart w:id="2579" w:name="_Toc256001503"/>
      <w:bookmarkStart w:id="2580" w:name="_Toc256000141"/>
      <w:bookmarkStart w:id="2581" w:name="_Toc256002638"/>
      <w:bookmarkStart w:id="2582" w:name="_Toc256002865"/>
      <w:bookmarkStart w:id="2583" w:name="_Toc63384221"/>
      <w:bookmarkStart w:id="2584" w:name="_Toc256001049"/>
      <w:bookmarkStart w:id="2585" w:name="_Toc625782789"/>
      <w:bookmarkStart w:id="2586" w:name="_Toc256003546"/>
      <w:bookmarkStart w:id="2587" w:name="_Toc256000595"/>
      <w:bookmarkStart w:id="2588" w:name="_Toc256003773"/>
      <w:bookmarkStart w:id="2589" w:name="_Toc256004000"/>
      <w:bookmarkStart w:id="2590" w:name="_Toc256001276"/>
      <w:bookmarkStart w:id="2591" w:name="_Toc256001730"/>
      <w:bookmarkStart w:id="2592" w:name="_Toc256003319"/>
      <w:bookmarkStart w:id="2593" w:name="_Toc256001957"/>
      <w:bookmarkStart w:id="2594" w:name="_Toc256002411"/>
      <w:bookmarkStart w:id="2595" w:name="_Toc256000368"/>
      <w:bookmarkStart w:id="2596" w:name="_Toc256000822"/>
      <w:r>
        <w:rPr>
          <w:rFonts w:hint="eastAsia" w:ascii="宋体" w:hAnsi="宋体" w:eastAsia="宋体" w:cs="宋体"/>
          <w:color w:val="000000"/>
          <w:kern w:val="2"/>
          <w:sz w:val="24"/>
          <w:szCs w:val="24"/>
          <w:lang w:val="en-US" w:eastAsia="zh-CN" w:bidi="ar-SA"/>
        </w:rPr>
        <w:t>7.8提前竣工的奖励</w:t>
      </w:r>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p>
    <w:p w14:paraId="0AB9E0A4">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7.8.1 提前竣工的奖励：</w:t>
      </w:r>
      <w:r>
        <w:rPr>
          <w:rFonts w:hint="eastAsia" w:ascii="宋体" w:hAnsi="宋体" w:eastAsia="宋体" w:cs="宋体"/>
          <w:color w:val="000000"/>
          <w:kern w:val="2"/>
          <w:sz w:val="24"/>
          <w:szCs w:val="24"/>
          <w:u w:val="single"/>
          <w:lang w:val="en-US" w:eastAsia="zh-CN" w:bidi="ar-SA"/>
        </w:rPr>
        <w:t xml:space="preserve">  无  </w:t>
      </w:r>
      <w:r>
        <w:rPr>
          <w:rFonts w:hint="eastAsia" w:ascii="宋体" w:hAnsi="宋体" w:eastAsia="宋体" w:cs="宋体"/>
          <w:color w:val="000000"/>
          <w:kern w:val="2"/>
          <w:sz w:val="24"/>
          <w:szCs w:val="24"/>
          <w:lang w:val="en-US" w:eastAsia="zh-CN" w:bidi="ar-SA"/>
        </w:rPr>
        <w:t xml:space="preserve">。  </w:t>
      </w:r>
    </w:p>
    <w:p w14:paraId="1E91C8CA">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2597" w:name="_Toc256003547"/>
      <w:bookmarkStart w:id="2598" w:name="_Toc256003093"/>
      <w:bookmarkStart w:id="2599" w:name="_Toc256002412"/>
      <w:bookmarkStart w:id="2600" w:name="_Toc1981848881"/>
      <w:bookmarkStart w:id="2601" w:name="_Toc256001504"/>
      <w:bookmarkStart w:id="2602" w:name="_Toc256002185"/>
      <w:bookmarkStart w:id="2603" w:name="_Toc256000369"/>
      <w:bookmarkStart w:id="2604" w:name="_Toc256003774"/>
      <w:bookmarkStart w:id="2605" w:name="_Toc256001958"/>
      <w:bookmarkStart w:id="2606" w:name="_Toc256000142"/>
      <w:bookmarkStart w:id="2607" w:name="_Toc256003320"/>
      <w:bookmarkStart w:id="2608" w:name="_Toc256001277"/>
      <w:bookmarkStart w:id="2609" w:name="_Toc256001731"/>
      <w:bookmarkStart w:id="2610" w:name="_Toc256000823"/>
      <w:bookmarkStart w:id="2611" w:name="_Toc256004001"/>
      <w:bookmarkStart w:id="2612" w:name="_Toc1290932324"/>
      <w:bookmarkStart w:id="2613" w:name="_Toc256000596"/>
      <w:bookmarkStart w:id="2614" w:name="_Toc256001050"/>
      <w:bookmarkStart w:id="2615" w:name="_Toc256002866"/>
      <w:bookmarkStart w:id="2616" w:name="_Toc256002639"/>
      <w:r>
        <w:rPr>
          <w:rFonts w:hint="eastAsia" w:ascii="宋体" w:hAnsi="宋体" w:eastAsia="宋体" w:cs="宋体"/>
          <w:b w:val="0"/>
          <w:bCs/>
          <w:color w:val="000000"/>
          <w:kern w:val="2"/>
          <w:sz w:val="24"/>
          <w:szCs w:val="24"/>
          <w:lang w:val="en-US" w:eastAsia="zh-CN" w:bidi="ar-SA"/>
        </w:rPr>
        <w:t>8. 材料与设备</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p>
    <w:bookmarkEnd w:id="2085"/>
    <w:bookmarkEnd w:id="2086"/>
    <w:bookmarkEnd w:id="2087"/>
    <w:bookmarkEnd w:id="2088"/>
    <w:bookmarkEnd w:id="2089"/>
    <w:bookmarkEnd w:id="2090"/>
    <w:bookmarkEnd w:id="2091"/>
    <w:bookmarkEnd w:id="2092"/>
    <w:bookmarkEnd w:id="2093"/>
    <w:bookmarkEnd w:id="2094"/>
    <w:p w14:paraId="7C213641">
      <w:pPr>
        <w:widowControl w:val="0"/>
        <w:spacing w:line="400" w:lineRule="exact"/>
        <w:jc w:val="both"/>
        <w:outlineLvl w:val="2"/>
        <w:rPr>
          <w:rFonts w:ascii="宋体" w:hAnsi="宋体" w:eastAsia="宋体" w:cs="宋体"/>
          <w:color w:val="000000"/>
          <w:kern w:val="2"/>
          <w:sz w:val="24"/>
          <w:szCs w:val="24"/>
          <w:lang w:val="en-US" w:eastAsia="zh-CN" w:bidi="ar-SA"/>
        </w:rPr>
      </w:pPr>
      <w:bookmarkStart w:id="2617" w:name="_Toc256002867"/>
      <w:bookmarkStart w:id="2618" w:name="_Toc256003548"/>
      <w:bookmarkStart w:id="2619" w:name="_Toc256002640"/>
      <w:bookmarkStart w:id="2620" w:name="_Toc256002186"/>
      <w:bookmarkStart w:id="2621" w:name="_Toc1878"/>
      <w:bookmarkStart w:id="2622" w:name="_Toc256000143"/>
      <w:bookmarkStart w:id="2623" w:name="_Toc256003775"/>
      <w:bookmarkStart w:id="2624" w:name="_Toc256000597"/>
      <w:bookmarkStart w:id="2625" w:name="_Toc256003321"/>
      <w:bookmarkStart w:id="2626" w:name="_Toc256004002"/>
      <w:bookmarkStart w:id="2627" w:name="_Toc256000370"/>
      <w:bookmarkStart w:id="2628" w:name="_Toc256000824"/>
      <w:bookmarkStart w:id="2629" w:name="_Toc256001505"/>
      <w:bookmarkStart w:id="2630" w:name="_Toc256001051"/>
      <w:bookmarkStart w:id="2631" w:name="_Toc256001959"/>
      <w:bookmarkStart w:id="2632" w:name="_Toc256001278"/>
      <w:bookmarkStart w:id="2633" w:name="_Toc1549169060"/>
      <w:bookmarkStart w:id="2634" w:name="_Toc256003094"/>
      <w:bookmarkStart w:id="2635" w:name="_Toc256001732"/>
      <w:bookmarkStart w:id="2636" w:name="_Toc489553729"/>
      <w:bookmarkStart w:id="2637" w:name="_Toc256002413"/>
      <w:r>
        <w:rPr>
          <w:rFonts w:hint="eastAsia" w:ascii="宋体" w:hAnsi="宋体" w:eastAsia="宋体" w:cs="宋体"/>
          <w:color w:val="000000"/>
          <w:kern w:val="2"/>
          <w:sz w:val="24"/>
          <w:szCs w:val="24"/>
          <w:lang w:val="en-US" w:eastAsia="zh-CN" w:bidi="ar-SA"/>
        </w:rPr>
        <w:t>8</w:t>
      </w:r>
      <w:bookmarkStart w:id="2638" w:name="_Toc296347166"/>
      <w:bookmarkStart w:id="2639" w:name="_Toc300934979"/>
      <w:bookmarkStart w:id="2640" w:name="_Toc297123527"/>
      <w:bookmarkStart w:id="2641" w:name="_Toc296503167"/>
      <w:bookmarkStart w:id="2642" w:name="_Toc297048353"/>
      <w:bookmarkStart w:id="2643" w:name="_Toc296890995"/>
      <w:bookmarkStart w:id="2644" w:name="_Toc292559372"/>
      <w:bookmarkStart w:id="2645" w:name="_Toc297216186"/>
      <w:bookmarkStart w:id="2646" w:name="_Toc304295556"/>
      <w:bookmarkStart w:id="2647" w:name="_Toc312678019"/>
      <w:bookmarkStart w:id="2648" w:name="_Toc296944506"/>
      <w:bookmarkStart w:id="2649" w:name="_Toc292559877"/>
      <w:bookmarkStart w:id="2650" w:name="_Toc280868654"/>
      <w:bookmarkStart w:id="2651" w:name="_Toc296346668"/>
      <w:bookmarkStart w:id="2652" w:name="_Toc312677493"/>
      <w:bookmarkStart w:id="2653" w:name="_Toc303539136"/>
      <w:bookmarkStart w:id="2654" w:name="_Toc297120467"/>
      <w:bookmarkStart w:id="2655" w:name="_Toc296891207"/>
      <w:bookmarkStart w:id="2656" w:name="_Toc267251424"/>
      <w:bookmarkStart w:id="2657" w:name="_Toc280868655"/>
      <w:bookmarkStart w:id="2658" w:name="_Toc280868656"/>
      <w:r>
        <w:rPr>
          <w:rFonts w:hint="eastAsia" w:ascii="宋体" w:hAnsi="宋体" w:eastAsia="宋体" w:cs="宋体"/>
          <w:color w:val="000000"/>
          <w:kern w:val="2"/>
          <w:sz w:val="24"/>
          <w:szCs w:val="24"/>
          <w:lang w:val="en-US" w:eastAsia="zh-CN" w:bidi="ar-SA"/>
        </w:rPr>
        <w:t>.4 材料与工程设备的保管与使用</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0FBC54A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本款修改8.4.1。</w:t>
      </w:r>
    </w:p>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14:paraId="45A092D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w:t>
      </w:r>
      <w:bookmarkStart w:id="2659" w:name="_Toc292559373"/>
      <w:bookmarkStart w:id="2660" w:name="_Toc292559878"/>
      <w:bookmarkStart w:id="2661" w:name="_Toc297048354"/>
      <w:bookmarkStart w:id="2662" w:name="_Toc296346669"/>
      <w:bookmarkStart w:id="2663" w:name="_Toc300934980"/>
      <w:bookmarkStart w:id="2664" w:name="_Toc296890996"/>
      <w:bookmarkStart w:id="2665" w:name="_Toc296891208"/>
      <w:bookmarkStart w:id="2666" w:name="_Toc318581173"/>
      <w:bookmarkStart w:id="2667" w:name="_Toc296503168"/>
      <w:bookmarkStart w:id="2668" w:name="_Toc296347167"/>
      <w:bookmarkStart w:id="2669" w:name="_Toc296944507"/>
      <w:bookmarkStart w:id="2670" w:name="_Toc297216187"/>
      <w:bookmarkStart w:id="2671" w:name="_Toc312677494"/>
      <w:bookmarkStart w:id="2672" w:name="_Toc297120468"/>
      <w:bookmarkStart w:id="2673" w:name="_Toc297123528"/>
      <w:bookmarkStart w:id="2674" w:name="_Toc304295557"/>
      <w:bookmarkStart w:id="2675" w:name="_Toc303539137"/>
      <w:bookmarkStart w:id="2676" w:name="_Toc312678020"/>
      <w:r>
        <w:rPr>
          <w:rFonts w:hint="eastAsia" w:ascii="宋体" w:hAnsi="宋体" w:eastAsia="宋体" w:cs="宋体"/>
          <w:color w:val="000000"/>
          <w:kern w:val="2"/>
          <w:sz w:val="24"/>
          <w:szCs w:val="24"/>
          <w:lang w:val="en-US" w:eastAsia="zh-CN" w:bidi="ar-SA"/>
        </w:rPr>
        <w:t>.4.1 发包人供应的苗木、材料设备的保管费用的承担：</w:t>
      </w:r>
    </w:p>
    <w:p w14:paraId="23E61F1D">
      <w:pPr>
        <w:widowControl w:val="0"/>
        <w:spacing w:line="400" w:lineRule="exact"/>
        <w:ind w:firstLine="360" w:firstLineChars="15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供应的材料设备，承包人清点后由承包人妥善保管，在收货、验货、搬运、仓储、安装、成品保护过程中损坏或工程竣工交付前丢失时，应负责全部经济赔偿及工期索赔等责任，卸货、保管费用由承包人承担。</w:t>
      </w:r>
    </w:p>
    <w:p w14:paraId="2C7EE09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双方约定由承包人采购的材料必须符合有关规范、设计图纸规定的质量要求以及验收要求，必须有详细的质保书及复试报告且经发包人和监理方事先认可。若不符要求，发包人可拒绝验收和使用，并按限定时间运出施工场地，重新采购，承包人承担由此发生的费用，由此延误的工期不予顺延。</w:t>
      </w:r>
      <w:bookmarkEnd w:id="2659"/>
      <w:bookmarkEnd w:id="2660"/>
    </w:p>
    <w:p w14:paraId="015C1FB7">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677" w:name="_Toc256003549"/>
      <w:bookmarkStart w:id="2678" w:name="_Toc256003322"/>
      <w:bookmarkStart w:id="2679" w:name="_Toc256003095"/>
      <w:bookmarkStart w:id="2680" w:name="_Toc256001279"/>
      <w:bookmarkStart w:id="2681" w:name="_Toc256003776"/>
      <w:bookmarkStart w:id="2682" w:name="_Toc256000598"/>
      <w:bookmarkStart w:id="2683" w:name="_Toc256002187"/>
      <w:bookmarkStart w:id="2684" w:name="_Toc256000371"/>
      <w:bookmarkStart w:id="2685" w:name="_Toc15421"/>
      <w:bookmarkStart w:id="2686" w:name="_Toc1698965056"/>
      <w:bookmarkStart w:id="2687" w:name="_Toc1602926888"/>
      <w:bookmarkStart w:id="2688" w:name="_Toc256001733"/>
      <w:bookmarkStart w:id="2689" w:name="_Toc256002868"/>
      <w:bookmarkStart w:id="2690" w:name="_Toc256001052"/>
      <w:bookmarkStart w:id="2691" w:name="_Toc256002414"/>
      <w:bookmarkStart w:id="2692" w:name="_Toc256002641"/>
      <w:bookmarkStart w:id="2693" w:name="_Toc256004003"/>
      <w:bookmarkStart w:id="2694" w:name="_Toc256001506"/>
      <w:bookmarkStart w:id="2695" w:name="_Toc256001960"/>
      <w:bookmarkStart w:id="2696" w:name="_Toc256000144"/>
      <w:bookmarkStart w:id="2697" w:name="_Toc256000825"/>
      <w:r>
        <w:rPr>
          <w:rFonts w:hint="eastAsia" w:ascii="宋体" w:hAnsi="宋体" w:eastAsia="宋体" w:cs="宋体"/>
          <w:color w:val="000000"/>
          <w:kern w:val="2"/>
          <w:sz w:val="24"/>
          <w:szCs w:val="24"/>
          <w:lang w:val="en-US" w:eastAsia="zh-CN" w:bidi="ar-SA"/>
        </w:rPr>
        <w:t>8.6 样品</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14:paraId="4C489DC1">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2698" w:name="_Toc256001280"/>
      <w:bookmarkStart w:id="2699" w:name="_Toc256000599"/>
      <w:bookmarkStart w:id="2700" w:name="_Toc256001507"/>
      <w:bookmarkStart w:id="2701" w:name="_Toc256002869"/>
      <w:bookmarkStart w:id="2702" w:name="_Toc256002415"/>
      <w:bookmarkStart w:id="2703" w:name="_Toc256004004"/>
      <w:bookmarkStart w:id="2704" w:name="_Toc256003096"/>
      <w:bookmarkStart w:id="2705" w:name="_Toc256000826"/>
      <w:bookmarkStart w:id="2706" w:name="_Toc256000372"/>
      <w:bookmarkStart w:id="2707" w:name="_Toc256001961"/>
      <w:bookmarkStart w:id="2708" w:name="_Toc155224400"/>
      <w:bookmarkStart w:id="2709" w:name="_Toc256000145"/>
      <w:bookmarkStart w:id="2710" w:name="_Toc256003777"/>
      <w:bookmarkStart w:id="2711" w:name="_Toc256002642"/>
      <w:bookmarkStart w:id="2712" w:name="_Toc256003550"/>
      <w:bookmarkStart w:id="2713" w:name="_Toc658422827"/>
      <w:bookmarkStart w:id="2714" w:name="_Toc256001053"/>
      <w:bookmarkStart w:id="2715" w:name="_Toc256002188"/>
      <w:bookmarkStart w:id="2716" w:name="_Toc256001734"/>
      <w:bookmarkStart w:id="2717" w:name="_Toc256003323"/>
      <w:r>
        <w:rPr>
          <w:rFonts w:hint="eastAsia" w:ascii="宋体" w:hAnsi="宋体" w:eastAsia="宋体" w:cs="宋体"/>
          <w:color w:val="000000"/>
          <w:kern w:val="0"/>
          <w:sz w:val="24"/>
          <w:szCs w:val="24"/>
          <w:lang w:val="en-US" w:eastAsia="zh-CN" w:bidi="ar-SA"/>
        </w:rPr>
        <w:t>8.6.1 样品的报送与封存</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14:paraId="4870364A">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需要承包人报送样品的材料或工程设备，样品的种类、名称、规格、数量要求：须满足招标文件及施工图要求，经发包人确认样品后方可施工，施工用材须和发包人确认样品保持一致，否则承包人需无条件更换，给发包人造成损失的还需承担赔偿责任。</w:t>
      </w:r>
    </w:p>
    <w:p w14:paraId="34EE080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u w:val="single"/>
          <w:lang w:val="en-US" w:eastAsia="zh-CN" w:bidi="ar-SA"/>
        </w:rPr>
        <w:t>按发包人项目建设材料进场验收制度执行。施工前需经发包人确认方可采购及施工，否则发包人有权要求承包人给予更换，如承包人不予更换，发包人将自行更换，且不得据此计算任何费用，同时扣除承包人因更换所产生的相应的费用并加收20%管理费，给发包人造成损失的还需承担赔偿责任</w:t>
      </w:r>
      <w:r>
        <w:rPr>
          <w:rFonts w:hint="eastAsia" w:ascii="宋体" w:hAnsi="宋体" w:eastAsia="宋体" w:cs="宋体"/>
          <w:color w:val="000000"/>
          <w:kern w:val="2"/>
          <w:sz w:val="24"/>
          <w:szCs w:val="24"/>
          <w:lang w:val="en-US" w:eastAsia="zh-CN" w:bidi="ar-SA"/>
        </w:rPr>
        <w:t>。</w:t>
      </w:r>
    </w:p>
    <w:p w14:paraId="2E42342F">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718" w:name="_Toc256001054"/>
      <w:bookmarkStart w:id="2719" w:name="_Toc256000827"/>
      <w:bookmarkStart w:id="2720" w:name="_Toc256002189"/>
      <w:bookmarkStart w:id="2721" w:name="_Toc256003551"/>
      <w:bookmarkStart w:id="2722" w:name="_Toc256000600"/>
      <w:bookmarkStart w:id="2723" w:name="_Toc256002870"/>
      <w:bookmarkStart w:id="2724" w:name="_Toc256002416"/>
      <w:bookmarkStart w:id="2725" w:name="_Toc256003097"/>
      <w:bookmarkStart w:id="2726" w:name="_Toc256000373"/>
      <w:bookmarkStart w:id="2727" w:name="_Toc256003324"/>
      <w:bookmarkStart w:id="2728" w:name="_Toc256001508"/>
      <w:bookmarkStart w:id="2729" w:name="_Toc268737114"/>
      <w:bookmarkStart w:id="2730" w:name="_Toc256002643"/>
      <w:bookmarkStart w:id="2731" w:name="_Toc256003778"/>
      <w:bookmarkStart w:id="2732" w:name="_Toc256001962"/>
      <w:bookmarkStart w:id="2733" w:name="_Toc256000146"/>
      <w:bookmarkStart w:id="2734" w:name="_Toc1156517039"/>
      <w:bookmarkStart w:id="2735" w:name="_Toc256001735"/>
      <w:bookmarkStart w:id="2736" w:name="_Toc256004005"/>
      <w:bookmarkStart w:id="2737" w:name="_Toc22773"/>
      <w:bookmarkStart w:id="2738" w:name="_Toc256001281"/>
      <w:r>
        <w:rPr>
          <w:rFonts w:hint="eastAsia" w:ascii="宋体" w:hAnsi="宋体" w:eastAsia="宋体" w:cs="宋体"/>
          <w:color w:val="000000"/>
          <w:kern w:val="2"/>
          <w:sz w:val="24"/>
          <w:szCs w:val="24"/>
          <w:lang w:val="en-US" w:eastAsia="zh-CN" w:bidi="ar-SA"/>
        </w:rPr>
        <w:t>8.8 施工设备和临时设施</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14:paraId="0698803D">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8.8.1 承包人提供的施工设备和临时设施</w:t>
      </w:r>
    </w:p>
    <w:p w14:paraId="41D93D60">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关于修建临时设施费用承担的约定：</w:t>
      </w:r>
      <w:bookmarkEnd w:id="2656"/>
      <w:bookmarkEnd w:id="2657"/>
      <w:bookmarkEnd w:id="2658"/>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Start w:id="2739" w:name="_Toc351203641"/>
      <w:bookmarkStart w:id="2740" w:name="_Toc292559903"/>
      <w:bookmarkStart w:id="2741" w:name="_Toc297123540"/>
      <w:bookmarkStart w:id="2742" w:name="_Toc296346694"/>
      <w:bookmarkStart w:id="2743" w:name="_Toc296891233"/>
      <w:bookmarkStart w:id="2744" w:name="_Toc297216199"/>
      <w:bookmarkStart w:id="2745" w:name="_Toc297120493"/>
      <w:bookmarkStart w:id="2746" w:name="_Toc297048379"/>
      <w:bookmarkStart w:id="2747" w:name="_Toc292559398"/>
      <w:bookmarkStart w:id="2748" w:name="_Toc296944532"/>
      <w:bookmarkStart w:id="2749" w:name="_Toc304295566"/>
      <w:bookmarkStart w:id="2750" w:name="_Toc296347192"/>
      <w:bookmarkStart w:id="2751" w:name="_Toc296891021"/>
      <w:bookmarkStart w:id="2752" w:name="_Toc296503193"/>
      <w:bookmarkStart w:id="2753" w:name="_Toc300934989"/>
      <w:bookmarkStart w:id="2754" w:name="_Toc303539146"/>
      <w:bookmarkStart w:id="2755" w:name="_Toc312677499"/>
      <w:bookmarkStart w:id="2756" w:name="_Toc312678025"/>
      <w:bookmarkStart w:id="2757" w:name="_Toc267251433"/>
      <w:bookmarkStart w:id="2758" w:name="_Toc267251440"/>
      <w:bookmarkStart w:id="2759" w:name="_Toc267251441"/>
      <w:bookmarkStart w:id="2760" w:name="_Toc267251437"/>
      <w:bookmarkStart w:id="2761" w:name="_Toc267251439"/>
      <w:bookmarkStart w:id="2762" w:name="_Toc267251435"/>
      <w:bookmarkStart w:id="2763" w:name="_Toc267251442"/>
      <w:r>
        <w:rPr>
          <w:rFonts w:hint="eastAsia" w:ascii="宋体" w:hAnsi="宋体" w:eastAsia="宋体" w:cs="宋体"/>
          <w:color w:val="000000"/>
          <w:kern w:val="0"/>
          <w:sz w:val="24"/>
          <w:szCs w:val="24"/>
          <w:u w:val="single"/>
          <w:lang w:val="en-US" w:eastAsia="zh-CN" w:bidi="ar-SA"/>
        </w:rPr>
        <w:t>计入投标报价中</w:t>
      </w:r>
      <w:r>
        <w:rPr>
          <w:rFonts w:hint="eastAsia" w:ascii="宋体" w:hAnsi="宋体" w:eastAsia="宋体" w:cs="宋体"/>
          <w:color w:val="000000"/>
          <w:kern w:val="2"/>
          <w:sz w:val="24"/>
          <w:szCs w:val="24"/>
          <w:lang w:val="en-US" w:eastAsia="zh-CN" w:bidi="ar-SA"/>
        </w:rPr>
        <w:t>。</w:t>
      </w:r>
    </w:p>
    <w:p w14:paraId="7DBBE1A9">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2764" w:name="_Toc256001736"/>
      <w:bookmarkStart w:id="2765" w:name="_Toc256003325"/>
      <w:bookmarkStart w:id="2766" w:name="_Toc256001509"/>
      <w:bookmarkStart w:id="2767" w:name="_Toc256000374"/>
      <w:bookmarkStart w:id="2768" w:name="_Toc256002871"/>
      <w:bookmarkStart w:id="2769" w:name="_Toc256002417"/>
      <w:bookmarkStart w:id="2770" w:name="_Toc256002644"/>
      <w:bookmarkStart w:id="2771" w:name="_Toc256001282"/>
      <w:bookmarkStart w:id="2772" w:name="_Toc256003779"/>
      <w:bookmarkStart w:id="2773" w:name="_Toc1764962496"/>
      <w:bookmarkStart w:id="2774" w:name="_Toc256001055"/>
      <w:bookmarkStart w:id="2775" w:name="_Toc256000828"/>
      <w:bookmarkStart w:id="2776" w:name="_Toc256004006"/>
      <w:bookmarkStart w:id="2777" w:name="_Toc256000601"/>
      <w:bookmarkStart w:id="2778" w:name="_Toc256001963"/>
      <w:bookmarkStart w:id="2779" w:name="_Toc256003552"/>
      <w:bookmarkStart w:id="2780" w:name="_Toc242413721"/>
      <w:bookmarkStart w:id="2781" w:name="_Toc256003098"/>
      <w:bookmarkStart w:id="2782" w:name="_Toc256000147"/>
      <w:bookmarkStart w:id="2783" w:name="_Toc256002190"/>
      <w:r>
        <w:rPr>
          <w:rFonts w:hint="eastAsia" w:ascii="宋体" w:hAnsi="宋体" w:eastAsia="宋体" w:cs="宋体"/>
          <w:b w:val="0"/>
          <w:bCs/>
          <w:color w:val="000000"/>
          <w:kern w:val="2"/>
          <w:sz w:val="24"/>
          <w:szCs w:val="24"/>
          <w:lang w:val="en-US" w:eastAsia="zh-CN" w:bidi="ar-SA"/>
        </w:rPr>
        <w:t>9</w:t>
      </w:r>
      <w:bookmarkStart w:id="2784" w:name="_Toc312677495"/>
      <w:bookmarkStart w:id="2785" w:name="_Toc297216192"/>
      <w:bookmarkStart w:id="2786" w:name="_Toc303539139"/>
      <w:bookmarkStart w:id="2787" w:name="_Toc312678021"/>
      <w:bookmarkStart w:id="2788" w:name="_Toc300934982"/>
      <w:bookmarkStart w:id="2789" w:name="_Toc297123533"/>
      <w:bookmarkStart w:id="2790" w:name="_Toc304295559"/>
      <w:r>
        <w:rPr>
          <w:rFonts w:hint="eastAsia" w:ascii="宋体" w:hAnsi="宋体" w:eastAsia="宋体" w:cs="宋体"/>
          <w:b w:val="0"/>
          <w:bCs/>
          <w:color w:val="000000"/>
          <w:kern w:val="2"/>
          <w:sz w:val="24"/>
          <w:szCs w:val="24"/>
          <w:lang w:val="en-US" w:eastAsia="zh-CN" w:bidi="ar-SA"/>
        </w:rPr>
        <w:t>. 试验与检验</w:t>
      </w:r>
      <w:bookmarkEnd w:id="2739"/>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p>
    <w:p w14:paraId="748695C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9.1试验设备与试验人员</w:t>
      </w:r>
    </w:p>
    <w:p w14:paraId="58A1EBC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9.1.2试验设备</w:t>
      </w:r>
    </w:p>
    <w:p w14:paraId="4BF50A34">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施工现场需要配置的试验场所：</w:t>
      </w:r>
      <w:r>
        <w:rPr>
          <w:rFonts w:hint="eastAsia" w:ascii="宋体" w:hAnsi="宋体" w:eastAsia="宋体" w:cs="宋体"/>
          <w:color w:val="000000"/>
          <w:kern w:val="2"/>
          <w:sz w:val="24"/>
          <w:szCs w:val="24"/>
          <w:u w:val="single"/>
          <w:lang w:val="en-US" w:eastAsia="zh-CN" w:bidi="ar-SA"/>
        </w:rPr>
        <w:t>无。</w:t>
      </w:r>
    </w:p>
    <w:p w14:paraId="113E1924">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施工现场需要配备的试验设备：</w:t>
      </w:r>
      <w:r>
        <w:rPr>
          <w:rFonts w:hint="eastAsia" w:ascii="宋体" w:hAnsi="宋体" w:eastAsia="宋体" w:cs="宋体"/>
          <w:color w:val="000000"/>
          <w:kern w:val="2"/>
          <w:sz w:val="24"/>
          <w:szCs w:val="24"/>
          <w:u w:val="single"/>
          <w:lang w:val="en-US" w:eastAsia="zh-CN" w:bidi="ar-SA"/>
        </w:rPr>
        <w:t xml:space="preserve">水准仪、测量仪等 </w:t>
      </w:r>
    </w:p>
    <w:p w14:paraId="7D4F5C08">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施工现场需要具备的其他试验条件：</w:t>
      </w:r>
      <w:r>
        <w:rPr>
          <w:rFonts w:hint="eastAsia" w:ascii="宋体" w:hAnsi="宋体" w:eastAsia="宋体" w:cs="宋体"/>
          <w:color w:val="000000"/>
          <w:kern w:val="2"/>
          <w:sz w:val="24"/>
          <w:szCs w:val="24"/>
          <w:u w:val="single"/>
          <w:lang w:val="en-US" w:eastAsia="zh-CN" w:bidi="ar-SA"/>
        </w:rPr>
        <w:t>暂无，其他按通用条款执行</w:t>
      </w:r>
    </w:p>
    <w:p w14:paraId="4377D43E">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791" w:name="_Toc256003780"/>
      <w:bookmarkStart w:id="2792" w:name="_Toc256000148"/>
      <w:bookmarkStart w:id="2793" w:name="_Toc256001510"/>
      <w:bookmarkStart w:id="2794" w:name="_Toc256003553"/>
      <w:bookmarkStart w:id="2795" w:name="_Toc256002191"/>
      <w:bookmarkStart w:id="2796" w:name="_Toc351203565"/>
      <w:bookmarkStart w:id="2797" w:name="_Toc256002872"/>
      <w:bookmarkStart w:id="2798" w:name="_Toc653733895"/>
      <w:bookmarkStart w:id="2799" w:name="_Toc256000375"/>
      <w:bookmarkStart w:id="2800" w:name="_Toc256000829"/>
      <w:bookmarkStart w:id="2801" w:name="_Toc1351090379"/>
      <w:bookmarkStart w:id="2802" w:name="_Toc256001056"/>
      <w:bookmarkStart w:id="2803" w:name="_Toc256001737"/>
      <w:bookmarkStart w:id="2804" w:name="_Toc256002418"/>
      <w:bookmarkStart w:id="2805" w:name="_Toc256003099"/>
      <w:bookmarkStart w:id="2806" w:name="_Toc256001283"/>
      <w:bookmarkStart w:id="2807" w:name="_Toc256001964"/>
      <w:bookmarkStart w:id="2808" w:name="_Toc256004007"/>
      <w:bookmarkStart w:id="2809" w:name="_Toc256003326"/>
      <w:bookmarkStart w:id="2810" w:name="_Toc256000602"/>
      <w:bookmarkStart w:id="2811" w:name="_Toc256002645"/>
      <w:bookmarkStart w:id="2812" w:name="_Toc6956"/>
      <w:r>
        <w:rPr>
          <w:rFonts w:hint="eastAsia" w:ascii="宋体" w:hAnsi="宋体" w:eastAsia="宋体" w:cs="宋体"/>
          <w:color w:val="000000"/>
          <w:kern w:val="2"/>
          <w:sz w:val="24"/>
          <w:szCs w:val="24"/>
          <w:lang w:val="en-US" w:eastAsia="zh-CN" w:bidi="ar-SA"/>
        </w:rPr>
        <w:t>9</w:t>
      </w:r>
      <w:bookmarkStart w:id="2813" w:name="_Toc337558785"/>
      <w:r>
        <w:rPr>
          <w:rFonts w:hint="eastAsia" w:ascii="宋体" w:hAnsi="宋体" w:eastAsia="宋体" w:cs="宋体"/>
          <w:color w:val="000000"/>
          <w:kern w:val="2"/>
          <w:sz w:val="24"/>
          <w:szCs w:val="24"/>
          <w:lang w:val="en-US" w:eastAsia="zh-CN" w:bidi="ar-SA"/>
        </w:rPr>
        <w:t>.3 材料、工程设备和工程的试验和检验</w:t>
      </w:r>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3"/>
    </w:p>
    <w:p w14:paraId="431C2B47">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本款补充9.3.4。</w:t>
      </w:r>
      <w:bookmarkEnd w:id="2812"/>
    </w:p>
    <w:p w14:paraId="3A7AB700">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9.3.4 关于送检材料的约定：。</w:t>
      </w:r>
    </w:p>
    <w:p w14:paraId="1A91251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9.4现场工艺试验</w:t>
      </w:r>
    </w:p>
    <w:p w14:paraId="6AE5DBD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现场工艺试验的有关约定：</w:t>
      </w:r>
      <w:r>
        <w:rPr>
          <w:rFonts w:hint="eastAsia" w:ascii="宋体" w:hAnsi="宋体" w:eastAsia="宋体" w:cs="宋体"/>
          <w:color w:val="000000"/>
          <w:kern w:val="2"/>
          <w:sz w:val="24"/>
          <w:szCs w:val="24"/>
          <w:u w:val="single"/>
          <w:lang w:val="en-US" w:eastAsia="zh-CN" w:bidi="ar-SA"/>
        </w:rPr>
        <w:t xml:space="preserve"> 无</w:t>
      </w:r>
      <w:r>
        <w:rPr>
          <w:rFonts w:hint="eastAsia" w:ascii="宋体" w:hAnsi="宋体" w:eastAsia="宋体" w:cs="宋体"/>
          <w:color w:val="000000"/>
          <w:kern w:val="2"/>
          <w:sz w:val="24"/>
          <w:szCs w:val="24"/>
          <w:lang w:val="en-US" w:eastAsia="zh-CN" w:bidi="ar-SA"/>
        </w:rPr>
        <w:t xml:space="preserve"> 。</w:t>
      </w:r>
    </w:p>
    <w:bookmarkEnd w:id="2784"/>
    <w:bookmarkEnd w:id="2785"/>
    <w:bookmarkEnd w:id="2786"/>
    <w:bookmarkEnd w:id="2787"/>
    <w:bookmarkEnd w:id="2788"/>
    <w:bookmarkEnd w:id="2789"/>
    <w:bookmarkEnd w:id="2790"/>
    <w:p w14:paraId="320D4F64">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2814" w:name="_Toc256003781"/>
      <w:bookmarkStart w:id="2815" w:name="_Toc256001965"/>
      <w:bookmarkStart w:id="2816" w:name="_Toc256001738"/>
      <w:bookmarkStart w:id="2817" w:name="_Toc256001057"/>
      <w:bookmarkStart w:id="2818" w:name="_Toc256000149"/>
      <w:bookmarkStart w:id="2819" w:name="_Toc256000376"/>
      <w:bookmarkStart w:id="2820" w:name="_Toc458560564"/>
      <w:bookmarkStart w:id="2821" w:name="_Toc256002419"/>
      <w:bookmarkStart w:id="2822" w:name="_Toc256002192"/>
      <w:bookmarkStart w:id="2823" w:name="_Toc256001511"/>
      <w:bookmarkStart w:id="2824" w:name="_Toc256000830"/>
      <w:bookmarkStart w:id="2825" w:name="_Toc256001284"/>
      <w:bookmarkStart w:id="2826" w:name="_Toc256002873"/>
      <w:bookmarkStart w:id="2827" w:name="_Toc256000603"/>
      <w:bookmarkStart w:id="2828" w:name="_Toc256003327"/>
      <w:bookmarkStart w:id="2829" w:name="_Toc256002646"/>
      <w:bookmarkStart w:id="2830" w:name="_Toc256003554"/>
      <w:bookmarkStart w:id="2831" w:name="_Toc256004008"/>
      <w:bookmarkStart w:id="2832" w:name="_Toc334823199"/>
      <w:bookmarkStart w:id="2833" w:name="_Toc256003100"/>
      <w:r>
        <w:rPr>
          <w:rFonts w:hint="eastAsia" w:ascii="宋体" w:hAnsi="宋体" w:eastAsia="宋体" w:cs="宋体"/>
          <w:b w:val="0"/>
          <w:bCs/>
          <w:color w:val="000000"/>
          <w:kern w:val="2"/>
          <w:sz w:val="24"/>
          <w:szCs w:val="24"/>
          <w:lang w:val="en-US" w:eastAsia="zh-CN" w:bidi="ar-SA"/>
        </w:rPr>
        <w:t>10. 变更</w:t>
      </w:r>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bookmarkEnd w:id="2755"/>
    <w:bookmarkEnd w:id="2756"/>
    <w:p w14:paraId="3A1E27D2">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834" w:name="_Toc256003101"/>
      <w:bookmarkStart w:id="2835" w:name="_Toc256002874"/>
      <w:bookmarkStart w:id="2836" w:name="_Toc256003782"/>
      <w:bookmarkStart w:id="2837" w:name="_Toc256002420"/>
      <w:bookmarkStart w:id="2838" w:name="_Toc256003555"/>
      <w:bookmarkStart w:id="2839" w:name="_Toc256004009"/>
      <w:bookmarkStart w:id="2840" w:name="_Toc256001966"/>
      <w:bookmarkStart w:id="2841" w:name="_Toc256002193"/>
      <w:bookmarkStart w:id="2842" w:name="_Toc2124203747"/>
      <w:bookmarkStart w:id="2843" w:name="_Toc256000150"/>
      <w:bookmarkStart w:id="2844" w:name="_Toc256000377"/>
      <w:bookmarkStart w:id="2845" w:name="_Toc256001285"/>
      <w:bookmarkStart w:id="2846" w:name="_Toc256000831"/>
      <w:bookmarkStart w:id="2847" w:name="_Toc256002647"/>
      <w:bookmarkStart w:id="2848" w:name="_Toc256000604"/>
      <w:bookmarkStart w:id="2849" w:name="_Toc256003328"/>
      <w:bookmarkStart w:id="2850" w:name="_Toc7749"/>
      <w:bookmarkStart w:id="2851" w:name="_Toc256001739"/>
      <w:bookmarkStart w:id="2852" w:name="_Toc256001512"/>
      <w:bookmarkStart w:id="2853" w:name="_Toc256001058"/>
      <w:bookmarkStart w:id="2854" w:name="_Toc893189784"/>
      <w:r>
        <w:rPr>
          <w:rFonts w:hint="eastAsia" w:ascii="宋体" w:hAnsi="宋体" w:eastAsia="宋体" w:cs="宋体"/>
          <w:color w:val="000000"/>
          <w:kern w:val="2"/>
          <w:sz w:val="24"/>
          <w:szCs w:val="24"/>
          <w:lang w:val="en-US" w:eastAsia="zh-CN" w:bidi="ar-SA"/>
        </w:rPr>
        <w:t>1</w:t>
      </w:r>
      <w:bookmarkStart w:id="2855" w:name="_Toc296891234"/>
      <w:bookmarkStart w:id="2856" w:name="_Toc296346695"/>
      <w:bookmarkStart w:id="2857" w:name="_Toc300934990"/>
      <w:bookmarkStart w:id="2858" w:name="_Toc304295567"/>
      <w:bookmarkStart w:id="2859" w:name="_Toc303539147"/>
      <w:bookmarkStart w:id="2860" w:name="_Toc296503194"/>
      <w:bookmarkStart w:id="2861" w:name="_Toc297048380"/>
      <w:bookmarkStart w:id="2862" w:name="_Toc312677500"/>
      <w:bookmarkStart w:id="2863" w:name="_Toc292559904"/>
      <w:bookmarkStart w:id="2864" w:name="_Toc296891022"/>
      <w:bookmarkStart w:id="2865" w:name="_Toc297123541"/>
      <w:bookmarkStart w:id="2866" w:name="_Toc296944533"/>
      <w:bookmarkStart w:id="2867" w:name="_Toc312678026"/>
      <w:bookmarkStart w:id="2868" w:name="_Toc296347193"/>
      <w:bookmarkStart w:id="2869" w:name="_Toc292559399"/>
      <w:bookmarkStart w:id="2870" w:name="_Toc297120494"/>
      <w:bookmarkStart w:id="2871" w:name="_Toc297216200"/>
      <w:r>
        <w:rPr>
          <w:rFonts w:hint="eastAsia" w:ascii="宋体" w:hAnsi="宋体" w:eastAsia="宋体" w:cs="宋体"/>
          <w:color w:val="000000"/>
          <w:kern w:val="2"/>
          <w:sz w:val="24"/>
          <w:szCs w:val="24"/>
          <w:lang w:val="en-US" w:eastAsia="zh-CN" w:bidi="ar-SA"/>
        </w:rPr>
        <w:t>0.1 变更的范围</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p>
    <w:p w14:paraId="225B1164">
      <w:pPr>
        <w:widowControl/>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关于变更的范围的约定：</w:t>
      </w:r>
    </w:p>
    <w:p w14:paraId="53D01A4A">
      <w:pPr>
        <w:widowControl w:val="0"/>
        <w:spacing w:line="400" w:lineRule="exact"/>
        <w:ind w:firstLine="240" w:firstLineChars="100"/>
        <w:jc w:val="both"/>
        <w:rPr>
          <w:rFonts w:ascii="宋体" w:hAnsi="宋体" w:eastAsia="宋体" w:cs="宋体"/>
          <w:color w:val="000000"/>
          <w:kern w:val="2"/>
          <w:sz w:val="24"/>
          <w:szCs w:val="24"/>
          <w:u w:val="single"/>
          <w:lang w:val="en-US" w:eastAsia="zh-CN" w:bidi="ar-SA"/>
        </w:rPr>
      </w:pPr>
      <w:bookmarkStart w:id="2872" w:name="_Toc345483340"/>
      <w:bookmarkStart w:id="2873" w:name="_Toc16117"/>
      <w:bookmarkStart w:id="2874" w:name="_Toc1702387786"/>
      <w:r>
        <w:rPr>
          <w:rFonts w:hint="eastAsia" w:ascii="宋体" w:hAnsi="宋体" w:eastAsia="宋体" w:cs="宋体"/>
          <w:color w:val="000000"/>
          <w:kern w:val="2"/>
          <w:sz w:val="24"/>
          <w:szCs w:val="24"/>
          <w:u w:val="single"/>
          <w:lang w:val="en-US" w:eastAsia="zh-CN" w:bidi="ar-SA"/>
        </w:rPr>
        <w:t>（1） 经审核，得到发包人、跟踪审计单位和监理认可的设计变更；</w:t>
      </w:r>
    </w:p>
    <w:p w14:paraId="28E1AA4C">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  （2） 由发包人提出，经过发包人和监理、跟踪审计单位共同认可的工程签证、工程联系单。</w:t>
      </w:r>
    </w:p>
    <w:p w14:paraId="30E52FB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10.2工程设计变更 </w:t>
      </w:r>
    </w:p>
    <w:p w14:paraId="724E048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u w:val="single"/>
          <w:lang w:val="en-US" w:eastAsia="zh-CN" w:bidi="ar-SA"/>
        </w:rPr>
        <w:t xml:space="preserve">10.2.1 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6D9D3569">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(1)更改工程有关部分的标高、基线、位置和尺寸； </w:t>
      </w:r>
    </w:p>
    <w:p w14:paraId="7A03AB24">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(2) 增减合同中约定的工程量； </w:t>
      </w:r>
    </w:p>
    <w:p w14:paraId="4ED5AC0A">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(3) 改变有关工程的施工时间和顺序；</w:t>
      </w:r>
    </w:p>
    <w:p w14:paraId="4177AE6D">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(4) 其他有关工程变更需要的附加工作。 </w:t>
      </w:r>
    </w:p>
    <w:p w14:paraId="3EAB7840">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10.2.2 施工中承包人不得对原工程设计进行变更，</w:t>
      </w:r>
      <w:r>
        <w:rPr>
          <w:rFonts w:hint="eastAsia" w:ascii="宋体" w:hAnsi="宋体" w:eastAsia="宋体" w:cs="宋体"/>
          <w:color w:val="000000"/>
          <w:kern w:val="0"/>
          <w:sz w:val="24"/>
          <w:szCs w:val="24"/>
          <w:u w:val="single"/>
          <w:lang w:val="en-US" w:eastAsia="zh-CN" w:bidi="ar-SA"/>
        </w:rPr>
        <w:t>所有变更需发包人书面同意。</w:t>
      </w:r>
      <w:r>
        <w:rPr>
          <w:rFonts w:hint="eastAsia" w:ascii="宋体" w:hAnsi="宋体" w:eastAsia="宋体" w:cs="宋体"/>
          <w:color w:val="000000"/>
          <w:kern w:val="2"/>
          <w:sz w:val="24"/>
          <w:szCs w:val="24"/>
          <w:u w:val="single"/>
          <w:lang w:val="en-US" w:eastAsia="zh-CN" w:bidi="ar-SA"/>
        </w:rPr>
        <w:t xml:space="preserve">因承包人擅自变更设计发生的费用 和由此导致发包人的直接损失，由承包人承担，延误的工期不予顺延。 </w:t>
      </w:r>
    </w:p>
    <w:p w14:paraId="3CBCF8F8">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10.2.3  承包人在施工中提出的合理化建议涉及到对设计图纸或施工组织设计的更改及对材料、设备的换用，须经发包人书面同意。未经同意擅自更改或换用时，承包人承担由此发生的费用，并赔偿发包人的有关损失，延误的工期不予顺延。</w:t>
      </w:r>
    </w:p>
    <w:p w14:paraId="6EA64EC6">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10.3、其他变更   </w:t>
      </w:r>
    </w:p>
    <w:p w14:paraId="48A22654">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10.3.1 发包人保留变更或调整工程量的权利，承包人不得拒绝变更，更不得以变更为由提出不合理的要求； </w:t>
      </w:r>
    </w:p>
    <w:p w14:paraId="36FC61DB">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10.3.2  承包人必须按发包人要求完成变更工作，否则发包人有权交由第三方承包商完成，并按第三方承包商报价的双倍作为违约金扣减承包人的合同价款。 </w:t>
      </w:r>
    </w:p>
    <w:p w14:paraId="34786AB3">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10.3.3  变更导致工期的顺延以监理工程师审核、发包人批准为准。 </w:t>
      </w:r>
    </w:p>
    <w:p w14:paraId="36BCDD95">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10.3.4承包人提出的工程变更申请必须严格按照发包人规定的工程变更管理流程执行，涉及主体结构的变更内容必须经设计单位确认。</w:t>
      </w:r>
    </w:p>
    <w:p w14:paraId="2B06F956">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10.3.5 设计单位出具的设计变更必须得到发包人的批准。承包人不得直接从设计单位取得设计变更，或者以贿赂等不正当手段影响本工程的设计师进行变更。否则，由此增加的工程费用由承包人承担，工期不予顺延。 </w:t>
      </w:r>
    </w:p>
    <w:p w14:paraId="1AD6DA1D">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10.3.6  针对工程量发生变化的隐蔽工程及发包人提出的对已完成的分项工程进行变更，承包人应在施工前将施工方案报工程师及监理工程师确认；对于有可能重复利用的材料设备，承包人应小心保护，属承包人拆除时未采取保护措施或拆除后保护不当的，由承包人负责赔偿损失。 </w:t>
      </w:r>
    </w:p>
    <w:p w14:paraId="3887E701">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10.3.7 办理签证时，变更、签证结算费用编制应按“一单一价”的原则，即每一份变更、签证附一份造价核定单。一份造价核定单上只能申报一项内容。签证原件一式六份，发包人二份、承包人保留二份，监理保留一份，造价跟踪审计单位保留一份。 </w:t>
      </w:r>
    </w:p>
    <w:p w14:paraId="3970A010">
      <w:pPr>
        <w:widowControl w:val="0"/>
        <w:spacing w:line="400" w:lineRule="exact"/>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 xml:space="preserve">10.3.8 为避免签证出现混乱、重复结算，承包人在办理签证时必须明确每份签证的具体原因、施工部位、施工时间、签证的编号等，否则，该签证为无效签证。  </w:t>
      </w:r>
    </w:p>
    <w:p w14:paraId="7B381188">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875" w:name="_Toc256002421"/>
      <w:bookmarkStart w:id="2876" w:name="_Toc256002875"/>
      <w:bookmarkStart w:id="2877" w:name="_Toc256003556"/>
      <w:bookmarkStart w:id="2878" w:name="_Toc256003102"/>
      <w:bookmarkStart w:id="2879" w:name="_Toc256001967"/>
      <w:bookmarkStart w:id="2880" w:name="_Toc256003783"/>
      <w:bookmarkStart w:id="2881" w:name="_Toc256000378"/>
      <w:bookmarkStart w:id="2882" w:name="_Toc256001286"/>
      <w:bookmarkStart w:id="2883" w:name="_Toc256002648"/>
      <w:bookmarkStart w:id="2884" w:name="_Toc256001513"/>
      <w:bookmarkStart w:id="2885" w:name="_Toc256000832"/>
      <w:bookmarkStart w:id="2886" w:name="_Toc256004010"/>
      <w:bookmarkStart w:id="2887" w:name="_Toc256000605"/>
      <w:bookmarkStart w:id="2888" w:name="_Toc256000151"/>
      <w:bookmarkStart w:id="2889" w:name="_Toc256002194"/>
      <w:bookmarkStart w:id="2890" w:name="_Toc256001740"/>
      <w:bookmarkStart w:id="2891" w:name="_Toc256001059"/>
      <w:bookmarkStart w:id="2892" w:name="_Toc256003329"/>
      <w:r>
        <w:rPr>
          <w:rFonts w:hint="eastAsia" w:ascii="宋体" w:hAnsi="宋体" w:eastAsia="宋体" w:cs="宋体"/>
          <w:color w:val="000000"/>
          <w:kern w:val="2"/>
          <w:sz w:val="24"/>
          <w:szCs w:val="24"/>
          <w:lang w:val="en-US" w:eastAsia="zh-CN" w:bidi="ar-SA"/>
        </w:rPr>
        <w:t>10.4 变更估价</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p>
    <w:p w14:paraId="1C957D8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本款补充10.4.3。</w:t>
      </w:r>
    </w:p>
    <w:p w14:paraId="5B39FE2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10.4.1 变更估价原则</w:t>
      </w:r>
    </w:p>
    <w:p w14:paraId="3A6544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关于变更估价的约定:</w:t>
      </w:r>
    </w:p>
    <w:p w14:paraId="6465B36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承包人在工程变更、现场签证确定后14天内，完成变更申报及签证手续，提出变更工程价款的报告，经工程师确认后调整合同价款。如超过14天仍未完成申报和签证手续，发包人有权拒签。变更合同价款按下列方法进行：</w:t>
      </w:r>
    </w:p>
    <w:p w14:paraId="2B61E246">
      <w:pPr>
        <w:widowControl w:val="0"/>
        <w:numPr>
          <w:ilvl w:val="0"/>
          <w:numId w:val="5"/>
        </w:numPr>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合同中已有适用于变更工程的价格，按合同已有的价格变更合同价款；</w:t>
      </w:r>
    </w:p>
    <w:p w14:paraId="6D73C309">
      <w:pPr>
        <w:widowControl w:val="0"/>
        <w:numPr>
          <w:ilvl w:val="0"/>
          <w:numId w:val="5"/>
        </w:numPr>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合同中只有类似于变更工程的价格，可以参照类似价格变更合同价款；</w:t>
      </w:r>
    </w:p>
    <w:p w14:paraId="367DD0ED">
      <w:pPr>
        <w:widowControl w:val="0"/>
        <w:numPr>
          <w:ilvl w:val="0"/>
          <w:numId w:val="5"/>
        </w:numPr>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合同中没有适用或类似于变更工程的价格：由承包人提出报价，按《建设工程工程量清单计价规范》（2013）、《江苏省建筑与装饰工程计价定额》（2014）、《江苏省安装工程计价定额》（2014）、《江苏省建设工程费用定额》（2014）、《江苏省仿古建筑与园林工程计价表》（2007）、《江苏省市政工程计价定额》（2014）《水利工程工程量清单计价规范》(GB50501—2007)、《江苏省水利建筑工程预算定额》（2010 年版）等相关规定计算；</w:t>
      </w:r>
      <w:bookmarkStart w:id="2893" w:name="_Hlk103537059"/>
      <w:r>
        <w:rPr>
          <w:rFonts w:hint="eastAsia" w:ascii="宋体" w:hAnsi="宋体" w:eastAsia="宋体" w:cs="宋体"/>
          <w:color w:val="000000"/>
          <w:kern w:val="2"/>
          <w:sz w:val="24"/>
          <w:szCs w:val="24"/>
          <w:u w:val="single"/>
          <w:lang w:val="en-US" w:eastAsia="zh-CN" w:bidi="ar-SA"/>
        </w:rPr>
        <w:t>材料单价执行南京工程造价管理当期的工程材料市场指导价格。承包人需按招标控制价与中标价的优惠幅度，同比例优惠；如有南京工程造价管理机构发布的信息价格缺失的，材料价格由发包人、承包人、跟踪审计单位共同询价确认材料价，最终由审计单位审定核价。</w:t>
      </w:r>
    </w:p>
    <w:bookmarkEnd w:id="2893"/>
    <w:p w14:paraId="27626417">
      <w:pPr>
        <w:widowControl w:val="0"/>
        <w:numPr>
          <w:ilvl w:val="0"/>
          <w:numId w:val="5"/>
        </w:numPr>
        <w:spacing w:line="400" w:lineRule="exact"/>
        <w:ind w:firstLine="48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本项目承包人不宜采用不平衡报价，如在投标报价清单中发现明显的不平衡报价，发包人和审计有权对工程量变化超过招标工程量清单的15%的部分重新组价。由承包人按《建设工程工程量清单计价规范》（2013）、《江苏省建筑与装饰工程计价定额》（2014）、《江苏省安装工程计价定额》（2014）、《江苏省建设工程费用定额》（2014）、《江苏省仿古建筑与园林工程计价表》（2007）、《江苏省市政工程计价定额》（2014）、《水利工程工程量清单计价规范》(GB50501—2007)、《江苏省水利建筑工程预算定额》（2010 年版）等相关规定计算组价；材料单价执行南京工程造价管理当期的工程材料市场指导价格，承包人需按招标控制价与中标价的优惠幅度，同比例优惠；如有南京工程造价管理机构发布的信息价格缺失的，材料价格由发包人、承包人、跟踪审计单位共同询价确认材料价，最终由审计单位审定核价。</w:t>
      </w:r>
    </w:p>
    <w:p w14:paraId="52EBCE8C">
      <w:pPr>
        <w:widowControl w:val="0"/>
        <w:numPr>
          <w:ilvl w:val="0"/>
          <w:numId w:val="5"/>
        </w:numPr>
        <w:spacing w:line="400" w:lineRule="exact"/>
        <w:ind w:firstLine="420" w:firstLineChars="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对若工程量清单子目部分或全部取消时，在合同价款中直接核减，发包人对承包人的未取得的合理利润不做任何赔偿。</w:t>
      </w:r>
    </w:p>
    <w:p w14:paraId="7117DA1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10.4.3 变更估价的支付方式及时间</w:t>
      </w:r>
    </w:p>
    <w:p w14:paraId="0CAD67A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关于变更价款的支付方式及时间的约定：</w:t>
      </w:r>
      <w:r>
        <w:rPr>
          <w:rFonts w:hint="eastAsia" w:ascii="宋体" w:hAnsi="宋体" w:eastAsia="宋体" w:cs="宋体"/>
          <w:color w:val="000000"/>
          <w:kern w:val="2"/>
          <w:sz w:val="24"/>
          <w:szCs w:val="24"/>
          <w:u w:val="single"/>
          <w:lang w:val="en-US" w:eastAsia="zh-CN" w:bidi="ar-SA"/>
        </w:rPr>
        <w:t>承包人在双方确定变更、现场签证后14天内不向发包人提出变更工程价款报告时，视为该项变更、签证不涉及合同价款的变更</w:t>
      </w:r>
      <w:r>
        <w:rPr>
          <w:rFonts w:hint="eastAsia" w:ascii="宋体" w:hAnsi="宋体" w:eastAsia="宋体" w:cs="宋体"/>
          <w:color w:val="000000"/>
          <w:kern w:val="2"/>
          <w:sz w:val="24"/>
          <w:szCs w:val="24"/>
          <w:lang w:val="en-US" w:eastAsia="zh-CN" w:bidi="ar-SA"/>
        </w:rPr>
        <w:t>。</w:t>
      </w:r>
    </w:p>
    <w:p w14:paraId="0B1DF745">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10.4.4因承包人自身原因导致的工程变更，承包人无权要求追加合同价款。</w:t>
      </w:r>
    </w:p>
    <w:p w14:paraId="58043F0B">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10.4.5在施工过程中，发包人有权调整清单中所列材料的品种与规格，价格须经发包人核准后计入总价。</w:t>
      </w:r>
    </w:p>
    <w:p w14:paraId="04B72BEB">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894" w:name="_Toc256000379"/>
      <w:bookmarkStart w:id="2895" w:name="_Toc256004011"/>
      <w:bookmarkStart w:id="2896" w:name="_Toc256002649"/>
      <w:bookmarkStart w:id="2897" w:name="_Toc256002195"/>
      <w:bookmarkStart w:id="2898" w:name="_Toc2102284973"/>
      <w:bookmarkStart w:id="2899" w:name="_Toc900110438"/>
      <w:bookmarkStart w:id="2900" w:name="_Toc256001287"/>
      <w:bookmarkStart w:id="2901" w:name="_Toc256003557"/>
      <w:bookmarkStart w:id="2902" w:name="_Toc256001741"/>
      <w:bookmarkStart w:id="2903" w:name="_Toc256003330"/>
      <w:bookmarkStart w:id="2904" w:name="_Toc256000833"/>
      <w:bookmarkStart w:id="2905" w:name="_Toc256002876"/>
      <w:bookmarkStart w:id="2906" w:name="_Toc256003103"/>
      <w:bookmarkStart w:id="2907" w:name="_Toc256003784"/>
      <w:bookmarkStart w:id="2908" w:name="_Toc256002422"/>
      <w:bookmarkStart w:id="2909" w:name="_Toc256001968"/>
      <w:bookmarkStart w:id="2910" w:name="_Toc256001514"/>
      <w:bookmarkStart w:id="2911" w:name="_Toc256001060"/>
      <w:bookmarkStart w:id="2912" w:name="_Toc256000606"/>
      <w:bookmarkStart w:id="2913" w:name="_Toc256000152"/>
      <w:r>
        <w:rPr>
          <w:rFonts w:hint="eastAsia" w:ascii="宋体" w:hAnsi="宋体" w:eastAsia="宋体" w:cs="宋体"/>
          <w:color w:val="000000"/>
          <w:kern w:val="2"/>
          <w:sz w:val="24"/>
          <w:szCs w:val="24"/>
          <w:lang w:val="en-US" w:eastAsia="zh-CN" w:bidi="ar-SA"/>
        </w:rPr>
        <w:t>1</w:t>
      </w:r>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Start w:id="2914" w:name="_Toc297216203"/>
      <w:bookmarkStart w:id="2915" w:name="_Toc296346698"/>
      <w:bookmarkStart w:id="2916" w:name="_Toc292559402"/>
      <w:bookmarkStart w:id="2917" w:name="_Toc300934993"/>
      <w:bookmarkStart w:id="2918" w:name="_Toc297048383"/>
      <w:bookmarkStart w:id="2919" w:name="_Toc292559907"/>
      <w:bookmarkStart w:id="2920" w:name="_Toc297123544"/>
      <w:bookmarkStart w:id="2921" w:name="_Toc296891237"/>
      <w:bookmarkStart w:id="2922" w:name="_Toc303539150"/>
      <w:bookmarkStart w:id="2923" w:name="_Toc296503197"/>
      <w:bookmarkStart w:id="2924" w:name="_Toc296944536"/>
      <w:bookmarkStart w:id="2925" w:name="_Toc297120497"/>
      <w:bookmarkStart w:id="2926" w:name="_Toc296891025"/>
      <w:bookmarkStart w:id="2927" w:name="_Toc296347196"/>
      <w:bookmarkStart w:id="2928" w:name="_Toc312678029"/>
      <w:bookmarkStart w:id="2929" w:name="_Toc304295570"/>
      <w:bookmarkStart w:id="2930" w:name="_Toc312677503"/>
      <w:r>
        <w:rPr>
          <w:rFonts w:hint="eastAsia" w:ascii="宋体" w:hAnsi="宋体" w:eastAsia="宋体" w:cs="宋体"/>
          <w:color w:val="000000"/>
          <w:kern w:val="2"/>
          <w:sz w:val="24"/>
          <w:szCs w:val="24"/>
          <w:lang w:val="en-US" w:eastAsia="zh-CN" w:bidi="ar-SA"/>
        </w:rPr>
        <w:t>0.5 承</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Start w:id="2931" w:name="_Toc296347202"/>
      <w:bookmarkStart w:id="2932" w:name="_Toc300934994"/>
      <w:bookmarkStart w:id="2933" w:name="_Toc296503203"/>
      <w:bookmarkStart w:id="2934" w:name="_Toc297048389"/>
      <w:bookmarkStart w:id="2935" w:name="_Toc296891243"/>
      <w:bookmarkStart w:id="2936" w:name="_Toc292559913"/>
      <w:bookmarkStart w:id="2937" w:name="_Toc297216204"/>
      <w:bookmarkStart w:id="2938" w:name="_Toc292559408"/>
      <w:bookmarkStart w:id="2939" w:name="_Toc296944542"/>
      <w:bookmarkStart w:id="2940" w:name="_Toc296891031"/>
      <w:bookmarkStart w:id="2941" w:name="_Toc303539151"/>
      <w:bookmarkStart w:id="2942" w:name="_Toc297123545"/>
      <w:bookmarkStart w:id="2943" w:name="_Toc296346704"/>
      <w:bookmarkStart w:id="2944" w:name="_Toc297120503"/>
      <w:r>
        <w:rPr>
          <w:rFonts w:hint="eastAsia" w:ascii="宋体" w:hAnsi="宋体" w:eastAsia="宋体" w:cs="宋体"/>
          <w:color w:val="000000"/>
          <w:kern w:val="2"/>
          <w:sz w:val="24"/>
          <w:szCs w:val="24"/>
          <w:lang w:val="en-US" w:eastAsia="zh-CN" w:bidi="ar-SA"/>
        </w:rPr>
        <w:t>包人的合理化建议</w:t>
      </w:r>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14:paraId="54FEC99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监理人审查承包人合理化建议的期限：</w:t>
      </w:r>
      <w:r>
        <w:rPr>
          <w:rFonts w:hint="eastAsia" w:ascii="宋体" w:hAnsi="宋体" w:eastAsia="宋体" w:cs="宋体"/>
          <w:color w:val="000000"/>
          <w:kern w:val="2"/>
          <w:sz w:val="24"/>
          <w:szCs w:val="24"/>
          <w:u w:val="single"/>
          <w:lang w:val="en-US" w:eastAsia="zh-CN" w:bidi="ar-SA"/>
        </w:rPr>
        <w:t>在收到承包人提出的书面合理化意见后3日</w:t>
      </w:r>
      <w:r>
        <w:rPr>
          <w:rFonts w:hint="eastAsia" w:ascii="宋体" w:hAnsi="宋体" w:eastAsia="宋体" w:cs="宋体"/>
          <w:color w:val="000000"/>
          <w:kern w:val="2"/>
          <w:sz w:val="24"/>
          <w:szCs w:val="24"/>
          <w:lang w:val="en-US" w:eastAsia="zh-CN" w:bidi="ar-SA"/>
        </w:rPr>
        <w:t>。</w:t>
      </w:r>
    </w:p>
    <w:p w14:paraId="59CC7C0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发包人审批承包人合理化建议的期限：</w:t>
      </w:r>
      <w:r>
        <w:rPr>
          <w:rFonts w:hint="eastAsia" w:ascii="宋体" w:hAnsi="宋体" w:eastAsia="宋体" w:cs="宋体"/>
          <w:color w:val="000000"/>
          <w:kern w:val="2"/>
          <w:sz w:val="24"/>
          <w:szCs w:val="24"/>
          <w:u w:val="single"/>
          <w:lang w:val="en-US" w:eastAsia="zh-CN" w:bidi="ar-SA"/>
        </w:rPr>
        <w:t>在收到承包人提出的书面合理化意见后3日</w:t>
      </w:r>
      <w:r>
        <w:rPr>
          <w:rFonts w:hint="eastAsia" w:ascii="宋体" w:hAnsi="宋体" w:eastAsia="宋体" w:cs="宋体"/>
          <w:color w:val="000000"/>
          <w:kern w:val="2"/>
          <w:sz w:val="24"/>
          <w:szCs w:val="24"/>
          <w:lang w:val="en-US" w:eastAsia="zh-CN" w:bidi="ar-SA"/>
        </w:rPr>
        <w:t>。</w:t>
      </w:r>
    </w:p>
    <w:p w14:paraId="48E4F46E">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承</w:t>
      </w:r>
      <w:bookmarkStart w:id="2945" w:name="_Toc297120504"/>
      <w:bookmarkStart w:id="2946" w:name="_Toc296503204"/>
      <w:bookmarkStart w:id="2947" w:name="_Toc292559914"/>
      <w:bookmarkStart w:id="2948" w:name="_Toc296346705"/>
      <w:bookmarkStart w:id="2949" w:name="_Toc300934995"/>
      <w:bookmarkStart w:id="2950" w:name="_Toc304295571"/>
      <w:bookmarkStart w:id="2951" w:name="_Toc312677504"/>
      <w:bookmarkStart w:id="2952" w:name="_Toc318581175"/>
      <w:bookmarkStart w:id="2953" w:name="_Toc297048390"/>
      <w:bookmarkStart w:id="2954" w:name="_Toc297216205"/>
      <w:bookmarkStart w:id="2955" w:name="_Toc297123546"/>
      <w:bookmarkStart w:id="2956" w:name="_Toc303539152"/>
      <w:bookmarkStart w:id="2957" w:name="_Toc292559409"/>
      <w:bookmarkStart w:id="2958" w:name="_Toc296891032"/>
      <w:bookmarkStart w:id="2959" w:name="_Toc312678030"/>
      <w:bookmarkStart w:id="2960" w:name="_Toc296891244"/>
      <w:bookmarkStart w:id="2961" w:name="_Toc296944543"/>
      <w:bookmarkStart w:id="2962" w:name="_Toc296347203"/>
      <w:r>
        <w:rPr>
          <w:rFonts w:hint="eastAsia" w:ascii="宋体" w:hAnsi="宋体" w:eastAsia="宋体" w:cs="宋体"/>
          <w:color w:val="000000"/>
          <w:kern w:val="2"/>
          <w:sz w:val="24"/>
          <w:szCs w:val="24"/>
          <w:lang w:val="en-US" w:eastAsia="zh-CN" w:bidi="ar-SA"/>
        </w:rPr>
        <w:t>包人提出的合理化建议降低了合同价格或者提高了工程经济效益的奖励的方法和金额为：</w:t>
      </w:r>
      <w:r>
        <w:rPr>
          <w:rFonts w:hint="eastAsia" w:ascii="宋体" w:hAnsi="宋体" w:eastAsia="宋体" w:cs="宋体"/>
          <w:color w:val="000000"/>
          <w:kern w:val="2"/>
          <w:sz w:val="24"/>
          <w:szCs w:val="24"/>
          <w:u w:val="single"/>
          <w:lang w:val="en-US" w:eastAsia="zh-CN" w:bidi="ar-SA"/>
        </w:rPr>
        <w:t>0</w:t>
      </w:r>
      <w:r>
        <w:rPr>
          <w:rFonts w:hint="eastAsia" w:ascii="宋体" w:hAnsi="宋体" w:eastAsia="宋体" w:cs="宋体"/>
          <w:color w:val="000000"/>
          <w:kern w:val="2"/>
          <w:sz w:val="24"/>
          <w:szCs w:val="24"/>
          <w:lang w:val="en-US" w:eastAsia="zh-CN" w:bidi="ar-SA"/>
        </w:rPr>
        <w:t>。</w:t>
      </w:r>
    </w:p>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14:paraId="24E66928">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2963" w:name="_Toc256003104"/>
      <w:bookmarkStart w:id="2964" w:name="_Toc256003558"/>
      <w:bookmarkStart w:id="2965" w:name="_Toc256002423"/>
      <w:bookmarkStart w:id="2966" w:name="_Toc1308"/>
      <w:bookmarkStart w:id="2967" w:name="_Toc256001969"/>
      <w:bookmarkStart w:id="2968" w:name="_Toc256004012"/>
      <w:bookmarkStart w:id="2969" w:name="_Toc256001288"/>
      <w:bookmarkStart w:id="2970" w:name="_Toc1569203092"/>
      <w:bookmarkStart w:id="2971" w:name="_Toc256000607"/>
      <w:bookmarkStart w:id="2972" w:name="_Toc256000834"/>
      <w:bookmarkStart w:id="2973" w:name="_Toc1821307230"/>
      <w:bookmarkStart w:id="2974" w:name="_Toc256003331"/>
      <w:bookmarkStart w:id="2975" w:name="_Toc256000153"/>
      <w:bookmarkStart w:id="2976" w:name="_Toc256002650"/>
      <w:bookmarkStart w:id="2977" w:name="_Toc256001061"/>
      <w:bookmarkStart w:id="2978" w:name="_Toc256001515"/>
      <w:bookmarkStart w:id="2979" w:name="_Toc256002196"/>
      <w:bookmarkStart w:id="2980" w:name="_Toc256000380"/>
      <w:bookmarkStart w:id="2981" w:name="_Toc256003785"/>
      <w:bookmarkStart w:id="2982" w:name="_Toc256002877"/>
      <w:bookmarkStart w:id="2983" w:name="_Toc256001742"/>
      <w:r>
        <w:rPr>
          <w:rFonts w:hint="eastAsia" w:ascii="宋体" w:hAnsi="宋体" w:eastAsia="宋体" w:cs="宋体"/>
          <w:color w:val="000000"/>
          <w:kern w:val="2"/>
          <w:sz w:val="24"/>
          <w:szCs w:val="24"/>
          <w:lang w:val="en-US" w:eastAsia="zh-CN" w:bidi="ar-SA"/>
        </w:rPr>
        <w:t>1</w:t>
      </w:r>
      <w:bookmarkStart w:id="2984" w:name="_Toc296891239"/>
      <w:bookmarkStart w:id="2985" w:name="_Toc297123548"/>
      <w:bookmarkStart w:id="2986" w:name="_Toc296347198"/>
      <w:bookmarkStart w:id="2987" w:name="_Toc312677507"/>
      <w:bookmarkStart w:id="2988" w:name="_Toc296944538"/>
      <w:bookmarkStart w:id="2989" w:name="_Toc292559909"/>
      <w:bookmarkStart w:id="2990" w:name="_Toc303539154"/>
      <w:bookmarkStart w:id="2991" w:name="_Toc292559404"/>
      <w:bookmarkStart w:id="2992" w:name="_Toc296503199"/>
      <w:bookmarkStart w:id="2993" w:name="_Toc300934997"/>
      <w:bookmarkStart w:id="2994" w:name="_Toc297216207"/>
      <w:bookmarkStart w:id="2995" w:name="_Toc296346700"/>
      <w:bookmarkStart w:id="2996" w:name="_Toc312678033"/>
      <w:bookmarkStart w:id="2997" w:name="_Toc297120499"/>
      <w:bookmarkStart w:id="2998" w:name="_Toc297048385"/>
      <w:bookmarkStart w:id="2999" w:name="_Toc296891027"/>
      <w:bookmarkStart w:id="3000" w:name="_Toc304295574"/>
      <w:r>
        <w:rPr>
          <w:rFonts w:hint="eastAsia" w:ascii="宋体" w:hAnsi="宋体" w:eastAsia="宋体" w:cs="宋体"/>
          <w:color w:val="000000"/>
          <w:kern w:val="2"/>
          <w:sz w:val="24"/>
          <w:szCs w:val="24"/>
          <w:lang w:val="en-US" w:eastAsia="zh-CN" w:bidi="ar-SA"/>
        </w:rPr>
        <w:t>0.7 暂估价</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14:paraId="6CF447AC">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本款补充10.7.1、10.7.2。</w:t>
      </w:r>
    </w:p>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14:paraId="79D16783">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暂</w:t>
      </w:r>
      <w:bookmarkStart w:id="3001" w:name="_Toc318581176"/>
      <w:bookmarkStart w:id="3002" w:name="_Toc312678034"/>
      <w:bookmarkStart w:id="3003" w:name="_Toc312677508"/>
      <w:r>
        <w:rPr>
          <w:rFonts w:hint="eastAsia" w:ascii="宋体" w:hAnsi="宋体" w:eastAsia="宋体" w:cs="宋体"/>
          <w:color w:val="000000"/>
          <w:kern w:val="0"/>
          <w:sz w:val="24"/>
          <w:szCs w:val="24"/>
          <w:lang w:val="en-US" w:eastAsia="zh-CN" w:bidi="ar-SA"/>
        </w:rPr>
        <w:t>估价材料的明细详见附件3：《</w:t>
      </w:r>
      <w:r>
        <w:rPr>
          <w:rFonts w:hint="eastAsia" w:ascii="宋体" w:hAnsi="宋体" w:eastAsia="宋体" w:cs="宋体"/>
          <w:color w:val="000000"/>
          <w:kern w:val="2"/>
          <w:sz w:val="24"/>
          <w:szCs w:val="24"/>
          <w:lang w:val="en-US" w:eastAsia="zh-CN" w:bidi="ar-SA"/>
        </w:rPr>
        <w:t>暂估价一览表》</w:t>
      </w:r>
      <w:r>
        <w:rPr>
          <w:rFonts w:hint="eastAsia" w:ascii="宋体" w:hAnsi="宋体" w:eastAsia="宋体" w:cs="宋体"/>
          <w:color w:val="000000"/>
          <w:kern w:val="0"/>
          <w:sz w:val="24"/>
          <w:szCs w:val="24"/>
          <w:lang w:val="en-US" w:eastAsia="zh-CN" w:bidi="ar-SA"/>
        </w:rPr>
        <w:t>。</w:t>
      </w:r>
      <w:bookmarkEnd w:id="3001"/>
      <w:bookmarkEnd w:id="3002"/>
      <w:bookmarkEnd w:id="3003"/>
    </w:p>
    <w:p w14:paraId="04CCC5D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bookmarkStart w:id="3004" w:name="_Toc312677509"/>
      <w:bookmarkStart w:id="3005" w:name="_Toc318581177"/>
      <w:bookmarkStart w:id="3006" w:name="_Toc312678035"/>
      <w:r>
        <w:rPr>
          <w:rFonts w:hint="eastAsia" w:ascii="宋体" w:hAnsi="宋体" w:eastAsia="宋体" w:cs="宋体"/>
          <w:color w:val="000000"/>
          <w:kern w:val="2"/>
          <w:sz w:val="24"/>
          <w:szCs w:val="24"/>
          <w:lang w:val="en-US" w:eastAsia="zh-CN" w:bidi="ar-SA"/>
        </w:rPr>
        <w:t>0.7.1 依法必须招标的暂估价项目</w:t>
      </w:r>
    </w:p>
    <w:bookmarkEnd w:id="3004"/>
    <w:bookmarkEnd w:id="3005"/>
    <w:bookmarkEnd w:id="3006"/>
    <w:p w14:paraId="7FCF096C">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对于依法必须招标的暂估价项目的确认:对于依法必须招标的暂估价项目的确认：按《建设工程工程量清单计价规范GB 50500 2013》相关条款执行。</w:t>
      </w:r>
    </w:p>
    <w:p w14:paraId="3656F50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10.7.2 不属于依法必须招标的暂估价项目</w:t>
      </w:r>
    </w:p>
    <w:p w14:paraId="64EF118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对于不属于依法必须招标的暂估价项目的确认和批准采取通用合同条款中第</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种方式确定。</w:t>
      </w:r>
    </w:p>
    <w:p w14:paraId="32AA3829">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第3种方式：</w:t>
      </w:r>
      <w:r>
        <w:rPr>
          <w:rFonts w:hint="eastAsia" w:ascii="宋体" w:hAnsi="宋体" w:eastAsia="宋体" w:cs="宋体"/>
          <w:color w:val="000000"/>
          <w:kern w:val="0"/>
          <w:sz w:val="24"/>
          <w:szCs w:val="24"/>
          <w:lang w:val="en-US" w:eastAsia="zh-CN" w:bidi="ar-SA"/>
        </w:rPr>
        <w:t>承包人直接实施的暂估价项目</w:t>
      </w:r>
    </w:p>
    <w:p w14:paraId="3D7836B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承包人直接实施的暂估价项目的约定：</w:t>
      </w:r>
      <w:r>
        <w:rPr>
          <w:rFonts w:hint="eastAsia" w:ascii="宋体" w:hAnsi="宋体" w:eastAsia="宋体" w:cs="宋体"/>
          <w:color w:val="000000"/>
          <w:kern w:val="2"/>
          <w:sz w:val="24"/>
          <w:szCs w:val="24"/>
          <w:u w:val="single"/>
          <w:lang w:val="en-US" w:eastAsia="zh-CN" w:bidi="ar-SA"/>
        </w:rPr>
        <w:t xml:space="preserve"> 无 </w:t>
      </w:r>
      <w:r>
        <w:rPr>
          <w:rFonts w:hint="eastAsia" w:ascii="宋体" w:hAnsi="宋体" w:eastAsia="宋体" w:cs="宋体"/>
          <w:color w:val="000000"/>
          <w:kern w:val="2"/>
          <w:sz w:val="24"/>
          <w:szCs w:val="24"/>
          <w:lang w:val="en-US" w:eastAsia="zh-CN" w:bidi="ar-SA"/>
        </w:rPr>
        <w:t>。</w:t>
      </w:r>
    </w:p>
    <w:p w14:paraId="174CF2B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10.8 暂列金额</w:t>
      </w:r>
    </w:p>
    <w:p w14:paraId="771149AB">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0"/>
          <w:sz w:val="24"/>
          <w:szCs w:val="24"/>
          <w:lang w:val="en-US" w:eastAsia="zh-CN" w:bidi="ar-SA"/>
        </w:rPr>
        <w:t>合同当事人关于暂列金额使用的约定：</w:t>
      </w:r>
      <w:r>
        <w:rPr>
          <w:rFonts w:hint="eastAsia" w:ascii="宋体" w:hAnsi="宋体" w:eastAsia="宋体" w:cs="宋体"/>
          <w:color w:val="000000"/>
          <w:kern w:val="2"/>
          <w:sz w:val="24"/>
          <w:szCs w:val="24"/>
          <w:u w:val="single"/>
          <w:lang w:val="en-US" w:eastAsia="zh-CN" w:bidi="ar-SA"/>
        </w:rPr>
        <w:t>无</w:t>
      </w:r>
      <w:r>
        <w:rPr>
          <w:rFonts w:hint="eastAsia" w:ascii="宋体" w:hAnsi="宋体" w:eastAsia="宋体" w:cs="宋体"/>
          <w:color w:val="000000"/>
          <w:kern w:val="2"/>
          <w:sz w:val="24"/>
          <w:szCs w:val="24"/>
          <w:lang w:val="en-US" w:eastAsia="zh-CN" w:bidi="ar-SA"/>
        </w:rPr>
        <w:t>。</w:t>
      </w:r>
    </w:p>
    <w:p w14:paraId="41CF95B2">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007" w:name="_Toc256000381"/>
      <w:bookmarkStart w:id="3008" w:name="_Toc1637898606"/>
      <w:bookmarkStart w:id="3009" w:name="_Toc256001516"/>
      <w:bookmarkStart w:id="3010" w:name="_Toc256003332"/>
      <w:bookmarkStart w:id="3011" w:name="_Toc256000154"/>
      <w:bookmarkStart w:id="3012" w:name="_Toc256002878"/>
      <w:bookmarkStart w:id="3013" w:name="_Toc256003105"/>
      <w:bookmarkStart w:id="3014" w:name="_Toc256001062"/>
      <w:bookmarkStart w:id="3015" w:name="_Toc256002197"/>
      <w:bookmarkStart w:id="3016" w:name="_Toc256004013"/>
      <w:bookmarkStart w:id="3017" w:name="_Toc256001289"/>
      <w:bookmarkStart w:id="3018" w:name="_Toc256002651"/>
      <w:bookmarkStart w:id="3019" w:name="_Toc256001970"/>
      <w:bookmarkStart w:id="3020" w:name="_Toc256001743"/>
      <w:bookmarkStart w:id="3021" w:name="_Toc256000835"/>
      <w:bookmarkStart w:id="3022" w:name="_Toc256000608"/>
      <w:bookmarkStart w:id="3023" w:name="_Toc17442182"/>
      <w:bookmarkStart w:id="3024" w:name="_Toc256002424"/>
      <w:bookmarkStart w:id="3025" w:name="_Toc256003559"/>
      <w:bookmarkStart w:id="3026" w:name="_Toc256003786"/>
      <w:r>
        <w:rPr>
          <w:rFonts w:hint="eastAsia" w:ascii="宋体" w:hAnsi="宋体" w:eastAsia="宋体" w:cs="宋体"/>
          <w:b w:val="0"/>
          <w:bCs/>
          <w:color w:val="000000"/>
          <w:kern w:val="2"/>
          <w:sz w:val="24"/>
          <w:szCs w:val="24"/>
          <w:lang w:val="en-US" w:eastAsia="zh-CN" w:bidi="ar-SA"/>
        </w:rPr>
        <w:t>11. 价格调整</w:t>
      </w:r>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p>
    <w:p w14:paraId="44AE37AF">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027" w:name="_Toc256001290"/>
      <w:bookmarkStart w:id="3028" w:name="_Toc1614717129"/>
      <w:bookmarkStart w:id="3029" w:name="_Toc256001971"/>
      <w:bookmarkStart w:id="3030" w:name="_Toc256001517"/>
      <w:bookmarkStart w:id="3031" w:name="_Toc256000382"/>
      <w:bookmarkStart w:id="3032" w:name="_Toc256001063"/>
      <w:bookmarkStart w:id="3033" w:name="_Toc256000155"/>
      <w:bookmarkStart w:id="3034" w:name="_Toc256000836"/>
      <w:bookmarkStart w:id="3035" w:name="_Toc256003333"/>
      <w:bookmarkStart w:id="3036" w:name="_Toc256002879"/>
      <w:bookmarkStart w:id="3037" w:name="_Toc256004014"/>
      <w:bookmarkStart w:id="3038" w:name="_Toc1840417661"/>
      <w:bookmarkStart w:id="3039" w:name="_Toc256002425"/>
      <w:bookmarkStart w:id="3040" w:name="_Toc256001744"/>
      <w:bookmarkStart w:id="3041" w:name="_Toc256003560"/>
      <w:bookmarkStart w:id="3042" w:name="_Toc256003787"/>
      <w:bookmarkStart w:id="3043" w:name="_Toc256002198"/>
      <w:bookmarkStart w:id="3044" w:name="_Toc256000609"/>
      <w:bookmarkStart w:id="3045" w:name="_Toc256003106"/>
      <w:bookmarkStart w:id="3046" w:name="_Toc256002652"/>
      <w:bookmarkStart w:id="3047" w:name="_Toc31698"/>
      <w:bookmarkStart w:id="3048" w:name="_Toc296347200"/>
      <w:bookmarkStart w:id="3049" w:name="_Toc296891241"/>
      <w:bookmarkStart w:id="3050" w:name="_Toc296346702"/>
      <w:bookmarkStart w:id="3051" w:name="_Toc297120501"/>
      <w:bookmarkStart w:id="3052" w:name="_Toc297048387"/>
      <w:bookmarkStart w:id="3053" w:name="_Toc296891029"/>
      <w:bookmarkStart w:id="3054" w:name="_Toc300935000"/>
      <w:bookmarkStart w:id="3055" w:name="_Toc297123550"/>
      <w:bookmarkStart w:id="3056" w:name="_Toc292559406"/>
      <w:bookmarkStart w:id="3057" w:name="_Toc296944540"/>
      <w:bookmarkStart w:id="3058" w:name="_Toc296503201"/>
      <w:bookmarkStart w:id="3059" w:name="_Toc297216209"/>
      <w:bookmarkStart w:id="3060" w:name="_Toc303539157"/>
      <w:bookmarkStart w:id="3061" w:name="_Toc292559911"/>
      <w:bookmarkStart w:id="3062" w:name="_Toc312678039"/>
      <w:bookmarkStart w:id="3063" w:name="_Toc304295577"/>
      <w:r>
        <w:rPr>
          <w:rFonts w:hint="eastAsia" w:ascii="宋体" w:hAnsi="宋体" w:eastAsia="宋体" w:cs="宋体"/>
          <w:color w:val="000000"/>
          <w:kern w:val="2"/>
          <w:sz w:val="24"/>
          <w:szCs w:val="24"/>
          <w:lang w:val="en-US" w:eastAsia="zh-CN" w:bidi="ar-SA"/>
        </w:rPr>
        <w:t>11.1 市场价格波动引起的调整</w:t>
      </w:r>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p>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14:paraId="1061526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市场价格波动是否调整合同价格的约定：</w:t>
      </w:r>
    </w:p>
    <w:p w14:paraId="09D2981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因市场价格波动调整合同价格，采用以下第</w:t>
      </w:r>
      <w:r>
        <w:rPr>
          <w:rFonts w:hint="eastAsia" w:ascii="宋体" w:hAnsi="宋体" w:eastAsia="宋体" w:cs="宋体"/>
          <w:color w:val="000000"/>
          <w:kern w:val="2"/>
          <w:sz w:val="24"/>
          <w:szCs w:val="24"/>
          <w:u w:val="single"/>
          <w:lang w:val="en-US" w:eastAsia="zh-CN" w:bidi="ar-SA"/>
        </w:rPr>
        <w:t xml:space="preserve">  3  </w:t>
      </w:r>
      <w:r>
        <w:rPr>
          <w:rFonts w:hint="eastAsia" w:ascii="宋体" w:hAnsi="宋体" w:eastAsia="宋体" w:cs="宋体"/>
          <w:color w:val="000000"/>
          <w:kern w:val="2"/>
          <w:sz w:val="24"/>
          <w:szCs w:val="24"/>
          <w:lang w:val="en-US" w:eastAsia="zh-CN" w:bidi="ar-SA"/>
        </w:rPr>
        <w:t>种方式对合同价格进行调整：</w:t>
      </w:r>
    </w:p>
    <w:p w14:paraId="3B4E34B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第1种方式：采用价格指数进行价格调整。</w:t>
      </w:r>
    </w:p>
    <w:p w14:paraId="32E0927E">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 xml:space="preserve">关于各可调因子、定值和变值权重，以及基本价格指数及其来源的约定：；  </w:t>
      </w:r>
    </w:p>
    <w:p w14:paraId="0EE6038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第2种方式：采用造价信息进行价格调整。  </w:t>
      </w:r>
    </w:p>
    <w:p w14:paraId="05B1365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（2）关于基准价格的约定：</w:t>
      </w:r>
    </w:p>
    <w:p w14:paraId="5D9778F8">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第3种方式：其他价格调整方式：</w:t>
      </w:r>
      <w:r>
        <w:rPr>
          <w:rFonts w:hint="eastAsia" w:ascii="宋体" w:hAnsi="宋体" w:eastAsia="宋体" w:cs="宋体"/>
          <w:color w:val="000000"/>
          <w:kern w:val="2"/>
          <w:sz w:val="24"/>
          <w:szCs w:val="24"/>
          <w:u w:val="single"/>
          <w:lang w:val="en-US" w:eastAsia="zh-CN" w:bidi="ar-SA"/>
        </w:rPr>
        <w:t>本项目不考虑建材、人工费、施工机械机具使用费的市场价格风险引起的对该工程造价的影响。中标后，不再因材料价、人工费、施工机械机具使用费的波动因素调整工程造价。</w:t>
      </w:r>
    </w:p>
    <w:bookmarkEnd w:id="2757"/>
    <w:bookmarkEnd w:id="2758"/>
    <w:bookmarkEnd w:id="2759"/>
    <w:bookmarkEnd w:id="2760"/>
    <w:bookmarkEnd w:id="2761"/>
    <w:bookmarkEnd w:id="2762"/>
    <w:p w14:paraId="5EF29F96">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064" w:name="_Toc292559915"/>
      <w:bookmarkStart w:id="3065" w:name="_Toc296944544"/>
      <w:bookmarkStart w:id="3066" w:name="_Toc296891033"/>
      <w:bookmarkStart w:id="3067" w:name="_Toc296503205"/>
      <w:bookmarkStart w:id="3068" w:name="_Toc296347204"/>
      <w:bookmarkStart w:id="3069" w:name="_Toc296346706"/>
      <w:bookmarkStart w:id="3070" w:name="_Toc297120505"/>
      <w:bookmarkStart w:id="3071" w:name="_Toc296891245"/>
      <w:bookmarkStart w:id="3072" w:name="_Toc292559410"/>
      <w:bookmarkStart w:id="3073" w:name="_Toc297048391"/>
      <w:bookmarkStart w:id="3074" w:name="_Toc256001064"/>
      <w:bookmarkStart w:id="3075" w:name="_Toc2095751839"/>
      <w:bookmarkStart w:id="3076" w:name="_Toc256001972"/>
      <w:bookmarkStart w:id="3077" w:name="_Toc256003788"/>
      <w:bookmarkStart w:id="3078" w:name="_Toc256003334"/>
      <w:bookmarkStart w:id="3079" w:name="_Toc256001745"/>
      <w:bookmarkStart w:id="3080" w:name="_Toc256003561"/>
      <w:bookmarkStart w:id="3081" w:name="_Toc256002426"/>
      <w:bookmarkStart w:id="3082" w:name="_Toc256004015"/>
      <w:bookmarkStart w:id="3083" w:name="_Toc256001291"/>
      <w:bookmarkStart w:id="3084" w:name="_Toc226573127"/>
      <w:bookmarkStart w:id="3085" w:name="_Toc256000837"/>
      <w:bookmarkStart w:id="3086" w:name="_Toc256000610"/>
      <w:bookmarkStart w:id="3087" w:name="_Toc256000156"/>
      <w:bookmarkStart w:id="3088" w:name="_Toc256002653"/>
      <w:bookmarkStart w:id="3089" w:name="_Toc256002880"/>
      <w:bookmarkStart w:id="3090" w:name="_Toc256002199"/>
      <w:bookmarkStart w:id="3091" w:name="_Toc256000383"/>
      <w:bookmarkStart w:id="3092" w:name="_Toc256003107"/>
      <w:bookmarkStart w:id="3093" w:name="_Toc256001518"/>
      <w:bookmarkStart w:id="3094" w:name="_Toc303539159"/>
      <w:bookmarkStart w:id="3095" w:name="_Toc312678040"/>
      <w:bookmarkStart w:id="3096" w:name="_Toc304295579"/>
      <w:bookmarkStart w:id="3097" w:name="_Toc300935002"/>
      <w:bookmarkStart w:id="3098" w:name="_Toc297123552"/>
      <w:bookmarkStart w:id="3099" w:name="_Toc297216211"/>
      <w:r>
        <w:rPr>
          <w:rFonts w:hint="eastAsia" w:ascii="宋体" w:hAnsi="宋体" w:eastAsia="宋体" w:cs="宋体"/>
          <w:b w:val="0"/>
          <w:bCs/>
          <w:color w:val="000000"/>
          <w:kern w:val="2"/>
          <w:sz w:val="24"/>
          <w:szCs w:val="24"/>
          <w:lang w:val="en-US" w:eastAsia="zh-CN" w:bidi="ar-SA"/>
        </w:rPr>
        <w:t xml:space="preserve">12. </w:t>
      </w:r>
      <w:bookmarkEnd w:id="3064"/>
      <w:bookmarkEnd w:id="3065"/>
      <w:bookmarkEnd w:id="3066"/>
      <w:bookmarkEnd w:id="3067"/>
      <w:bookmarkEnd w:id="3068"/>
      <w:bookmarkEnd w:id="3069"/>
      <w:bookmarkEnd w:id="3070"/>
      <w:bookmarkEnd w:id="3071"/>
      <w:bookmarkEnd w:id="3072"/>
      <w:bookmarkEnd w:id="3073"/>
      <w:r>
        <w:rPr>
          <w:rFonts w:hint="eastAsia" w:ascii="宋体" w:hAnsi="宋体" w:eastAsia="宋体" w:cs="宋体"/>
          <w:b w:val="0"/>
          <w:bCs/>
          <w:color w:val="000000"/>
          <w:kern w:val="2"/>
          <w:sz w:val="24"/>
          <w:szCs w:val="24"/>
          <w:lang w:val="en-US" w:eastAsia="zh-CN" w:bidi="ar-SA"/>
        </w:rPr>
        <w:t>合同价格、计量与支付</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p>
    <w:bookmarkEnd w:id="3094"/>
    <w:bookmarkEnd w:id="3095"/>
    <w:bookmarkEnd w:id="3096"/>
    <w:bookmarkEnd w:id="3097"/>
    <w:bookmarkEnd w:id="3098"/>
    <w:bookmarkEnd w:id="3099"/>
    <w:p w14:paraId="007A6E9D">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100" w:name="_Toc292559916"/>
      <w:bookmarkStart w:id="3101" w:name="_Toc267251461"/>
      <w:bookmarkStart w:id="3102" w:name="_Toc292559411"/>
      <w:bookmarkStart w:id="3103" w:name="_Toc296891034"/>
      <w:bookmarkStart w:id="3104" w:name="_Toc296944545"/>
      <w:bookmarkStart w:id="3105" w:name="_Toc296347205"/>
      <w:bookmarkStart w:id="3106" w:name="_Toc297120506"/>
      <w:bookmarkStart w:id="3107" w:name="_Toc296503206"/>
      <w:bookmarkStart w:id="3108" w:name="_Toc296891246"/>
      <w:bookmarkStart w:id="3109" w:name="_Toc296346707"/>
      <w:bookmarkStart w:id="3110" w:name="_Toc297048392"/>
      <w:bookmarkStart w:id="3111" w:name="_Toc256002200"/>
      <w:bookmarkStart w:id="3112" w:name="_Toc256002427"/>
      <w:bookmarkStart w:id="3113" w:name="_Toc256001292"/>
      <w:bookmarkStart w:id="3114" w:name="_Toc256003562"/>
      <w:bookmarkStart w:id="3115" w:name="_Toc256002654"/>
      <w:bookmarkStart w:id="3116" w:name="_Toc256003335"/>
      <w:bookmarkStart w:id="3117" w:name="_Toc74869891"/>
      <w:bookmarkStart w:id="3118" w:name="_Toc256003789"/>
      <w:bookmarkStart w:id="3119" w:name="_Toc256003108"/>
      <w:bookmarkStart w:id="3120" w:name="_Toc256000384"/>
      <w:bookmarkStart w:id="3121" w:name="_Toc256001065"/>
      <w:bookmarkStart w:id="3122" w:name="_Toc256001519"/>
      <w:bookmarkStart w:id="3123" w:name="_Toc256001973"/>
      <w:bookmarkStart w:id="3124" w:name="_Toc13589"/>
      <w:bookmarkStart w:id="3125" w:name="_Toc256004016"/>
      <w:bookmarkStart w:id="3126" w:name="_Toc256000157"/>
      <w:bookmarkStart w:id="3127" w:name="_Toc256002881"/>
      <w:bookmarkStart w:id="3128" w:name="_Toc256001746"/>
      <w:bookmarkStart w:id="3129" w:name="_Toc1734401749"/>
      <w:bookmarkStart w:id="3130" w:name="_Toc256000838"/>
      <w:bookmarkStart w:id="3131" w:name="_Toc256000611"/>
      <w:bookmarkStart w:id="3132" w:name="_Toc297216212"/>
      <w:bookmarkStart w:id="3133" w:name="_Toc297123553"/>
      <w:bookmarkStart w:id="3134" w:name="_Toc312678041"/>
      <w:bookmarkStart w:id="3135" w:name="_Toc303539160"/>
      <w:bookmarkStart w:id="3136" w:name="_Toc304295580"/>
      <w:bookmarkStart w:id="3137" w:name="_Toc300935003"/>
      <w:r>
        <w:rPr>
          <w:rFonts w:hint="eastAsia" w:ascii="宋体" w:hAnsi="宋体" w:eastAsia="宋体" w:cs="宋体"/>
          <w:color w:val="000000"/>
          <w:kern w:val="2"/>
          <w:sz w:val="24"/>
          <w:szCs w:val="24"/>
          <w:lang w:val="en-US" w:eastAsia="zh-CN" w:bidi="ar-SA"/>
        </w:rPr>
        <w:t>12.1 合</w:t>
      </w:r>
      <w:bookmarkEnd w:id="3100"/>
      <w:bookmarkEnd w:id="3101"/>
      <w:bookmarkEnd w:id="3102"/>
      <w:r>
        <w:rPr>
          <w:rFonts w:hint="eastAsia" w:ascii="宋体" w:hAnsi="宋体" w:eastAsia="宋体" w:cs="宋体"/>
          <w:color w:val="000000"/>
          <w:kern w:val="2"/>
          <w:sz w:val="24"/>
          <w:szCs w:val="24"/>
          <w:lang w:val="en-US" w:eastAsia="zh-CN" w:bidi="ar-SA"/>
        </w:rPr>
        <w:t>同价</w:t>
      </w:r>
      <w:bookmarkEnd w:id="3103"/>
      <w:bookmarkEnd w:id="3104"/>
      <w:bookmarkEnd w:id="3105"/>
      <w:bookmarkEnd w:id="3106"/>
      <w:bookmarkEnd w:id="3107"/>
      <w:bookmarkEnd w:id="3108"/>
      <w:bookmarkEnd w:id="3109"/>
      <w:bookmarkEnd w:id="3110"/>
      <w:r>
        <w:rPr>
          <w:rFonts w:hint="eastAsia" w:ascii="宋体" w:hAnsi="宋体" w:eastAsia="宋体" w:cs="宋体"/>
          <w:color w:val="000000"/>
          <w:kern w:val="2"/>
          <w:sz w:val="24"/>
          <w:szCs w:val="24"/>
          <w:lang w:val="en-US" w:eastAsia="zh-CN" w:bidi="ar-SA"/>
        </w:rPr>
        <w:t>格形式</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p>
    <w:bookmarkEnd w:id="3132"/>
    <w:bookmarkEnd w:id="3133"/>
    <w:bookmarkEnd w:id="3134"/>
    <w:bookmarkEnd w:id="3135"/>
    <w:bookmarkEnd w:id="3136"/>
    <w:bookmarkEnd w:id="3137"/>
    <w:p w14:paraId="53DC1E5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1.单价合同。</w:t>
      </w:r>
    </w:p>
    <w:p w14:paraId="4B7243EE">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综合单价包含的风险范围：</w:t>
      </w:r>
      <w:r>
        <w:rPr>
          <w:rFonts w:hint="eastAsia" w:ascii="宋体" w:hAnsi="宋体" w:eastAsia="宋体" w:cs="宋体"/>
          <w:color w:val="000000"/>
          <w:kern w:val="2"/>
          <w:sz w:val="24"/>
          <w:szCs w:val="24"/>
          <w:u w:val="single"/>
          <w:lang w:val="en-US" w:eastAsia="zh-CN" w:bidi="ar-SA"/>
        </w:rPr>
        <w:t>合同价款中包括的风险范围：</w:t>
      </w:r>
    </w:p>
    <w:p w14:paraId="15E61BE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u w:val="single"/>
          <w:lang w:val="en-US" w:eastAsia="zh-CN" w:bidi="ar-SA"/>
        </w:rPr>
        <w:t xml:space="preserve">（1）本工程按固定单价方式签约，工程量按实调整。单价除招标文件或施工合同条款中另有规定外，今后不做调整 </w:t>
      </w:r>
      <w:r>
        <w:rPr>
          <w:rFonts w:hint="eastAsia" w:ascii="宋体" w:hAnsi="宋体" w:eastAsia="宋体" w:cs="宋体"/>
          <w:color w:val="000000"/>
          <w:kern w:val="2"/>
          <w:sz w:val="24"/>
          <w:szCs w:val="24"/>
          <w:lang w:val="en-US" w:eastAsia="zh-CN" w:bidi="ar-SA"/>
        </w:rPr>
        <w:t>。</w:t>
      </w:r>
    </w:p>
    <w:p w14:paraId="20E59FC4">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（2）综合单价按本合同10.4.1条变更估价原则执行。</w:t>
      </w:r>
    </w:p>
    <w:p w14:paraId="1CD4E3D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风险费用的计算方法：</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361456AC">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风险范围以外合同价格的调整方法：</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 xml:space="preserve">。    </w:t>
      </w:r>
    </w:p>
    <w:p w14:paraId="4DC9A81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2.总价合同。</w:t>
      </w:r>
    </w:p>
    <w:p w14:paraId="00FF042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总价包含的风险范围：</w:t>
      </w:r>
      <w:bookmarkStart w:id="3138" w:name="_Hlk126763383"/>
      <w:r>
        <w:rPr>
          <w:rFonts w:hint="eastAsia" w:ascii="宋体" w:hAnsi="宋体" w:eastAsia="宋体" w:cs="宋体"/>
          <w:color w:val="000000"/>
          <w:kern w:val="2"/>
          <w:sz w:val="24"/>
          <w:szCs w:val="24"/>
          <w:u w:val="single"/>
          <w:lang w:val="en-US" w:eastAsia="zh-CN" w:bidi="ar-SA"/>
        </w:rPr>
        <w:t xml:space="preserve">   /  </w:t>
      </w:r>
      <w:bookmarkEnd w:id="3138"/>
      <w:r>
        <w:rPr>
          <w:rFonts w:hint="eastAsia" w:ascii="宋体" w:hAnsi="宋体" w:eastAsia="宋体" w:cs="宋体"/>
          <w:color w:val="000000"/>
          <w:kern w:val="2"/>
          <w:sz w:val="24"/>
          <w:szCs w:val="24"/>
          <w:lang w:val="en-US" w:eastAsia="zh-CN" w:bidi="ar-SA"/>
        </w:rPr>
        <w:t>。</w:t>
      </w:r>
    </w:p>
    <w:p w14:paraId="4220EAA8">
      <w:pPr>
        <w:widowControl w:val="0"/>
        <w:spacing w:line="400" w:lineRule="exact"/>
        <w:ind w:firstLine="480" w:firstLineChars="200"/>
        <w:jc w:val="left"/>
        <w:rPr>
          <w:rFonts w:ascii="宋体" w:hAnsi="宋体" w:eastAsia="宋体" w:cs="宋体"/>
          <w:i/>
          <w:iCs/>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风险费用的计算方法：</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1F7E05B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风险范围以外合同价格的调整方法：</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429580B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3.其他价格方式：</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49055392">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139" w:name="_Toc256001520"/>
      <w:bookmarkStart w:id="3140" w:name="_Toc256001066"/>
      <w:bookmarkStart w:id="3141" w:name="_Toc256001974"/>
      <w:bookmarkStart w:id="3142" w:name="_Toc256002201"/>
      <w:bookmarkStart w:id="3143" w:name="_Toc256003563"/>
      <w:bookmarkStart w:id="3144" w:name="_Toc256003336"/>
      <w:bookmarkStart w:id="3145" w:name="_Toc256000612"/>
      <w:bookmarkStart w:id="3146" w:name="_Toc256000839"/>
      <w:bookmarkStart w:id="3147" w:name="_Toc256002655"/>
      <w:bookmarkStart w:id="3148" w:name="_Toc256002428"/>
      <w:bookmarkStart w:id="3149" w:name="_Toc256001293"/>
      <w:bookmarkStart w:id="3150" w:name="_Toc256004017"/>
      <w:bookmarkStart w:id="3151" w:name="_Toc256001747"/>
      <w:bookmarkStart w:id="3152" w:name="_Toc1924091423"/>
      <w:bookmarkStart w:id="3153" w:name="_Toc256003790"/>
      <w:bookmarkStart w:id="3154" w:name="_Toc256003109"/>
      <w:bookmarkStart w:id="3155" w:name="_Toc256002882"/>
      <w:bookmarkStart w:id="3156" w:name="_Toc256000158"/>
      <w:bookmarkStart w:id="3157" w:name="_Toc712673231"/>
      <w:bookmarkStart w:id="3158" w:name="_Toc256000385"/>
      <w:bookmarkStart w:id="3159" w:name="_Toc303539161"/>
      <w:bookmarkStart w:id="3160" w:name="_Toc300935004"/>
      <w:bookmarkStart w:id="3161" w:name="_Toc304295581"/>
      <w:bookmarkStart w:id="3162" w:name="_Toc312678042"/>
      <w:bookmarkStart w:id="3163" w:name="_Toc297123554"/>
      <w:bookmarkStart w:id="3164" w:name="_Toc297216213"/>
      <w:bookmarkStart w:id="3165" w:name="_Toc292559412"/>
      <w:bookmarkStart w:id="3166" w:name="_Toc296346708"/>
      <w:bookmarkStart w:id="3167" w:name="_Toc297048393"/>
      <w:bookmarkStart w:id="3168" w:name="_Toc292559917"/>
      <w:bookmarkStart w:id="3169" w:name="_Toc296503207"/>
      <w:bookmarkStart w:id="3170" w:name="_Toc296891035"/>
      <w:bookmarkStart w:id="3171" w:name="_Toc296891247"/>
      <w:bookmarkStart w:id="3172" w:name="_Toc296347206"/>
      <w:bookmarkStart w:id="3173" w:name="_Toc296944546"/>
      <w:bookmarkStart w:id="3174" w:name="_Toc297120507"/>
      <w:r>
        <w:rPr>
          <w:rFonts w:hint="eastAsia" w:ascii="宋体" w:hAnsi="宋体" w:eastAsia="宋体" w:cs="宋体"/>
          <w:color w:val="000000"/>
          <w:kern w:val="2"/>
          <w:sz w:val="24"/>
          <w:szCs w:val="24"/>
          <w:lang w:val="en-US" w:eastAsia="zh-CN" w:bidi="ar-SA"/>
        </w:rPr>
        <w:t>12.2 预付款</w:t>
      </w:r>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p>
    <w:p w14:paraId="7380C48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本款修改12.2.1、12.2.2。</w:t>
      </w:r>
    </w:p>
    <w:p w14:paraId="2804617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12.2.1 预付款的支付</w:t>
      </w:r>
    </w:p>
    <w:p w14:paraId="0EF5084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预付款支付比例或金额:</w:t>
      </w:r>
      <w:r>
        <w:rPr>
          <w:rFonts w:hint="eastAsia" w:ascii="宋体" w:hAnsi="宋体" w:eastAsia="宋体" w:cs="宋体"/>
          <w:color w:val="000000"/>
          <w:kern w:val="2"/>
          <w:sz w:val="24"/>
          <w:szCs w:val="24"/>
          <w:u w:val="single"/>
          <w:lang w:val="en-US" w:eastAsia="zh-CN" w:bidi="ar-SA"/>
        </w:rPr>
        <w:t>见本合同12.4.1条。</w:t>
      </w:r>
    </w:p>
    <w:p w14:paraId="4BC8EF5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预付款扣回的方式：</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bookmarkEnd w:id="3159"/>
    <w:bookmarkEnd w:id="3160"/>
    <w:bookmarkEnd w:id="3161"/>
    <w:bookmarkEnd w:id="3162"/>
    <w:bookmarkEnd w:id="3163"/>
    <w:bookmarkEnd w:id="3164"/>
    <w:p w14:paraId="0F9038A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12.2.2 预付款担保：</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bookmarkEnd w:id="3165"/>
    <w:bookmarkEnd w:id="3166"/>
    <w:bookmarkEnd w:id="3167"/>
    <w:bookmarkEnd w:id="3168"/>
    <w:bookmarkEnd w:id="3169"/>
    <w:bookmarkEnd w:id="3170"/>
    <w:bookmarkEnd w:id="3171"/>
    <w:bookmarkEnd w:id="3172"/>
    <w:bookmarkEnd w:id="3173"/>
    <w:bookmarkEnd w:id="3174"/>
    <w:p w14:paraId="31C52241">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175" w:name="_Toc256000613"/>
      <w:bookmarkStart w:id="3176" w:name="_Toc256002202"/>
      <w:bookmarkStart w:id="3177" w:name="_Toc256002429"/>
      <w:bookmarkStart w:id="3178" w:name="_Toc256003110"/>
      <w:bookmarkStart w:id="3179" w:name="_Toc256001975"/>
      <w:bookmarkStart w:id="3180" w:name="_Toc13601"/>
      <w:bookmarkStart w:id="3181" w:name="_Toc256003791"/>
      <w:bookmarkStart w:id="3182" w:name="_Toc100272494"/>
      <w:bookmarkStart w:id="3183" w:name="_Toc256001294"/>
      <w:bookmarkStart w:id="3184" w:name="_Toc256000386"/>
      <w:bookmarkStart w:id="3185" w:name="_Toc256002656"/>
      <w:bookmarkStart w:id="3186" w:name="_Toc1055625342"/>
      <w:bookmarkStart w:id="3187" w:name="_Toc256003337"/>
      <w:bookmarkStart w:id="3188" w:name="_Toc256001748"/>
      <w:bookmarkStart w:id="3189" w:name="_Toc256004018"/>
      <w:bookmarkStart w:id="3190" w:name="_Toc256000159"/>
      <w:bookmarkStart w:id="3191" w:name="_Toc256001521"/>
      <w:bookmarkStart w:id="3192" w:name="_Toc256003564"/>
      <w:bookmarkStart w:id="3193" w:name="_Toc256002883"/>
      <w:bookmarkStart w:id="3194" w:name="_Toc256000840"/>
      <w:bookmarkStart w:id="3195" w:name="_Toc256001067"/>
      <w:r>
        <w:rPr>
          <w:rFonts w:hint="eastAsia" w:ascii="宋体" w:hAnsi="宋体" w:eastAsia="宋体" w:cs="宋体"/>
          <w:color w:val="000000"/>
          <w:kern w:val="2"/>
          <w:sz w:val="24"/>
          <w:szCs w:val="24"/>
          <w:lang w:val="en-US" w:eastAsia="zh-CN" w:bidi="ar-SA"/>
        </w:rPr>
        <w:t>12.3 计量</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p>
    <w:p w14:paraId="53986E3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12.3.1 计量原则</w:t>
      </w:r>
    </w:p>
    <w:p w14:paraId="32AC2C8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工程量计算规则：</w:t>
      </w:r>
      <w:r>
        <w:rPr>
          <w:rFonts w:hint="eastAsia" w:ascii="宋体" w:hAnsi="宋体" w:eastAsia="宋体" w:cs="宋体"/>
          <w:color w:val="000000"/>
          <w:kern w:val="2"/>
          <w:sz w:val="24"/>
          <w:szCs w:val="24"/>
          <w:u w:val="single"/>
          <w:lang w:val="en-US" w:eastAsia="zh-CN" w:bidi="ar-SA"/>
        </w:rPr>
        <w:t>按相关的国家标准、行业标准等为依据</w:t>
      </w:r>
      <w:r>
        <w:rPr>
          <w:rFonts w:hint="eastAsia" w:ascii="宋体" w:hAnsi="宋体" w:eastAsia="宋体" w:cs="宋体"/>
          <w:color w:val="000000"/>
          <w:kern w:val="2"/>
          <w:sz w:val="24"/>
          <w:szCs w:val="24"/>
          <w:lang w:val="en-US" w:eastAsia="zh-CN" w:bidi="ar-SA"/>
        </w:rPr>
        <w:t>。</w:t>
      </w:r>
    </w:p>
    <w:p w14:paraId="42BDA01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12.3.2 计量周期</w:t>
      </w:r>
    </w:p>
    <w:p w14:paraId="74C4FCD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关于计量周期的约定 ：</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601C400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12.3.3 单价合同的计量</w:t>
      </w:r>
    </w:p>
    <w:p w14:paraId="5EED277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关于单价合同计量的约定：</w:t>
      </w:r>
      <w:r>
        <w:rPr>
          <w:rFonts w:hint="eastAsia" w:ascii="宋体" w:hAnsi="宋体" w:eastAsia="宋体" w:cs="宋体"/>
          <w:color w:val="000000"/>
          <w:kern w:val="2"/>
          <w:sz w:val="24"/>
          <w:szCs w:val="24"/>
          <w:u w:val="single"/>
          <w:lang w:val="en-US" w:eastAsia="zh-CN" w:bidi="ar-SA"/>
        </w:rPr>
        <w:t>按通用条款</w:t>
      </w:r>
      <w:r>
        <w:rPr>
          <w:rFonts w:hint="eastAsia" w:ascii="宋体" w:hAnsi="宋体" w:eastAsia="宋体" w:cs="宋体"/>
          <w:color w:val="000000"/>
          <w:kern w:val="2"/>
          <w:sz w:val="24"/>
          <w:szCs w:val="24"/>
          <w:lang w:val="en-US" w:eastAsia="zh-CN" w:bidi="ar-SA"/>
        </w:rPr>
        <w:t>。</w:t>
      </w:r>
    </w:p>
    <w:p w14:paraId="7A9DD43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12.3.4 总价合同的计量</w:t>
      </w:r>
    </w:p>
    <w:p w14:paraId="5B977AB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关于总价合同计量的约定：</w:t>
      </w:r>
      <w:r>
        <w:rPr>
          <w:rFonts w:hint="eastAsia" w:ascii="宋体" w:hAnsi="宋体" w:eastAsia="宋体" w:cs="宋体"/>
          <w:color w:val="000000"/>
          <w:kern w:val="2"/>
          <w:sz w:val="24"/>
          <w:szCs w:val="24"/>
          <w:u w:val="single"/>
          <w:lang w:val="en-US" w:eastAsia="zh-CN" w:bidi="ar-SA"/>
        </w:rPr>
        <w:t>按通用条款</w:t>
      </w:r>
      <w:r>
        <w:rPr>
          <w:rFonts w:hint="eastAsia" w:ascii="宋体" w:hAnsi="宋体" w:eastAsia="宋体" w:cs="宋体"/>
          <w:color w:val="000000"/>
          <w:kern w:val="2"/>
          <w:sz w:val="24"/>
          <w:szCs w:val="24"/>
          <w:lang w:val="en-US" w:eastAsia="zh-CN" w:bidi="ar-SA"/>
        </w:rPr>
        <w:t>。</w:t>
      </w:r>
    </w:p>
    <w:p w14:paraId="49DB1BB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12.3.5 总价合同采用支付分解表计量支付的，是否适用第</w:t>
      </w:r>
      <w:r>
        <w:rPr>
          <w:rFonts w:hint="eastAsia" w:ascii="宋体" w:hAnsi="宋体" w:eastAsia="宋体" w:cs="宋体"/>
          <w:color w:val="000000"/>
          <w:kern w:val="0"/>
          <w:sz w:val="24"/>
          <w:szCs w:val="24"/>
          <w:lang w:val="en-US" w:eastAsia="zh-CN" w:bidi="ar-SA"/>
        </w:rPr>
        <w:t>12.3.4</w:t>
      </w:r>
      <w:r>
        <w:rPr>
          <w:rFonts w:hint="eastAsia" w:ascii="宋体" w:hAnsi="宋体" w:eastAsia="宋体" w:cs="宋体"/>
          <w:color w:val="000000"/>
          <w:kern w:val="2"/>
          <w:sz w:val="24"/>
          <w:szCs w:val="24"/>
          <w:lang w:val="en-US" w:eastAsia="zh-CN" w:bidi="ar-SA"/>
        </w:rPr>
        <w:t>项</w:t>
      </w:r>
      <w:r>
        <w:rPr>
          <w:rFonts w:hint="eastAsia" w:ascii="宋体" w:hAnsi="宋体" w:eastAsia="宋体" w:cs="宋体"/>
          <w:color w:val="000000"/>
          <w:kern w:val="0"/>
          <w:sz w:val="24"/>
          <w:szCs w:val="24"/>
          <w:lang w:val="en-US" w:eastAsia="zh-CN" w:bidi="ar-SA"/>
        </w:rPr>
        <w:t>〔总价合同的计量〕</w:t>
      </w:r>
      <w:r>
        <w:rPr>
          <w:rFonts w:hint="eastAsia" w:ascii="宋体" w:hAnsi="宋体" w:eastAsia="宋体" w:cs="宋体"/>
          <w:color w:val="000000"/>
          <w:kern w:val="2"/>
          <w:sz w:val="24"/>
          <w:szCs w:val="24"/>
          <w:lang w:val="en-US" w:eastAsia="zh-CN" w:bidi="ar-SA"/>
        </w:rPr>
        <w:t>约定进行计量：</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305B6A7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12.3.6 其他价格形式合同的计量</w:t>
      </w:r>
    </w:p>
    <w:p w14:paraId="50BE0A8C">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其他价格形式的计量方式和程序：</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1FF001CB">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196" w:name="_Toc256001749"/>
      <w:bookmarkStart w:id="3197" w:name="_Toc256002203"/>
      <w:bookmarkStart w:id="3198" w:name="_Toc16186591"/>
      <w:bookmarkStart w:id="3199" w:name="_Toc256001068"/>
      <w:bookmarkStart w:id="3200" w:name="_Toc256000387"/>
      <w:bookmarkStart w:id="3201" w:name="_Toc256001522"/>
      <w:bookmarkStart w:id="3202" w:name="_Toc256001976"/>
      <w:bookmarkStart w:id="3203" w:name="_Toc256003338"/>
      <w:bookmarkStart w:id="3204" w:name="_Toc256002884"/>
      <w:bookmarkStart w:id="3205" w:name="_Toc256003565"/>
      <w:bookmarkStart w:id="3206" w:name="_Toc256003792"/>
      <w:bookmarkStart w:id="3207" w:name="_Toc256001295"/>
      <w:bookmarkStart w:id="3208" w:name="_Toc256002430"/>
      <w:bookmarkStart w:id="3209" w:name="_Toc27300"/>
      <w:bookmarkStart w:id="3210" w:name="_Toc256000841"/>
      <w:bookmarkStart w:id="3211" w:name="_Toc256000160"/>
      <w:bookmarkStart w:id="3212" w:name="_Toc1516403745"/>
      <w:bookmarkStart w:id="3213" w:name="_Toc256000614"/>
      <w:bookmarkStart w:id="3214" w:name="_Toc256003111"/>
      <w:bookmarkStart w:id="3215" w:name="_Toc256004019"/>
      <w:bookmarkStart w:id="3216" w:name="_Toc256002657"/>
      <w:r>
        <w:rPr>
          <w:rFonts w:hint="eastAsia" w:ascii="宋体" w:hAnsi="宋体" w:eastAsia="宋体" w:cs="宋体"/>
          <w:color w:val="000000"/>
          <w:kern w:val="2"/>
          <w:sz w:val="24"/>
          <w:szCs w:val="24"/>
          <w:lang w:val="en-US" w:eastAsia="zh-CN" w:bidi="ar-SA"/>
        </w:rPr>
        <w:t>12.4 工程进度款支付</w:t>
      </w:r>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
    <w:p w14:paraId="1DC8726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bookmarkStart w:id="3217" w:name="_Toc296347210"/>
      <w:bookmarkStart w:id="3218" w:name="_Toc292559921"/>
      <w:bookmarkStart w:id="3219" w:name="_Toc300935006"/>
      <w:bookmarkStart w:id="3220" w:name="_Toc297048397"/>
      <w:bookmarkStart w:id="3221" w:name="_Toc296503211"/>
      <w:bookmarkStart w:id="3222" w:name="_Toc297123556"/>
      <w:bookmarkStart w:id="3223" w:name="_Toc296891039"/>
      <w:bookmarkStart w:id="3224" w:name="_Toc297120511"/>
      <w:bookmarkStart w:id="3225" w:name="_Toc292559416"/>
      <w:bookmarkStart w:id="3226" w:name="_Toc296891251"/>
      <w:bookmarkStart w:id="3227" w:name="_Toc297216215"/>
      <w:bookmarkStart w:id="3228" w:name="_Toc296944550"/>
      <w:bookmarkStart w:id="3229" w:name="_Toc303539163"/>
      <w:bookmarkStart w:id="3230" w:name="_Toc296346712"/>
      <w:r>
        <w:rPr>
          <w:rFonts w:hint="eastAsia" w:ascii="宋体" w:hAnsi="宋体" w:eastAsia="宋体" w:cs="宋体"/>
          <w:color w:val="000000"/>
          <w:kern w:val="2"/>
          <w:sz w:val="24"/>
          <w:szCs w:val="24"/>
          <w:lang w:val="en-US" w:eastAsia="zh-CN" w:bidi="ar-SA"/>
        </w:rPr>
        <w:t>本款修改12.4.4。</w:t>
      </w:r>
    </w:p>
    <w:p w14:paraId="08A5CE8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12.4.1付款周期</w:t>
      </w:r>
    </w:p>
    <w:p w14:paraId="73C4185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进度款按形象进度支付：</w:t>
      </w:r>
    </w:p>
    <w:p w14:paraId="4C9FC61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1、本工程预付款为除暂列金额、暂估价后签约合同价的10%，合同签订后30日内，发包人支付给承包人；</w:t>
      </w:r>
    </w:p>
    <w:p w14:paraId="396B08B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2、工程竣工后，支付至经监理、跟踪审计（如有）、发包人共同认可的已完成工程价款的80%，根据国家相关规定，民工工资由发包人按规定支付，发包人在支付工程进度款时，扣回已支付民工工资；</w:t>
      </w:r>
    </w:p>
    <w:p w14:paraId="1C08540E">
      <w:pPr>
        <w:widowControl w:val="0"/>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3、完成结算审计，出具工程竣工结算报告后，支付至审定价的90%;</w:t>
      </w:r>
    </w:p>
    <w:p w14:paraId="7A87F07D">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项目整体验收且完成财务审计后，付至审定价的97%;剩余3%作为质保金，缺陷责任期满后，无任何质量遗留问题，14日内扣除相关费用无息支付。</w:t>
      </w:r>
    </w:p>
    <w:p w14:paraId="76854ED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承包人必须按照《农民工工资支付条例》要求完善民工工资专用账户等相关手续，发包人按《农民工工资支付条例》要求及时拨付人工费用，人工费用具体金额由审计核定。如承包人未按规定完善相关手续，引起付款延后，发包人不承担责任，承包人须自行落实民工工资。承包人必须按劳动和社会保障部、建设部联合下发《建设领域农民工工资支付管理办法》的规定发放工资，直接将工资发给农民工本人，严禁付给包工头或不具备用工主体的组织和个人，如因拖欠工资造成经济损失或其它损失，发包人将对承包人进行罚款或延迟支付工程款；发包人有权直接扣除按合同约定承包人的违约金。</w:t>
      </w:r>
    </w:p>
    <w:p w14:paraId="29721051">
      <w:pPr>
        <w:widowControl w:val="0"/>
        <w:spacing w:line="400" w:lineRule="exact"/>
        <w:ind w:firstLine="480" w:firstLineChars="200"/>
        <w:jc w:val="left"/>
        <w:rPr>
          <w:rFonts w:ascii="宋体" w:hAnsi="宋体" w:eastAsia="宋体" w:cs="宋体"/>
          <w:color w:val="FF0000"/>
          <w:kern w:val="2"/>
          <w:sz w:val="24"/>
          <w:szCs w:val="24"/>
          <w:lang w:val="en-US" w:eastAsia="zh-CN" w:bidi="ar-SA"/>
        </w:rPr>
      </w:pP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每次支付进度款，承包人须向发包人提交付款申请，获得发包人指定项目负责人、总监及跟踪审计的书面确认。每次支付进度款前，均需按发包人财务要求提供增值税发票。承包人未按前述约定提供合法有效的增值税发票的，发包人有权拒绝付款，发包人有权按本合同和现场管理条例的规定直接在工程款中扣除对承包人向发包人支付的赔偿和违约金；</w:t>
      </w:r>
      <w:r>
        <w:rPr>
          <w:rFonts w:hint="eastAsia" w:ascii="宋体" w:hAnsi="宋体" w:eastAsia="宋体" w:cs="宋体"/>
          <w:color w:val="FF0000"/>
          <w:kern w:val="2"/>
          <w:sz w:val="24"/>
          <w:szCs w:val="24"/>
          <w:lang w:val="en-US" w:eastAsia="zh-CN" w:bidi="ar-SA"/>
        </w:rPr>
        <w:t>同时，发包人无需承担延期支付的违约责任，承包人仍应继续履行合同。</w:t>
      </w:r>
    </w:p>
    <w:p w14:paraId="2DC3488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r>
        <w:rPr>
          <w:rFonts w:hint="eastAsia" w:ascii="宋体" w:hAnsi="宋体" w:eastAsia="宋体" w:cs="宋体"/>
          <w:color w:val="000000"/>
          <w:kern w:val="2"/>
          <w:sz w:val="24"/>
          <w:szCs w:val="24"/>
          <w:lang w:val="en-US" w:eastAsia="zh-CN" w:bidi="ar-SA"/>
        </w:rPr>
        <w:t>、本项目为政府财政资金项目，如因政府财政资金未及时到位，引起付款延后，不视为发包人延期付款，发包人不承担责任。且承包人应继续履行合同。</w:t>
      </w:r>
    </w:p>
    <w:p w14:paraId="5A146F9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（1）、进度方面：工程进度未达到经发包人认可的施工进度计划要求；</w:t>
      </w:r>
    </w:p>
    <w:p w14:paraId="77A087B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（2）、工程质量：存在瑕疵需返工处理的；</w:t>
      </w:r>
    </w:p>
    <w:p w14:paraId="57913F4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（3）、安全文明施工：未达到合同约定标准。</w:t>
      </w:r>
    </w:p>
    <w:p w14:paraId="5CAFE7A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12.4.2 进度付款申请单的编制</w:t>
      </w:r>
    </w:p>
    <w:p w14:paraId="27032566">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关于进度付款申请单编制的约定：</w:t>
      </w:r>
      <w:r>
        <w:rPr>
          <w:rFonts w:hint="eastAsia" w:ascii="宋体" w:hAnsi="宋体" w:eastAsia="宋体" w:cs="宋体"/>
          <w:color w:val="000000"/>
          <w:kern w:val="2"/>
          <w:sz w:val="24"/>
          <w:szCs w:val="24"/>
          <w:u w:val="single"/>
          <w:lang w:val="en-US" w:eastAsia="zh-CN" w:bidi="ar-SA"/>
        </w:rPr>
        <w:t>达到付款节点后，按照代建方要求的格式编制，并附上已完成工程量报表和有关资料</w:t>
      </w:r>
      <w:r>
        <w:rPr>
          <w:rFonts w:hint="eastAsia" w:ascii="宋体" w:hAnsi="宋体" w:eastAsia="宋体" w:cs="宋体"/>
          <w:color w:val="000000"/>
          <w:kern w:val="2"/>
          <w:sz w:val="24"/>
          <w:szCs w:val="24"/>
          <w:lang w:val="en-US" w:eastAsia="zh-CN" w:bidi="ar-SA"/>
        </w:rPr>
        <w:t>。</w:t>
      </w:r>
    </w:p>
    <w:p w14:paraId="33B4983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rPr>
          <w:rFonts w:hint="eastAsia" w:ascii="宋体" w:hAnsi="宋体" w:eastAsia="宋体" w:cs="宋体"/>
          <w:color w:val="000000"/>
          <w:kern w:val="2"/>
          <w:sz w:val="24"/>
          <w:szCs w:val="24"/>
          <w:lang w:val="en-US" w:eastAsia="zh-CN" w:bidi="ar-SA"/>
        </w:rPr>
        <w:t>2.4.3 进度付款申请单的提交</w:t>
      </w:r>
    </w:p>
    <w:p w14:paraId="5D4B8FD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（1）单价合同进度付款申请单提交的约定：</w:t>
      </w:r>
      <w:r>
        <w:rPr>
          <w:rFonts w:hint="eastAsia" w:ascii="宋体" w:hAnsi="宋体" w:eastAsia="宋体" w:cs="宋体"/>
          <w:color w:val="000000"/>
          <w:kern w:val="2"/>
          <w:sz w:val="24"/>
          <w:szCs w:val="24"/>
          <w:u w:val="single"/>
          <w:lang w:val="en-US" w:eastAsia="zh-CN" w:bidi="ar-SA"/>
        </w:rPr>
        <w:t>无特殊约定，执行通用条款</w:t>
      </w:r>
      <w:r>
        <w:rPr>
          <w:rFonts w:hint="eastAsia" w:ascii="宋体" w:hAnsi="宋体" w:eastAsia="宋体" w:cs="宋体"/>
          <w:color w:val="000000"/>
          <w:kern w:val="2"/>
          <w:sz w:val="24"/>
          <w:szCs w:val="24"/>
          <w:lang w:val="en-US" w:eastAsia="zh-CN" w:bidi="ar-SA"/>
        </w:rPr>
        <w:t>。</w:t>
      </w:r>
    </w:p>
    <w:p w14:paraId="5B99912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（2）总价合同进度付款申请单提交的约定：</w:t>
      </w:r>
      <w:r>
        <w:rPr>
          <w:rFonts w:hint="eastAsia" w:ascii="宋体" w:hAnsi="宋体" w:eastAsia="宋体" w:cs="宋体"/>
          <w:color w:val="000000"/>
          <w:kern w:val="2"/>
          <w:sz w:val="24"/>
          <w:szCs w:val="24"/>
          <w:u w:val="single"/>
          <w:lang w:val="en-US" w:eastAsia="zh-CN" w:bidi="ar-SA"/>
        </w:rPr>
        <w:t>无特殊约定，执行通用条款</w:t>
      </w:r>
      <w:r>
        <w:rPr>
          <w:rFonts w:hint="eastAsia" w:ascii="宋体" w:hAnsi="宋体" w:eastAsia="宋体" w:cs="宋体"/>
          <w:color w:val="000000"/>
          <w:kern w:val="2"/>
          <w:sz w:val="24"/>
          <w:szCs w:val="24"/>
          <w:lang w:val="en-US" w:eastAsia="zh-CN" w:bidi="ar-SA"/>
        </w:rPr>
        <w:t>。</w:t>
      </w:r>
    </w:p>
    <w:p w14:paraId="28F9F20D">
      <w:pPr>
        <w:widowControl w:val="0"/>
        <w:autoSpaceDE w:val="0"/>
        <w:autoSpaceDN w:val="0"/>
        <w:adjustRightInd w:val="0"/>
        <w:spacing w:line="400" w:lineRule="exact"/>
        <w:ind w:firstLine="480" w:firstLineChars="200"/>
        <w:jc w:val="both"/>
        <w:rPr>
          <w:rFonts w:ascii="宋体" w:hAnsi="宋体" w:eastAsia="宋体" w:cs="宋体"/>
          <w:color w:val="000000"/>
          <w:kern w:val="0"/>
          <w:sz w:val="24"/>
          <w:szCs w:val="24"/>
          <w:u w:val="single"/>
          <w:lang w:val="zh-CN" w:eastAsia="zh-CN" w:bidi="ar-SA"/>
        </w:rPr>
      </w:pPr>
      <w:r>
        <w:rPr>
          <w:rFonts w:hint="eastAsia" w:ascii="宋体" w:hAnsi="宋体" w:eastAsia="宋体" w:cs="宋体"/>
          <w:color w:val="000000"/>
          <w:kern w:val="2"/>
          <w:sz w:val="24"/>
          <w:szCs w:val="24"/>
          <w:lang w:val="en-US" w:eastAsia="zh-CN" w:bidi="ar-SA"/>
        </w:rPr>
        <w:t>（3）其他价格形式合同进度付款申请单提交的约定：</w:t>
      </w:r>
      <w:r>
        <w:rPr>
          <w:rFonts w:hint="eastAsia" w:ascii="宋体" w:hAnsi="宋体" w:eastAsia="宋体" w:cs="宋体"/>
          <w:color w:val="000000"/>
          <w:kern w:val="2"/>
          <w:sz w:val="24"/>
          <w:szCs w:val="24"/>
          <w:u w:val="single"/>
          <w:lang w:val="en-US" w:eastAsia="zh-CN" w:bidi="ar-SA"/>
        </w:rPr>
        <w:t>无特殊约定，执行通用条款</w:t>
      </w:r>
      <w:r>
        <w:rPr>
          <w:rFonts w:hint="eastAsia" w:ascii="宋体" w:hAnsi="宋体" w:eastAsia="宋体" w:cs="宋体"/>
          <w:color w:val="000000"/>
          <w:kern w:val="2"/>
          <w:sz w:val="24"/>
          <w:szCs w:val="24"/>
          <w:lang w:val="en-US" w:eastAsia="zh-CN" w:bidi="ar-SA"/>
        </w:rPr>
        <w:t>。</w:t>
      </w:r>
    </w:p>
    <w:p w14:paraId="25D9885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12.4.4 进度款审核和支付（修改时间）</w:t>
      </w:r>
    </w:p>
    <w:p w14:paraId="3B1A1C0D">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（1）监理人审查并报送发包人的期限：</w:t>
      </w:r>
      <w:r>
        <w:rPr>
          <w:rFonts w:hint="eastAsia" w:ascii="宋体" w:hAnsi="宋体" w:eastAsia="宋体" w:cs="宋体"/>
          <w:color w:val="000000"/>
          <w:kern w:val="2"/>
          <w:sz w:val="24"/>
          <w:szCs w:val="24"/>
          <w:u w:val="single"/>
          <w:lang w:val="en-US" w:eastAsia="zh-CN" w:bidi="ar-SA"/>
        </w:rPr>
        <w:t>承包人向监理人提交的所有关计量和支付的报告或申请，监理人的审核时间为收到全部资料后的15个工作日内</w:t>
      </w:r>
      <w:r>
        <w:rPr>
          <w:rFonts w:hint="eastAsia" w:ascii="宋体" w:hAnsi="宋体" w:eastAsia="宋体" w:cs="宋体"/>
          <w:color w:val="000000"/>
          <w:kern w:val="2"/>
          <w:sz w:val="24"/>
          <w:szCs w:val="24"/>
          <w:lang w:val="en-US" w:eastAsia="zh-CN" w:bidi="ar-SA"/>
        </w:rPr>
        <w:t>。</w:t>
      </w:r>
    </w:p>
    <w:p w14:paraId="7AF5F61F">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发包人完成审批并签发进度款支付证书的期限：</w:t>
      </w:r>
      <w:r>
        <w:rPr>
          <w:rFonts w:hint="eastAsia" w:ascii="宋体" w:hAnsi="宋体" w:eastAsia="宋体" w:cs="宋体"/>
          <w:color w:val="000000"/>
          <w:kern w:val="2"/>
          <w:sz w:val="24"/>
          <w:szCs w:val="24"/>
          <w:u w:val="single"/>
          <w:lang w:val="en-US" w:eastAsia="zh-CN" w:bidi="ar-SA"/>
        </w:rPr>
        <w:t xml:space="preserve">无特殊约定，执行通用条款 </w:t>
      </w:r>
      <w:r>
        <w:rPr>
          <w:rFonts w:hint="eastAsia" w:ascii="宋体" w:hAnsi="宋体" w:eastAsia="宋体" w:cs="宋体"/>
          <w:color w:val="000000"/>
          <w:kern w:val="2"/>
          <w:sz w:val="24"/>
          <w:szCs w:val="24"/>
          <w:lang w:val="en-US" w:eastAsia="zh-CN" w:bidi="ar-SA"/>
        </w:rPr>
        <w:t>。</w:t>
      </w:r>
    </w:p>
    <w:p w14:paraId="1BAE6FA5">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（2）发包人支付进度款的期限：</w:t>
      </w:r>
      <w:r>
        <w:rPr>
          <w:rFonts w:hint="eastAsia" w:ascii="宋体" w:hAnsi="宋体" w:eastAsia="宋体" w:cs="宋体"/>
          <w:color w:val="000000"/>
          <w:kern w:val="2"/>
          <w:sz w:val="24"/>
          <w:szCs w:val="24"/>
          <w:u w:val="single"/>
          <w:lang w:val="en-US" w:eastAsia="zh-CN" w:bidi="ar-SA"/>
        </w:rPr>
        <w:t>发包人确认付款金额且承包人提供了发票、付款申请单后10个工作日。</w:t>
      </w:r>
    </w:p>
    <w:p w14:paraId="3F07E20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发包人逾期支付进度款的违约金的计算方式：</w:t>
      </w:r>
      <w:r>
        <w:rPr>
          <w:rFonts w:hint="eastAsia" w:ascii="宋体" w:hAnsi="宋体" w:eastAsia="宋体" w:cs="宋体"/>
          <w:color w:val="000000"/>
          <w:kern w:val="2"/>
          <w:sz w:val="24"/>
          <w:szCs w:val="24"/>
          <w:u w:val="single"/>
          <w:lang w:val="en-US" w:eastAsia="zh-CN" w:bidi="ar-SA"/>
        </w:rPr>
        <w:t>本项目不适用</w:t>
      </w:r>
      <w:r>
        <w:rPr>
          <w:rFonts w:hint="eastAsia" w:ascii="宋体" w:hAnsi="宋体" w:eastAsia="宋体" w:cs="宋体"/>
          <w:color w:val="000000"/>
          <w:kern w:val="2"/>
          <w:sz w:val="24"/>
          <w:szCs w:val="24"/>
          <w:lang w:val="en-US" w:eastAsia="zh-CN" w:bidi="ar-SA"/>
        </w:rPr>
        <w:t>。</w:t>
      </w:r>
    </w:p>
    <w:p w14:paraId="2A0802D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12.4.5 支付分解表的编制</w:t>
      </w:r>
    </w:p>
    <w:p w14:paraId="5A2E9DB5">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1.总价合同支付分解表的编制与审批：</w:t>
      </w:r>
      <w:r>
        <w:rPr>
          <w:rFonts w:hint="eastAsia" w:ascii="宋体" w:hAnsi="宋体" w:eastAsia="宋体" w:cs="宋体"/>
          <w:color w:val="000000"/>
          <w:kern w:val="2"/>
          <w:sz w:val="24"/>
          <w:szCs w:val="24"/>
          <w:u w:val="single"/>
          <w:lang w:val="en-US" w:eastAsia="zh-CN" w:bidi="ar-SA"/>
        </w:rPr>
        <w:t>本项目不适用</w:t>
      </w:r>
      <w:r>
        <w:rPr>
          <w:rFonts w:hint="eastAsia" w:ascii="宋体" w:hAnsi="宋体" w:eastAsia="宋体" w:cs="宋体"/>
          <w:color w:val="000000"/>
          <w:kern w:val="2"/>
          <w:sz w:val="24"/>
          <w:szCs w:val="24"/>
          <w:lang w:val="en-US" w:eastAsia="zh-CN" w:bidi="ar-SA"/>
        </w:rPr>
        <w:t>。</w:t>
      </w:r>
    </w:p>
    <w:p w14:paraId="6E0768D5">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2.单价合同的总价项目支付分解表的编制与审批：</w:t>
      </w:r>
      <w:r>
        <w:rPr>
          <w:rFonts w:hint="eastAsia" w:ascii="宋体" w:hAnsi="宋体" w:eastAsia="宋体" w:cs="宋体"/>
          <w:color w:val="000000"/>
          <w:kern w:val="2"/>
          <w:sz w:val="24"/>
          <w:szCs w:val="24"/>
          <w:u w:val="single"/>
          <w:lang w:val="en-US" w:eastAsia="zh-CN" w:bidi="ar-SA"/>
        </w:rPr>
        <w:t>本项目不适用</w:t>
      </w:r>
      <w:r>
        <w:rPr>
          <w:rFonts w:hint="eastAsia" w:ascii="宋体" w:hAnsi="宋体" w:eastAsia="宋体" w:cs="宋体"/>
          <w:color w:val="000000"/>
          <w:kern w:val="2"/>
          <w:sz w:val="24"/>
          <w:szCs w:val="24"/>
          <w:lang w:val="en-US" w:eastAsia="zh-CN" w:bidi="ar-SA"/>
        </w:rPr>
        <w:t xml:space="preserve"> 。</w:t>
      </w:r>
    </w:p>
    <w:bookmarkEnd w:id="2763"/>
    <w:p w14:paraId="42D893B3">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231" w:name="_Toc256003339"/>
      <w:bookmarkStart w:id="3232" w:name="_Toc256000842"/>
      <w:bookmarkStart w:id="3233" w:name="_Toc256001296"/>
      <w:bookmarkStart w:id="3234" w:name="_Toc256004020"/>
      <w:bookmarkStart w:id="3235" w:name="_Toc256002885"/>
      <w:bookmarkStart w:id="3236" w:name="_Toc256001977"/>
      <w:bookmarkStart w:id="3237" w:name="_Toc256003112"/>
      <w:bookmarkStart w:id="3238" w:name="_Toc256000615"/>
      <w:bookmarkStart w:id="3239" w:name="_Toc1569476373"/>
      <w:bookmarkStart w:id="3240" w:name="_Toc256002658"/>
      <w:bookmarkStart w:id="3241" w:name="_Toc256003566"/>
      <w:bookmarkStart w:id="3242" w:name="_Toc256002431"/>
      <w:bookmarkStart w:id="3243" w:name="_Toc256003793"/>
      <w:bookmarkStart w:id="3244" w:name="_Toc1114100005"/>
      <w:bookmarkStart w:id="3245" w:name="_Toc256001069"/>
      <w:bookmarkStart w:id="3246" w:name="_Toc256001523"/>
      <w:bookmarkStart w:id="3247" w:name="_Toc256000161"/>
      <w:bookmarkStart w:id="3248" w:name="_Toc256001750"/>
      <w:bookmarkStart w:id="3249" w:name="_Toc256000388"/>
      <w:bookmarkStart w:id="3250" w:name="_Toc256002204"/>
      <w:bookmarkStart w:id="3251" w:name="_Toc297216223"/>
      <w:bookmarkStart w:id="3252" w:name="_Toc296891047"/>
      <w:bookmarkStart w:id="3253" w:name="_Toc297048405"/>
      <w:bookmarkStart w:id="3254" w:name="_Toc292559424"/>
      <w:bookmarkStart w:id="3255" w:name="_Toc300935015"/>
      <w:bookmarkStart w:id="3256" w:name="_Toc296503219"/>
      <w:bookmarkStart w:id="3257" w:name="_Toc296891259"/>
      <w:bookmarkStart w:id="3258" w:name="_Toc292559929"/>
      <w:bookmarkStart w:id="3259" w:name="_Toc296346720"/>
      <w:bookmarkStart w:id="3260" w:name="_Toc303539172"/>
      <w:bookmarkStart w:id="3261" w:name="_Toc297123564"/>
      <w:bookmarkStart w:id="3262" w:name="_Toc297120519"/>
      <w:bookmarkStart w:id="3263" w:name="_Toc296347218"/>
      <w:bookmarkStart w:id="3264" w:name="_Toc304295593"/>
      <w:bookmarkStart w:id="3265" w:name="_Toc296944558"/>
      <w:bookmarkStart w:id="3266" w:name="_Toc312678053"/>
      <w:r>
        <w:rPr>
          <w:rFonts w:hint="eastAsia" w:ascii="宋体" w:hAnsi="宋体" w:eastAsia="宋体" w:cs="宋体"/>
          <w:b w:val="0"/>
          <w:bCs/>
          <w:color w:val="000000"/>
          <w:kern w:val="2"/>
          <w:sz w:val="24"/>
          <w:szCs w:val="24"/>
          <w:lang w:val="en-US" w:eastAsia="zh-CN" w:bidi="ar-SA"/>
        </w:rPr>
        <w:t>13. 验收和工程试车</w:t>
      </w:r>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14:paraId="77EBFCB6">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267" w:name="_Toc256000843"/>
      <w:bookmarkStart w:id="3268" w:name="_Toc256001524"/>
      <w:bookmarkStart w:id="3269" w:name="_Toc256003567"/>
      <w:bookmarkStart w:id="3270" w:name="_Toc256000162"/>
      <w:bookmarkStart w:id="3271" w:name="_Toc256000616"/>
      <w:bookmarkStart w:id="3272" w:name="_Toc256000389"/>
      <w:bookmarkStart w:id="3273" w:name="_Toc256001070"/>
      <w:bookmarkStart w:id="3274" w:name="_Toc256001751"/>
      <w:bookmarkStart w:id="3275" w:name="_Toc750296361"/>
      <w:bookmarkStart w:id="3276" w:name="_Toc256002886"/>
      <w:bookmarkStart w:id="3277" w:name="_Toc396975010"/>
      <w:bookmarkStart w:id="3278" w:name="_Toc256002659"/>
      <w:bookmarkStart w:id="3279" w:name="_Toc256004021"/>
      <w:bookmarkStart w:id="3280" w:name="_Toc256003113"/>
      <w:bookmarkStart w:id="3281" w:name="_Toc256001978"/>
      <w:bookmarkStart w:id="3282" w:name="_Toc256003794"/>
      <w:bookmarkStart w:id="3283" w:name="_Toc17144"/>
      <w:bookmarkStart w:id="3284" w:name="_Toc256003340"/>
      <w:bookmarkStart w:id="3285" w:name="_Toc256002432"/>
      <w:bookmarkStart w:id="3286" w:name="_Toc256001297"/>
      <w:bookmarkStart w:id="3287" w:name="_Toc256002205"/>
      <w:r>
        <w:rPr>
          <w:rFonts w:hint="eastAsia" w:ascii="宋体" w:hAnsi="宋体" w:eastAsia="宋体" w:cs="宋体"/>
          <w:color w:val="000000"/>
          <w:kern w:val="2"/>
          <w:sz w:val="24"/>
          <w:szCs w:val="24"/>
          <w:lang w:val="en-US" w:eastAsia="zh-CN" w:bidi="ar-SA"/>
        </w:rPr>
        <w:t>13.1 分部分项工程验收</w:t>
      </w:r>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p w14:paraId="5ADBD7A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13.1.2 监理人不能按时进行验收时，应提前</w:t>
      </w:r>
      <w:r>
        <w:rPr>
          <w:rFonts w:hint="eastAsia" w:ascii="宋体" w:hAnsi="宋体" w:eastAsia="宋体" w:cs="宋体"/>
          <w:color w:val="000000"/>
          <w:kern w:val="2"/>
          <w:sz w:val="24"/>
          <w:szCs w:val="24"/>
          <w:u w:val="single"/>
          <w:lang w:val="en-US" w:eastAsia="zh-CN" w:bidi="ar-SA"/>
        </w:rPr>
        <w:t>24</w:t>
      </w:r>
      <w:r>
        <w:rPr>
          <w:rFonts w:hint="eastAsia" w:ascii="宋体" w:hAnsi="宋体" w:eastAsia="宋体" w:cs="宋体"/>
          <w:color w:val="000000"/>
          <w:kern w:val="2"/>
          <w:sz w:val="24"/>
          <w:szCs w:val="24"/>
          <w:lang w:val="en-US" w:eastAsia="zh-CN" w:bidi="ar-SA"/>
        </w:rPr>
        <w:t>小时提交书面延期要求。</w:t>
      </w:r>
    </w:p>
    <w:p w14:paraId="153E4FC2">
      <w:pPr>
        <w:widowControl w:val="0"/>
        <w:spacing w:line="400" w:lineRule="exact"/>
        <w:ind w:firstLine="480" w:firstLineChars="200"/>
        <w:jc w:val="left"/>
        <w:rPr>
          <w:rFonts w:ascii="宋体" w:hAnsi="宋体" w:eastAsia="宋体" w:cs="宋体"/>
          <w:b/>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关于延期最长不得超过：</w:t>
      </w:r>
      <w:r>
        <w:rPr>
          <w:rFonts w:hint="eastAsia" w:ascii="宋体" w:hAnsi="宋体" w:eastAsia="宋体" w:cs="宋体"/>
          <w:color w:val="000000"/>
          <w:kern w:val="2"/>
          <w:sz w:val="24"/>
          <w:szCs w:val="24"/>
          <w:u w:val="single"/>
          <w:lang w:val="en-US" w:eastAsia="zh-CN" w:bidi="ar-SA"/>
        </w:rPr>
        <w:t>48</w:t>
      </w:r>
      <w:r>
        <w:rPr>
          <w:rFonts w:hint="eastAsia" w:ascii="宋体" w:hAnsi="宋体" w:eastAsia="宋体" w:cs="宋体"/>
          <w:color w:val="000000"/>
          <w:kern w:val="2"/>
          <w:sz w:val="24"/>
          <w:szCs w:val="24"/>
          <w:lang w:val="en-US" w:eastAsia="zh-CN" w:bidi="ar-SA"/>
        </w:rPr>
        <w:t>小时。</w:t>
      </w:r>
    </w:p>
    <w:p w14:paraId="5C33FFF6">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288" w:name="_Toc256004022"/>
      <w:bookmarkStart w:id="3289" w:name="_Toc256002206"/>
      <w:bookmarkStart w:id="3290" w:name="_Toc256002660"/>
      <w:bookmarkStart w:id="3291" w:name="_Toc256001979"/>
      <w:bookmarkStart w:id="3292" w:name="_Toc256000844"/>
      <w:bookmarkStart w:id="3293" w:name="_Toc256000163"/>
      <w:bookmarkStart w:id="3294" w:name="_Toc256003568"/>
      <w:bookmarkStart w:id="3295" w:name="_Toc282243333"/>
      <w:bookmarkStart w:id="3296" w:name="_Toc256001071"/>
      <w:bookmarkStart w:id="3297" w:name="_Toc256003795"/>
      <w:bookmarkStart w:id="3298" w:name="_Toc256001298"/>
      <w:bookmarkStart w:id="3299" w:name="_Toc256000390"/>
      <w:bookmarkStart w:id="3300" w:name="_Toc12180"/>
      <w:bookmarkStart w:id="3301" w:name="_Toc1898612073"/>
      <w:bookmarkStart w:id="3302" w:name="_Toc256002433"/>
      <w:bookmarkStart w:id="3303" w:name="_Toc256003341"/>
      <w:bookmarkStart w:id="3304" w:name="_Toc256000617"/>
      <w:bookmarkStart w:id="3305" w:name="_Toc256001752"/>
      <w:bookmarkStart w:id="3306" w:name="_Toc256003114"/>
      <w:bookmarkStart w:id="3307" w:name="_Toc256002887"/>
      <w:bookmarkStart w:id="3308" w:name="_Toc256001525"/>
      <w:bookmarkStart w:id="3309" w:name="_Toc297216224"/>
      <w:bookmarkStart w:id="3310" w:name="_Toc297123565"/>
      <w:bookmarkStart w:id="3311" w:name="_Toc296891263"/>
      <w:bookmarkStart w:id="3312" w:name="_Toc303539173"/>
      <w:bookmarkStart w:id="3313" w:name="_Toc304295596"/>
      <w:bookmarkStart w:id="3314" w:name="_Toc296503223"/>
      <w:bookmarkStart w:id="3315" w:name="_Toc312678056"/>
      <w:bookmarkStart w:id="3316" w:name="_Toc292559933"/>
      <w:bookmarkStart w:id="3317" w:name="_Toc296891051"/>
      <w:bookmarkStart w:id="3318" w:name="_Toc297048409"/>
      <w:bookmarkStart w:id="3319" w:name="_Toc300935016"/>
      <w:bookmarkStart w:id="3320" w:name="_Toc296346724"/>
      <w:bookmarkStart w:id="3321" w:name="_Toc292559428"/>
      <w:bookmarkStart w:id="3322" w:name="_Toc296347222"/>
      <w:bookmarkStart w:id="3323" w:name="_Toc296944562"/>
      <w:bookmarkStart w:id="3324" w:name="_Toc297120523"/>
      <w:bookmarkStart w:id="3325" w:name="_Toc267251473"/>
      <w:bookmarkStart w:id="3326" w:name="_Toc267251476"/>
      <w:bookmarkStart w:id="3327" w:name="_Toc267251475"/>
      <w:bookmarkStart w:id="3328" w:name="_Toc267251470"/>
      <w:bookmarkStart w:id="3329" w:name="_Toc267251472"/>
      <w:bookmarkStart w:id="3330" w:name="_Toc267251474"/>
      <w:bookmarkStart w:id="3331" w:name="_Toc267251471"/>
      <w:r>
        <w:rPr>
          <w:rFonts w:hint="eastAsia" w:ascii="宋体" w:hAnsi="宋体" w:eastAsia="宋体" w:cs="宋体"/>
          <w:color w:val="000000"/>
          <w:kern w:val="2"/>
          <w:sz w:val="24"/>
          <w:szCs w:val="24"/>
          <w:lang w:val="en-US" w:eastAsia="zh-CN" w:bidi="ar-SA"/>
        </w:rPr>
        <w:t>13.2 竣工验收</w:t>
      </w:r>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p>
    <w:p w14:paraId="30DA2E56">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3332" w:name="_Toc256003115"/>
      <w:bookmarkStart w:id="3333" w:name="_Toc256004023"/>
      <w:bookmarkStart w:id="3334" w:name="_Toc256000618"/>
      <w:bookmarkStart w:id="3335" w:name="_Toc256001753"/>
      <w:bookmarkStart w:id="3336" w:name="_Toc317308676"/>
      <w:bookmarkStart w:id="3337" w:name="_Toc256001072"/>
      <w:bookmarkStart w:id="3338" w:name="_Toc256000845"/>
      <w:bookmarkStart w:id="3339" w:name="_Toc256002661"/>
      <w:bookmarkStart w:id="3340" w:name="_Toc256002207"/>
      <w:bookmarkStart w:id="3341" w:name="_Toc256000164"/>
      <w:bookmarkStart w:id="3342" w:name="_Toc256003569"/>
      <w:bookmarkStart w:id="3343" w:name="_Toc256001980"/>
      <w:bookmarkStart w:id="3344" w:name="_Toc256001299"/>
      <w:bookmarkStart w:id="3345" w:name="_Toc256000391"/>
      <w:bookmarkStart w:id="3346" w:name="_Toc256003342"/>
      <w:bookmarkStart w:id="3347" w:name="_Toc559507805"/>
      <w:bookmarkStart w:id="3348" w:name="_Toc256002434"/>
      <w:bookmarkStart w:id="3349" w:name="_Toc256003796"/>
      <w:bookmarkStart w:id="3350" w:name="_Toc256001526"/>
      <w:bookmarkStart w:id="3351" w:name="_Toc256002888"/>
      <w:r>
        <w:rPr>
          <w:rFonts w:hint="eastAsia" w:ascii="宋体" w:hAnsi="宋体" w:eastAsia="宋体" w:cs="宋体"/>
          <w:color w:val="000000"/>
          <w:kern w:val="0"/>
          <w:sz w:val="24"/>
          <w:szCs w:val="24"/>
          <w:lang w:val="en-US" w:eastAsia="zh-CN" w:bidi="ar-SA"/>
        </w:rPr>
        <w:t>本款补充13.2.1、修改13.2.5。</w:t>
      </w:r>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p>
    <w:p w14:paraId="73602B6A">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3352" w:name="_Toc256001754"/>
      <w:bookmarkStart w:id="3353" w:name="_Toc256003570"/>
      <w:bookmarkStart w:id="3354" w:name="_Toc256001527"/>
      <w:bookmarkStart w:id="3355" w:name="_Toc256002208"/>
      <w:bookmarkStart w:id="3356" w:name="_Toc256000619"/>
      <w:bookmarkStart w:id="3357" w:name="_Toc256000392"/>
      <w:bookmarkStart w:id="3358" w:name="_Toc1027479745"/>
      <w:bookmarkStart w:id="3359" w:name="_Toc256001981"/>
      <w:bookmarkStart w:id="3360" w:name="_Toc256003116"/>
      <w:bookmarkStart w:id="3361" w:name="_Toc256002435"/>
      <w:bookmarkStart w:id="3362" w:name="_Toc256004024"/>
      <w:bookmarkStart w:id="3363" w:name="_Toc256001073"/>
      <w:bookmarkStart w:id="3364" w:name="_Toc256002662"/>
      <w:bookmarkStart w:id="3365" w:name="_Toc256003797"/>
      <w:bookmarkStart w:id="3366" w:name="_Toc256000165"/>
      <w:bookmarkStart w:id="3367" w:name="_Toc256003343"/>
      <w:bookmarkStart w:id="3368" w:name="_Toc256002889"/>
      <w:bookmarkStart w:id="3369" w:name="_Toc256000846"/>
      <w:bookmarkStart w:id="3370" w:name="_Toc276351635"/>
      <w:bookmarkStart w:id="3371" w:name="_Toc256001300"/>
      <w:r>
        <w:rPr>
          <w:rFonts w:hint="eastAsia" w:ascii="宋体" w:hAnsi="宋体" w:eastAsia="宋体" w:cs="宋体"/>
          <w:color w:val="000000"/>
          <w:kern w:val="2"/>
          <w:sz w:val="24"/>
          <w:szCs w:val="24"/>
          <w:lang w:val="en-US" w:eastAsia="zh-CN" w:bidi="ar-SA"/>
        </w:rPr>
        <w:t xml:space="preserve">13.2.1 </w:t>
      </w:r>
      <w:r>
        <w:rPr>
          <w:rFonts w:hint="eastAsia" w:ascii="宋体" w:hAnsi="宋体" w:eastAsia="宋体" w:cs="宋体"/>
          <w:color w:val="000000"/>
          <w:kern w:val="0"/>
          <w:sz w:val="24"/>
          <w:szCs w:val="24"/>
          <w:lang w:val="en-US" w:eastAsia="zh-CN" w:bidi="ar-SA"/>
        </w:rPr>
        <w:t>竣工验收条件</w:t>
      </w:r>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14:paraId="2C5F245A">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3372" w:name="_Toc256003344"/>
      <w:bookmarkStart w:id="3373" w:name="_Toc1893941971"/>
      <w:bookmarkStart w:id="3374" w:name="_Toc256003798"/>
      <w:bookmarkStart w:id="3375" w:name="_Toc256004025"/>
      <w:bookmarkStart w:id="3376" w:name="_Toc256003117"/>
      <w:bookmarkStart w:id="3377" w:name="_Toc1418190231"/>
      <w:bookmarkStart w:id="3378" w:name="_Toc256001755"/>
      <w:bookmarkStart w:id="3379" w:name="_Toc256000393"/>
      <w:bookmarkStart w:id="3380" w:name="_Toc256001528"/>
      <w:bookmarkStart w:id="3381" w:name="_Toc256000620"/>
      <w:bookmarkStart w:id="3382" w:name="_Toc256003571"/>
      <w:bookmarkStart w:id="3383" w:name="_Toc256001301"/>
      <w:bookmarkStart w:id="3384" w:name="_Toc256001074"/>
      <w:bookmarkStart w:id="3385" w:name="_Toc256000166"/>
      <w:bookmarkStart w:id="3386" w:name="_Toc256002890"/>
      <w:bookmarkStart w:id="3387" w:name="_Toc256002209"/>
      <w:bookmarkStart w:id="3388" w:name="_Toc256002436"/>
      <w:bookmarkStart w:id="3389" w:name="_Toc256001982"/>
      <w:bookmarkStart w:id="3390" w:name="_Toc256002663"/>
      <w:bookmarkStart w:id="3391" w:name="_Toc256000847"/>
      <w:r>
        <w:rPr>
          <w:rFonts w:hint="eastAsia" w:ascii="宋体" w:hAnsi="宋体" w:eastAsia="宋体" w:cs="宋体"/>
          <w:color w:val="000000"/>
          <w:kern w:val="0"/>
          <w:sz w:val="24"/>
          <w:szCs w:val="24"/>
          <w:lang w:val="en-US" w:eastAsia="zh-CN" w:bidi="ar-SA"/>
        </w:rPr>
        <w:t>（3）竣工资料内容和份数：。</w:t>
      </w:r>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Start w:id="3392" w:name="_Toc280868704"/>
      <w:bookmarkStart w:id="3393" w:name="_Toc280868705"/>
      <w:bookmarkStart w:id="3394" w:name="_Toc280868706"/>
      <w:bookmarkStart w:id="3395" w:name="_Toc280868707"/>
      <w:bookmarkStart w:id="3396" w:name="_Toc280868708"/>
      <w:bookmarkStart w:id="3397" w:name="_Toc280868709"/>
    </w:p>
    <w:p w14:paraId="19A4D8DE">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398" w:name="_Toc1570375781"/>
      <w:bookmarkStart w:id="3399" w:name="_Toc256004026"/>
      <w:bookmarkStart w:id="3400" w:name="_Toc256001756"/>
      <w:bookmarkStart w:id="3401" w:name="_Toc256000394"/>
      <w:bookmarkStart w:id="3402" w:name="_Toc256002210"/>
      <w:bookmarkStart w:id="3403" w:name="_Toc1822546722"/>
      <w:bookmarkStart w:id="3404" w:name="_Toc256002664"/>
      <w:bookmarkStart w:id="3405" w:name="_Toc256001529"/>
      <w:bookmarkStart w:id="3406" w:name="_Toc256001983"/>
      <w:bookmarkStart w:id="3407" w:name="_Toc256001302"/>
      <w:bookmarkStart w:id="3408" w:name="_Toc256002891"/>
      <w:bookmarkStart w:id="3409" w:name="_Toc256000848"/>
      <w:bookmarkStart w:id="3410" w:name="_Toc256003572"/>
      <w:bookmarkStart w:id="3411" w:name="_Toc256000167"/>
      <w:bookmarkStart w:id="3412" w:name="_Toc256000621"/>
      <w:bookmarkStart w:id="3413" w:name="_Toc256002437"/>
      <w:bookmarkStart w:id="3414" w:name="_Toc256003345"/>
      <w:bookmarkStart w:id="3415" w:name="_Toc256003118"/>
      <w:bookmarkStart w:id="3416" w:name="_Toc256003799"/>
      <w:bookmarkStart w:id="3417" w:name="_Toc256001075"/>
      <w:r>
        <w:rPr>
          <w:rFonts w:hint="eastAsia" w:ascii="宋体" w:hAnsi="宋体" w:eastAsia="宋体" w:cs="宋体"/>
          <w:color w:val="000000"/>
          <w:kern w:val="2"/>
          <w:sz w:val="24"/>
          <w:szCs w:val="24"/>
          <w:lang w:val="en-US" w:eastAsia="zh-CN" w:bidi="ar-SA"/>
        </w:rPr>
        <w:t>13.2.2 竣工验收程序</w:t>
      </w:r>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p>
    <w:bookmarkEnd w:id="3392"/>
    <w:p w14:paraId="502568AB">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0"/>
          <w:sz w:val="24"/>
          <w:szCs w:val="24"/>
          <w:lang w:val="en-US" w:eastAsia="zh-CN" w:bidi="ar-SA"/>
        </w:rPr>
        <w:t>关于竣工验收程序的约定：</w:t>
      </w:r>
      <w:r>
        <w:rPr>
          <w:rFonts w:hint="eastAsia" w:ascii="宋体" w:hAnsi="宋体" w:eastAsia="宋体" w:cs="宋体"/>
          <w:color w:val="000000"/>
          <w:kern w:val="0"/>
          <w:sz w:val="24"/>
          <w:szCs w:val="24"/>
          <w:u w:val="single"/>
          <w:lang w:val="en-US" w:eastAsia="zh-CN" w:bidi="ar-SA"/>
        </w:rPr>
        <w:t>通用条款中所有“日”、“天”均为日历天，其余执行通用条款</w:t>
      </w:r>
      <w:r>
        <w:rPr>
          <w:rFonts w:hint="eastAsia" w:ascii="宋体" w:hAnsi="宋体" w:eastAsia="宋体" w:cs="宋体"/>
          <w:color w:val="000000"/>
          <w:kern w:val="2"/>
          <w:sz w:val="24"/>
          <w:szCs w:val="24"/>
          <w:lang w:val="en-US" w:eastAsia="zh-CN" w:bidi="ar-SA"/>
        </w:rPr>
        <w:t>。</w:t>
      </w:r>
    </w:p>
    <w:p w14:paraId="2489D51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发包人不按照本项约定组织竣工验收、颁发工程接收证书的违约金的计算方法：</w:t>
      </w:r>
      <w:r>
        <w:rPr>
          <w:rFonts w:hint="eastAsia" w:ascii="宋体" w:hAnsi="宋体" w:eastAsia="宋体" w:cs="宋体"/>
          <w:color w:val="000000"/>
          <w:kern w:val="0"/>
          <w:sz w:val="24"/>
          <w:szCs w:val="24"/>
          <w:u w:val="single"/>
          <w:lang w:val="en-US" w:eastAsia="zh-CN" w:bidi="ar-SA"/>
        </w:rPr>
        <w:t>通用条款中所有“日”、“天”均为日历天，其余执行通用条款</w:t>
      </w:r>
      <w:r>
        <w:rPr>
          <w:rFonts w:hint="eastAsia" w:ascii="宋体" w:hAnsi="宋体" w:eastAsia="宋体" w:cs="宋体"/>
          <w:color w:val="000000"/>
          <w:kern w:val="2"/>
          <w:sz w:val="24"/>
          <w:szCs w:val="24"/>
          <w:lang w:val="en-US" w:eastAsia="zh-CN" w:bidi="ar-SA"/>
        </w:rPr>
        <w:t>。</w:t>
      </w:r>
    </w:p>
    <w:bookmarkEnd w:id="3393"/>
    <w:p w14:paraId="030CFD3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13.2.5 移交、接收全部与部分工程</w:t>
      </w:r>
    </w:p>
    <w:p w14:paraId="61595D68">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绿化工程移交期限：</w:t>
      </w:r>
      <w:bookmarkEnd w:id="3394"/>
      <w:r>
        <w:rPr>
          <w:rFonts w:hint="eastAsia" w:ascii="宋体" w:hAnsi="宋体" w:eastAsia="宋体" w:cs="宋体"/>
          <w:color w:val="000000"/>
          <w:kern w:val="2"/>
          <w:sz w:val="24"/>
          <w:szCs w:val="24"/>
          <w:u w:val="single"/>
          <w:lang w:val="en-US" w:eastAsia="zh-CN" w:bidi="ar-SA"/>
        </w:rPr>
        <w:t xml:space="preserve"> 执行通用条款  </w:t>
      </w:r>
      <w:r>
        <w:rPr>
          <w:rFonts w:hint="eastAsia" w:ascii="宋体" w:hAnsi="宋体" w:eastAsia="宋体" w:cs="宋体"/>
          <w:color w:val="000000"/>
          <w:kern w:val="2"/>
          <w:sz w:val="24"/>
          <w:szCs w:val="24"/>
          <w:lang w:val="en-US" w:eastAsia="zh-CN" w:bidi="ar-SA"/>
        </w:rPr>
        <w:t>。</w:t>
      </w:r>
    </w:p>
    <w:p w14:paraId="5375ECF0">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其他工程移交</w:t>
      </w:r>
      <w:r>
        <w:rPr>
          <w:rFonts w:hint="eastAsia" w:ascii="宋体" w:hAnsi="宋体" w:eastAsia="宋体" w:cs="宋体"/>
          <w:color w:val="000000"/>
          <w:kern w:val="2"/>
          <w:sz w:val="24"/>
          <w:szCs w:val="24"/>
          <w:lang w:val="en-US" w:eastAsia="zh-CN" w:bidi="ar-SA"/>
        </w:rPr>
        <w:t>期限</w:t>
      </w: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kern w:val="2"/>
          <w:sz w:val="24"/>
          <w:szCs w:val="24"/>
          <w:lang w:val="en-US" w:eastAsia="zh-CN" w:bidi="ar-SA"/>
        </w:rPr>
        <w:t>。</w:t>
      </w:r>
    </w:p>
    <w:p w14:paraId="14DD4837">
      <w:pPr>
        <w:widowControl w:val="0"/>
        <w:spacing w:line="400" w:lineRule="exact"/>
        <w:ind w:firstLine="480" w:firstLineChars="2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0"/>
          <w:sz w:val="24"/>
          <w:szCs w:val="24"/>
          <w:lang w:val="en-US" w:eastAsia="zh-CN" w:bidi="ar-SA"/>
        </w:rPr>
        <w:t>发包人未按本合同约定接收全部或部分工程的，违约金的计算方法为：</w:t>
      </w:r>
      <w:r>
        <w:rPr>
          <w:rFonts w:hint="eastAsia" w:ascii="宋体" w:hAnsi="宋体" w:eastAsia="宋体" w:cs="宋体"/>
          <w:color w:val="000000"/>
          <w:kern w:val="0"/>
          <w:sz w:val="24"/>
          <w:szCs w:val="24"/>
          <w:u w:val="single"/>
          <w:lang w:val="en-US" w:eastAsia="zh-CN" w:bidi="ar-SA"/>
        </w:rPr>
        <w:t xml:space="preserve"> 本项目不适用 </w:t>
      </w:r>
      <w:r>
        <w:rPr>
          <w:rFonts w:hint="eastAsia" w:ascii="宋体" w:hAnsi="宋体" w:eastAsia="宋体" w:cs="宋体"/>
          <w:color w:val="000000"/>
          <w:kern w:val="2"/>
          <w:sz w:val="24"/>
          <w:szCs w:val="24"/>
          <w:lang w:val="en-US" w:eastAsia="zh-CN" w:bidi="ar-SA"/>
        </w:rPr>
        <w:t>。</w:t>
      </w:r>
    </w:p>
    <w:bookmarkEnd w:id="3395"/>
    <w:p w14:paraId="5CAB63A3">
      <w:pPr>
        <w:widowControl w:val="0"/>
        <w:spacing w:line="400" w:lineRule="exact"/>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承包人未按时移交工程的，违约金的计算方法为：承包人未按时移交工程的，违约金的计算方法为：按本合同7.5.2因承包人原因导致工期延误标准执行。</w:t>
      </w:r>
    </w:p>
    <w:p w14:paraId="360B902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13.3 工程试车</w:t>
      </w:r>
    </w:p>
    <w:p w14:paraId="011FBE66">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13.3.1 试车程序</w:t>
      </w:r>
    </w:p>
    <w:p w14:paraId="1A83353B">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工程试车内容：</w:t>
      </w:r>
      <w:r>
        <w:rPr>
          <w:rFonts w:hint="eastAsia" w:ascii="宋体" w:hAnsi="宋体" w:eastAsia="宋体" w:cs="宋体"/>
          <w:color w:val="000000"/>
          <w:kern w:val="0"/>
          <w:sz w:val="24"/>
          <w:szCs w:val="24"/>
          <w:u w:val="single"/>
          <w:lang w:val="en-US" w:eastAsia="zh-CN" w:bidi="ar-SA"/>
        </w:rPr>
        <w:t>本工程不适用</w:t>
      </w:r>
      <w:r>
        <w:rPr>
          <w:rFonts w:hint="eastAsia" w:ascii="宋体" w:hAnsi="宋体" w:eastAsia="宋体" w:cs="宋体"/>
          <w:color w:val="000000"/>
          <w:kern w:val="2"/>
          <w:sz w:val="24"/>
          <w:szCs w:val="24"/>
          <w:lang w:val="en-US" w:eastAsia="zh-CN" w:bidi="ar-SA"/>
        </w:rPr>
        <w:t>。</w:t>
      </w:r>
    </w:p>
    <w:p w14:paraId="2D5B903C">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（1）单机无负荷试车费用由</w:t>
      </w:r>
      <w:r>
        <w:rPr>
          <w:rFonts w:hint="eastAsia" w:ascii="宋体" w:hAnsi="宋体" w:eastAsia="宋体" w:cs="宋体"/>
          <w:color w:val="000000"/>
          <w:kern w:val="0"/>
          <w:sz w:val="24"/>
          <w:szCs w:val="24"/>
          <w:u w:val="single"/>
          <w:lang w:val="en-US" w:eastAsia="zh-CN" w:bidi="ar-SA"/>
        </w:rPr>
        <w:t>本工程不适用</w:t>
      </w:r>
      <w:r>
        <w:rPr>
          <w:rFonts w:hint="eastAsia" w:ascii="宋体" w:hAnsi="宋体" w:eastAsia="宋体" w:cs="宋体"/>
          <w:color w:val="000000"/>
          <w:kern w:val="0"/>
          <w:sz w:val="24"/>
          <w:szCs w:val="24"/>
          <w:lang w:val="en-US" w:eastAsia="zh-CN" w:bidi="ar-SA"/>
        </w:rPr>
        <w:t>承担；</w:t>
      </w:r>
    </w:p>
    <w:p w14:paraId="6AC752D0">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（2）无负荷联动试车费用由</w:t>
      </w:r>
      <w:r>
        <w:rPr>
          <w:rFonts w:hint="eastAsia" w:ascii="宋体" w:hAnsi="宋体" w:eastAsia="宋体" w:cs="宋体"/>
          <w:color w:val="000000"/>
          <w:kern w:val="0"/>
          <w:sz w:val="24"/>
          <w:szCs w:val="24"/>
          <w:u w:val="single"/>
          <w:lang w:val="en-US" w:eastAsia="zh-CN" w:bidi="ar-SA"/>
        </w:rPr>
        <w:t>本工程不适用</w:t>
      </w:r>
      <w:r>
        <w:rPr>
          <w:rFonts w:hint="eastAsia" w:ascii="宋体" w:hAnsi="宋体" w:eastAsia="宋体" w:cs="宋体"/>
          <w:color w:val="000000"/>
          <w:kern w:val="0"/>
          <w:sz w:val="24"/>
          <w:szCs w:val="24"/>
          <w:lang w:val="en-US" w:eastAsia="zh-CN" w:bidi="ar-SA"/>
        </w:rPr>
        <w:t>承担。</w:t>
      </w:r>
    </w:p>
    <w:p w14:paraId="1E7C7D13">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13.3.3 投料试车</w:t>
      </w:r>
    </w:p>
    <w:p w14:paraId="23630CF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关于投料试车相关事项的约定：</w:t>
      </w:r>
      <w:r>
        <w:rPr>
          <w:rFonts w:hint="eastAsia" w:ascii="宋体" w:hAnsi="宋体" w:eastAsia="宋体" w:cs="宋体"/>
          <w:color w:val="000000"/>
          <w:kern w:val="0"/>
          <w:sz w:val="24"/>
          <w:szCs w:val="24"/>
          <w:u w:val="single"/>
          <w:lang w:val="en-US" w:eastAsia="zh-CN" w:bidi="ar-SA"/>
        </w:rPr>
        <w:t>本工程不适用</w:t>
      </w:r>
      <w:r>
        <w:rPr>
          <w:rFonts w:hint="eastAsia" w:ascii="宋体" w:hAnsi="宋体" w:eastAsia="宋体" w:cs="宋体"/>
          <w:color w:val="000000"/>
          <w:kern w:val="2"/>
          <w:sz w:val="24"/>
          <w:szCs w:val="24"/>
          <w:lang w:val="en-US" w:eastAsia="zh-CN" w:bidi="ar-SA"/>
        </w:rPr>
        <w:t>。</w:t>
      </w:r>
    </w:p>
    <w:bookmarkEnd w:id="3396"/>
    <w:p w14:paraId="4EAC7BA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bookmarkStart w:id="3418" w:name="_Toc19772"/>
      <w:r>
        <w:rPr>
          <w:rFonts w:hint="eastAsia" w:ascii="宋体" w:hAnsi="宋体" w:eastAsia="宋体" w:cs="宋体"/>
          <w:color w:val="000000"/>
          <w:kern w:val="2"/>
          <w:sz w:val="24"/>
          <w:szCs w:val="24"/>
          <w:lang w:val="en-US" w:eastAsia="zh-CN" w:bidi="ar-SA"/>
        </w:rPr>
        <w:t>13.6 竣工退场</w:t>
      </w:r>
      <w:bookmarkEnd w:id="3418"/>
    </w:p>
    <w:p w14:paraId="336BB959">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13.6.1 竣工退场</w:t>
      </w:r>
    </w:p>
    <w:p w14:paraId="0974A2AE">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承包人完成竣工退场的期限：</w:t>
      </w:r>
      <w:r>
        <w:rPr>
          <w:rFonts w:hint="eastAsia" w:ascii="宋体" w:hAnsi="宋体" w:eastAsia="宋体" w:cs="宋体"/>
          <w:color w:val="000000"/>
          <w:kern w:val="0"/>
          <w:sz w:val="24"/>
          <w:szCs w:val="24"/>
          <w:u w:val="single"/>
          <w:lang w:val="en-US" w:eastAsia="zh-CN" w:bidi="ar-SA"/>
        </w:rPr>
        <w:t>竣工验收合格后10日内</w:t>
      </w:r>
      <w:r>
        <w:rPr>
          <w:rFonts w:hint="eastAsia" w:ascii="宋体" w:hAnsi="宋体" w:eastAsia="宋体" w:cs="宋体"/>
          <w:color w:val="000000"/>
          <w:kern w:val="0"/>
          <w:sz w:val="24"/>
          <w:szCs w:val="24"/>
          <w:lang w:val="en-US" w:eastAsia="zh-CN" w:bidi="ar-SA"/>
        </w:rPr>
        <w:t>。</w:t>
      </w:r>
    </w:p>
    <w:p w14:paraId="220476A7">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419" w:name="_Toc256002438"/>
      <w:bookmarkStart w:id="3420" w:name="_Toc256004027"/>
      <w:bookmarkStart w:id="3421" w:name="_Toc256000168"/>
      <w:bookmarkStart w:id="3422" w:name="_Toc256003119"/>
      <w:bookmarkStart w:id="3423" w:name="_Toc256003346"/>
      <w:bookmarkStart w:id="3424" w:name="_Toc256000849"/>
      <w:bookmarkStart w:id="3425" w:name="_Toc256001984"/>
      <w:bookmarkStart w:id="3426" w:name="_Toc256001757"/>
      <w:bookmarkStart w:id="3427" w:name="_Toc1123811034"/>
      <w:bookmarkStart w:id="3428" w:name="_Toc256003800"/>
      <w:bookmarkStart w:id="3429" w:name="_Toc256002211"/>
      <w:bookmarkStart w:id="3430" w:name="_Toc256000395"/>
      <w:bookmarkStart w:id="3431" w:name="_Toc256001530"/>
      <w:bookmarkStart w:id="3432" w:name="_Toc256002892"/>
      <w:bookmarkStart w:id="3433" w:name="_Toc256003573"/>
      <w:bookmarkStart w:id="3434" w:name="_Toc256002665"/>
      <w:bookmarkStart w:id="3435" w:name="_Toc256001303"/>
      <w:bookmarkStart w:id="3436" w:name="_Toc256000622"/>
      <w:bookmarkStart w:id="3437" w:name="_Toc295889295"/>
      <w:bookmarkStart w:id="3438" w:name="_Toc256001076"/>
      <w:r>
        <w:rPr>
          <w:rFonts w:hint="eastAsia" w:ascii="宋体" w:hAnsi="宋体" w:eastAsia="宋体" w:cs="宋体"/>
          <w:b w:val="0"/>
          <w:bCs/>
          <w:color w:val="000000"/>
          <w:kern w:val="2"/>
          <w:sz w:val="24"/>
          <w:szCs w:val="24"/>
          <w:lang w:val="en-US" w:eastAsia="zh-CN" w:bidi="ar-SA"/>
        </w:rPr>
        <w:t>14. 竣工结算</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p>
    <w:p w14:paraId="25E38C22">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439" w:name="_Toc256002893"/>
      <w:bookmarkStart w:id="3440" w:name="_Toc256000623"/>
      <w:bookmarkStart w:id="3441" w:name="_Toc256001758"/>
      <w:bookmarkStart w:id="3442" w:name="_Toc256003347"/>
      <w:bookmarkStart w:id="3443" w:name="_Toc256001531"/>
      <w:bookmarkStart w:id="3444" w:name="_Toc3577"/>
      <w:bookmarkStart w:id="3445" w:name="_Toc256002212"/>
      <w:bookmarkStart w:id="3446" w:name="_Toc256002666"/>
      <w:bookmarkStart w:id="3447" w:name="_Toc256001304"/>
      <w:bookmarkStart w:id="3448" w:name="_Toc256000396"/>
      <w:bookmarkStart w:id="3449" w:name="_Toc256001985"/>
      <w:bookmarkStart w:id="3450" w:name="_Toc256003801"/>
      <w:bookmarkStart w:id="3451" w:name="_Toc256001077"/>
      <w:bookmarkStart w:id="3452" w:name="_Toc256000850"/>
      <w:bookmarkStart w:id="3453" w:name="_Toc1257404679"/>
      <w:bookmarkStart w:id="3454" w:name="_Toc256004028"/>
      <w:bookmarkStart w:id="3455" w:name="_Toc256000169"/>
      <w:bookmarkStart w:id="3456" w:name="_Toc256003574"/>
      <w:bookmarkStart w:id="3457" w:name="_Toc256002439"/>
      <w:bookmarkStart w:id="3458" w:name="_Toc256003120"/>
      <w:bookmarkStart w:id="3459" w:name="_Toc2011892871"/>
      <w:r>
        <w:rPr>
          <w:rFonts w:hint="eastAsia" w:ascii="宋体" w:hAnsi="宋体" w:eastAsia="宋体" w:cs="宋体"/>
          <w:color w:val="000000"/>
          <w:kern w:val="2"/>
          <w:sz w:val="24"/>
          <w:szCs w:val="24"/>
          <w:lang w:val="en-US" w:eastAsia="zh-CN" w:bidi="ar-SA"/>
        </w:rPr>
        <w:t>14.1 竣工结算申请</w:t>
      </w:r>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p>
    <w:p w14:paraId="24DCA82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承包人提交竣工结算申请单的期限：</w:t>
      </w:r>
      <w:r>
        <w:rPr>
          <w:rFonts w:hint="eastAsia" w:ascii="宋体" w:hAnsi="宋体" w:eastAsia="宋体" w:cs="宋体"/>
          <w:color w:val="000000"/>
          <w:kern w:val="0"/>
          <w:sz w:val="24"/>
          <w:szCs w:val="24"/>
          <w:u w:val="single"/>
          <w:lang w:val="en-US" w:eastAsia="zh-CN" w:bidi="ar-SA"/>
        </w:rPr>
        <w:t>无特殊约定，执行通用条款</w:t>
      </w:r>
      <w:r>
        <w:rPr>
          <w:rFonts w:hint="eastAsia" w:ascii="宋体" w:hAnsi="宋体" w:eastAsia="宋体" w:cs="宋体"/>
          <w:color w:val="000000"/>
          <w:kern w:val="2"/>
          <w:sz w:val="24"/>
          <w:szCs w:val="24"/>
          <w:lang w:val="en-US" w:eastAsia="zh-CN" w:bidi="ar-SA"/>
        </w:rPr>
        <w:t>。</w:t>
      </w:r>
    </w:p>
    <w:p w14:paraId="667C0D8E">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竣工结算申请单应包括的内容：</w:t>
      </w:r>
      <w:r>
        <w:rPr>
          <w:rFonts w:hint="eastAsia" w:ascii="宋体" w:hAnsi="宋体" w:eastAsia="宋体" w:cs="宋体"/>
          <w:color w:val="000000"/>
          <w:kern w:val="0"/>
          <w:sz w:val="24"/>
          <w:szCs w:val="24"/>
          <w:u w:val="single"/>
          <w:lang w:val="en-US" w:eastAsia="zh-CN" w:bidi="ar-SA"/>
        </w:rPr>
        <w:t>无特殊约定，执行通用条款</w:t>
      </w:r>
      <w:r>
        <w:rPr>
          <w:rFonts w:hint="eastAsia" w:ascii="宋体" w:hAnsi="宋体" w:eastAsia="宋体" w:cs="宋体"/>
          <w:color w:val="000000"/>
          <w:kern w:val="2"/>
          <w:sz w:val="24"/>
          <w:szCs w:val="24"/>
          <w:lang w:val="en-US" w:eastAsia="zh-CN" w:bidi="ar-SA"/>
        </w:rPr>
        <w:t>。</w:t>
      </w:r>
    </w:p>
    <w:p w14:paraId="28CC6E6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bookmarkStart w:id="3460" w:name="_Toc30710"/>
      <w:r>
        <w:rPr>
          <w:rFonts w:hint="eastAsia" w:ascii="宋体" w:hAnsi="宋体" w:eastAsia="宋体" w:cs="宋体"/>
          <w:color w:val="000000"/>
          <w:kern w:val="2"/>
          <w:sz w:val="24"/>
          <w:szCs w:val="24"/>
          <w:lang w:val="en-US" w:eastAsia="zh-CN" w:bidi="ar-SA"/>
        </w:rPr>
        <w:t>14.2 竣工结算审核</w:t>
      </w:r>
      <w:bookmarkEnd w:id="3460"/>
    </w:p>
    <w:p w14:paraId="6B733AB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本款修改为：</w:t>
      </w:r>
    </w:p>
    <w:p w14:paraId="74764BEF">
      <w:pPr>
        <w:widowControl w:val="0"/>
        <w:spacing w:line="400" w:lineRule="exact"/>
        <w:ind w:left="298" w:leftChars="142" w:firstLine="240" w:firstLineChars="100"/>
        <w:jc w:val="both"/>
        <w:outlineLvl w:val="2"/>
        <w:rPr>
          <w:rFonts w:ascii="宋体" w:hAnsi="宋体" w:eastAsia="宋体" w:cs="宋体"/>
          <w:color w:val="000000"/>
          <w:kern w:val="2"/>
          <w:sz w:val="24"/>
          <w:szCs w:val="24"/>
          <w:lang w:val="en-US" w:eastAsia="zh-CN" w:bidi="ar-SA"/>
        </w:rPr>
      </w:pPr>
      <w:bookmarkStart w:id="3461" w:name="_Toc256004029"/>
      <w:bookmarkStart w:id="3462" w:name="_Toc256000170"/>
      <w:bookmarkStart w:id="3463" w:name="_Toc256002667"/>
      <w:bookmarkStart w:id="3464" w:name="_Toc256001078"/>
      <w:bookmarkStart w:id="3465" w:name="_Toc256001532"/>
      <w:bookmarkStart w:id="3466" w:name="_Toc256003802"/>
      <w:bookmarkStart w:id="3467" w:name="_Toc256002213"/>
      <w:bookmarkStart w:id="3468" w:name="_Toc256003575"/>
      <w:bookmarkStart w:id="3469" w:name="_Toc1509410444"/>
      <w:bookmarkStart w:id="3470" w:name="_Toc256001759"/>
      <w:bookmarkStart w:id="3471" w:name="_Toc256002440"/>
      <w:bookmarkStart w:id="3472" w:name="_Toc256002894"/>
      <w:bookmarkStart w:id="3473" w:name="_Toc2011675479"/>
      <w:bookmarkStart w:id="3474" w:name="_Toc256000624"/>
      <w:bookmarkStart w:id="3475" w:name="_Toc256003121"/>
      <w:bookmarkStart w:id="3476" w:name="_Toc256000397"/>
      <w:bookmarkStart w:id="3477" w:name="_Toc256001305"/>
      <w:bookmarkStart w:id="3478" w:name="_Toc256003348"/>
      <w:bookmarkStart w:id="3479" w:name="_Toc256001986"/>
      <w:bookmarkStart w:id="3480" w:name="_Toc256000851"/>
      <w:r>
        <w:rPr>
          <w:rFonts w:hint="eastAsia" w:ascii="宋体" w:hAnsi="宋体" w:eastAsia="宋体" w:cs="宋体"/>
          <w:color w:val="000000"/>
          <w:kern w:val="2"/>
          <w:sz w:val="24"/>
          <w:szCs w:val="24"/>
          <w:lang w:val="en-US" w:eastAsia="zh-CN" w:bidi="ar-SA"/>
        </w:rPr>
        <w:t>发包人审批竣工付款申请单的期限：</w:t>
      </w:r>
      <w:r>
        <w:rPr>
          <w:rFonts w:hint="eastAsia" w:ascii="宋体" w:hAnsi="宋体" w:eastAsia="宋体" w:cs="宋体"/>
          <w:color w:val="000000"/>
          <w:kern w:val="0"/>
          <w:sz w:val="24"/>
          <w:szCs w:val="24"/>
          <w:u w:val="single"/>
          <w:lang w:val="en-US" w:eastAsia="zh-CN" w:bidi="ar-SA"/>
        </w:rPr>
        <w:t>发包人收到承包人递交完整的竣工结算报告及结算资料经发包人审查合格后送审，结算审计流程及时间按发包人有关要求执行，审计结束后以审计报告为准，按照合同约定支付相应工程款</w:t>
      </w:r>
      <w:r>
        <w:rPr>
          <w:rFonts w:hint="eastAsia" w:ascii="宋体" w:hAnsi="宋体" w:eastAsia="宋体" w:cs="宋体"/>
          <w:color w:val="000000"/>
          <w:kern w:val="2"/>
          <w:sz w:val="24"/>
          <w:szCs w:val="24"/>
          <w:lang w:val="en-US" w:eastAsia="zh-CN" w:bidi="ar-SA"/>
        </w:rPr>
        <w:t>。</w:t>
      </w:r>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p>
    <w:p w14:paraId="630A6EA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发包人完成竣工付款的期限：按付款周期执行。</w:t>
      </w:r>
    </w:p>
    <w:p w14:paraId="15CEFF5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关于竣工付款证书异议部分复核的方式和程序：。</w:t>
      </w:r>
    </w:p>
    <w:p w14:paraId="20A624B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bookmarkStart w:id="3481" w:name="_Toc10781"/>
      <w:r>
        <w:rPr>
          <w:rFonts w:hint="eastAsia" w:ascii="宋体" w:hAnsi="宋体" w:eastAsia="宋体" w:cs="宋体"/>
          <w:color w:val="000000"/>
          <w:kern w:val="2"/>
          <w:sz w:val="24"/>
          <w:szCs w:val="24"/>
          <w:lang w:val="en-US" w:eastAsia="zh-CN" w:bidi="ar-SA"/>
        </w:rPr>
        <w:t>14.4 最终结清</w:t>
      </w:r>
      <w:bookmarkEnd w:id="3481"/>
    </w:p>
    <w:p w14:paraId="351760BC">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14.4.1 最终结清申请单</w:t>
      </w:r>
    </w:p>
    <w:p w14:paraId="7DEE5CDB">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承包人提交最终结清申请单的份数：</w:t>
      </w:r>
      <w:r>
        <w:rPr>
          <w:rFonts w:hint="eastAsia" w:ascii="宋体" w:hAnsi="宋体" w:eastAsia="宋体" w:cs="宋体"/>
          <w:color w:val="000000"/>
          <w:kern w:val="2"/>
          <w:sz w:val="24"/>
          <w:szCs w:val="24"/>
          <w:u w:val="single"/>
          <w:lang w:val="en-US" w:eastAsia="zh-CN" w:bidi="ar-SA"/>
        </w:rPr>
        <w:t xml:space="preserve">   叁份    </w:t>
      </w:r>
      <w:r>
        <w:rPr>
          <w:rFonts w:hint="eastAsia" w:ascii="宋体" w:hAnsi="宋体" w:eastAsia="宋体" w:cs="宋体"/>
          <w:color w:val="000000"/>
          <w:kern w:val="2"/>
          <w:sz w:val="24"/>
          <w:szCs w:val="24"/>
          <w:lang w:val="en-US" w:eastAsia="zh-CN" w:bidi="ar-SA"/>
        </w:rPr>
        <w:t>。</w:t>
      </w:r>
    </w:p>
    <w:p w14:paraId="210A620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承包人提交最终结算申请单的期限：</w:t>
      </w:r>
      <w:r>
        <w:rPr>
          <w:rFonts w:hint="eastAsia" w:ascii="宋体" w:hAnsi="宋体" w:eastAsia="宋体" w:cs="宋体"/>
          <w:color w:val="000000"/>
          <w:kern w:val="2"/>
          <w:sz w:val="24"/>
          <w:szCs w:val="24"/>
          <w:u w:val="single"/>
          <w:lang w:val="en-US" w:eastAsia="zh-CN" w:bidi="ar-SA"/>
        </w:rPr>
        <w:t>缺陷责任期终止证书颁发后7日内</w:t>
      </w:r>
      <w:r>
        <w:rPr>
          <w:rFonts w:hint="eastAsia" w:ascii="宋体" w:hAnsi="宋体" w:eastAsia="宋体" w:cs="宋体"/>
          <w:color w:val="000000"/>
          <w:kern w:val="2"/>
          <w:sz w:val="24"/>
          <w:szCs w:val="24"/>
          <w:lang w:val="en-US" w:eastAsia="zh-CN" w:bidi="ar-SA"/>
        </w:rPr>
        <w:t xml:space="preserve">。 </w:t>
      </w:r>
    </w:p>
    <w:p w14:paraId="73D6B16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14.4.2 最终结清证书和支付</w:t>
      </w:r>
    </w:p>
    <w:p w14:paraId="6E8D3D0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（1）发包人完成最终结清申请单的审批并颁发最终结清证书的期限：</w:t>
      </w:r>
      <w:r>
        <w:rPr>
          <w:rFonts w:hint="eastAsia" w:ascii="宋体" w:hAnsi="宋体" w:eastAsia="宋体" w:cs="宋体"/>
          <w:color w:val="000000"/>
          <w:kern w:val="2"/>
          <w:sz w:val="24"/>
          <w:szCs w:val="24"/>
          <w:u w:val="single"/>
          <w:lang w:val="en-US" w:eastAsia="zh-CN" w:bidi="ar-SA"/>
        </w:rPr>
        <w:t>在缺陷责任期终止证书颁发后，且承包人提交最终结算申请单、开具等额发票之日起15天内</w:t>
      </w:r>
      <w:r>
        <w:rPr>
          <w:rFonts w:hint="eastAsia" w:ascii="宋体" w:hAnsi="宋体" w:eastAsia="宋体" w:cs="宋体"/>
          <w:color w:val="000000"/>
          <w:kern w:val="2"/>
          <w:sz w:val="24"/>
          <w:szCs w:val="24"/>
          <w:lang w:val="en-US" w:eastAsia="zh-CN" w:bidi="ar-SA"/>
        </w:rPr>
        <w:t>。</w:t>
      </w:r>
    </w:p>
    <w:p w14:paraId="57D15E2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（2）发包人完成支付的期限：</w:t>
      </w:r>
      <w:r>
        <w:rPr>
          <w:rFonts w:hint="eastAsia" w:ascii="宋体" w:hAnsi="宋体" w:eastAsia="宋体" w:cs="宋体"/>
          <w:color w:val="000000"/>
          <w:kern w:val="2"/>
          <w:sz w:val="24"/>
          <w:szCs w:val="24"/>
          <w:u w:val="single"/>
          <w:lang w:val="en-US" w:eastAsia="zh-CN" w:bidi="ar-SA"/>
        </w:rPr>
        <w:t>按进度款支付约定。</w:t>
      </w:r>
    </w:p>
    <w:p w14:paraId="4D32A98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bookmarkStart w:id="3482" w:name="_Toc19199"/>
      <w:r>
        <w:rPr>
          <w:rFonts w:hint="eastAsia" w:ascii="宋体" w:hAnsi="宋体" w:eastAsia="宋体" w:cs="宋体"/>
          <w:color w:val="000000"/>
          <w:kern w:val="2"/>
          <w:sz w:val="24"/>
          <w:szCs w:val="24"/>
          <w:lang w:val="en-US" w:eastAsia="zh-CN" w:bidi="ar-SA"/>
        </w:rPr>
        <w:t>14.5 竣工归档资料</w:t>
      </w:r>
      <w:bookmarkEnd w:id="3482"/>
    </w:p>
    <w:p w14:paraId="0B83AC02">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本款补充：</w:t>
      </w:r>
    </w:p>
    <w:p w14:paraId="558DEF13">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（1）施工中未发生设计变更，施工后由承包人在发包人提供的施工图纸加盖竣工图章提交发包人。</w:t>
      </w:r>
    </w:p>
    <w:p w14:paraId="6AFF2C5A">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（2）施工过程中发生设计变更的，需经相关方书面确认后由设计单位出具设计变更材料，由承包人提供加盖竣工图章的竣工图给发包人。</w:t>
      </w:r>
    </w:p>
    <w:p w14:paraId="5221BDCB">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（3）工程竣工验收结算后</w:t>
      </w:r>
      <w:r>
        <w:rPr>
          <w:rFonts w:hint="eastAsia" w:ascii="宋体" w:hAnsi="宋体" w:eastAsia="宋体" w:cs="宋体"/>
          <w:color w:val="000000"/>
          <w:kern w:val="0"/>
          <w:sz w:val="24"/>
          <w:szCs w:val="24"/>
          <w:u w:val="single"/>
          <w:lang w:val="en-US" w:eastAsia="zh-CN" w:bidi="ar-SA"/>
        </w:rPr>
        <w:t xml:space="preserve"> 30 </w:t>
      </w:r>
      <w:r>
        <w:rPr>
          <w:rFonts w:hint="eastAsia" w:ascii="宋体" w:hAnsi="宋体" w:eastAsia="宋体" w:cs="宋体"/>
          <w:color w:val="000000"/>
          <w:kern w:val="0"/>
          <w:sz w:val="24"/>
          <w:szCs w:val="24"/>
          <w:lang w:val="en-US" w:eastAsia="zh-CN" w:bidi="ar-SA"/>
        </w:rPr>
        <w:t>天内，承包人应提供给发包人</w:t>
      </w:r>
      <w:r>
        <w:rPr>
          <w:rFonts w:hint="eastAsia" w:ascii="宋体" w:hAnsi="宋体" w:eastAsia="宋体" w:cs="宋体"/>
          <w:color w:val="000000"/>
          <w:kern w:val="0"/>
          <w:sz w:val="24"/>
          <w:szCs w:val="24"/>
          <w:u w:val="single"/>
          <w:lang w:val="en-US" w:eastAsia="zh-CN" w:bidi="ar-SA"/>
        </w:rPr>
        <w:t xml:space="preserve"> 陆 </w:t>
      </w:r>
      <w:r>
        <w:rPr>
          <w:rFonts w:hint="eastAsia" w:ascii="宋体" w:hAnsi="宋体" w:eastAsia="宋体" w:cs="宋体"/>
          <w:color w:val="000000"/>
          <w:kern w:val="0"/>
          <w:sz w:val="24"/>
          <w:szCs w:val="24"/>
          <w:lang w:val="en-US" w:eastAsia="zh-CN" w:bidi="ar-SA"/>
        </w:rPr>
        <w:t>套完整符合要求的竣工图、竣工归档资料。</w:t>
      </w:r>
    </w:p>
    <w:p w14:paraId="6519E14A">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竣工归档资料的形式和格式：</w:t>
      </w:r>
      <w:r>
        <w:rPr>
          <w:rFonts w:hint="eastAsia" w:ascii="宋体" w:hAnsi="宋体" w:eastAsia="宋体" w:cs="宋体"/>
          <w:color w:val="000000"/>
          <w:kern w:val="0"/>
          <w:sz w:val="24"/>
          <w:szCs w:val="24"/>
          <w:u w:val="single"/>
          <w:lang w:val="en-US" w:eastAsia="zh-CN" w:bidi="ar-SA"/>
        </w:rPr>
        <w:t>竣工图（陆套）、竣工资料（陆套）、所有竣工验收资料应提供扫描刻盘叁份，满足相关主管部门验收归档的要求。（竣工图纸的晒图费用由承包人承担）</w:t>
      </w:r>
      <w:r>
        <w:rPr>
          <w:rFonts w:hint="eastAsia" w:ascii="宋体" w:hAnsi="宋体" w:eastAsia="宋体" w:cs="宋体"/>
          <w:color w:val="000000"/>
          <w:kern w:val="0"/>
          <w:sz w:val="24"/>
          <w:szCs w:val="24"/>
          <w:lang w:val="en-US" w:eastAsia="zh-CN" w:bidi="ar-SA"/>
        </w:rPr>
        <w:t>。</w:t>
      </w:r>
    </w:p>
    <w:p w14:paraId="47F23DB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（4）因承包人拖延或不办理竣工归档资料时，经发包人催告，</w:t>
      </w:r>
      <w:r>
        <w:rPr>
          <w:rFonts w:hint="eastAsia" w:ascii="宋体" w:hAnsi="宋体" w:eastAsia="宋体" w:cs="宋体"/>
          <w:color w:val="000000"/>
          <w:kern w:val="0"/>
          <w:sz w:val="24"/>
          <w:szCs w:val="24"/>
          <w:u w:val="single"/>
          <w:lang w:val="en-US" w:eastAsia="zh-CN" w:bidi="ar-SA"/>
        </w:rPr>
        <w:t xml:space="preserve">  1  </w:t>
      </w:r>
      <w:r>
        <w:rPr>
          <w:rFonts w:hint="eastAsia" w:ascii="宋体" w:hAnsi="宋体" w:eastAsia="宋体" w:cs="宋体"/>
          <w:color w:val="000000"/>
          <w:kern w:val="0"/>
          <w:sz w:val="24"/>
          <w:szCs w:val="24"/>
          <w:lang w:val="en-US" w:eastAsia="zh-CN" w:bidi="ar-SA"/>
        </w:rPr>
        <w:t>个月内未按发包人要求提供相关竣工归档资料的，发包人有权委托第三方机构整理，相关费用由</w:t>
      </w:r>
      <w:r>
        <w:rPr>
          <w:rFonts w:hint="eastAsia" w:ascii="宋体" w:hAnsi="宋体" w:eastAsia="宋体" w:cs="宋体"/>
          <w:color w:val="000000"/>
          <w:kern w:val="0"/>
          <w:sz w:val="24"/>
          <w:szCs w:val="24"/>
          <w:u w:val="single"/>
          <w:lang w:val="en-US" w:eastAsia="zh-CN" w:bidi="ar-SA"/>
        </w:rPr>
        <w:t xml:space="preserve">承包人 </w:t>
      </w:r>
      <w:r>
        <w:rPr>
          <w:rFonts w:hint="eastAsia" w:ascii="宋体" w:hAnsi="宋体" w:eastAsia="宋体" w:cs="宋体"/>
          <w:color w:val="000000"/>
          <w:kern w:val="0"/>
          <w:sz w:val="24"/>
          <w:szCs w:val="24"/>
          <w:lang w:val="en-US" w:eastAsia="zh-CN" w:bidi="ar-SA"/>
        </w:rPr>
        <w:t>承担。</w:t>
      </w:r>
    </w:p>
    <w:bookmarkEnd w:id="3325"/>
    <w:bookmarkEnd w:id="3326"/>
    <w:bookmarkEnd w:id="3327"/>
    <w:bookmarkEnd w:id="3328"/>
    <w:bookmarkEnd w:id="3329"/>
    <w:bookmarkEnd w:id="3330"/>
    <w:bookmarkEnd w:id="3331"/>
    <w:bookmarkEnd w:id="3397"/>
    <w:p w14:paraId="78C9F800">
      <w:pPr>
        <w:keepNext/>
        <w:keepLines/>
        <w:widowControl w:val="0"/>
        <w:spacing w:before="0" w:after="0" w:line="400" w:lineRule="exact"/>
        <w:jc w:val="both"/>
        <w:outlineLvl w:val="1"/>
        <w:rPr>
          <w:rFonts w:ascii="宋体" w:hAnsi="宋体" w:eastAsia="宋体" w:cs="宋体"/>
          <w:b/>
          <w:bCs/>
          <w:color w:val="000000"/>
          <w:kern w:val="2"/>
          <w:sz w:val="24"/>
          <w:szCs w:val="24"/>
          <w:lang w:val="en-US" w:eastAsia="zh-CN" w:bidi="ar-SA"/>
        </w:rPr>
      </w:pPr>
      <w:bookmarkStart w:id="3483" w:name="_Toc256003350"/>
      <w:bookmarkStart w:id="3484" w:name="_Toc490192013"/>
      <w:bookmarkStart w:id="3485" w:name="_Toc256001761"/>
      <w:bookmarkStart w:id="3486" w:name="_Toc256002442"/>
      <w:bookmarkStart w:id="3487" w:name="_Toc256001080"/>
      <w:bookmarkStart w:id="3488" w:name="_Toc256003804"/>
      <w:bookmarkStart w:id="3489" w:name="_Toc256001988"/>
      <w:bookmarkStart w:id="3490" w:name="_Toc256002669"/>
      <w:bookmarkStart w:id="3491" w:name="_Toc1320788901"/>
      <w:bookmarkStart w:id="3492" w:name="_Toc256001534"/>
      <w:bookmarkStart w:id="3493" w:name="_Toc256002896"/>
      <w:bookmarkStart w:id="3494" w:name="_Toc256000172"/>
      <w:bookmarkStart w:id="3495" w:name="_Toc256000853"/>
      <w:bookmarkStart w:id="3496" w:name="_Toc256002215"/>
      <w:bookmarkStart w:id="3497" w:name="_Toc256001307"/>
      <w:bookmarkStart w:id="3498" w:name="_Toc256003123"/>
      <w:bookmarkStart w:id="3499" w:name="_Toc256003577"/>
      <w:bookmarkStart w:id="3500" w:name="_Toc256000399"/>
      <w:bookmarkStart w:id="3501" w:name="_Toc256004031"/>
      <w:bookmarkStart w:id="3502" w:name="_Toc256000626"/>
      <w:bookmarkStart w:id="3503" w:name="_Toc267251483"/>
      <w:bookmarkStart w:id="3504" w:name="_Toc267251484"/>
      <w:bookmarkStart w:id="3505" w:name="_Toc267251482"/>
      <w:bookmarkStart w:id="3506" w:name="_Toc267251485"/>
      <w:bookmarkStart w:id="3507" w:name="_Toc267251490"/>
      <w:bookmarkStart w:id="3508" w:name="_Toc267251488"/>
      <w:bookmarkStart w:id="3509" w:name="_Toc267251489"/>
      <w:bookmarkStart w:id="3510" w:name="_Toc267251486"/>
      <w:bookmarkStart w:id="3511" w:name="_Toc267251497"/>
      <w:bookmarkStart w:id="3512" w:name="_Toc267251492"/>
      <w:bookmarkStart w:id="3513" w:name="_Toc267251501"/>
      <w:bookmarkStart w:id="3514" w:name="_Toc267251503"/>
      <w:bookmarkStart w:id="3515" w:name="_Toc267251498"/>
      <w:bookmarkStart w:id="3516" w:name="_Toc267251494"/>
      <w:bookmarkStart w:id="3517" w:name="_Toc267251495"/>
      <w:bookmarkStart w:id="3518" w:name="_Toc267251493"/>
      <w:bookmarkStart w:id="3519" w:name="_Toc267251491"/>
      <w:bookmarkStart w:id="3520" w:name="_Toc267251496"/>
      <w:bookmarkStart w:id="3521" w:name="_Toc267251502"/>
      <w:bookmarkStart w:id="3522" w:name="_Toc267251499"/>
      <w:bookmarkStart w:id="3523" w:name="_Toc267251506"/>
      <w:bookmarkStart w:id="3524" w:name="_Toc267251507"/>
      <w:bookmarkStart w:id="3525" w:name="_Toc267251504"/>
      <w:bookmarkStart w:id="3526" w:name="_Toc267251508"/>
      <w:bookmarkStart w:id="3527" w:name="_Toc267251515"/>
      <w:bookmarkStart w:id="3528" w:name="_Toc267251514"/>
      <w:bookmarkStart w:id="3529" w:name="_Toc267251511"/>
      <w:bookmarkStart w:id="3530" w:name="_Toc267251513"/>
      <w:bookmarkStart w:id="3531" w:name="_Toc267251510"/>
      <w:bookmarkStart w:id="3532" w:name="_Toc267251509"/>
      <w:r>
        <w:rPr>
          <w:rFonts w:hint="eastAsia" w:ascii="宋体" w:hAnsi="宋体" w:eastAsia="宋体" w:cs="宋体"/>
          <w:b w:val="0"/>
          <w:bCs/>
          <w:color w:val="000000"/>
          <w:kern w:val="2"/>
          <w:sz w:val="24"/>
          <w:szCs w:val="24"/>
          <w:lang w:val="en-US" w:eastAsia="zh-CN" w:bidi="ar-SA"/>
        </w:rPr>
        <w:t>15. 缺陷责任期与保修</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p>
    <w:p w14:paraId="71749B26">
      <w:pPr>
        <w:widowControl w:val="0"/>
        <w:spacing w:line="400" w:lineRule="exact"/>
        <w:ind w:firstLine="480" w:firstLineChars="200"/>
        <w:jc w:val="left"/>
        <w:rPr>
          <w:rFonts w:ascii="宋体" w:hAnsi="宋体" w:eastAsia="宋体" w:cs="宋体"/>
          <w:color w:val="000000"/>
          <w:kern w:val="0"/>
          <w:sz w:val="24"/>
          <w:szCs w:val="24"/>
          <w:lang w:val="en-US" w:eastAsia="zh-CN" w:bidi="ar-SA"/>
        </w:rPr>
      </w:pPr>
      <w:bookmarkStart w:id="3533" w:name="_Toc18125"/>
      <w:r>
        <w:rPr>
          <w:rFonts w:hint="eastAsia" w:ascii="宋体" w:hAnsi="宋体" w:eastAsia="宋体" w:cs="宋体"/>
          <w:color w:val="000000"/>
          <w:kern w:val="0"/>
          <w:sz w:val="24"/>
          <w:szCs w:val="24"/>
          <w:lang w:val="en-US" w:eastAsia="zh-CN" w:bidi="ar-SA"/>
        </w:rPr>
        <w:t>本条补充15.5。</w:t>
      </w:r>
    </w:p>
    <w:p w14:paraId="5F3E055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15.2 缺陷责任期</w:t>
      </w:r>
      <w:bookmarkEnd w:id="3503"/>
      <w:bookmarkEnd w:id="3533"/>
    </w:p>
    <w:p w14:paraId="7728B0C1">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缺陷责任期的具体期限：</w:t>
      </w:r>
      <w:r>
        <w:rPr>
          <w:rFonts w:hint="eastAsia" w:ascii="宋体" w:hAnsi="宋体" w:eastAsia="宋体" w:cs="宋体"/>
          <w:color w:val="000000"/>
          <w:kern w:val="0"/>
          <w:sz w:val="24"/>
          <w:szCs w:val="24"/>
          <w:u w:val="single"/>
          <w:lang w:val="en-US" w:eastAsia="zh-CN" w:bidi="ar-SA"/>
        </w:rPr>
        <w:t>工程竣工验收合格之日起2年</w:t>
      </w:r>
      <w:r>
        <w:rPr>
          <w:rFonts w:hint="eastAsia" w:ascii="宋体" w:hAnsi="宋体" w:eastAsia="宋体" w:cs="宋体"/>
          <w:color w:val="000000"/>
          <w:kern w:val="2"/>
          <w:sz w:val="24"/>
          <w:szCs w:val="24"/>
          <w:lang w:val="en-US" w:eastAsia="zh-CN" w:bidi="ar-SA"/>
        </w:rPr>
        <w:t>。</w:t>
      </w:r>
    </w:p>
    <w:p w14:paraId="57F9387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15.3 质量保证金</w:t>
      </w:r>
    </w:p>
    <w:p w14:paraId="1DCCCE4B">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本款修改为：</w:t>
      </w:r>
    </w:p>
    <w:p w14:paraId="3EFADA8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工程质量保证金的支付方式和时间：工程质量保证金为结算款的</w:t>
      </w:r>
      <w:r>
        <w:rPr>
          <w:rFonts w:hint="eastAsia" w:ascii="宋体" w:hAnsi="宋体" w:eastAsia="宋体" w:cs="宋体"/>
          <w:color w:val="000000"/>
          <w:kern w:val="2"/>
          <w:sz w:val="24"/>
          <w:szCs w:val="24"/>
          <w:u w:val="single"/>
          <w:lang w:val="en-US" w:eastAsia="zh-CN" w:bidi="ar-SA"/>
        </w:rPr>
        <w:t xml:space="preserve">   3  </w:t>
      </w:r>
      <w:r>
        <w:rPr>
          <w:rFonts w:hint="eastAsia" w:ascii="宋体" w:hAnsi="宋体" w:eastAsia="宋体" w:cs="宋体"/>
          <w:color w:val="000000"/>
          <w:kern w:val="2"/>
          <w:sz w:val="24"/>
          <w:szCs w:val="24"/>
          <w:lang w:val="en-US" w:eastAsia="zh-CN" w:bidi="ar-SA"/>
        </w:rPr>
        <w:t>%（≤3%），采用以下方式执行：</w:t>
      </w:r>
    </w:p>
    <w:p w14:paraId="027B27B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ascii="Wingdings" w:hAnsi="Wingdings"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担保；</w:t>
      </w:r>
    </w:p>
    <w:p w14:paraId="41D5B4A5">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ascii="Wingdings" w:hAnsi="Wingdings"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保险；</w:t>
      </w:r>
    </w:p>
    <w:p w14:paraId="5CB732FA">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√其他：发包人一次性扣留3%的工程款作为质量保证金。</w:t>
      </w:r>
    </w:p>
    <w:p w14:paraId="5063BB6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工程缺陷责任期满，承包人履行缺陷责任期内质量保修义务及绿化养护义务且合格移交后，在</w:t>
      </w:r>
      <w:r>
        <w:rPr>
          <w:rFonts w:hint="eastAsia" w:ascii="宋体" w:hAnsi="宋体" w:eastAsia="宋体" w:cs="宋体"/>
          <w:color w:val="000000"/>
          <w:kern w:val="2"/>
          <w:sz w:val="24"/>
          <w:szCs w:val="24"/>
          <w:u w:val="single"/>
          <w:lang w:val="en-US" w:eastAsia="zh-CN" w:bidi="ar-SA"/>
        </w:rPr>
        <w:t xml:space="preserve">  14  </w:t>
      </w:r>
      <w:r>
        <w:rPr>
          <w:rFonts w:hint="eastAsia" w:ascii="宋体" w:hAnsi="宋体" w:eastAsia="宋体" w:cs="宋体"/>
          <w:color w:val="000000"/>
          <w:kern w:val="2"/>
          <w:sz w:val="24"/>
          <w:szCs w:val="24"/>
          <w:lang w:val="en-US" w:eastAsia="zh-CN" w:bidi="ar-SA"/>
        </w:rPr>
        <w:t>天内结清工程质量保证金。在工程项目竣工验收前，承包人提供履约担保的，发包人不得同时预留工程质量保证金。</w:t>
      </w:r>
    </w:p>
    <w:p w14:paraId="00E9A27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质量保证金的补充约定：承包人不履行保修义务或拖延履行保修义务的，发包人有权责令承包人改正或另行委托第三方完成，由承包人承担上述费用并支付发包人5000元以上2万元以下的违约金，并由承包人对在保修期内因质量缺陷造成的损失承担赔偿责任。</w:t>
      </w:r>
    </w:p>
    <w:p w14:paraId="4B3356B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发包人有权从质量保证金中直接扣除承包人应当承担的违约金、赔偿金，不足部分，发包人仍有权向承包人追偿。</w:t>
      </w:r>
    </w:p>
    <w:p w14:paraId="1963482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 保修</w:t>
      </w:r>
    </w:p>
    <w:p w14:paraId="55A2F17C">
      <w:pPr>
        <w:widowControl w:val="0"/>
        <w:spacing w:line="400" w:lineRule="exact"/>
        <w:ind w:firstLine="468" w:firstLineChars="195"/>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15.4.1 保修责任</w:t>
      </w:r>
    </w:p>
    <w:p w14:paraId="3E0E8A5F">
      <w:pPr>
        <w:widowControl w:val="0"/>
        <w:spacing w:line="400" w:lineRule="exact"/>
        <w:ind w:firstLine="468" w:firstLineChars="195"/>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2"/>
          <w:sz w:val="24"/>
          <w:szCs w:val="24"/>
          <w:lang w:val="en-US" w:eastAsia="zh-CN" w:bidi="ar-SA"/>
        </w:rPr>
        <w:t>工程保修期为：</w:t>
      </w:r>
      <w:r>
        <w:rPr>
          <w:rFonts w:hint="eastAsia" w:ascii="宋体" w:hAnsi="宋体" w:eastAsia="宋体" w:cs="宋体"/>
          <w:color w:val="000000"/>
          <w:kern w:val="2"/>
          <w:sz w:val="24"/>
          <w:szCs w:val="24"/>
          <w:u w:val="single"/>
          <w:lang w:val="en-US" w:eastAsia="zh-CN" w:bidi="ar-SA"/>
        </w:rPr>
        <w:t xml:space="preserve">详见工程质量保修书，但分部分项目工程不低于法定最低保修年限 </w:t>
      </w:r>
      <w:r>
        <w:rPr>
          <w:rFonts w:hint="eastAsia" w:ascii="宋体" w:hAnsi="宋体" w:eastAsia="宋体" w:cs="宋体"/>
          <w:color w:val="000000"/>
          <w:kern w:val="0"/>
          <w:sz w:val="24"/>
          <w:szCs w:val="24"/>
          <w:lang w:val="en-US" w:eastAsia="zh-CN" w:bidi="ar-SA"/>
        </w:rPr>
        <w:t xml:space="preserve">。 </w:t>
      </w:r>
    </w:p>
    <w:bookmarkEnd w:id="3504"/>
    <w:bookmarkEnd w:id="3505"/>
    <w:bookmarkEnd w:id="3506"/>
    <w:p w14:paraId="69C8C31C">
      <w:pPr>
        <w:widowControl w:val="0"/>
        <w:spacing w:line="400" w:lineRule="exact"/>
        <w:ind w:firstLine="468" w:firstLineChars="195"/>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15.4.3 修复通知</w:t>
      </w:r>
    </w:p>
    <w:p w14:paraId="32FD0D4C">
      <w:pPr>
        <w:widowControl w:val="0"/>
        <w:spacing w:line="400" w:lineRule="exact"/>
        <w:ind w:firstLine="468" w:firstLineChars="195"/>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承包人收到保修通知并到达工程现场的合理时间：</w:t>
      </w:r>
      <w:r>
        <w:rPr>
          <w:rFonts w:hint="eastAsia" w:ascii="宋体" w:hAnsi="宋体" w:eastAsia="宋体" w:cs="宋体"/>
          <w:color w:val="000000"/>
          <w:kern w:val="2"/>
          <w:sz w:val="24"/>
          <w:szCs w:val="24"/>
          <w:u w:val="single"/>
          <w:lang w:val="en-US" w:eastAsia="zh-CN" w:bidi="ar-SA"/>
        </w:rPr>
        <w:t>按通用条款执行。</w:t>
      </w:r>
    </w:p>
    <w:p w14:paraId="74562876">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534" w:name="_Toc256003351"/>
      <w:bookmarkStart w:id="3535" w:name="_Toc256001989"/>
      <w:bookmarkStart w:id="3536" w:name="_Toc256000627"/>
      <w:bookmarkStart w:id="3537" w:name="_Toc256004032"/>
      <w:bookmarkStart w:id="3538" w:name="_Toc256002216"/>
      <w:bookmarkStart w:id="3539" w:name="_Toc256001762"/>
      <w:bookmarkStart w:id="3540" w:name="_Toc256002443"/>
      <w:bookmarkStart w:id="3541" w:name="_Toc256001535"/>
      <w:bookmarkStart w:id="3542" w:name="_Toc256000173"/>
      <w:bookmarkStart w:id="3543" w:name="_Toc256002670"/>
      <w:bookmarkStart w:id="3544" w:name="_Toc256002897"/>
      <w:bookmarkStart w:id="3545" w:name="_Toc1846040712"/>
      <w:bookmarkStart w:id="3546" w:name="_Toc256001081"/>
      <w:bookmarkStart w:id="3547" w:name="_Toc256003805"/>
      <w:bookmarkStart w:id="3548" w:name="_Toc256003124"/>
      <w:bookmarkStart w:id="3549" w:name="_Toc256003578"/>
      <w:bookmarkStart w:id="3550" w:name="_Toc256000400"/>
      <w:bookmarkStart w:id="3551" w:name="_Toc256001308"/>
      <w:bookmarkStart w:id="3552" w:name="_Toc256000854"/>
      <w:bookmarkStart w:id="3553" w:name="_Toc652859120"/>
      <w:r>
        <w:rPr>
          <w:rFonts w:hint="eastAsia" w:ascii="宋体" w:hAnsi="宋体" w:eastAsia="宋体" w:cs="宋体"/>
          <w:color w:val="000000"/>
          <w:kern w:val="2"/>
          <w:sz w:val="24"/>
          <w:szCs w:val="24"/>
          <w:lang w:val="en-US" w:eastAsia="zh-CN" w:bidi="ar-SA"/>
        </w:rPr>
        <w:t xml:space="preserve">15.5 </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r>
        <w:rPr>
          <w:rFonts w:hint="eastAsia" w:ascii="宋体" w:hAnsi="宋体" w:eastAsia="宋体" w:cs="宋体"/>
          <w:color w:val="000000"/>
          <w:kern w:val="2"/>
          <w:sz w:val="24"/>
          <w:szCs w:val="24"/>
          <w:lang w:val="en-US" w:eastAsia="zh-CN" w:bidi="ar-SA"/>
        </w:rPr>
        <w:t>绿化养护期</w:t>
      </w:r>
    </w:p>
    <w:p w14:paraId="277E545A">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绿化养护期</w:t>
      </w:r>
      <w:r>
        <w:rPr>
          <w:rFonts w:hint="eastAsia" w:ascii="宋体" w:hAnsi="宋体" w:eastAsia="宋体" w:cs="宋体"/>
          <w:color w:val="000000"/>
          <w:kern w:val="2"/>
          <w:sz w:val="24"/>
          <w:szCs w:val="24"/>
          <w:lang w:val="en-US" w:eastAsia="zh-CN" w:bidi="ar-SA"/>
        </w:rPr>
        <w:t>的具体期限</w:t>
      </w: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kern w:val="0"/>
          <w:sz w:val="24"/>
          <w:szCs w:val="24"/>
          <w:u w:val="single"/>
          <w:lang w:val="en-US" w:eastAsia="zh-CN" w:bidi="ar-SA"/>
        </w:rPr>
        <w:t xml:space="preserve">           1年                  </w:t>
      </w:r>
      <w:r>
        <w:rPr>
          <w:rFonts w:hint="eastAsia" w:ascii="宋体" w:hAnsi="宋体" w:eastAsia="宋体" w:cs="宋体"/>
          <w:color w:val="000000"/>
          <w:kern w:val="0"/>
          <w:sz w:val="24"/>
          <w:szCs w:val="24"/>
          <w:lang w:val="en-US" w:eastAsia="zh-CN" w:bidi="ar-SA"/>
        </w:rPr>
        <w:t>。</w:t>
      </w:r>
    </w:p>
    <w:p w14:paraId="037FC1E7">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绿化养护期内双方责任约定：</w:t>
      </w:r>
      <w:r>
        <w:rPr>
          <w:rFonts w:hint="eastAsia" w:ascii="宋体" w:hAnsi="宋体" w:eastAsia="宋体" w:cs="宋体"/>
          <w:color w:val="000000"/>
          <w:kern w:val="0"/>
          <w:sz w:val="24"/>
          <w:szCs w:val="24"/>
          <w:u w:val="single"/>
          <w:lang w:val="en-US" w:eastAsia="zh-CN" w:bidi="ar-SA"/>
        </w:rPr>
        <w:t xml:space="preserve"> 参照《江苏省城市园林绿化养护管理规范及分级标准》执行     </w:t>
      </w:r>
      <w:r>
        <w:rPr>
          <w:rFonts w:hint="eastAsia" w:ascii="宋体" w:hAnsi="宋体" w:eastAsia="宋体" w:cs="宋体"/>
          <w:color w:val="000000"/>
          <w:kern w:val="0"/>
          <w:sz w:val="24"/>
          <w:szCs w:val="24"/>
          <w:lang w:val="en-US" w:eastAsia="zh-CN" w:bidi="ar-SA"/>
        </w:rPr>
        <w:t>。</w:t>
      </w:r>
    </w:p>
    <w:p w14:paraId="0323602B">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绿化养护期内水电费支付：</w:t>
      </w:r>
      <w:r>
        <w:rPr>
          <w:rFonts w:hint="eastAsia" w:ascii="宋体" w:hAnsi="宋体" w:eastAsia="宋体" w:cs="宋体"/>
          <w:color w:val="000000"/>
          <w:kern w:val="0"/>
          <w:sz w:val="24"/>
          <w:szCs w:val="24"/>
          <w:u w:val="single"/>
          <w:lang w:val="en-US" w:eastAsia="zh-CN" w:bidi="ar-SA"/>
        </w:rPr>
        <w:t xml:space="preserve">      由承包人自行承担           </w:t>
      </w:r>
      <w:r>
        <w:rPr>
          <w:rFonts w:hint="eastAsia" w:ascii="宋体" w:hAnsi="宋体" w:eastAsia="宋体" w:cs="宋体"/>
          <w:color w:val="000000"/>
          <w:kern w:val="0"/>
          <w:sz w:val="24"/>
          <w:szCs w:val="24"/>
          <w:lang w:val="en-US" w:eastAsia="zh-CN" w:bidi="ar-SA"/>
        </w:rPr>
        <w:t>。</w:t>
      </w:r>
    </w:p>
    <w:bookmarkEnd w:id="3507"/>
    <w:bookmarkEnd w:id="3508"/>
    <w:bookmarkEnd w:id="3509"/>
    <w:bookmarkEnd w:id="3510"/>
    <w:p w14:paraId="3927865E">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554" w:name="_Toc256004033"/>
      <w:bookmarkStart w:id="3555" w:name="_Toc922596978"/>
      <w:bookmarkStart w:id="3556" w:name="_Toc256003125"/>
      <w:bookmarkStart w:id="3557" w:name="_Toc256000401"/>
      <w:bookmarkStart w:id="3558" w:name="_Toc256001763"/>
      <w:bookmarkStart w:id="3559" w:name="_Toc256001082"/>
      <w:bookmarkStart w:id="3560" w:name="_Toc256000855"/>
      <w:bookmarkStart w:id="3561" w:name="_Toc256003579"/>
      <w:bookmarkStart w:id="3562" w:name="_Toc256001309"/>
      <w:bookmarkStart w:id="3563" w:name="_Toc256003806"/>
      <w:bookmarkStart w:id="3564" w:name="_Toc256002898"/>
      <w:bookmarkStart w:id="3565" w:name="_Toc256000174"/>
      <w:bookmarkStart w:id="3566" w:name="_Toc543386448"/>
      <w:bookmarkStart w:id="3567" w:name="_Toc256000628"/>
      <w:bookmarkStart w:id="3568" w:name="_Toc256002444"/>
      <w:bookmarkStart w:id="3569" w:name="_Toc256001536"/>
      <w:bookmarkStart w:id="3570" w:name="_Toc256002217"/>
      <w:bookmarkStart w:id="3571" w:name="_Toc256001990"/>
      <w:bookmarkStart w:id="3572" w:name="_Toc256003352"/>
      <w:bookmarkStart w:id="3573" w:name="_Toc256002671"/>
      <w:bookmarkStart w:id="3574" w:name="_Toc280868717"/>
      <w:bookmarkStart w:id="3575" w:name="_Toc280868718"/>
      <w:r>
        <w:rPr>
          <w:rFonts w:hint="eastAsia" w:ascii="宋体" w:hAnsi="宋体" w:eastAsia="宋体" w:cs="宋体"/>
          <w:b w:val="0"/>
          <w:bCs/>
          <w:color w:val="000000"/>
          <w:kern w:val="2"/>
          <w:sz w:val="24"/>
          <w:szCs w:val="24"/>
          <w:lang w:val="en-US" w:eastAsia="zh-CN" w:bidi="ar-SA"/>
        </w:rPr>
        <w:t>16. 违约</w:t>
      </w:r>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p>
    <w:p w14:paraId="3B9DB036">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576" w:name="_Toc256001083"/>
      <w:bookmarkStart w:id="3577" w:name="_Toc256001991"/>
      <w:bookmarkStart w:id="3578" w:name="_Toc256001537"/>
      <w:bookmarkStart w:id="3579" w:name="_Toc256001764"/>
      <w:bookmarkStart w:id="3580" w:name="_Toc41673421"/>
      <w:bookmarkStart w:id="3581" w:name="_Toc256000175"/>
      <w:bookmarkStart w:id="3582" w:name="_Toc256000629"/>
      <w:bookmarkStart w:id="3583" w:name="_Toc776232141"/>
      <w:bookmarkStart w:id="3584" w:name="_Toc256004034"/>
      <w:bookmarkStart w:id="3585" w:name="_Toc256003807"/>
      <w:bookmarkStart w:id="3586" w:name="_Toc256002445"/>
      <w:bookmarkStart w:id="3587" w:name="_Toc256003126"/>
      <w:bookmarkStart w:id="3588" w:name="_Toc256002218"/>
      <w:bookmarkStart w:id="3589" w:name="_Toc12830"/>
      <w:bookmarkStart w:id="3590" w:name="_Toc256003580"/>
      <w:bookmarkStart w:id="3591" w:name="_Toc256002672"/>
      <w:bookmarkStart w:id="3592" w:name="_Toc256000856"/>
      <w:bookmarkStart w:id="3593" w:name="_Toc256000402"/>
      <w:bookmarkStart w:id="3594" w:name="_Toc256002899"/>
      <w:bookmarkStart w:id="3595" w:name="_Toc256001310"/>
      <w:bookmarkStart w:id="3596" w:name="_Toc256003353"/>
      <w:r>
        <w:rPr>
          <w:rFonts w:hint="eastAsia" w:ascii="宋体" w:hAnsi="宋体" w:eastAsia="宋体" w:cs="宋体"/>
          <w:color w:val="000000"/>
          <w:kern w:val="2"/>
          <w:sz w:val="24"/>
          <w:szCs w:val="24"/>
          <w:lang w:val="en-US" w:eastAsia="zh-CN" w:bidi="ar-SA"/>
        </w:rPr>
        <w:t>16.1 发包人违约</w:t>
      </w:r>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p>
    <w:p w14:paraId="1310A94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16.1.1 发包人违约的情形</w:t>
      </w:r>
    </w:p>
    <w:p w14:paraId="5211D1A6">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发包人违约的其他情形：</w:t>
      </w:r>
      <w:r>
        <w:rPr>
          <w:rFonts w:hint="eastAsia" w:ascii="宋体" w:hAnsi="宋体" w:eastAsia="宋体" w:cs="宋体"/>
          <w:color w:val="000000"/>
          <w:kern w:val="0"/>
          <w:sz w:val="24"/>
          <w:szCs w:val="24"/>
          <w:u w:val="single"/>
          <w:lang w:val="en-US" w:eastAsia="zh-CN" w:bidi="ar-SA"/>
        </w:rPr>
        <w:t>无</w:t>
      </w:r>
      <w:r>
        <w:rPr>
          <w:rFonts w:hint="eastAsia" w:ascii="宋体" w:hAnsi="宋体" w:eastAsia="宋体" w:cs="宋体"/>
          <w:color w:val="000000"/>
          <w:kern w:val="0"/>
          <w:sz w:val="24"/>
          <w:szCs w:val="24"/>
          <w:lang w:val="en-US" w:eastAsia="zh-CN" w:bidi="ar-SA"/>
        </w:rPr>
        <w:t>。</w:t>
      </w:r>
    </w:p>
    <w:p w14:paraId="22DAC3C2">
      <w:pPr>
        <w:widowControl w:val="0"/>
        <w:spacing w:line="400" w:lineRule="exact"/>
        <w:ind w:left="1200" w:hanging="1200" w:hangingChars="5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16.1.2 发包人违约的责任</w:t>
      </w:r>
    </w:p>
    <w:p w14:paraId="3E2353E8">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发包人违约责任的承担方式和计算方法：</w:t>
      </w:r>
    </w:p>
    <w:p w14:paraId="19F014AB">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（1）因发包人原因未能在计划开工日期前7天内下达开工通知的违约责任：</w:t>
      </w:r>
      <w:r>
        <w:rPr>
          <w:rFonts w:hint="eastAsia" w:ascii="宋体" w:hAnsi="宋体" w:eastAsia="宋体" w:cs="宋体"/>
          <w:color w:val="000000"/>
          <w:kern w:val="0"/>
          <w:sz w:val="24"/>
          <w:szCs w:val="24"/>
          <w:u w:val="single"/>
          <w:lang w:val="en-US" w:eastAsia="zh-CN" w:bidi="ar-SA"/>
        </w:rPr>
        <w:t xml:space="preserve"> 按通用条款执行 </w:t>
      </w:r>
      <w:r>
        <w:rPr>
          <w:rFonts w:hint="eastAsia" w:ascii="宋体" w:hAnsi="宋体" w:eastAsia="宋体" w:cs="宋体"/>
          <w:color w:val="000000"/>
          <w:kern w:val="0"/>
          <w:sz w:val="24"/>
          <w:szCs w:val="24"/>
          <w:lang w:val="en-US" w:eastAsia="zh-CN" w:bidi="ar-SA"/>
        </w:rPr>
        <w:t>。</w:t>
      </w:r>
    </w:p>
    <w:p w14:paraId="242EDD1C">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（2）因发包人原因未能按合同约定支付合同价款的违约责任：</w:t>
      </w:r>
      <w:r>
        <w:rPr>
          <w:rFonts w:hint="eastAsia" w:ascii="宋体" w:hAnsi="宋体" w:eastAsia="宋体" w:cs="宋体"/>
          <w:color w:val="000000"/>
          <w:kern w:val="0"/>
          <w:sz w:val="24"/>
          <w:szCs w:val="24"/>
          <w:u w:val="single"/>
          <w:lang w:val="en-US" w:eastAsia="zh-CN" w:bidi="ar-SA"/>
        </w:rPr>
        <w:t>按通用条款执行</w:t>
      </w:r>
      <w:r>
        <w:rPr>
          <w:rFonts w:hint="eastAsia" w:ascii="宋体" w:hAnsi="宋体" w:eastAsia="宋体" w:cs="宋体"/>
          <w:color w:val="000000"/>
          <w:kern w:val="0"/>
          <w:sz w:val="24"/>
          <w:szCs w:val="24"/>
          <w:lang w:val="en-US" w:eastAsia="zh-CN" w:bidi="ar-SA"/>
        </w:rPr>
        <w:t>。</w:t>
      </w:r>
    </w:p>
    <w:p w14:paraId="7A9AB259">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lang w:val="en-US" w:eastAsia="zh-CN" w:bidi="ar-SA"/>
        </w:rPr>
        <w:t xml:space="preserve">    无  </w:t>
      </w:r>
      <w:r>
        <w:rPr>
          <w:rFonts w:hint="eastAsia" w:ascii="宋体" w:hAnsi="宋体" w:eastAsia="宋体" w:cs="宋体"/>
          <w:color w:val="000000"/>
          <w:kern w:val="0"/>
          <w:sz w:val="24"/>
          <w:szCs w:val="24"/>
          <w:lang w:val="en-US" w:eastAsia="zh-CN" w:bidi="ar-SA"/>
        </w:rPr>
        <w:t>。</w:t>
      </w:r>
    </w:p>
    <w:p w14:paraId="4394CEF7">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（4）发包人提供的材料、工程设备的规格、数量或质量不符合合同约定，或因发包人原因导致交货日期延误或交货地点变更等情况的违约责任： </w:t>
      </w:r>
      <w:r>
        <w:rPr>
          <w:rFonts w:hint="eastAsia" w:ascii="宋体" w:hAnsi="宋体" w:eastAsia="宋体" w:cs="宋体"/>
          <w:color w:val="000000"/>
          <w:kern w:val="0"/>
          <w:sz w:val="24"/>
          <w:szCs w:val="24"/>
          <w:u w:val="single"/>
          <w:lang w:val="en-US" w:eastAsia="zh-CN" w:bidi="ar-SA"/>
        </w:rPr>
        <w:t xml:space="preserve"> 按通用条款执行 </w:t>
      </w:r>
      <w:r>
        <w:rPr>
          <w:rFonts w:hint="eastAsia" w:ascii="宋体" w:hAnsi="宋体" w:eastAsia="宋体" w:cs="宋体"/>
          <w:color w:val="000000"/>
          <w:kern w:val="0"/>
          <w:sz w:val="24"/>
          <w:szCs w:val="24"/>
          <w:lang w:val="en-US" w:eastAsia="zh-CN" w:bidi="ar-SA"/>
        </w:rPr>
        <w:t>。</w:t>
      </w:r>
    </w:p>
    <w:p w14:paraId="7C8F6B85">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（5）因发包人违反合同约定造成暂停施工的违约责任：</w:t>
      </w:r>
      <w:r>
        <w:rPr>
          <w:rFonts w:hint="eastAsia" w:ascii="宋体" w:hAnsi="宋体" w:eastAsia="宋体" w:cs="宋体"/>
          <w:color w:val="000000"/>
          <w:kern w:val="0"/>
          <w:sz w:val="24"/>
          <w:szCs w:val="24"/>
          <w:u w:val="single"/>
          <w:lang w:val="en-US" w:eastAsia="zh-CN" w:bidi="ar-SA"/>
        </w:rPr>
        <w:t xml:space="preserve">   无 </w:t>
      </w:r>
      <w:r>
        <w:rPr>
          <w:rFonts w:hint="eastAsia" w:ascii="宋体" w:hAnsi="宋体" w:eastAsia="宋体" w:cs="宋体"/>
          <w:color w:val="000000"/>
          <w:kern w:val="0"/>
          <w:sz w:val="24"/>
          <w:szCs w:val="24"/>
          <w:lang w:val="en-US" w:eastAsia="zh-CN" w:bidi="ar-SA"/>
        </w:rPr>
        <w:t>。</w:t>
      </w:r>
    </w:p>
    <w:p w14:paraId="49418A06">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（6）发包人无正当理由没有在约定期限内发出复工指示，导致承包人无法复工的违约责任：</w:t>
      </w:r>
      <w:r>
        <w:rPr>
          <w:rFonts w:hint="eastAsia" w:ascii="宋体" w:hAnsi="宋体" w:eastAsia="宋体" w:cs="宋体"/>
          <w:color w:val="000000"/>
          <w:kern w:val="0"/>
          <w:sz w:val="24"/>
          <w:szCs w:val="24"/>
          <w:u w:val="single"/>
          <w:lang w:val="en-US" w:eastAsia="zh-CN" w:bidi="ar-SA"/>
        </w:rPr>
        <w:t xml:space="preserve">   无   </w:t>
      </w:r>
      <w:r>
        <w:rPr>
          <w:rFonts w:hint="eastAsia" w:ascii="宋体" w:hAnsi="宋体" w:eastAsia="宋体" w:cs="宋体"/>
          <w:color w:val="000000"/>
          <w:kern w:val="0"/>
          <w:sz w:val="24"/>
          <w:szCs w:val="24"/>
          <w:lang w:val="en-US" w:eastAsia="zh-CN" w:bidi="ar-SA"/>
        </w:rPr>
        <w:t>。</w:t>
      </w:r>
    </w:p>
    <w:p w14:paraId="56BC5B89">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（7）其他：</w:t>
      </w:r>
      <w:r>
        <w:rPr>
          <w:rFonts w:hint="eastAsia" w:ascii="宋体" w:hAnsi="宋体" w:eastAsia="宋体" w:cs="宋体"/>
          <w:color w:val="000000"/>
          <w:kern w:val="0"/>
          <w:sz w:val="24"/>
          <w:szCs w:val="24"/>
          <w:u w:val="single"/>
          <w:lang w:val="en-US" w:eastAsia="zh-CN" w:bidi="ar-SA"/>
        </w:rPr>
        <w:t xml:space="preserve">   无   </w:t>
      </w:r>
      <w:r>
        <w:rPr>
          <w:rFonts w:hint="eastAsia" w:ascii="宋体" w:hAnsi="宋体" w:eastAsia="宋体" w:cs="宋体"/>
          <w:color w:val="000000"/>
          <w:kern w:val="0"/>
          <w:sz w:val="24"/>
          <w:szCs w:val="24"/>
          <w:lang w:val="en-US" w:eastAsia="zh-CN" w:bidi="ar-SA"/>
        </w:rPr>
        <w:t>。</w:t>
      </w:r>
    </w:p>
    <w:p w14:paraId="4C09D84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16.1.3 因发包人违约解除合同</w:t>
      </w:r>
    </w:p>
    <w:p w14:paraId="5ABF9837">
      <w:pPr>
        <w:widowControl w:val="0"/>
        <w:autoSpaceDE w:val="0"/>
        <w:autoSpaceDN w:val="0"/>
        <w:adjustRightInd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承包人按16.1.1项〔发包人违约的情形〕约定暂停施工满</w:t>
      </w:r>
      <w:r>
        <w:rPr>
          <w:rFonts w:hint="eastAsia" w:ascii="宋体" w:hAnsi="宋体" w:eastAsia="宋体" w:cs="宋体"/>
          <w:color w:val="000000"/>
          <w:kern w:val="0"/>
          <w:sz w:val="24"/>
          <w:szCs w:val="24"/>
          <w:u w:val="single"/>
          <w:lang w:val="en-US" w:eastAsia="zh-CN" w:bidi="ar-SA"/>
        </w:rPr>
        <w:t>56</w:t>
      </w:r>
      <w:r>
        <w:rPr>
          <w:rFonts w:hint="eastAsia" w:ascii="宋体" w:hAnsi="宋体" w:eastAsia="宋体" w:cs="宋体"/>
          <w:color w:val="000000"/>
          <w:kern w:val="0"/>
          <w:sz w:val="24"/>
          <w:szCs w:val="24"/>
          <w:lang w:val="en-US" w:eastAsia="zh-CN" w:bidi="ar-SA"/>
        </w:rPr>
        <w:t>天后发包人仍不纠正其违约行为并致使合同目的不能实现的，承包人有权解除合同。</w:t>
      </w:r>
    </w:p>
    <w:p w14:paraId="1058BD94">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597" w:name="_Toc256002673"/>
      <w:bookmarkStart w:id="3598" w:name="_Toc256003581"/>
      <w:bookmarkStart w:id="3599" w:name="_Toc256002900"/>
      <w:bookmarkStart w:id="3600" w:name="_Toc256003354"/>
      <w:bookmarkStart w:id="3601" w:name="_Toc256001311"/>
      <w:bookmarkStart w:id="3602" w:name="_Toc256004035"/>
      <w:bookmarkStart w:id="3603" w:name="_Toc256001992"/>
      <w:bookmarkStart w:id="3604" w:name="_Toc256002446"/>
      <w:bookmarkStart w:id="3605" w:name="_Toc256002219"/>
      <w:bookmarkStart w:id="3606" w:name="_Toc356979891"/>
      <w:bookmarkStart w:id="3607" w:name="_Toc10226"/>
      <w:bookmarkStart w:id="3608" w:name="_Toc256001538"/>
      <w:bookmarkStart w:id="3609" w:name="_Toc808083520"/>
      <w:bookmarkStart w:id="3610" w:name="_Toc256003808"/>
      <w:bookmarkStart w:id="3611" w:name="_Toc256001084"/>
      <w:bookmarkStart w:id="3612" w:name="_Toc256000857"/>
      <w:bookmarkStart w:id="3613" w:name="_Toc256001765"/>
      <w:bookmarkStart w:id="3614" w:name="_Toc256003127"/>
      <w:bookmarkStart w:id="3615" w:name="_Toc256000403"/>
      <w:bookmarkStart w:id="3616" w:name="_Toc256000630"/>
      <w:bookmarkStart w:id="3617" w:name="_Toc256000176"/>
      <w:r>
        <w:rPr>
          <w:rFonts w:hint="eastAsia" w:ascii="宋体" w:hAnsi="宋体" w:eastAsia="宋体" w:cs="宋体"/>
          <w:color w:val="000000"/>
          <w:kern w:val="2"/>
          <w:sz w:val="24"/>
          <w:szCs w:val="24"/>
          <w:lang w:val="en-US" w:eastAsia="zh-CN" w:bidi="ar-SA"/>
        </w:rPr>
        <w:t>16.2 承包人违约</w:t>
      </w:r>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p>
    <w:p w14:paraId="547847F0">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16.2.1 承包人违约的情形</w:t>
      </w:r>
    </w:p>
    <w:p w14:paraId="122B16D0">
      <w:pPr>
        <w:widowControl w:val="0"/>
        <w:spacing w:line="400" w:lineRule="exact"/>
        <w:ind w:firstLine="480" w:firstLineChars="200"/>
        <w:jc w:val="left"/>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承包人违约的其他情形：</w:t>
      </w:r>
      <w:r>
        <w:rPr>
          <w:rFonts w:hint="eastAsia" w:ascii="宋体" w:hAnsi="宋体" w:eastAsia="宋体" w:cs="宋体"/>
          <w:color w:val="000000"/>
          <w:kern w:val="2"/>
          <w:sz w:val="24"/>
          <w:szCs w:val="24"/>
          <w:u w:val="single"/>
          <w:lang w:val="en-US" w:eastAsia="zh-CN" w:bidi="ar-SA"/>
        </w:rPr>
        <w:t>工期延误、质量问题、技术文件未按约定时间提交、承包人擅自停工或单方面终止合同等</w:t>
      </w:r>
      <w:r>
        <w:rPr>
          <w:rFonts w:hint="eastAsia" w:ascii="宋体" w:hAnsi="宋体" w:eastAsia="宋体" w:cs="宋体"/>
          <w:color w:val="000000"/>
          <w:kern w:val="0"/>
          <w:sz w:val="24"/>
          <w:szCs w:val="24"/>
          <w:lang w:val="en-US" w:eastAsia="zh-CN" w:bidi="ar-SA"/>
        </w:rPr>
        <w:t>。</w:t>
      </w:r>
    </w:p>
    <w:p w14:paraId="4E192B36">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16.2.2 承包人违约的责任</w:t>
      </w:r>
    </w:p>
    <w:p w14:paraId="0C037921">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承包人违约责任的承担方式和计算方法：</w:t>
      </w:r>
    </w:p>
    <w:p w14:paraId="272EFDEF">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1、 经查实如承包人有出借资质或挂靠施工现象发生，视承包人违约，承包人除须立即进行纠正外，</w:t>
      </w:r>
      <w:r>
        <w:rPr>
          <w:rFonts w:hint="eastAsia" w:ascii="宋体" w:hAnsi="宋体" w:eastAsia="宋体" w:cs="宋体"/>
          <w:color w:val="FF0000"/>
          <w:kern w:val="2"/>
          <w:sz w:val="24"/>
          <w:szCs w:val="24"/>
          <w:u w:val="single"/>
          <w:lang w:val="en-US" w:eastAsia="zh-CN" w:bidi="ar-SA"/>
        </w:rPr>
        <w:t>发包人有权要求承包人按合同总价款的30%支付违约金。违约金不足以弥补发包人损失的，发包人有权要求承包人继续赔偿损失</w:t>
      </w:r>
      <w:r>
        <w:rPr>
          <w:rFonts w:hint="eastAsia" w:ascii="宋体" w:hAnsi="宋体" w:eastAsia="宋体" w:cs="宋体"/>
          <w:color w:val="000000"/>
          <w:kern w:val="2"/>
          <w:sz w:val="24"/>
          <w:szCs w:val="24"/>
          <w:u w:val="single"/>
          <w:lang w:val="en-US" w:eastAsia="zh-CN" w:bidi="ar-SA"/>
        </w:rPr>
        <w:t>。</w:t>
      </w:r>
    </w:p>
    <w:p w14:paraId="4F36D3F1">
      <w:pPr>
        <w:widowControl w:val="0"/>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single"/>
          <w:lang w:val="en-US" w:eastAsia="zh-CN" w:bidi="ar-SA"/>
        </w:rPr>
        <w:t>2、承包人不得以任何理由（非发包人原因）擅自停工，对发包人的复工通知应积极响应，连续收到三次复工通知书拒不复工的，发包人采取解除合同关系，拒付工程款，</w:t>
      </w:r>
      <w:r>
        <w:rPr>
          <w:rFonts w:hint="eastAsia" w:ascii="宋体" w:hAnsi="宋体" w:eastAsia="宋体" w:cs="宋体"/>
          <w:color w:val="FF0000"/>
          <w:kern w:val="2"/>
          <w:sz w:val="24"/>
          <w:szCs w:val="24"/>
          <w:u w:val="single"/>
          <w:lang w:val="en-US" w:eastAsia="zh-CN" w:bidi="ar-SA"/>
        </w:rPr>
        <w:t>要求承包人按合同总价款的30%支付违约金</w:t>
      </w:r>
      <w:r>
        <w:rPr>
          <w:rFonts w:hint="eastAsia" w:ascii="宋体" w:hAnsi="宋体" w:eastAsia="宋体" w:cs="宋体"/>
          <w:color w:val="000000"/>
          <w:kern w:val="2"/>
          <w:sz w:val="24"/>
          <w:szCs w:val="24"/>
          <w:u w:val="single"/>
          <w:lang w:val="en-US" w:eastAsia="zh-CN" w:bidi="ar-SA"/>
        </w:rPr>
        <w:t>等措施，并追究承包人相应经济和法律责任。</w:t>
      </w:r>
    </w:p>
    <w:p w14:paraId="5975E743">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16.2.3 因承包人违约解除合同</w:t>
      </w:r>
    </w:p>
    <w:p w14:paraId="7BE0901A">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关于承包人违约解除合同的特别约定：</w:t>
      </w:r>
    </w:p>
    <w:p w14:paraId="10FF7F4A">
      <w:pPr>
        <w:widowControl w:val="0"/>
        <w:ind w:firstLine="480" w:firstLineChars="200"/>
        <w:jc w:val="left"/>
        <w:rPr>
          <w:rFonts w:ascii="Calibri" w:hAnsi="Calibri" w:eastAsia="宋体" w:cs="Times New Roman"/>
          <w:kern w:val="2"/>
          <w:sz w:val="21"/>
          <w:szCs w:val="20"/>
          <w:lang w:val="en-US" w:eastAsia="zh-CN" w:bidi="ar-SA"/>
        </w:rPr>
      </w:pPr>
      <w:r>
        <w:rPr>
          <w:rFonts w:hint="eastAsia" w:ascii="宋体" w:hAnsi="宋体" w:eastAsia="宋体" w:cs="宋体"/>
          <w:color w:val="000000"/>
          <w:kern w:val="2"/>
          <w:sz w:val="24"/>
          <w:szCs w:val="24"/>
          <w:u w:val="single"/>
          <w:lang w:val="en-US" w:eastAsia="zh-CN" w:bidi="ar-SA"/>
        </w:rPr>
        <w:t>在本合同解除后，承包人必须在5天内无条件退场。发包人将按承包人已完成工程量的50%给予结算，承包人并承担由此而给发包方造成的一切损失</w:t>
      </w: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FF0000"/>
          <w:kern w:val="2"/>
          <w:sz w:val="24"/>
          <w:szCs w:val="24"/>
          <w:u w:val="single"/>
          <w:lang w:val="en-US" w:eastAsia="zh-CN" w:bidi="ar-SA"/>
        </w:rPr>
        <w:t>承包人在5天内未能完成退场的，承包人留存在现场的一切设备设施视为放弃，发包人可自行处置。</w:t>
      </w:r>
    </w:p>
    <w:p w14:paraId="5E4F17B4">
      <w:pPr>
        <w:widowControl w:val="0"/>
        <w:spacing w:line="400" w:lineRule="exact"/>
        <w:ind w:firstLine="480" w:firstLineChars="200"/>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2"/>
          <w:sz w:val="24"/>
          <w:szCs w:val="24"/>
          <w:u w:val="single"/>
          <w:lang w:val="en-US" w:eastAsia="zh-CN" w:bidi="ar-SA"/>
        </w:rPr>
        <w:t>根据监理、审计出具的报告结算给承包人</w:t>
      </w:r>
      <w:r>
        <w:rPr>
          <w:rFonts w:hint="eastAsia" w:ascii="宋体" w:hAnsi="宋体" w:eastAsia="宋体" w:cs="宋体"/>
          <w:color w:val="000000"/>
          <w:kern w:val="0"/>
          <w:sz w:val="24"/>
          <w:szCs w:val="24"/>
          <w:lang w:val="en-US" w:eastAsia="zh-CN" w:bidi="ar-SA"/>
        </w:rPr>
        <w:t>。</w:t>
      </w:r>
    </w:p>
    <w:p w14:paraId="7E5AC3A8">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618" w:name="_Toc256003809"/>
      <w:bookmarkStart w:id="3619" w:name="_Toc256001766"/>
      <w:bookmarkStart w:id="3620" w:name="_Toc256002901"/>
      <w:bookmarkStart w:id="3621" w:name="_Toc256003128"/>
      <w:bookmarkStart w:id="3622" w:name="_Toc256003355"/>
      <w:bookmarkStart w:id="3623" w:name="_Toc812123563"/>
      <w:bookmarkStart w:id="3624" w:name="_Toc256000631"/>
      <w:bookmarkStart w:id="3625" w:name="_Toc256003582"/>
      <w:bookmarkStart w:id="3626" w:name="_Toc256001539"/>
      <w:bookmarkStart w:id="3627" w:name="_Toc256001312"/>
      <w:bookmarkStart w:id="3628" w:name="_Toc256001993"/>
      <w:bookmarkStart w:id="3629" w:name="_Toc256001085"/>
      <w:bookmarkStart w:id="3630" w:name="_Toc256002447"/>
      <w:bookmarkStart w:id="3631" w:name="_Toc256004036"/>
      <w:bookmarkStart w:id="3632" w:name="_Toc256002674"/>
      <w:bookmarkStart w:id="3633" w:name="_Toc256000404"/>
      <w:bookmarkStart w:id="3634" w:name="_Toc2079114017"/>
      <w:bookmarkStart w:id="3635" w:name="_Toc256000177"/>
      <w:bookmarkStart w:id="3636" w:name="_Toc256000858"/>
      <w:bookmarkStart w:id="3637" w:name="_Toc256002220"/>
      <w:r>
        <w:rPr>
          <w:rFonts w:hint="eastAsia" w:ascii="宋体" w:hAnsi="宋体" w:eastAsia="宋体" w:cs="宋体"/>
          <w:b w:val="0"/>
          <w:bCs/>
          <w:color w:val="000000"/>
          <w:kern w:val="2"/>
          <w:sz w:val="24"/>
          <w:szCs w:val="24"/>
          <w:lang w:val="en-US" w:eastAsia="zh-CN" w:bidi="ar-SA"/>
        </w:rPr>
        <w:t>17. 不可抗力</w:t>
      </w:r>
      <w:bookmarkEnd w:id="3574"/>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14:paraId="03566117">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638" w:name="_Toc256001313"/>
      <w:bookmarkStart w:id="3639" w:name="_Toc256001086"/>
      <w:bookmarkStart w:id="3640" w:name="_Toc256003129"/>
      <w:bookmarkStart w:id="3641" w:name="_Toc256004037"/>
      <w:bookmarkStart w:id="3642" w:name="_Toc256000178"/>
      <w:bookmarkStart w:id="3643" w:name="_Toc256002675"/>
      <w:bookmarkStart w:id="3644" w:name="_Toc256002221"/>
      <w:bookmarkStart w:id="3645" w:name="_Toc256002448"/>
      <w:bookmarkStart w:id="3646" w:name="_Toc1806635917"/>
      <w:bookmarkStart w:id="3647" w:name="_Toc256003810"/>
      <w:bookmarkStart w:id="3648" w:name="_Toc256000405"/>
      <w:bookmarkStart w:id="3649" w:name="_Toc1018645862"/>
      <w:bookmarkStart w:id="3650" w:name="_Toc256000859"/>
      <w:bookmarkStart w:id="3651" w:name="_Toc256002902"/>
      <w:bookmarkStart w:id="3652" w:name="_Toc256003583"/>
      <w:bookmarkStart w:id="3653" w:name="_Toc256000632"/>
      <w:bookmarkStart w:id="3654" w:name="_Toc9363"/>
      <w:bookmarkStart w:id="3655" w:name="_Toc256001540"/>
      <w:bookmarkStart w:id="3656" w:name="_Toc256001767"/>
      <w:bookmarkStart w:id="3657" w:name="_Toc256001994"/>
      <w:bookmarkStart w:id="3658" w:name="_Toc256003356"/>
      <w:r>
        <w:rPr>
          <w:rFonts w:hint="eastAsia" w:ascii="宋体" w:hAnsi="宋体" w:eastAsia="宋体" w:cs="宋体"/>
          <w:color w:val="000000"/>
          <w:kern w:val="2"/>
          <w:sz w:val="24"/>
          <w:szCs w:val="24"/>
          <w:lang w:val="en-US" w:eastAsia="zh-CN" w:bidi="ar-SA"/>
        </w:rPr>
        <w:t>17.1 不可抗力的确认</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p>
    <w:p w14:paraId="227365FE">
      <w:pPr>
        <w:widowControl w:val="0"/>
        <w:spacing w:line="400" w:lineRule="exact"/>
        <w:ind w:firstLine="480" w:firstLineChars="200"/>
        <w:jc w:val="both"/>
        <w:rPr>
          <w:rFonts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2"/>
          <w:sz w:val="24"/>
          <w:szCs w:val="24"/>
          <w:lang w:val="en-US" w:eastAsia="zh-CN" w:bidi="ar-SA"/>
        </w:rPr>
        <w:t>除通用合同条款约定的不可抗力事件之外，视为不可抗力的其他情形：</w:t>
      </w:r>
      <w:r>
        <w:rPr>
          <w:rFonts w:hint="eastAsia" w:ascii="宋体" w:hAnsi="宋体" w:eastAsia="宋体" w:cs="宋体"/>
          <w:color w:val="000000"/>
          <w:kern w:val="2"/>
          <w:sz w:val="24"/>
          <w:szCs w:val="24"/>
          <w:u w:val="single"/>
          <w:lang w:val="en-US" w:eastAsia="zh-CN" w:bidi="ar-SA"/>
        </w:rPr>
        <w:t>按省级有关部门的规定执行</w:t>
      </w:r>
      <w:r>
        <w:rPr>
          <w:rFonts w:hint="eastAsia" w:ascii="宋体" w:hAnsi="宋体" w:eastAsia="宋体" w:cs="宋体"/>
          <w:color w:val="000000"/>
          <w:kern w:val="0"/>
          <w:sz w:val="24"/>
          <w:szCs w:val="24"/>
          <w:lang w:val="en-US" w:eastAsia="zh-CN" w:bidi="ar-SA"/>
        </w:rPr>
        <w:t>。</w:t>
      </w:r>
    </w:p>
    <w:p w14:paraId="08879845">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659" w:name="_Toc256002449"/>
      <w:bookmarkStart w:id="3660" w:name="_Toc256003811"/>
      <w:bookmarkStart w:id="3661" w:name="_Toc256002222"/>
      <w:bookmarkStart w:id="3662" w:name="_Toc256003357"/>
      <w:bookmarkStart w:id="3663" w:name="_Toc11690251"/>
      <w:bookmarkStart w:id="3664" w:name="_Toc256003584"/>
      <w:bookmarkStart w:id="3665" w:name="_Toc256000860"/>
      <w:bookmarkStart w:id="3666" w:name="_Toc256003130"/>
      <w:bookmarkStart w:id="3667" w:name="_Toc256001995"/>
      <w:bookmarkStart w:id="3668" w:name="_Toc24645"/>
      <w:bookmarkStart w:id="3669" w:name="_Toc256001541"/>
      <w:bookmarkStart w:id="3670" w:name="_Toc256004038"/>
      <w:bookmarkStart w:id="3671" w:name="_Toc256000633"/>
      <w:bookmarkStart w:id="3672" w:name="_Toc1010713786"/>
      <w:bookmarkStart w:id="3673" w:name="_Toc256001314"/>
      <w:bookmarkStart w:id="3674" w:name="_Toc256001087"/>
      <w:bookmarkStart w:id="3675" w:name="_Toc256000179"/>
      <w:bookmarkStart w:id="3676" w:name="_Toc256002903"/>
      <w:bookmarkStart w:id="3677" w:name="_Toc256000406"/>
      <w:bookmarkStart w:id="3678" w:name="_Toc256002676"/>
      <w:bookmarkStart w:id="3679" w:name="_Toc256001768"/>
      <w:r>
        <w:rPr>
          <w:rFonts w:hint="eastAsia" w:ascii="宋体" w:hAnsi="宋体" w:eastAsia="宋体" w:cs="宋体"/>
          <w:color w:val="000000"/>
          <w:kern w:val="2"/>
          <w:sz w:val="24"/>
          <w:szCs w:val="24"/>
          <w:lang w:val="en-US" w:eastAsia="zh-CN" w:bidi="ar-SA"/>
        </w:rPr>
        <w:t>17.4 因不可抗力解除合同</w:t>
      </w:r>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p>
    <w:p w14:paraId="153FA3E4">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合同解除后，发包人应在商定或确定发包人应支付款项后</w:t>
      </w:r>
      <w:r>
        <w:rPr>
          <w:rFonts w:hint="eastAsia" w:ascii="宋体" w:hAnsi="宋体" w:eastAsia="宋体" w:cs="宋体"/>
          <w:color w:val="000000"/>
          <w:kern w:val="2"/>
          <w:sz w:val="24"/>
          <w:szCs w:val="24"/>
          <w:u w:val="single"/>
          <w:lang w:val="en-US" w:eastAsia="zh-CN" w:bidi="ar-SA"/>
        </w:rPr>
        <w:t>28</w:t>
      </w:r>
      <w:r>
        <w:rPr>
          <w:rFonts w:hint="eastAsia" w:ascii="宋体" w:hAnsi="宋体" w:eastAsia="宋体" w:cs="宋体"/>
          <w:color w:val="000000"/>
          <w:kern w:val="2"/>
          <w:sz w:val="24"/>
          <w:szCs w:val="24"/>
          <w:lang w:val="en-US" w:eastAsia="zh-CN" w:bidi="ar-SA"/>
        </w:rPr>
        <w:t>天内完成款项的支付。</w:t>
      </w:r>
    </w:p>
    <w:p w14:paraId="3A862444">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680" w:name="_Toc256003812"/>
      <w:bookmarkStart w:id="3681" w:name="_Toc256000634"/>
      <w:bookmarkStart w:id="3682" w:name="_Toc256000407"/>
      <w:bookmarkStart w:id="3683" w:name="_Toc256002450"/>
      <w:bookmarkStart w:id="3684" w:name="_Toc256001996"/>
      <w:bookmarkStart w:id="3685" w:name="_Toc256001088"/>
      <w:bookmarkStart w:id="3686" w:name="_Toc256003358"/>
      <w:bookmarkStart w:id="3687" w:name="_Toc256001315"/>
      <w:bookmarkStart w:id="3688" w:name="_Toc256002677"/>
      <w:bookmarkStart w:id="3689" w:name="_Toc256003585"/>
      <w:bookmarkStart w:id="3690" w:name="_Toc1270684127"/>
      <w:bookmarkStart w:id="3691" w:name="_Toc256001542"/>
      <w:bookmarkStart w:id="3692" w:name="_Toc266453569"/>
      <w:bookmarkStart w:id="3693" w:name="_Toc256002223"/>
      <w:bookmarkStart w:id="3694" w:name="_Toc256004039"/>
      <w:bookmarkStart w:id="3695" w:name="_Toc256003131"/>
      <w:bookmarkStart w:id="3696" w:name="_Toc256000861"/>
      <w:bookmarkStart w:id="3697" w:name="_Toc256000180"/>
      <w:bookmarkStart w:id="3698" w:name="_Toc256002904"/>
      <w:bookmarkStart w:id="3699" w:name="_Toc256001769"/>
      <w:r>
        <w:rPr>
          <w:rFonts w:hint="eastAsia" w:ascii="宋体" w:hAnsi="宋体" w:eastAsia="宋体" w:cs="宋体"/>
          <w:b w:val="0"/>
          <w:bCs/>
          <w:color w:val="000000"/>
          <w:kern w:val="2"/>
          <w:sz w:val="24"/>
          <w:szCs w:val="24"/>
          <w:lang w:val="en-US" w:eastAsia="zh-CN" w:bidi="ar-SA"/>
        </w:rPr>
        <w:t>18. 保险</w:t>
      </w:r>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p>
    <w:bookmarkEnd w:id="3575"/>
    <w:p w14:paraId="435C6DAC">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700" w:name="_Toc256001316"/>
      <w:bookmarkStart w:id="3701" w:name="_Toc256000408"/>
      <w:bookmarkStart w:id="3702" w:name="_Toc256000635"/>
      <w:bookmarkStart w:id="3703" w:name="_Toc256003586"/>
      <w:bookmarkStart w:id="3704" w:name="_Toc256002224"/>
      <w:bookmarkStart w:id="3705" w:name="_Toc256001997"/>
      <w:bookmarkStart w:id="3706" w:name="_Toc552342053"/>
      <w:bookmarkStart w:id="3707" w:name="_Toc256002678"/>
      <w:bookmarkStart w:id="3708" w:name="_Toc256001543"/>
      <w:bookmarkStart w:id="3709" w:name="_Toc256002451"/>
      <w:bookmarkStart w:id="3710" w:name="_Toc256002905"/>
      <w:bookmarkStart w:id="3711" w:name="_Toc995365961"/>
      <w:bookmarkStart w:id="3712" w:name="_Toc256004040"/>
      <w:bookmarkStart w:id="3713" w:name="_Toc29058"/>
      <w:bookmarkStart w:id="3714" w:name="_Toc256001770"/>
      <w:bookmarkStart w:id="3715" w:name="_Toc256001089"/>
      <w:bookmarkStart w:id="3716" w:name="_Toc256003132"/>
      <w:bookmarkStart w:id="3717" w:name="_Toc256003359"/>
      <w:bookmarkStart w:id="3718" w:name="_Toc256000181"/>
      <w:bookmarkStart w:id="3719" w:name="_Toc256003813"/>
      <w:bookmarkStart w:id="3720" w:name="_Toc256000862"/>
      <w:r>
        <w:rPr>
          <w:rFonts w:hint="eastAsia" w:ascii="宋体" w:hAnsi="宋体" w:eastAsia="宋体" w:cs="宋体"/>
          <w:color w:val="000000"/>
          <w:kern w:val="2"/>
          <w:sz w:val="24"/>
          <w:szCs w:val="24"/>
          <w:lang w:val="en-US" w:eastAsia="zh-CN" w:bidi="ar-SA"/>
        </w:rPr>
        <w:t>18.1 工程保险</w:t>
      </w:r>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p>
    <w:p w14:paraId="6A35D5F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关于工程保险的特别约定：</w:t>
      </w:r>
      <w:r>
        <w:rPr>
          <w:rFonts w:hint="eastAsia" w:ascii="宋体" w:hAnsi="宋体" w:eastAsia="宋体" w:cs="宋体"/>
          <w:color w:val="000000"/>
          <w:kern w:val="2"/>
          <w:sz w:val="24"/>
          <w:szCs w:val="24"/>
          <w:u w:val="single"/>
          <w:lang w:val="en-US" w:eastAsia="zh-CN" w:bidi="ar-SA"/>
        </w:rPr>
        <w:t>承包人必须按国家相关规定为从事危险作业的职工办理意外伤害保险、第三方人身以及其它依据国家、江苏省、南京市有关法律、法规、规章、规范性文件应当办理的人身、财产保险，否则发包人有权从工程款中代扣缴，由此产生的一切责任由承包人承担</w:t>
      </w:r>
      <w:r>
        <w:rPr>
          <w:rFonts w:hint="eastAsia" w:ascii="宋体" w:hAnsi="宋体" w:eastAsia="宋体" w:cs="宋体"/>
          <w:color w:val="000000"/>
          <w:kern w:val="0"/>
          <w:sz w:val="24"/>
          <w:szCs w:val="24"/>
          <w:lang w:val="en-US" w:eastAsia="zh-CN" w:bidi="ar-SA"/>
        </w:rPr>
        <w:t>。</w:t>
      </w:r>
    </w:p>
    <w:p w14:paraId="57903970">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721" w:name="_Toc1714078037"/>
      <w:bookmarkStart w:id="3722" w:name="_Toc256001317"/>
      <w:bookmarkStart w:id="3723" w:name="_Toc256001998"/>
      <w:bookmarkStart w:id="3724" w:name="_Toc1356197126"/>
      <w:bookmarkStart w:id="3725" w:name="_Toc256000863"/>
      <w:bookmarkStart w:id="3726" w:name="_Toc256000182"/>
      <w:bookmarkStart w:id="3727" w:name="_Toc256001090"/>
      <w:bookmarkStart w:id="3728" w:name="_Toc256001544"/>
      <w:bookmarkStart w:id="3729" w:name="_Toc256002679"/>
      <w:bookmarkStart w:id="3730" w:name="_Toc11083"/>
      <w:bookmarkStart w:id="3731" w:name="_Toc256004041"/>
      <w:bookmarkStart w:id="3732" w:name="_Toc256002452"/>
      <w:bookmarkStart w:id="3733" w:name="_Toc256000409"/>
      <w:bookmarkStart w:id="3734" w:name="_Toc256003360"/>
      <w:bookmarkStart w:id="3735" w:name="_Toc256003814"/>
      <w:bookmarkStart w:id="3736" w:name="_Toc256002906"/>
      <w:bookmarkStart w:id="3737" w:name="_Toc256002225"/>
      <w:bookmarkStart w:id="3738" w:name="_Toc256001771"/>
      <w:bookmarkStart w:id="3739" w:name="_Toc256000636"/>
      <w:bookmarkStart w:id="3740" w:name="_Toc256003133"/>
      <w:bookmarkStart w:id="3741" w:name="_Toc256003587"/>
      <w:r>
        <w:rPr>
          <w:rFonts w:hint="eastAsia" w:ascii="宋体" w:hAnsi="宋体" w:eastAsia="宋体" w:cs="宋体"/>
          <w:color w:val="000000"/>
          <w:kern w:val="2"/>
          <w:sz w:val="24"/>
          <w:szCs w:val="24"/>
          <w:lang w:val="en-US" w:eastAsia="zh-CN" w:bidi="ar-SA"/>
        </w:rPr>
        <w:t>18.3 其他保险</w:t>
      </w:r>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p>
    <w:p w14:paraId="3A14403F">
      <w:pPr>
        <w:widowControl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关于其他保险的约定：</w:t>
      </w:r>
      <w:r>
        <w:rPr>
          <w:rFonts w:hint="eastAsia" w:ascii="宋体" w:hAnsi="宋体" w:eastAsia="宋体" w:cs="宋体"/>
          <w:color w:val="000000"/>
          <w:kern w:val="0"/>
          <w:sz w:val="24"/>
          <w:szCs w:val="24"/>
          <w:lang w:val="en-US" w:eastAsia="zh-CN" w:bidi="ar-SA"/>
        </w:rPr>
        <w:t>。</w:t>
      </w:r>
    </w:p>
    <w:p w14:paraId="0969B011">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承包人是否应为其施工设备等办理财产保险：</w:t>
      </w:r>
      <w:r>
        <w:rPr>
          <w:rFonts w:hint="eastAsia" w:ascii="宋体" w:hAnsi="宋体" w:eastAsia="宋体" w:cs="宋体"/>
          <w:color w:val="000000"/>
          <w:kern w:val="2"/>
          <w:sz w:val="24"/>
          <w:szCs w:val="24"/>
          <w:u w:val="single"/>
          <w:lang w:val="en-US" w:eastAsia="zh-CN" w:bidi="ar-SA"/>
        </w:rPr>
        <w:t>由承包人自行考虑</w:t>
      </w:r>
      <w:r>
        <w:rPr>
          <w:rFonts w:hint="eastAsia" w:ascii="宋体" w:hAnsi="宋体" w:eastAsia="宋体" w:cs="宋体"/>
          <w:color w:val="000000"/>
          <w:kern w:val="2"/>
          <w:sz w:val="24"/>
          <w:szCs w:val="24"/>
          <w:lang w:val="en-US" w:eastAsia="zh-CN" w:bidi="ar-SA"/>
        </w:rPr>
        <w:t>。</w:t>
      </w:r>
    </w:p>
    <w:p w14:paraId="4A16D257">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742" w:name="_Toc256003134"/>
      <w:bookmarkStart w:id="3743" w:name="_Toc256002680"/>
      <w:bookmarkStart w:id="3744" w:name="_Toc256001545"/>
      <w:bookmarkStart w:id="3745" w:name="_Toc256004042"/>
      <w:bookmarkStart w:id="3746" w:name="_Toc256000637"/>
      <w:bookmarkStart w:id="3747" w:name="_Toc256003815"/>
      <w:bookmarkStart w:id="3748" w:name="_Toc256001318"/>
      <w:bookmarkStart w:id="3749" w:name="_Toc256000410"/>
      <w:bookmarkStart w:id="3750" w:name="_Toc221254894"/>
      <w:bookmarkStart w:id="3751" w:name="_Toc256001772"/>
      <w:bookmarkStart w:id="3752" w:name="_Toc256002453"/>
      <w:bookmarkStart w:id="3753" w:name="_Toc23310917"/>
      <w:bookmarkStart w:id="3754" w:name="_Toc256003361"/>
      <w:bookmarkStart w:id="3755" w:name="_Toc4543"/>
      <w:bookmarkStart w:id="3756" w:name="_Toc256001091"/>
      <w:bookmarkStart w:id="3757" w:name="_Toc256000864"/>
      <w:bookmarkStart w:id="3758" w:name="_Toc256001999"/>
      <w:bookmarkStart w:id="3759" w:name="_Toc256000183"/>
      <w:bookmarkStart w:id="3760" w:name="_Toc256002226"/>
      <w:bookmarkStart w:id="3761" w:name="_Toc256002907"/>
      <w:bookmarkStart w:id="3762" w:name="_Toc256003588"/>
      <w:r>
        <w:rPr>
          <w:rFonts w:hint="eastAsia" w:ascii="宋体" w:hAnsi="宋体" w:eastAsia="宋体" w:cs="宋体"/>
          <w:color w:val="000000"/>
          <w:kern w:val="2"/>
          <w:sz w:val="24"/>
          <w:szCs w:val="24"/>
          <w:lang w:val="en-US" w:eastAsia="zh-CN" w:bidi="ar-SA"/>
        </w:rPr>
        <w:t>18.7 通知义务</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p>
    <w:p w14:paraId="25C3DAC0">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0"/>
          <w:sz w:val="24"/>
          <w:szCs w:val="24"/>
          <w:lang w:val="en-US" w:eastAsia="zh-CN" w:bidi="ar-SA"/>
        </w:rPr>
        <w:t>关于变更保险合同时的通知义务的约定：</w:t>
      </w:r>
      <w:r>
        <w:rPr>
          <w:rFonts w:hint="eastAsia" w:ascii="宋体" w:hAnsi="宋体" w:eastAsia="宋体" w:cs="宋体"/>
          <w:color w:val="000000"/>
          <w:kern w:val="2"/>
          <w:sz w:val="24"/>
          <w:szCs w:val="24"/>
          <w:u w:val="single"/>
          <w:lang w:val="en-US" w:eastAsia="zh-CN" w:bidi="ar-SA"/>
        </w:rPr>
        <w:t>按通用条款执行</w:t>
      </w:r>
      <w:r>
        <w:rPr>
          <w:rFonts w:hint="eastAsia" w:ascii="宋体" w:hAnsi="宋体" w:eastAsia="宋体" w:cs="宋体"/>
          <w:color w:val="000000"/>
          <w:kern w:val="2"/>
          <w:sz w:val="24"/>
          <w:szCs w:val="24"/>
          <w:lang w:val="en-US" w:eastAsia="zh-CN" w:bidi="ar-SA"/>
        </w:rPr>
        <w:t>。</w:t>
      </w:r>
    </w:p>
    <w:bookmarkEnd w:id="3511"/>
    <w:bookmarkEnd w:id="3512"/>
    <w:bookmarkEnd w:id="3513"/>
    <w:bookmarkEnd w:id="3514"/>
    <w:bookmarkEnd w:id="3515"/>
    <w:bookmarkEnd w:id="3516"/>
    <w:bookmarkEnd w:id="3517"/>
    <w:bookmarkEnd w:id="3518"/>
    <w:bookmarkEnd w:id="3519"/>
    <w:bookmarkEnd w:id="3520"/>
    <w:bookmarkEnd w:id="3521"/>
    <w:bookmarkEnd w:id="3522"/>
    <w:p w14:paraId="5EFE1739">
      <w:pPr>
        <w:keepNext/>
        <w:keepLines/>
        <w:widowControl w:val="0"/>
        <w:spacing w:before="0" w:after="0" w:line="400" w:lineRule="exact"/>
        <w:jc w:val="both"/>
        <w:outlineLvl w:val="1"/>
        <w:rPr>
          <w:rFonts w:ascii="宋体" w:hAnsi="宋体" w:eastAsia="宋体" w:cs="宋体"/>
          <w:b w:val="0"/>
          <w:bCs/>
          <w:color w:val="000000"/>
          <w:kern w:val="2"/>
          <w:sz w:val="24"/>
          <w:szCs w:val="24"/>
          <w:lang w:val="en-US" w:eastAsia="zh-CN" w:bidi="ar-SA"/>
        </w:rPr>
      </w:pPr>
      <w:bookmarkStart w:id="3763" w:name="_Toc256000638"/>
      <w:bookmarkStart w:id="3764" w:name="_Toc256004043"/>
      <w:bookmarkStart w:id="3765" w:name="_Toc256000865"/>
      <w:bookmarkStart w:id="3766" w:name="_Toc256002908"/>
      <w:bookmarkStart w:id="3767" w:name="_Toc256001773"/>
      <w:bookmarkStart w:id="3768" w:name="_Toc256003135"/>
      <w:bookmarkStart w:id="3769" w:name="_Toc256002681"/>
      <w:bookmarkStart w:id="3770" w:name="_Toc417085405"/>
      <w:bookmarkStart w:id="3771" w:name="_Toc256001092"/>
      <w:bookmarkStart w:id="3772" w:name="_Toc256002454"/>
      <w:bookmarkStart w:id="3773" w:name="_Toc256003816"/>
      <w:bookmarkStart w:id="3774" w:name="_Toc256000411"/>
      <w:bookmarkStart w:id="3775" w:name="_Toc256003362"/>
      <w:bookmarkStart w:id="3776" w:name="_Toc256001319"/>
      <w:bookmarkStart w:id="3777" w:name="_Toc256000184"/>
      <w:bookmarkStart w:id="3778" w:name="_Toc256002000"/>
      <w:bookmarkStart w:id="3779" w:name="_Toc256001546"/>
      <w:bookmarkStart w:id="3780" w:name="_Toc256002227"/>
      <w:bookmarkStart w:id="3781" w:name="_Toc226165635"/>
      <w:bookmarkStart w:id="3782" w:name="_Toc256003589"/>
      <w:r>
        <w:rPr>
          <w:rFonts w:hint="eastAsia" w:ascii="宋体" w:hAnsi="宋体" w:eastAsia="宋体" w:cs="宋体"/>
          <w:b w:val="0"/>
          <w:bCs/>
          <w:color w:val="000000"/>
          <w:kern w:val="2"/>
          <w:sz w:val="24"/>
          <w:szCs w:val="24"/>
          <w:lang w:val="en-US" w:eastAsia="zh-CN" w:bidi="ar-SA"/>
        </w:rPr>
        <w:t>20. 争议解决</w:t>
      </w:r>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p>
    <w:p w14:paraId="071A587E">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783" w:name="_Toc1731520220"/>
      <w:bookmarkStart w:id="3784" w:name="_Toc256003817"/>
      <w:bookmarkStart w:id="3785" w:name="_Toc256001320"/>
      <w:bookmarkStart w:id="3786" w:name="_Toc256000412"/>
      <w:bookmarkStart w:id="3787" w:name="_Toc256001093"/>
      <w:bookmarkStart w:id="3788" w:name="_Toc256003590"/>
      <w:bookmarkStart w:id="3789" w:name="_Toc256004044"/>
      <w:bookmarkStart w:id="3790" w:name="_Toc256002455"/>
      <w:bookmarkStart w:id="3791" w:name="_Toc4610"/>
      <w:bookmarkStart w:id="3792" w:name="_Toc256000639"/>
      <w:bookmarkStart w:id="3793" w:name="_Toc256002001"/>
      <w:bookmarkStart w:id="3794" w:name="_Toc256000866"/>
      <w:bookmarkStart w:id="3795" w:name="_Toc256002909"/>
      <w:bookmarkStart w:id="3796" w:name="_Toc256003136"/>
      <w:bookmarkStart w:id="3797" w:name="_Toc256001774"/>
      <w:bookmarkStart w:id="3798" w:name="_Toc256000185"/>
      <w:bookmarkStart w:id="3799" w:name="_Toc256002228"/>
      <w:bookmarkStart w:id="3800" w:name="_Toc256003363"/>
      <w:bookmarkStart w:id="3801" w:name="_Toc256001547"/>
      <w:bookmarkStart w:id="3802" w:name="_Toc846612084"/>
      <w:bookmarkStart w:id="3803" w:name="_Toc256002682"/>
      <w:r>
        <w:rPr>
          <w:rFonts w:hint="eastAsia" w:ascii="宋体" w:hAnsi="宋体" w:eastAsia="宋体" w:cs="宋体"/>
          <w:color w:val="000000"/>
          <w:kern w:val="2"/>
          <w:sz w:val="24"/>
          <w:szCs w:val="24"/>
          <w:lang w:val="en-US" w:eastAsia="zh-CN" w:bidi="ar-SA"/>
        </w:rPr>
        <w:t>20.3 争议评审</w:t>
      </w:r>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p>
    <w:p w14:paraId="068B38F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本款补充20.3.1。</w:t>
      </w:r>
    </w:p>
    <w:p w14:paraId="51158D08">
      <w:pPr>
        <w:widowControl w:val="0"/>
        <w:spacing w:line="400" w:lineRule="exact"/>
        <w:ind w:left="149" w:leftChars="71" w:firstLine="360" w:firstLineChars="15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合同当事人是否同意将工程争议提交争议评审小组决定：</w:t>
      </w:r>
      <w:r>
        <w:rPr>
          <w:rFonts w:hint="eastAsia" w:ascii="宋体" w:hAnsi="宋体" w:eastAsia="宋体" w:cs="宋体"/>
          <w:color w:val="000000"/>
          <w:kern w:val="2"/>
          <w:sz w:val="24"/>
          <w:szCs w:val="24"/>
          <w:u w:val="single"/>
          <w:lang w:val="en-US" w:eastAsia="zh-CN" w:bidi="ar-SA"/>
        </w:rPr>
        <w:t>不同意</w:t>
      </w:r>
      <w:r>
        <w:rPr>
          <w:rFonts w:hint="eastAsia" w:ascii="宋体" w:hAnsi="宋体" w:eastAsia="宋体" w:cs="宋体"/>
          <w:color w:val="000000"/>
          <w:kern w:val="2"/>
          <w:sz w:val="24"/>
          <w:szCs w:val="24"/>
          <w:lang w:val="en-US" w:eastAsia="zh-CN" w:bidi="ar-SA"/>
        </w:rPr>
        <w:t xml:space="preserve">。   </w:t>
      </w:r>
    </w:p>
    <w:bookmarkEnd w:id="3523"/>
    <w:bookmarkEnd w:id="3524"/>
    <w:bookmarkEnd w:id="3525"/>
    <w:p w14:paraId="400A3D87">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20.3.1 争议评审小组的确定</w:t>
      </w:r>
    </w:p>
    <w:p w14:paraId="5160E34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关于评审机构的约定：</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0B0972E8">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争议评审小组成员的确定：</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7924A4FB">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选定争议评审员的期限：</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6571FE00">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争议评审小组成员的报酬承担方式：</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7B6A008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其他事项的约定：</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51DCB16A">
      <w:pPr>
        <w:widowControl w:val="0"/>
        <w:autoSpaceDE w:val="0"/>
        <w:autoSpaceDN w:val="0"/>
        <w:adjustRightInd w:val="0"/>
        <w:spacing w:line="400" w:lineRule="exact"/>
        <w:ind w:firstLine="480" w:firstLineChars="20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20.3.2 争议评审小组的决定</w:t>
      </w:r>
    </w:p>
    <w:p w14:paraId="73AA7B69">
      <w:pPr>
        <w:widowControl w:val="0"/>
        <w:spacing w:line="400" w:lineRule="exact"/>
        <w:ind w:firstLine="480" w:firstLineChars="200"/>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合同当事人关于本项的约定：</w:t>
      </w:r>
      <w:r>
        <w:rPr>
          <w:rFonts w:hint="eastAsia" w:ascii="宋体" w:hAnsi="宋体" w:eastAsia="宋体" w:cs="宋体"/>
          <w:color w:val="000000"/>
          <w:kern w:val="2"/>
          <w:sz w:val="24"/>
          <w:szCs w:val="24"/>
          <w:u w:val="single"/>
          <w:lang w:val="en-US" w:eastAsia="zh-CN" w:bidi="ar-SA"/>
        </w:rPr>
        <w:t xml:space="preserve">   /  </w:t>
      </w:r>
      <w:r>
        <w:rPr>
          <w:rFonts w:hint="eastAsia" w:ascii="宋体" w:hAnsi="宋体" w:eastAsia="宋体" w:cs="宋体"/>
          <w:color w:val="000000"/>
          <w:kern w:val="2"/>
          <w:sz w:val="24"/>
          <w:szCs w:val="24"/>
          <w:lang w:val="en-US" w:eastAsia="zh-CN" w:bidi="ar-SA"/>
        </w:rPr>
        <w:t>。</w:t>
      </w:r>
    </w:p>
    <w:p w14:paraId="487B5CB3">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804" w:name="_Toc256003137"/>
      <w:bookmarkStart w:id="3805" w:name="_Toc256001094"/>
      <w:bookmarkStart w:id="3806" w:name="_Toc256002229"/>
      <w:bookmarkStart w:id="3807" w:name="_Toc256003591"/>
      <w:bookmarkStart w:id="3808" w:name="_Toc256002002"/>
      <w:bookmarkStart w:id="3809" w:name="_Toc256002683"/>
      <w:bookmarkStart w:id="3810" w:name="_Toc1638028047"/>
      <w:bookmarkStart w:id="3811" w:name="_Toc256000413"/>
      <w:bookmarkStart w:id="3812" w:name="_Toc256001321"/>
      <w:bookmarkStart w:id="3813" w:name="_Toc256001548"/>
      <w:bookmarkStart w:id="3814" w:name="_Toc256002910"/>
      <w:bookmarkStart w:id="3815" w:name="_Toc256000186"/>
      <w:bookmarkStart w:id="3816" w:name="_Toc256003364"/>
      <w:bookmarkStart w:id="3817" w:name="_Toc256004045"/>
      <w:bookmarkStart w:id="3818" w:name="_Toc256000867"/>
      <w:bookmarkStart w:id="3819" w:name="_Toc30811"/>
      <w:bookmarkStart w:id="3820" w:name="_Toc2061672555"/>
      <w:bookmarkStart w:id="3821" w:name="_Toc256000640"/>
      <w:bookmarkStart w:id="3822" w:name="_Toc256001775"/>
      <w:bookmarkStart w:id="3823" w:name="_Toc256003818"/>
      <w:bookmarkStart w:id="3824" w:name="_Toc256002456"/>
      <w:r>
        <w:rPr>
          <w:rFonts w:hint="eastAsia" w:ascii="宋体" w:hAnsi="宋体" w:eastAsia="宋体" w:cs="宋体"/>
          <w:color w:val="000000"/>
          <w:kern w:val="2"/>
          <w:sz w:val="24"/>
          <w:szCs w:val="24"/>
          <w:lang w:val="en-US" w:eastAsia="zh-CN" w:bidi="ar-SA"/>
        </w:rPr>
        <w:t>20.4 仲裁或诉讼</w:t>
      </w:r>
      <w:bookmarkEnd w:id="3526"/>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14:paraId="24BC524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本款修改为：</w:t>
      </w:r>
    </w:p>
    <w:p w14:paraId="3812471E">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因合同及合同有关事项发生的争议，按下列第</w:t>
      </w:r>
      <w:r>
        <w:rPr>
          <w:rFonts w:hint="eastAsia" w:ascii="宋体" w:hAnsi="宋体" w:eastAsia="宋体" w:cs="宋体"/>
          <w:color w:val="000000"/>
          <w:kern w:val="2"/>
          <w:sz w:val="24"/>
          <w:szCs w:val="24"/>
          <w:u w:val="single"/>
          <w:lang w:val="en-US" w:eastAsia="zh-CN" w:bidi="ar-SA"/>
        </w:rPr>
        <w:t xml:space="preserve">  2  </w:t>
      </w:r>
      <w:r>
        <w:rPr>
          <w:rFonts w:hint="eastAsia" w:ascii="宋体" w:hAnsi="宋体" w:eastAsia="宋体" w:cs="宋体"/>
          <w:color w:val="000000"/>
          <w:kern w:val="2"/>
          <w:sz w:val="24"/>
          <w:szCs w:val="24"/>
          <w:lang w:val="en-US" w:eastAsia="zh-CN" w:bidi="ar-SA"/>
        </w:rPr>
        <w:t>种方式解决：</w:t>
      </w:r>
    </w:p>
    <w:p w14:paraId="2EEA4718">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（1）向仲裁委员会申请仲裁；</w:t>
      </w:r>
    </w:p>
    <w:p w14:paraId="5336B7B9">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（2）依法向</w:t>
      </w:r>
      <w:r>
        <w:rPr>
          <w:rFonts w:hint="eastAsia" w:ascii="宋体" w:hAnsi="宋体" w:eastAsia="宋体" w:cs="宋体"/>
          <w:color w:val="000000"/>
          <w:kern w:val="2"/>
          <w:sz w:val="24"/>
          <w:szCs w:val="24"/>
          <w:u w:val="single"/>
          <w:lang w:val="en-US" w:eastAsia="zh-CN" w:bidi="ar-SA"/>
        </w:rPr>
        <w:t>工程所在地</w:t>
      </w:r>
      <w:r>
        <w:rPr>
          <w:rFonts w:hint="eastAsia" w:ascii="宋体" w:hAnsi="宋体" w:eastAsia="宋体" w:cs="宋体"/>
          <w:color w:val="000000"/>
          <w:kern w:val="2"/>
          <w:sz w:val="24"/>
          <w:szCs w:val="24"/>
          <w:lang w:val="en-US" w:eastAsia="zh-CN" w:bidi="ar-SA"/>
        </w:rPr>
        <w:t>人民法院起诉。</w:t>
      </w:r>
      <w:bookmarkEnd w:id="3527"/>
      <w:bookmarkEnd w:id="3528"/>
      <w:bookmarkEnd w:id="3529"/>
      <w:bookmarkEnd w:id="3530"/>
      <w:bookmarkEnd w:id="3531"/>
      <w:bookmarkEnd w:id="3532"/>
    </w:p>
    <w:p w14:paraId="45E0D683">
      <w:pPr>
        <w:widowControl w:val="0"/>
        <w:spacing w:line="400" w:lineRule="exact"/>
        <w:ind w:firstLine="480" w:firstLineChars="200"/>
        <w:jc w:val="both"/>
        <w:outlineLvl w:val="2"/>
        <w:rPr>
          <w:rFonts w:ascii="宋体" w:hAnsi="宋体" w:eastAsia="宋体" w:cs="宋体"/>
          <w:color w:val="000000"/>
          <w:kern w:val="2"/>
          <w:sz w:val="24"/>
          <w:szCs w:val="24"/>
          <w:lang w:val="en-US" w:eastAsia="zh-CN" w:bidi="ar-SA"/>
        </w:rPr>
      </w:pPr>
      <w:bookmarkStart w:id="3825" w:name="_Toc256004046"/>
      <w:bookmarkStart w:id="3826" w:name="_Toc256002003"/>
      <w:bookmarkStart w:id="3827" w:name="_Toc256003819"/>
      <w:bookmarkStart w:id="3828" w:name="_Toc256002911"/>
      <w:bookmarkStart w:id="3829" w:name="_Toc256000641"/>
      <w:bookmarkStart w:id="3830" w:name="_Toc256001322"/>
      <w:bookmarkStart w:id="3831" w:name="_Toc256003592"/>
      <w:bookmarkStart w:id="3832" w:name="_Toc256002230"/>
      <w:bookmarkStart w:id="3833" w:name="_Toc256003138"/>
      <w:bookmarkStart w:id="3834" w:name="_Toc256001776"/>
      <w:bookmarkStart w:id="3835" w:name="_Toc256002684"/>
      <w:bookmarkStart w:id="3836" w:name="_Toc256001549"/>
      <w:bookmarkStart w:id="3837" w:name="_Toc452738762"/>
      <w:bookmarkStart w:id="3838" w:name="_Toc256000187"/>
      <w:bookmarkStart w:id="3839" w:name="_Toc365353596"/>
      <w:bookmarkStart w:id="3840" w:name="_Toc256002457"/>
      <w:bookmarkStart w:id="3841" w:name="_Toc256003365"/>
      <w:bookmarkStart w:id="3842" w:name="_Toc256000414"/>
      <w:bookmarkStart w:id="3843" w:name="_Toc256001095"/>
      <w:bookmarkStart w:id="3844" w:name="_Toc6183"/>
      <w:bookmarkStart w:id="3845" w:name="_Toc256000868"/>
      <w:r>
        <w:rPr>
          <w:rFonts w:hint="eastAsia" w:ascii="宋体" w:hAnsi="宋体" w:eastAsia="宋体" w:cs="宋体"/>
          <w:color w:val="000000"/>
          <w:kern w:val="2"/>
          <w:sz w:val="24"/>
          <w:szCs w:val="24"/>
          <w:lang w:val="en-US" w:eastAsia="zh-CN" w:bidi="ar-SA"/>
        </w:rPr>
        <w:t>20.6 通知送达</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p>
    <w:p w14:paraId="16E88AB8">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3846" w:name="_Toc256002912"/>
      <w:bookmarkStart w:id="3847" w:name="_Toc256001777"/>
      <w:bookmarkStart w:id="3848" w:name="_Toc1318438321"/>
      <w:bookmarkStart w:id="3849" w:name="_Toc256002458"/>
      <w:bookmarkStart w:id="3850" w:name="_Toc256004047"/>
      <w:bookmarkStart w:id="3851" w:name="_Toc256000642"/>
      <w:bookmarkStart w:id="3852" w:name="_Toc256003820"/>
      <w:bookmarkStart w:id="3853" w:name="_Toc256003593"/>
      <w:bookmarkStart w:id="3854" w:name="_Toc256000869"/>
      <w:bookmarkStart w:id="3855" w:name="_Toc921481975"/>
      <w:bookmarkStart w:id="3856" w:name="_Toc256002231"/>
      <w:bookmarkStart w:id="3857" w:name="_Toc256002685"/>
      <w:bookmarkStart w:id="3858" w:name="_Toc256003139"/>
      <w:bookmarkStart w:id="3859" w:name="_Toc256003366"/>
      <w:bookmarkStart w:id="3860" w:name="_Toc256001096"/>
      <w:bookmarkStart w:id="3861" w:name="_Toc256001550"/>
      <w:bookmarkStart w:id="3862" w:name="_Toc256000415"/>
      <w:bookmarkStart w:id="3863" w:name="_Toc256001323"/>
      <w:bookmarkStart w:id="3864" w:name="_Toc256002004"/>
      <w:bookmarkStart w:id="3865" w:name="_Toc256000188"/>
      <w:r>
        <w:rPr>
          <w:rFonts w:hint="eastAsia" w:ascii="宋体" w:hAnsi="宋体" w:eastAsia="宋体" w:cs="宋体"/>
          <w:color w:val="000000"/>
          <w:kern w:val="0"/>
          <w:sz w:val="24"/>
          <w:szCs w:val="24"/>
          <w:lang w:val="en-US" w:eastAsia="zh-CN" w:bidi="ar-SA"/>
        </w:rPr>
        <w:t>本款补充：</w:t>
      </w:r>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p>
    <w:p w14:paraId="57785F95">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3866" w:name="_Toc626862138"/>
      <w:bookmarkStart w:id="3867" w:name="_Toc256000189"/>
      <w:bookmarkStart w:id="3868" w:name="_Toc256003367"/>
      <w:bookmarkStart w:id="3869" w:name="_Toc256000643"/>
      <w:bookmarkStart w:id="3870" w:name="_Toc256002913"/>
      <w:bookmarkStart w:id="3871" w:name="_Toc256001324"/>
      <w:bookmarkStart w:id="3872" w:name="_Toc256002232"/>
      <w:bookmarkStart w:id="3873" w:name="_Toc1414635822"/>
      <w:bookmarkStart w:id="3874" w:name="_Toc256003594"/>
      <w:bookmarkStart w:id="3875" w:name="_Toc256004048"/>
      <w:bookmarkStart w:id="3876" w:name="_Toc256002459"/>
      <w:bookmarkStart w:id="3877" w:name="_Toc256000416"/>
      <w:bookmarkStart w:id="3878" w:name="_Toc256003821"/>
      <w:bookmarkStart w:id="3879" w:name="_Toc256002686"/>
      <w:bookmarkStart w:id="3880" w:name="_Toc256001097"/>
      <w:bookmarkStart w:id="3881" w:name="_Toc256000870"/>
      <w:bookmarkStart w:id="3882" w:name="_Toc256001551"/>
      <w:bookmarkStart w:id="3883" w:name="_Toc256002005"/>
      <w:bookmarkStart w:id="3884" w:name="_Toc256001778"/>
      <w:bookmarkStart w:id="3885" w:name="_Toc256003140"/>
      <w:r>
        <w:rPr>
          <w:rFonts w:hint="eastAsia" w:ascii="宋体" w:hAnsi="宋体" w:eastAsia="宋体" w:cs="宋体"/>
          <w:color w:val="000000"/>
          <w:kern w:val="0"/>
          <w:sz w:val="24"/>
          <w:szCs w:val="24"/>
          <w:lang w:val="en-US" w:eastAsia="zh-CN" w:bidi="ar-SA"/>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天起视为已送达。</w:t>
      </w:r>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p>
    <w:p w14:paraId="2D1979ED">
      <w:pPr>
        <w:widowControl w:val="0"/>
        <w:spacing w:line="400" w:lineRule="exact"/>
        <w:ind w:firstLine="480" w:firstLineChars="200"/>
        <w:jc w:val="both"/>
        <w:outlineLvl w:val="2"/>
        <w:rPr>
          <w:rFonts w:ascii="宋体" w:hAnsi="宋体" w:eastAsia="宋体" w:cs="宋体"/>
          <w:color w:val="000000"/>
          <w:kern w:val="0"/>
          <w:sz w:val="24"/>
          <w:szCs w:val="24"/>
          <w:lang w:val="en-US" w:eastAsia="zh-CN" w:bidi="ar-SA"/>
        </w:rPr>
      </w:pPr>
      <w:bookmarkStart w:id="3886" w:name="_Toc256000417"/>
      <w:bookmarkStart w:id="3887" w:name="_Toc256002233"/>
      <w:bookmarkStart w:id="3888" w:name="_Toc256003595"/>
      <w:bookmarkStart w:id="3889" w:name="_Toc256001552"/>
      <w:bookmarkStart w:id="3890" w:name="_Toc256001098"/>
      <w:bookmarkStart w:id="3891" w:name="_Toc256003141"/>
      <w:bookmarkStart w:id="3892" w:name="_Toc256002006"/>
      <w:bookmarkStart w:id="3893" w:name="_Toc256002460"/>
      <w:bookmarkStart w:id="3894" w:name="_Toc256003822"/>
      <w:bookmarkStart w:id="3895" w:name="_Toc256001325"/>
      <w:bookmarkStart w:id="3896" w:name="_Toc256004049"/>
      <w:bookmarkStart w:id="3897" w:name="_Toc256002687"/>
      <w:bookmarkStart w:id="3898" w:name="_Toc256000190"/>
      <w:bookmarkStart w:id="3899" w:name="_Toc256000871"/>
      <w:bookmarkStart w:id="3900" w:name="_Toc256000644"/>
      <w:bookmarkStart w:id="3901" w:name="_Toc256002914"/>
      <w:bookmarkStart w:id="3902" w:name="_Toc256001779"/>
      <w:bookmarkStart w:id="3903" w:name="_Toc256003368"/>
      <w:r>
        <w:rPr>
          <w:rFonts w:hint="eastAsia" w:ascii="宋体" w:hAnsi="宋体" w:eastAsia="宋体" w:cs="宋体"/>
          <w:color w:val="000000"/>
          <w:kern w:val="0"/>
          <w:sz w:val="24"/>
          <w:szCs w:val="24"/>
          <w:lang w:val="en-US" w:eastAsia="zh-CN" w:bidi="ar-SA"/>
        </w:rPr>
        <w:t>21.补充条款</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14:paraId="5970080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发包人负责按合同条款及时支付工程款，承包人及时支付农民工工资，如由于承包人原因造成拖欠农民工工资而产生的一切后果由承包人承担。否则发包人可采取必要的措施予以处理，并保留进一步追究承包人责任的权利。承包人承诺民工工资纠纷与发包人无关，承包人承担一切责任和损失。</w:t>
      </w:r>
    </w:p>
    <w:p w14:paraId="4A6870DF">
      <w:pPr>
        <w:ind w:firstLine="480" w:firstLineChars="200"/>
        <w:rPr>
          <w:rFonts w:ascii="宋体" w:hAnsi="宋体" w:cs="宋体"/>
          <w:color w:val="000000"/>
          <w:sz w:val="24"/>
        </w:rPr>
      </w:pPr>
      <w:r>
        <w:rPr>
          <w:rFonts w:hint="eastAsia" w:ascii="宋体" w:hAnsi="宋体" w:cs="宋体"/>
          <w:color w:val="000000"/>
          <w:sz w:val="24"/>
        </w:rPr>
        <w:t>2.承包人在施工中造成对施工周边已完工程的破坏，合同履行期间，承包人应承担因此造成的一切修复或赔偿费用。如果承包人拒绝修复或支付赔偿费用，发包人有权从工程款中直接扣除相关费用。</w:t>
      </w:r>
    </w:p>
    <w:p w14:paraId="13DD512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3.根据实际情况发包人及时调整施工进度时承包人必须服从，并不得因此而要求增加费用。</w:t>
      </w:r>
    </w:p>
    <w:p w14:paraId="3CB2D5E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4.承包人必须严格服从发包人、监理对工程施工的管理。若发包人认为承包人的现场投入不能满足施工需要，发包人有要求承包人增加人员、机械设备、财力和物力满足现场需要的权利，承包人对此不得拒绝。</w:t>
      </w:r>
    </w:p>
    <w:p w14:paraId="0A4673E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承包人应主动及时向监理汇报乙供材供应的每一个环节，并得到监理的认可所有工程所需主材的规格型号、品质、质量等级标准、技术要求、形状、外观、颜色、尺寸、产地、厂家等须经设计院、监理认可后方可施工。</w:t>
      </w:r>
    </w:p>
    <w:p w14:paraId="4DF120B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6.政府有关政策规定向承包人收取的相关费用由承包人支付。</w:t>
      </w:r>
    </w:p>
    <w:p w14:paraId="6B8BB92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7.施工中发生的一切安全事故（包含人身、机械、设备、材料等）全部由承包人自行解决，所有费用全部由承包人承担。</w:t>
      </w:r>
    </w:p>
    <w:p w14:paraId="0F9AF410">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发包人、监理共同认为承包人的全部或部分施工不能满足本工程的质量和安全要求时，发包人有权单方面终止合同，勒令承包人退场，或将承包人承包范围内的部分项目指定分包其他单位施工，因此而造成的所有后果、费用和损失全部由承包人承担。</w:t>
      </w:r>
    </w:p>
    <w:p w14:paraId="420C959E">
      <w:pPr>
        <w:widowControl w:val="0"/>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9.承包人不应在工地或施工设施上展示或容许展示任何贸易和商业性广告。发包人在施工期间内，具有在施工场地的围栏和建筑物上设置广告的独占权利，广告收益全部归发包人所有。</w:t>
      </w:r>
    </w:p>
    <w:p w14:paraId="6C2A48F5">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10.凡是非设计变更及非发包人原因造成的施工条件的变更，施工方案和施工措施的修改而造成增加的费用由承包人承担。</w:t>
      </w:r>
    </w:p>
    <w:p w14:paraId="2E138E28">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本次招标范围内由于设计图纸的误差而造成各单项工程、单位工程、各施工工种之间的施工交叉、矛盾等，承包人应在实施施工之前予以解决。凡实施施工之前未予解决而擅自施工造成的返工，拆除部分的制作、安装、拆除及外运建筑垃圾费用由承包人承担。</w:t>
      </w:r>
    </w:p>
    <w:p w14:paraId="73C6A844">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12.任何涉及工程造价的确认，必须得到发包人、监理、跟踪审计部门的共同书面确认后方可生效。</w:t>
      </w:r>
    </w:p>
    <w:p w14:paraId="026FB6A0">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13.质量与验收补充说明</w:t>
      </w:r>
    </w:p>
    <w:p w14:paraId="64FD1644">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a.无论总监理工程师是否进行并通过了各项检验，均不解除承包人对自己承包的工程的质量所负责任，除非质量问题是由于设计原因引起，而此类质量问题承包人须及时通知总监。</w:t>
      </w:r>
    </w:p>
    <w:p w14:paraId="39B2960F">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无论工程材料是由承包人自行供应或是由招标人指定的供应商供应，均不解除承包人所负的工程全面质量的责任，承包人应该对各种材料按规范进行检查，拒绝不符合要求的材料用于工程。无论何种原因，出现不合格材料用于工程的情况，均由承包人承担应有的责任。</w:t>
      </w:r>
    </w:p>
    <w:p w14:paraId="22FA5A50">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承包人人员资格的特别规定：所有特殊工种人员、各种领班以上人员均应符合有关规定的资质要求，并且应持有该项工作的上岗证，在施工期间佩带其上岗证供总监随时检查。</w:t>
      </w:r>
    </w:p>
    <w:p w14:paraId="29664093">
      <w:pPr>
        <w:widowControl w:val="0"/>
        <w:autoSpaceDE w:val="0"/>
        <w:autoSpaceDN w:val="0"/>
        <w:adjustRightInd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承包人应按招标文件及有关技术规范要求，设置专门的监控量测岗位，完成工程所有的量测工作，并积累完整的技术资料。</w:t>
      </w:r>
    </w:p>
    <w:p w14:paraId="510A5A2D">
      <w:pPr>
        <w:widowControl w:val="0"/>
        <w:spacing w:line="400" w:lineRule="exact"/>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不合格工程，总监不予验收，承包人须按合同规定在工期内修补合格。</w:t>
      </w:r>
    </w:p>
    <w:p w14:paraId="62B3D4E9">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b.承包人的质量未达标违约金将在结算价款中扣除。发包人对承包人处以质量未达标罚金后，并不免除承包人施工质量应达到合同要求的质量标准的责任。</w:t>
      </w:r>
    </w:p>
    <w:p w14:paraId="2E37A53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14.承包人应配合工程跟踪审计项目组对本工程的监督、检查，按发包人要求及时报送有关资料和变更价款情况。</w:t>
      </w:r>
    </w:p>
    <w:p w14:paraId="590D5607">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15.工程竣工验收合格后28天内，承包人必须将符合发包人要求的竣工结算书及相关审计资料上报给审计单位，如因承包人原因延误上报送审资料，发包人有权按200元/天扣罚，在工程未支付尾款中予以扣除。</w:t>
      </w:r>
    </w:p>
    <w:p w14:paraId="5209F8A6">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按《建邺区政府投资建设项目监督管理办法》和《建邺区政府投资城建项目工程决算审批办法》规定，项目需在竣工后3个月内完成审计，如因承包人未及时提交报审资料造成审计延误，造成的一切影响和损失由承包人自行承担。</w:t>
      </w:r>
    </w:p>
    <w:p w14:paraId="200730C1">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结算审核中对施工单位编制的工程结算存在高估冒算的，审计核减率低于5%的，由建设单位承担审计费，审计核减率超过5%（含）的，由施工单位承担结算环节审计费用，由承包人支付给审计单位，如承包人拒不支付的，发包人有权直接在应付工程款中直接扣除并代为支付。</w:t>
      </w:r>
    </w:p>
    <w:p w14:paraId="44A53BD2">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高（中）考、节假日、市（区）内重大活动期间以及发包人需要的时间段内，可能对施工做出某些限制和配合要求，承包人应予以服从，并按照要求作出必要的配合，这可能降低承包人的工效，发包人对合同工期按实际日历天数顺延，不增加承包人的费用支付。</w:t>
      </w:r>
    </w:p>
    <w:p w14:paraId="7677D6F3">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17.发包人保留施工期间在施工场地的所有围栏和建筑物上设置广告的权利。</w:t>
      </w:r>
    </w:p>
    <w:p w14:paraId="7B29972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18.承包人应派专人负责12345工单处理，如有因承包人原因造成媒体负面报道，发包人有权按50000元/次的标准进行处罚，在最终结算审计中一并扣除，其他未尽事宜由双方协商解决。</w:t>
      </w:r>
    </w:p>
    <w:p w14:paraId="07EC1DFF">
      <w:pPr>
        <w:widowControl w:val="0"/>
        <w:spacing w:line="40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19．项目应严格按照市区精细化管理考核要求组织施工和现场管理，按照市建委关于精细化工程和环境综合整治工程要求，设置六牌一图，规范现场安全文明施工管理。</w:t>
      </w:r>
    </w:p>
    <w:p w14:paraId="7DAB321A">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20.</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Pr>
          <w:rFonts w:hint="eastAsia" w:ascii="宋体" w:hAnsi="宋体" w:eastAsia="宋体" w:cs="宋体"/>
          <w:color w:val="000000"/>
          <w:kern w:val="2"/>
          <w:sz w:val="24"/>
          <w:szCs w:val="24"/>
          <w:lang w:val="en-US" w:eastAsia="zh-CN" w:bidi="ar-SA"/>
        </w:rPr>
        <w:t>绿化种植及养护要求</w:t>
      </w:r>
    </w:p>
    <w:p w14:paraId="1C8513B6">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（1）在施工过程及绿化养护期内植物死亡，须按原设计品种和规格更换，更换费用由承包人承担。</w:t>
      </w:r>
    </w:p>
    <w:p w14:paraId="7D8E9F12">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（2）竣工验收时苗木成活率约定（乔木、灌木、地被、草坪等）：100%。</w:t>
      </w:r>
    </w:p>
    <w:p w14:paraId="2B69191F">
      <w:pPr>
        <w:widowControl w:val="0"/>
        <w:spacing w:line="400" w:lineRule="exact"/>
        <w:ind w:firstLine="480" w:firstLineChars="20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（3）养护期满移交时苗木成活率约定（乔木、灌木、地被、草坪等）：100% 。</w:t>
      </w:r>
    </w:p>
    <w:p w14:paraId="027109C8">
      <w:pPr>
        <w:widowControl w:val="0"/>
        <w:spacing w:line="40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（4）根据建邺区河西建设指挥部的绿化设施养护项目的规定：养护期1年、养护标准达到</w:t>
      </w: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级。</w:t>
      </w:r>
    </w:p>
    <w:p w14:paraId="271A33F6">
      <w:pPr>
        <w:widowControl w:val="0"/>
        <w:spacing w:line="40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施工单位应严格按合同履行质保维保和养护职责，在质保期内如收到两次由行政主管部门认定质保维保和养护工作不满足合同约定或不满足主管部门管理要求的通知，发包人有权将质保维保和养护交由第三方维保(或养护)单位实施，所需费用等额由承包人支付给第三方维保(或养护)单位，或由发包人等额扣减后支付给第三方维保(或养护)单位。</w:t>
      </w:r>
    </w:p>
    <w:p w14:paraId="0902B080">
      <w:pPr>
        <w:widowControl w:val="0"/>
        <w:numPr>
          <w:ilvl w:val="0"/>
          <w:numId w:val="6"/>
        </w:numPr>
        <w:spacing w:line="40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差额履约担保要求：成交供应商必须在成交结果公示结束后5天内以银行保函或国有全资担保公司开具的履约保函等方式向采购人递交成交差额履约担保，否则取消中标资格。担保金额为最高投标限价（招标控制价）和中标价的差值。退还时间：竣工验收合格，竣工验收合格后7天内退还差额履约担保（不计息）。</w:t>
      </w:r>
    </w:p>
    <w:p w14:paraId="2A6EDE64">
      <w:pPr>
        <w:widowControl w:val="0"/>
        <w:numPr>
          <w:ilvl w:val="0"/>
          <w:numId w:val="0"/>
        </w:numPr>
        <w:spacing w:line="400" w:lineRule="exact"/>
        <w:jc w:val="left"/>
        <w:rPr>
          <w:rFonts w:hint="default" w:ascii="宋体" w:hAnsi="宋体" w:eastAsia="宋体" w:cs="宋体"/>
          <w:color w:val="000000"/>
          <w:kern w:val="2"/>
          <w:sz w:val="24"/>
          <w:szCs w:val="24"/>
          <w:lang w:val="en-US" w:eastAsia="zh-CN" w:bidi="ar-SA"/>
        </w:rPr>
      </w:pPr>
    </w:p>
    <w:p w14:paraId="37A42FAE">
      <w:pPr>
        <w:widowControl w:val="0"/>
        <w:jc w:val="both"/>
        <w:rPr>
          <w:rFonts w:ascii="宋体" w:hAnsi="宋体" w:eastAsia="宋体" w:cs="宋体"/>
          <w:color w:val="000000"/>
          <w:kern w:val="2"/>
          <w:sz w:val="22"/>
          <w:szCs w:val="22"/>
          <w:lang w:val="en-US" w:eastAsia="zh-CN" w:bidi="ar-SA"/>
        </w:rPr>
      </w:pPr>
    </w:p>
    <w:p w14:paraId="1A94D2DD">
      <w:pPr>
        <w:widowControl w:val="0"/>
        <w:jc w:val="both"/>
        <w:rPr>
          <w:rFonts w:ascii="宋体" w:hAnsi="宋体" w:eastAsia="宋体" w:cs="宋体"/>
          <w:color w:val="000000"/>
          <w:kern w:val="2"/>
          <w:sz w:val="22"/>
          <w:szCs w:val="22"/>
          <w:lang w:val="en-US" w:eastAsia="zh-CN" w:bidi="ar-SA"/>
        </w:rPr>
      </w:pPr>
    </w:p>
    <w:p w14:paraId="0DA73F69">
      <w:pPr>
        <w:widowControl w:val="0"/>
        <w:jc w:val="both"/>
        <w:rPr>
          <w:rFonts w:ascii="宋体" w:hAnsi="宋体" w:eastAsia="宋体" w:cs="宋体"/>
          <w:color w:val="000000"/>
          <w:kern w:val="2"/>
          <w:sz w:val="22"/>
          <w:szCs w:val="22"/>
          <w:lang w:val="en-US" w:eastAsia="zh-CN" w:bidi="ar-SA"/>
        </w:rPr>
      </w:pPr>
    </w:p>
    <w:p w14:paraId="77B40523">
      <w:pPr>
        <w:widowControl w:val="0"/>
        <w:jc w:val="both"/>
        <w:rPr>
          <w:rFonts w:ascii="宋体" w:hAnsi="宋体" w:eastAsia="宋体" w:cs="宋体"/>
          <w:color w:val="000000"/>
          <w:kern w:val="2"/>
          <w:sz w:val="22"/>
          <w:szCs w:val="22"/>
          <w:lang w:val="en-US" w:eastAsia="zh-CN" w:bidi="ar-SA"/>
        </w:rPr>
      </w:pPr>
    </w:p>
    <w:p w14:paraId="1D5E9EDE">
      <w:pPr>
        <w:widowControl w:val="0"/>
        <w:jc w:val="both"/>
        <w:rPr>
          <w:rFonts w:ascii="宋体" w:hAnsi="宋体" w:eastAsia="宋体" w:cs="宋体"/>
          <w:color w:val="000000"/>
          <w:kern w:val="2"/>
          <w:sz w:val="22"/>
          <w:szCs w:val="22"/>
          <w:lang w:val="en-US" w:eastAsia="zh-CN" w:bidi="ar-SA"/>
        </w:rPr>
      </w:pPr>
    </w:p>
    <w:p w14:paraId="669189CE">
      <w:pPr>
        <w:widowControl w:val="0"/>
        <w:jc w:val="both"/>
        <w:rPr>
          <w:rFonts w:ascii="宋体" w:hAnsi="宋体" w:eastAsia="宋体" w:cs="宋体"/>
          <w:color w:val="000000"/>
          <w:kern w:val="2"/>
          <w:sz w:val="22"/>
          <w:szCs w:val="22"/>
          <w:lang w:val="en-US" w:eastAsia="zh-CN" w:bidi="ar-SA"/>
        </w:rPr>
      </w:pPr>
    </w:p>
    <w:p w14:paraId="753777CC">
      <w:pPr>
        <w:widowControl w:val="0"/>
        <w:jc w:val="both"/>
        <w:rPr>
          <w:rFonts w:ascii="宋体" w:hAnsi="宋体" w:eastAsia="宋体" w:cs="宋体"/>
          <w:color w:val="000000"/>
          <w:kern w:val="2"/>
          <w:sz w:val="22"/>
          <w:szCs w:val="22"/>
          <w:lang w:val="en-US" w:eastAsia="zh-CN" w:bidi="ar-SA"/>
        </w:rPr>
      </w:pPr>
    </w:p>
    <w:p w14:paraId="1FD3FF2A">
      <w:pPr>
        <w:widowControl w:val="0"/>
        <w:jc w:val="both"/>
        <w:rPr>
          <w:rFonts w:ascii="宋体" w:hAnsi="宋体" w:eastAsia="宋体" w:cs="宋体"/>
          <w:color w:val="000000"/>
          <w:kern w:val="2"/>
          <w:sz w:val="22"/>
          <w:szCs w:val="22"/>
          <w:lang w:val="en-US" w:eastAsia="zh-CN" w:bidi="ar-SA"/>
        </w:rPr>
      </w:pPr>
    </w:p>
    <w:p w14:paraId="5ADBAD2B">
      <w:pPr>
        <w:widowControl w:val="0"/>
        <w:jc w:val="both"/>
        <w:rPr>
          <w:rFonts w:ascii="宋体" w:hAnsi="宋体" w:eastAsia="宋体" w:cs="宋体"/>
          <w:color w:val="000000"/>
          <w:kern w:val="2"/>
          <w:sz w:val="22"/>
          <w:szCs w:val="22"/>
          <w:lang w:val="en-US" w:eastAsia="zh-CN" w:bidi="ar-SA"/>
        </w:rPr>
      </w:pPr>
    </w:p>
    <w:p w14:paraId="5B8B1CEB">
      <w:pPr>
        <w:widowControl w:val="0"/>
        <w:jc w:val="both"/>
        <w:rPr>
          <w:rFonts w:ascii="宋体" w:hAnsi="宋体" w:eastAsia="宋体" w:cs="宋体"/>
          <w:color w:val="000000"/>
          <w:kern w:val="2"/>
          <w:sz w:val="22"/>
          <w:szCs w:val="22"/>
          <w:lang w:val="en-US" w:eastAsia="zh-CN" w:bidi="ar-SA"/>
        </w:rPr>
      </w:pPr>
    </w:p>
    <w:p w14:paraId="08B47280">
      <w:pPr>
        <w:widowControl w:val="0"/>
        <w:jc w:val="both"/>
        <w:rPr>
          <w:rFonts w:ascii="宋体" w:hAnsi="宋体" w:eastAsia="宋体" w:cs="宋体"/>
          <w:color w:val="000000"/>
          <w:kern w:val="2"/>
          <w:sz w:val="22"/>
          <w:szCs w:val="22"/>
          <w:lang w:val="en-US" w:eastAsia="zh-CN" w:bidi="ar-SA"/>
        </w:rPr>
      </w:pPr>
    </w:p>
    <w:p w14:paraId="5EF0E423">
      <w:pPr>
        <w:widowControl w:val="0"/>
        <w:jc w:val="both"/>
        <w:rPr>
          <w:rFonts w:ascii="宋体" w:hAnsi="宋体" w:eastAsia="宋体" w:cs="宋体"/>
          <w:color w:val="000000"/>
          <w:kern w:val="2"/>
          <w:sz w:val="22"/>
          <w:szCs w:val="22"/>
          <w:lang w:val="en-US" w:eastAsia="zh-CN" w:bidi="ar-SA"/>
        </w:rPr>
      </w:pPr>
    </w:p>
    <w:p w14:paraId="09C4D332">
      <w:pPr>
        <w:widowControl w:val="0"/>
        <w:jc w:val="both"/>
        <w:rPr>
          <w:rFonts w:ascii="宋体" w:hAnsi="宋体" w:eastAsia="宋体" w:cs="宋体"/>
          <w:color w:val="000000"/>
          <w:kern w:val="2"/>
          <w:sz w:val="22"/>
          <w:szCs w:val="22"/>
          <w:lang w:val="en-US" w:eastAsia="zh-CN" w:bidi="ar-SA"/>
        </w:rPr>
      </w:pPr>
    </w:p>
    <w:p w14:paraId="7EE3B4EF">
      <w:pPr>
        <w:widowControl w:val="0"/>
        <w:jc w:val="both"/>
        <w:rPr>
          <w:rFonts w:ascii="宋体" w:hAnsi="宋体" w:eastAsia="宋体" w:cs="宋体"/>
          <w:color w:val="000000"/>
          <w:kern w:val="2"/>
          <w:sz w:val="22"/>
          <w:szCs w:val="22"/>
          <w:lang w:val="en-US" w:eastAsia="zh-CN" w:bidi="ar-SA"/>
        </w:rPr>
      </w:pPr>
    </w:p>
    <w:p w14:paraId="374FAA8F">
      <w:pPr>
        <w:widowControl w:val="0"/>
        <w:jc w:val="both"/>
        <w:rPr>
          <w:rFonts w:ascii="宋体" w:hAnsi="宋体" w:eastAsia="宋体" w:cs="宋体"/>
          <w:color w:val="000000"/>
          <w:kern w:val="2"/>
          <w:sz w:val="22"/>
          <w:szCs w:val="22"/>
          <w:lang w:val="en-US" w:eastAsia="zh-CN" w:bidi="ar-SA"/>
        </w:rPr>
      </w:pPr>
    </w:p>
    <w:p w14:paraId="7FC90DAC">
      <w:pPr>
        <w:widowControl w:val="0"/>
        <w:jc w:val="both"/>
        <w:rPr>
          <w:rFonts w:ascii="宋体" w:hAnsi="宋体" w:eastAsia="宋体" w:cs="宋体"/>
          <w:color w:val="000000"/>
          <w:kern w:val="2"/>
          <w:sz w:val="22"/>
          <w:szCs w:val="22"/>
          <w:lang w:val="en-US" w:eastAsia="zh-CN" w:bidi="ar-SA"/>
        </w:rPr>
      </w:pPr>
    </w:p>
    <w:p w14:paraId="3A061A75">
      <w:pPr>
        <w:widowControl w:val="0"/>
        <w:jc w:val="both"/>
        <w:rPr>
          <w:rFonts w:ascii="宋体" w:hAnsi="宋体" w:eastAsia="宋体" w:cs="宋体"/>
          <w:color w:val="000000"/>
          <w:kern w:val="2"/>
          <w:sz w:val="22"/>
          <w:szCs w:val="22"/>
          <w:lang w:val="en-US" w:eastAsia="zh-CN" w:bidi="ar-SA"/>
        </w:rPr>
      </w:pPr>
    </w:p>
    <w:p w14:paraId="674D6464">
      <w:pPr>
        <w:widowControl w:val="0"/>
        <w:jc w:val="both"/>
        <w:rPr>
          <w:rFonts w:ascii="宋体" w:hAnsi="宋体" w:eastAsia="宋体" w:cs="宋体"/>
          <w:color w:val="000000"/>
          <w:kern w:val="2"/>
          <w:sz w:val="22"/>
          <w:szCs w:val="22"/>
          <w:lang w:val="en-US" w:eastAsia="zh-CN" w:bidi="ar-SA"/>
        </w:rPr>
      </w:pPr>
    </w:p>
    <w:p w14:paraId="0B38011B">
      <w:pPr>
        <w:widowControl w:val="0"/>
        <w:jc w:val="both"/>
        <w:rPr>
          <w:rFonts w:ascii="宋体" w:hAnsi="宋体" w:eastAsia="宋体" w:cs="宋体"/>
          <w:color w:val="000000"/>
          <w:kern w:val="2"/>
          <w:sz w:val="22"/>
          <w:szCs w:val="22"/>
          <w:lang w:val="en-US" w:eastAsia="zh-CN" w:bidi="ar-SA"/>
        </w:rPr>
      </w:pPr>
    </w:p>
    <w:p w14:paraId="3A5E57F5">
      <w:pPr>
        <w:widowControl w:val="0"/>
        <w:jc w:val="both"/>
        <w:rPr>
          <w:rFonts w:ascii="宋体" w:hAnsi="宋体" w:eastAsia="宋体" w:cs="宋体"/>
          <w:color w:val="000000"/>
          <w:kern w:val="2"/>
          <w:sz w:val="22"/>
          <w:szCs w:val="22"/>
          <w:lang w:val="en-US" w:eastAsia="zh-CN" w:bidi="ar-SA"/>
        </w:rPr>
      </w:pPr>
    </w:p>
    <w:p w14:paraId="029A7B96">
      <w:pPr>
        <w:widowControl w:val="0"/>
        <w:jc w:val="both"/>
        <w:rPr>
          <w:rFonts w:ascii="宋体" w:hAnsi="宋体" w:eastAsia="宋体" w:cs="宋体"/>
          <w:color w:val="000000"/>
          <w:kern w:val="2"/>
          <w:sz w:val="22"/>
          <w:szCs w:val="22"/>
          <w:lang w:val="en-US" w:eastAsia="zh-CN" w:bidi="ar-SA"/>
        </w:rPr>
      </w:pPr>
    </w:p>
    <w:p w14:paraId="303464FA">
      <w:pPr>
        <w:widowControl w:val="0"/>
        <w:jc w:val="both"/>
        <w:rPr>
          <w:rFonts w:ascii="宋体" w:hAnsi="宋体" w:eastAsia="宋体" w:cs="宋体"/>
          <w:color w:val="000000"/>
          <w:kern w:val="2"/>
          <w:sz w:val="22"/>
          <w:szCs w:val="22"/>
          <w:lang w:val="en-US" w:eastAsia="zh-CN" w:bidi="ar-SA"/>
        </w:rPr>
      </w:pPr>
    </w:p>
    <w:p w14:paraId="1B9FC112">
      <w:pPr>
        <w:widowControl w:val="0"/>
        <w:jc w:val="both"/>
        <w:rPr>
          <w:rFonts w:ascii="宋体" w:hAnsi="宋体" w:eastAsia="宋体" w:cs="宋体"/>
          <w:color w:val="000000"/>
          <w:kern w:val="2"/>
          <w:sz w:val="22"/>
          <w:szCs w:val="22"/>
          <w:lang w:val="en-US" w:eastAsia="zh-CN" w:bidi="ar-SA"/>
        </w:rPr>
      </w:pPr>
    </w:p>
    <w:p w14:paraId="0AC22BE0">
      <w:pPr>
        <w:widowControl w:val="0"/>
        <w:jc w:val="both"/>
        <w:outlineLvl w:val="1"/>
        <w:rPr>
          <w:rFonts w:ascii="宋体" w:hAnsi="宋体" w:eastAsia="宋体" w:cs="宋体"/>
          <w:b/>
          <w:bCs/>
          <w:color w:val="000000"/>
          <w:kern w:val="2"/>
          <w:sz w:val="22"/>
          <w:szCs w:val="22"/>
          <w:lang w:val="en-US" w:eastAsia="zh-CN" w:bidi="ar-SA"/>
        </w:rPr>
      </w:pPr>
      <w:bookmarkStart w:id="3904" w:name="_Toc256000419"/>
      <w:bookmarkStart w:id="3905" w:name="_Toc465626090"/>
      <w:bookmarkStart w:id="3906" w:name="_Toc256003824"/>
      <w:bookmarkStart w:id="3907" w:name="_Toc256003597"/>
      <w:bookmarkStart w:id="3908" w:name="_Toc256002689"/>
      <w:bookmarkStart w:id="3909" w:name="_Toc256001327"/>
      <w:bookmarkStart w:id="3910" w:name="_Toc256002916"/>
      <w:bookmarkStart w:id="3911" w:name="_Toc256004051"/>
      <w:bookmarkStart w:id="3912" w:name="_Toc256001781"/>
      <w:bookmarkStart w:id="3913" w:name="_Toc372503870"/>
      <w:bookmarkStart w:id="3914" w:name="_Toc256002008"/>
      <w:bookmarkStart w:id="3915" w:name="_Toc256001554"/>
      <w:bookmarkStart w:id="3916" w:name="_Toc256000192"/>
      <w:bookmarkStart w:id="3917" w:name="_Toc256000873"/>
      <w:bookmarkStart w:id="3918" w:name="_Toc256003143"/>
      <w:bookmarkStart w:id="3919" w:name="_Toc1508364105"/>
      <w:bookmarkStart w:id="3920" w:name="_Toc256001100"/>
      <w:bookmarkStart w:id="3921" w:name="_Toc256000646"/>
      <w:bookmarkStart w:id="3922" w:name="_Toc256002235"/>
      <w:bookmarkStart w:id="3923" w:name="_Toc256003370"/>
      <w:bookmarkStart w:id="3924" w:name="_Toc256002462"/>
      <w:r>
        <w:rPr>
          <w:rFonts w:hint="eastAsia" w:ascii="宋体" w:hAnsi="宋体" w:eastAsia="宋体" w:cs="宋体"/>
          <w:b/>
          <w:bCs/>
          <w:color w:val="000000"/>
          <w:kern w:val="2"/>
          <w:sz w:val="22"/>
          <w:szCs w:val="22"/>
          <w:lang w:val="en-US" w:eastAsia="zh-CN" w:bidi="ar-SA"/>
        </w:rPr>
        <w:t>附件1：</w:t>
      </w:r>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p>
    <w:p w14:paraId="48CA4FCB">
      <w:pPr>
        <w:widowControl w:val="0"/>
        <w:autoSpaceDE w:val="0"/>
        <w:autoSpaceDN w:val="0"/>
        <w:adjustRightInd w:val="0"/>
        <w:snapToGrid w:val="0"/>
        <w:spacing w:line="360" w:lineRule="auto"/>
        <w:jc w:val="center"/>
        <w:outlineLvl w:val="1"/>
        <w:rPr>
          <w:rFonts w:ascii="宋体" w:hAnsi="宋体" w:eastAsia="宋体" w:cs="宋体"/>
          <w:b/>
          <w:bCs/>
          <w:color w:val="000000"/>
          <w:kern w:val="2"/>
          <w:sz w:val="22"/>
          <w:szCs w:val="22"/>
          <w:lang w:val="en-US" w:eastAsia="zh-CN" w:bidi="ar-SA"/>
        </w:rPr>
      </w:pPr>
      <w:bookmarkStart w:id="3925" w:name="_Toc256003598"/>
      <w:bookmarkStart w:id="3926" w:name="_Toc256003825"/>
      <w:bookmarkStart w:id="3927" w:name="_Toc256004052"/>
      <w:bookmarkStart w:id="3928" w:name="_Toc256001555"/>
      <w:bookmarkStart w:id="3929" w:name="_Toc256002236"/>
      <w:bookmarkStart w:id="3930" w:name="_Toc256002917"/>
      <w:bookmarkStart w:id="3931" w:name="_Toc290402072"/>
      <w:bookmarkStart w:id="3932" w:name="_Toc256001782"/>
      <w:bookmarkStart w:id="3933" w:name="_Toc19812"/>
      <w:bookmarkStart w:id="3934" w:name="_Toc256002009"/>
      <w:bookmarkStart w:id="3935" w:name="_Toc26207"/>
      <w:bookmarkStart w:id="3936" w:name="_Toc256000420"/>
      <w:bookmarkStart w:id="3937" w:name="_Toc30667"/>
      <w:bookmarkStart w:id="3938" w:name="_Toc8135"/>
      <w:bookmarkStart w:id="3939" w:name="_Toc256002690"/>
      <w:bookmarkStart w:id="3940" w:name="_Toc256003144"/>
      <w:bookmarkStart w:id="3941" w:name="_Toc256003371"/>
      <w:bookmarkStart w:id="3942" w:name="_Toc25532"/>
      <w:bookmarkStart w:id="3943" w:name="_Toc256000647"/>
      <w:bookmarkStart w:id="3944" w:name="_Toc256001328"/>
      <w:bookmarkStart w:id="3945" w:name="_Toc256002463"/>
      <w:bookmarkStart w:id="3946" w:name="_Toc256001101"/>
      <w:bookmarkStart w:id="3947" w:name="_Toc256000193"/>
      <w:bookmarkStart w:id="3948" w:name="_Toc256000874"/>
      <w:bookmarkStart w:id="3949" w:name="_Toc24448"/>
      <w:bookmarkStart w:id="3950" w:name="_Toc1334624912"/>
      <w:r>
        <w:rPr>
          <w:rFonts w:hint="eastAsia" w:ascii="宋体" w:hAnsi="宋体" w:eastAsia="宋体" w:cs="宋体"/>
          <w:b/>
          <w:bCs/>
          <w:color w:val="000000"/>
          <w:kern w:val="2"/>
          <w:sz w:val="22"/>
          <w:szCs w:val="22"/>
          <w:lang w:val="en-US" w:eastAsia="zh-CN" w:bidi="ar-SA"/>
        </w:rPr>
        <w:t>承包人承揽工程项目一览表</w:t>
      </w:r>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p>
    <w:tbl>
      <w:tblPr>
        <w:tblStyle w:val="10"/>
        <w:tblW w:w="536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295"/>
        <w:gridCol w:w="1478"/>
        <w:gridCol w:w="3270"/>
        <w:gridCol w:w="1512"/>
        <w:gridCol w:w="1312"/>
        <w:gridCol w:w="1654"/>
      </w:tblGrid>
      <w:tr w14:paraId="53785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12" w:space="0"/>
              <w:bottom w:val="single" w:color="auto" w:sz="4" w:space="0"/>
              <w:right w:val="single" w:color="auto" w:sz="4" w:space="0"/>
            </w:tcBorders>
            <w:noWrap w:val="0"/>
            <w:vAlign w:val="center"/>
          </w:tcPr>
          <w:p w14:paraId="038E2D47">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单位工程名    称</w:t>
            </w:r>
          </w:p>
        </w:tc>
        <w:tc>
          <w:tcPr>
            <w:tcW w:w="702" w:type="pct"/>
            <w:tcBorders>
              <w:top w:val="single" w:color="auto" w:sz="12" w:space="0"/>
              <w:left w:val="single" w:color="auto" w:sz="4" w:space="0"/>
              <w:bottom w:val="single" w:color="auto" w:sz="4" w:space="0"/>
              <w:right w:val="single" w:color="auto" w:sz="4" w:space="0"/>
            </w:tcBorders>
            <w:noWrap w:val="0"/>
            <w:vAlign w:val="center"/>
          </w:tcPr>
          <w:p w14:paraId="46218FBE">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建设规模</w:t>
            </w:r>
          </w:p>
        </w:tc>
        <w:tc>
          <w:tcPr>
            <w:tcW w:w="1553" w:type="pct"/>
            <w:tcBorders>
              <w:top w:val="single" w:color="auto" w:sz="12" w:space="0"/>
              <w:left w:val="single" w:color="auto" w:sz="4" w:space="0"/>
              <w:bottom w:val="single" w:color="auto" w:sz="4" w:space="0"/>
              <w:right w:val="single" w:color="auto" w:sz="4" w:space="0"/>
            </w:tcBorders>
            <w:noWrap w:val="0"/>
            <w:vAlign w:val="center"/>
          </w:tcPr>
          <w:p w14:paraId="31D7AD05">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主要内容</w:t>
            </w:r>
          </w:p>
        </w:tc>
        <w:tc>
          <w:tcPr>
            <w:tcW w:w="718" w:type="pct"/>
            <w:tcBorders>
              <w:top w:val="single" w:color="auto" w:sz="12" w:space="0"/>
              <w:left w:val="single" w:color="auto" w:sz="4" w:space="0"/>
              <w:bottom w:val="single" w:color="auto" w:sz="4" w:space="0"/>
              <w:right w:val="single" w:color="auto" w:sz="4" w:space="0"/>
            </w:tcBorders>
            <w:noWrap w:val="0"/>
            <w:vAlign w:val="center"/>
          </w:tcPr>
          <w:p w14:paraId="7C788DD1">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合同价格（元）</w:t>
            </w:r>
          </w:p>
        </w:tc>
        <w:tc>
          <w:tcPr>
            <w:tcW w:w="623" w:type="pct"/>
            <w:tcBorders>
              <w:top w:val="single" w:color="auto" w:sz="12" w:space="0"/>
              <w:left w:val="single" w:color="auto" w:sz="4" w:space="0"/>
              <w:bottom w:val="single" w:color="auto" w:sz="4" w:space="0"/>
              <w:right w:val="single" w:color="auto" w:sz="4" w:space="0"/>
            </w:tcBorders>
            <w:noWrap w:val="0"/>
            <w:vAlign w:val="center"/>
          </w:tcPr>
          <w:p w14:paraId="1FD57547">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开工日期</w:t>
            </w:r>
          </w:p>
        </w:tc>
        <w:tc>
          <w:tcPr>
            <w:tcW w:w="785" w:type="pct"/>
            <w:tcBorders>
              <w:top w:val="single" w:color="auto" w:sz="12" w:space="0"/>
              <w:left w:val="single" w:color="auto" w:sz="4" w:space="0"/>
              <w:bottom w:val="single" w:color="auto" w:sz="4" w:space="0"/>
            </w:tcBorders>
            <w:noWrap w:val="0"/>
            <w:vAlign w:val="center"/>
          </w:tcPr>
          <w:p w14:paraId="712634EB">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竣工日期</w:t>
            </w:r>
          </w:p>
        </w:tc>
      </w:tr>
      <w:tr w14:paraId="51565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56B64ED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2B13B1D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247B90C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53A73BF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6878E4D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594C165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1949D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2CCBAC3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4FB97E8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084294F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16F256D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404D829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6BC25B2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73A17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404AC6A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6368256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61623BA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68F3C73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4319E02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77312E5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64030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0AC95C4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03800B7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764564D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35A0C84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2E991F2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2E24C35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24B84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48AC127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78B1979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71CB0A2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73489FE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35FEA01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1669605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54EA8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519D709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2833B30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662A0E2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29D3009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5A661A0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3660347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3E8FA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3B095F6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716CA42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03F0B21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33317BC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153CF1F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5B7891F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2C06F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593B2BF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23D90CC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3A60FD4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063412D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3B8A88B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1F4DB3E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7D574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bottom w:val="single" w:color="auto" w:sz="4" w:space="0"/>
              <w:right w:val="single" w:color="auto" w:sz="4" w:space="0"/>
            </w:tcBorders>
            <w:noWrap w:val="0"/>
            <w:vAlign w:val="center"/>
          </w:tcPr>
          <w:p w14:paraId="656696F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bottom w:val="single" w:color="auto" w:sz="4" w:space="0"/>
              <w:right w:val="single" w:color="auto" w:sz="4" w:space="0"/>
            </w:tcBorders>
            <w:noWrap w:val="0"/>
            <w:vAlign w:val="center"/>
          </w:tcPr>
          <w:p w14:paraId="04624A1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bottom w:val="single" w:color="auto" w:sz="4" w:space="0"/>
              <w:right w:val="single" w:color="auto" w:sz="4" w:space="0"/>
            </w:tcBorders>
            <w:noWrap w:val="0"/>
            <w:vAlign w:val="center"/>
          </w:tcPr>
          <w:p w14:paraId="6C05542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4EBB3ED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3C4C807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bottom w:val="single" w:color="auto" w:sz="4" w:space="0"/>
            </w:tcBorders>
            <w:noWrap w:val="0"/>
            <w:vAlign w:val="center"/>
          </w:tcPr>
          <w:p w14:paraId="61CBD1C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11CF9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5" w:type="pct"/>
            <w:tcBorders>
              <w:top w:val="single" w:color="auto" w:sz="4" w:space="0"/>
              <w:right w:val="single" w:color="auto" w:sz="4" w:space="0"/>
            </w:tcBorders>
            <w:noWrap w:val="0"/>
            <w:vAlign w:val="center"/>
          </w:tcPr>
          <w:p w14:paraId="1916F7C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02" w:type="pct"/>
            <w:tcBorders>
              <w:top w:val="single" w:color="auto" w:sz="4" w:space="0"/>
              <w:left w:val="single" w:color="auto" w:sz="4" w:space="0"/>
              <w:right w:val="single" w:color="auto" w:sz="4" w:space="0"/>
            </w:tcBorders>
            <w:noWrap w:val="0"/>
            <w:vAlign w:val="center"/>
          </w:tcPr>
          <w:p w14:paraId="787671C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53" w:type="pct"/>
            <w:tcBorders>
              <w:top w:val="single" w:color="auto" w:sz="4" w:space="0"/>
              <w:left w:val="single" w:color="auto" w:sz="4" w:space="0"/>
              <w:right w:val="single" w:color="auto" w:sz="4" w:space="0"/>
            </w:tcBorders>
            <w:noWrap w:val="0"/>
            <w:vAlign w:val="center"/>
          </w:tcPr>
          <w:p w14:paraId="70CCA11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8" w:type="pct"/>
            <w:tcBorders>
              <w:top w:val="single" w:color="auto" w:sz="4" w:space="0"/>
              <w:left w:val="single" w:color="auto" w:sz="4" w:space="0"/>
              <w:right w:val="single" w:color="auto" w:sz="4" w:space="0"/>
            </w:tcBorders>
            <w:noWrap w:val="0"/>
            <w:vAlign w:val="center"/>
          </w:tcPr>
          <w:p w14:paraId="12E95AA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23" w:type="pct"/>
            <w:tcBorders>
              <w:top w:val="single" w:color="auto" w:sz="4" w:space="0"/>
              <w:left w:val="single" w:color="auto" w:sz="4" w:space="0"/>
              <w:right w:val="single" w:color="auto" w:sz="4" w:space="0"/>
            </w:tcBorders>
            <w:noWrap w:val="0"/>
            <w:vAlign w:val="center"/>
          </w:tcPr>
          <w:p w14:paraId="1EABD69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85" w:type="pct"/>
            <w:tcBorders>
              <w:top w:val="single" w:color="auto" w:sz="4" w:space="0"/>
              <w:left w:val="single" w:color="auto" w:sz="4" w:space="0"/>
            </w:tcBorders>
            <w:noWrap w:val="0"/>
            <w:vAlign w:val="center"/>
          </w:tcPr>
          <w:p w14:paraId="3D7FEA5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bl>
    <w:p w14:paraId="618211D7">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3ABCF82F">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7053521B">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571681AC">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618ED2D5">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07D162F6">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23D097D6">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19A2A65B">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2396C398">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570AA8F0">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16401155">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4D73DB62">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1DA4647A">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02B06CFC">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64BC1985">
      <w:pPr>
        <w:widowControl w:val="0"/>
        <w:autoSpaceDE w:val="0"/>
        <w:autoSpaceDN w:val="0"/>
        <w:adjustRightInd w:val="0"/>
        <w:snapToGrid w:val="0"/>
        <w:spacing w:line="360" w:lineRule="auto"/>
        <w:jc w:val="both"/>
        <w:outlineLvl w:val="1"/>
        <w:rPr>
          <w:rFonts w:ascii="宋体" w:hAnsi="宋体" w:eastAsia="宋体" w:cs="宋体"/>
          <w:color w:val="000000"/>
          <w:kern w:val="2"/>
          <w:sz w:val="22"/>
          <w:szCs w:val="22"/>
          <w:lang w:val="en-US" w:eastAsia="zh-CN" w:bidi="ar-SA"/>
        </w:rPr>
      </w:pPr>
    </w:p>
    <w:p w14:paraId="6C549EB3">
      <w:pPr>
        <w:widowControl w:val="0"/>
        <w:jc w:val="both"/>
        <w:rPr>
          <w:rFonts w:ascii="宋体" w:hAnsi="宋体" w:eastAsia="宋体" w:cs="宋体"/>
          <w:color w:val="000000"/>
          <w:kern w:val="2"/>
          <w:sz w:val="22"/>
          <w:szCs w:val="22"/>
          <w:lang w:val="en-US" w:eastAsia="zh-CN" w:bidi="ar-SA"/>
        </w:rPr>
      </w:pPr>
    </w:p>
    <w:p w14:paraId="0ADA81CC">
      <w:pPr>
        <w:widowControl w:val="0"/>
        <w:jc w:val="both"/>
        <w:outlineLvl w:val="1"/>
        <w:rPr>
          <w:rFonts w:ascii="宋体" w:hAnsi="宋体" w:eastAsia="宋体" w:cs="宋体"/>
          <w:b/>
          <w:bCs/>
          <w:color w:val="000000"/>
          <w:kern w:val="2"/>
          <w:sz w:val="22"/>
          <w:szCs w:val="22"/>
          <w:lang w:val="en-US" w:eastAsia="zh-CN" w:bidi="ar-SA"/>
        </w:rPr>
      </w:pPr>
      <w:bookmarkStart w:id="3951" w:name="_Toc256002692"/>
      <w:bookmarkStart w:id="3952" w:name="_Toc256001557"/>
      <w:bookmarkStart w:id="3953" w:name="_Toc256001330"/>
      <w:bookmarkStart w:id="3954" w:name="_Toc256002011"/>
      <w:bookmarkStart w:id="3955" w:name="_Toc256000649"/>
      <w:bookmarkStart w:id="3956" w:name="_Toc256004054"/>
      <w:bookmarkStart w:id="3957" w:name="_Toc256003827"/>
      <w:bookmarkStart w:id="3958" w:name="_Toc256000195"/>
      <w:bookmarkStart w:id="3959" w:name="_Toc256001784"/>
      <w:bookmarkStart w:id="3960" w:name="_Toc256002919"/>
      <w:bookmarkStart w:id="3961" w:name="_Toc256002238"/>
      <w:bookmarkStart w:id="3962" w:name="_Toc256000422"/>
      <w:bookmarkStart w:id="3963" w:name="_Toc256003600"/>
      <w:bookmarkStart w:id="3964" w:name="_Toc256003373"/>
      <w:bookmarkStart w:id="3965" w:name="_Toc381252179"/>
      <w:bookmarkStart w:id="3966" w:name="_Toc256003146"/>
      <w:bookmarkStart w:id="3967" w:name="_Toc256002465"/>
      <w:bookmarkStart w:id="3968" w:name="_Toc256001103"/>
      <w:bookmarkStart w:id="3969" w:name="_Toc87754172"/>
      <w:bookmarkStart w:id="3970" w:name="_Toc48854864"/>
      <w:bookmarkStart w:id="3971" w:name="_Toc256000876"/>
      <w:r>
        <w:rPr>
          <w:rFonts w:hint="eastAsia" w:ascii="宋体" w:hAnsi="宋体" w:eastAsia="宋体" w:cs="宋体"/>
          <w:b/>
          <w:bCs/>
          <w:color w:val="000000"/>
          <w:kern w:val="2"/>
          <w:sz w:val="22"/>
          <w:szCs w:val="22"/>
          <w:lang w:val="en-US" w:eastAsia="zh-CN" w:bidi="ar-SA"/>
        </w:rPr>
        <w:t>附件2：</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p w14:paraId="618D5235">
      <w:pPr>
        <w:widowControl w:val="0"/>
        <w:autoSpaceDE w:val="0"/>
        <w:autoSpaceDN w:val="0"/>
        <w:adjustRightInd w:val="0"/>
        <w:snapToGrid w:val="0"/>
        <w:spacing w:line="360" w:lineRule="auto"/>
        <w:jc w:val="center"/>
        <w:outlineLvl w:val="1"/>
        <w:rPr>
          <w:rFonts w:ascii="宋体" w:hAnsi="宋体" w:eastAsia="宋体" w:cs="宋体"/>
          <w:b/>
          <w:bCs/>
          <w:color w:val="000000"/>
          <w:kern w:val="2"/>
          <w:sz w:val="22"/>
          <w:szCs w:val="22"/>
          <w:lang w:val="en-US" w:eastAsia="zh-CN" w:bidi="ar-SA"/>
        </w:rPr>
      </w:pPr>
      <w:bookmarkStart w:id="3972" w:name="_Toc256002693"/>
      <w:bookmarkStart w:id="3973" w:name="_Toc5927"/>
      <w:bookmarkStart w:id="3974" w:name="_Toc32548"/>
      <w:bookmarkStart w:id="3975" w:name="_Toc24383"/>
      <w:bookmarkStart w:id="3976" w:name="_Toc256003147"/>
      <w:bookmarkStart w:id="3977" w:name="_Toc256004055"/>
      <w:bookmarkStart w:id="3978" w:name="_Toc256000196"/>
      <w:bookmarkStart w:id="3979" w:name="_Toc256001104"/>
      <w:bookmarkStart w:id="3980" w:name="_Toc256003374"/>
      <w:bookmarkStart w:id="3981" w:name="_Toc256003828"/>
      <w:bookmarkStart w:id="3982" w:name="_Toc256001331"/>
      <w:bookmarkStart w:id="3983" w:name="_Toc256002239"/>
      <w:bookmarkStart w:id="3984" w:name="_Toc256002012"/>
      <w:bookmarkStart w:id="3985" w:name="_Toc1905339115"/>
      <w:bookmarkStart w:id="3986" w:name="_Toc256002466"/>
      <w:bookmarkStart w:id="3987" w:name="_Toc256000877"/>
      <w:bookmarkStart w:id="3988" w:name="_Toc256000650"/>
      <w:bookmarkStart w:id="3989" w:name="_Toc256001785"/>
      <w:bookmarkStart w:id="3990" w:name="_Toc256001558"/>
      <w:bookmarkStart w:id="3991" w:name="_Toc21439"/>
      <w:bookmarkStart w:id="3992" w:name="_Toc256000423"/>
      <w:bookmarkStart w:id="3993" w:name="_Toc1215922451"/>
      <w:bookmarkStart w:id="3994" w:name="_Toc256002920"/>
      <w:bookmarkStart w:id="3995" w:name="_Toc256003601"/>
      <w:r>
        <w:rPr>
          <w:rFonts w:hint="eastAsia" w:ascii="宋体" w:hAnsi="宋体" w:eastAsia="宋体" w:cs="宋体"/>
          <w:b/>
          <w:bCs/>
          <w:color w:val="000000"/>
          <w:kern w:val="2"/>
          <w:sz w:val="22"/>
          <w:szCs w:val="22"/>
          <w:lang w:val="en-US" w:eastAsia="zh-CN" w:bidi="ar-SA"/>
        </w:rPr>
        <w:t>现状树木一览表</w:t>
      </w:r>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p>
    <w:tbl>
      <w:tblPr>
        <w:tblStyle w:val="10"/>
        <w:tblpPr w:leftFromText="180" w:rightFromText="180" w:vertAnchor="text" w:horzAnchor="page" w:tblpX="1487" w:tblpY="20"/>
        <w:tblOverlap w:val="never"/>
        <w:tblW w:w="465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90"/>
        <w:gridCol w:w="949"/>
        <w:gridCol w:w="622"/>
        <w:gridCol w:w="717"/>
        <w:gridCol w:w="2126"/>
        <w:gridCol w:w="1175"/>
        <w:gridCol w:w="1295"/>
        <w:gridCol w:w="1442"/>
      </w:tblGrid>
      <w:tr w14:paraId="4D329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6" w:hRule="atLeast"/>
        </w:trPr>
        <w:tc>
          <w:tcPr>
            <w:tcW w:w="433" w:type="pct"/>
            <w:noWrap w:val="0"/>
            <w:vAlign w:val="center"/>
          </w:tcPr>
          <w:p w14:paraId="74401564">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树木名称</w:t>
            </w:r>
          </w:p>
        </w:tc>
        <w:tc>
          <w:tcPr>
            <w:tcW w:w="520" w:type="pct"/>
            <w:noWrap w:val="0"/>
            <w:vAlign w:val="center"/>
          </w:tcPr>
          <w:p w14:paraId="6A2E7F06">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规格</w:t>
            </w:r>
          </w:p>
        </w:tc>
        <w:tc>
          <w:tcPr>
            <w:tcW w:w="341" w:type="pct"/>
            <w:noWrap w:val="0"/>
            <w:vAlign w:val="center"/>
          </w:tcPr>
          <w:p w14:paraId="564AC97D">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数量</w:t>
            </w:r>
          </w:p>
        </w:tc>
        <w:tc>
          <w:tcPr>
            <w:tcW w:w="393" w:type="pct"/>
            <w:noWrap w:val="0"/>
            <w:vAlign w:val="center"/>
          </w:tcPr>
          <w:p w14:paraId="24953F03">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单位</w:t>
            </w:r>
          </w:p>
        </w:tc>
        <w:tc>
          <w:tcPr>
            <w:tcW w:w="1165" w:type="pct"/>
            <w:noWrap w:val="0"/>
            <w:vAlign w:val="center"/>
          </w:tcPr>
          <w:p w14:paraId="54042776">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生长情况</w:t>
            </w:r>
          </w:p>
        </w:tc>
        <w:tc>
          <w:tcPr>
            <w:tcW w:w="644" w:type="pct"/>
            <w:noWrap w:val="0"/>
            <w:vAlign w:val="center"/>
          </w:tcPr>
          <w:p w14:paraId="2A3C4EC9">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是否古树名木</w:t>
            </w:r>
          </w:p>
        </w:tc>
        <w:tc>
          <w:tcPr>
            <w:tcW w:w="710" w:type="pct"/>
            <w:noWrap w:val="0"/>
            <w:vAlign w:val="center"/>
          </w:tcPr>
          <w:p w14:paraId="656AA41C">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处置情况</w:t>
            </w:r>
          </w:p>
        </w:tc>
        <w:tc>
          <w:tcPr>
            <w:tcW w:w="790" w:type="pct"/>
            <w:noWrap w:val="0"/>
            <w:vAlign w:val="center"/>
          </w:tcPr>
          <w:p w14:paraId="6E2A8436">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备注</w:t>
            </w:r>
          </w:p>
        </w:tc>
      </w:tr>
      <w:tr w14:paraId="5D96F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7" w:hRule="atLeast"/>
        </w:trPr>
        <w:tc>
          <w:tcPr>
            <w:tcW w:w="433" w:type="pct"/>
            <w:noWrap w:val="0"/>
            <w:vAlign w:val="center"/>
          </w:tcPr>
          <w:p w14:paraId="391FE6C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09AA776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56BE638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5494B1B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0C49A57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1196866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650AD70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07F63ED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29E48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45C03E5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23F0ED8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55AC588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4B4C42C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5605C9E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1CDB025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31D496F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22BFFE6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44EF5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2912D3A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6FBC77E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6FE61D3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2CFCD46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6F06692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4C16F57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03EED8F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3AFAE58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1B0D4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15F7CDB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6903C77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2D80B12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422841C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54A3FD2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78B71E8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5EB04EB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7E32606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3F4B8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7C66DDC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5D31402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1B10844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19ABD32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77AB519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7F3F4C4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1AFCBBD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78A58BB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60C37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05118BE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4693DC8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70E97B7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79A53BC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742F44B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7CA4206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1D3E99B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667193A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364F2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70E7F5E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56ECAE4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4D305AF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2BB1916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7419E30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69B3B26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795A370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197B214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658F3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29505E1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29D73D1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7A18592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00D0BD7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1C39324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57DFA51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2A76341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54EB97D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24CAC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4" w:hRule="atLeast"/>
        </w:trPr>
        <w:tc>
          <w:tcPr>
            <w:tcW w:w="433" w:type="pct"/>
            <w:noWrap w:val="0"/>
            <w:vAlign w:val="center"/>
          </w:tcPr>
          <w:p w14:paraId="6F9FD5B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43446FC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02E076C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65B0222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1691FB1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1F537C0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4993BF7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0494849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4F6EA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3" w:hRule="atLeast"/>
        </w:trPr>
        <w:tc>
          <w:tcPr>
            <w:tcW w:w="433" w:type="pct"/>
            <w:noWrap w:val="0"/>
            <w:vAlign w:val="center"/>
          </w:tcPr>
          <w:p w14:paraId="15E81A7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520" w:type="pct"/>
            <w:noWrap w:val="0"/>
            <w:vAlign w:val="center"/>
          </w:tcPr>
          <w:p w14:paraId="774DC71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41" w:type="pct"/>
            <w:noWrap w:val="0"/>
            <w:vAlign w:val="center"/>
          </w:tcPr>
          <w:p w14:paraId="635885D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393" w:type="pct"/>
            <w:noWrap w:val="0"/>
            <w:vAlign w:val="center"/>
          </w:tcPr>
          <w:p w14:paraId="5FC68AB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165" w:type="pct"/>
            <w:noWrap w:val="0"/>
            <w:vAlign w:val="center"/>
          </w:tcPr>
          <w:p w14:paraId="2577235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644" w:type="pct"/>
            <w:noWrap w:val="0"/>
            <w:vAlign w:val="center"/>
          </w:tcPr>
          <w:p w14:paraId="60ECB68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10" w:type="pct"/>
            <w:noWrap w:val="0"/>
            <w:vAlign w:val="center"/>
          </w:tcPr>
          <w:p w14:paraId="5EE205F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0" w:type="pct"/>
            <w:noWrap w:val="0"/>
            <w:vAlign w:val="center"/>
          </w:tcPr>
          <w:p w14:paraId="3700C1F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bl>
    <w:p w14:paraId="7F9DCDA3">
      <w:pPr>
        <w:widowControl w:val="0"/>
        <w:jc w:val="both"/>
        <w:outlineLvl w:val="1"/>
        <w:rPr>
          <w:rFonts w:ascii="宋体" w:hAnsi="宋体" w:eastAsia="宋体" w:cs="宋体"/>
          <w:color w:val="000000"/>
          <w:kern w:val="2"/>
          <w:sz w:val="22"/>
          <w:szCs w:val="22"/>
          <w:lang w:val="en-US" w:eastAsia="zh-CN" w:bidi="ar-SA"/>
        </w:rPr>
      </w:pPr>
    </w:p>
    <w:p w14:paraId="7DF0C9EE">
      <w:pPr>
        <w:widowControl w:val="0"/>
        <w:spacing w:line="360" w:lineRule="auto"/>
        <w:jc w:val="both"/>
        <w:outlineLvl w:val="1"/>
        <w:rPr>
          <w:rFonts w:ascii="宋体" w:hAnsi="宋体" w:eastAsia="宋体" w:cs="宋体"/>
          <w:b/>
          <w:bCs/>
          <w:color w:val="000000"/>
          <w:kern w:val="2"/>
          <w:sz w:val="22"/>
          <w:szCs w:val="22"/>
          <w:lang w:val="en-US" w:eastAsia="zh-CN" w:bidi="ar-SA"/>
        </w:rPr>
      </w:pPr>
      <w:bookmarkStart w:id="3996" w:name="_Toc256001560"/>
      <w:bookmarkStart w:id="3997" w:name="_Toc256001106"/>
      <w:bookmarkStart w:id="3998" w:name="_Toc256003376"/>
      <w:bookmarkStart w:id="3999" w:name="_Toc256000652"/>
      <w:bookmarkStart w:id="4000" w:name="_Toc256000198"/>
      <w:bookmarkStart w:id="4001" w:name="_Toc256002241"/>
      <w:bookmarkStart w:id="4002" w:name="_Toc256003830"/>
      <w:bookmarkStart w:id="4003" w:name="_Toc935379669"/>
      <w:bookmarkStart w:id="4004" w:name="_Toc256003149"/>
      <w:bookmarkStart w:id="4005" w:name="_Toc256001333"/>
      <w:bookmarkStart w:id="4006" w:name="_Toc256003603"/>
      <w:bookmarkStart w:id="4007" w:name="_Toc256004057"/>
      <w:bookmarkStart w:id="4008" w:name="_Toc256000425"/>
      <w:bookmarkStart w:id="4009" w:name="_Toc256002468"/>
      <w:bookmarkStart w:id="4010" w:name="_Toc256000879"/>
      <w:bookmarkStart w:id="4011" w:name="_Toc1616868245"/>
      <w:bookmarkStart w:id="4012" w:name="_Toc256002014"/>
      <w:bookmarkStart w:id="4013" w:name="_Toc256001787"/>
      <w:bookmarkStart w:id="4014" w:name="_Toc256002922"/>
      <w:bookmarkStart w:id="4015" w:name="_Toc256002695"/>
      <w:bookmarkStart w:id="4016" w:name="_Toc41530498"/>
    </w:p>
    <w:p w14:paraId="1CEBAC64">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3E209B39">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356D3C4A">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4EA507DA">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39DED0CB">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4A1DA2AD">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7A2F9DC8">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4EE9EF13">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75431026">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581D725B">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2AC58677">
      <w:pPr>
        <w:widowControl w:val="0"/>
        <w:spacing w:line="360" w:lineRule="auto"/>
        <w:jc w:val="both"/>
        <w:outlineLvl w:val="1"/>
        <w:rPr>
          <w:rFonts w:ascii="宋体" w:hAnsi="宋体" w:eastAsia="宋体" w:cs="宋体"/>
          <w:b/>
          <w:bCs/>
          <w:color w:val="000000"/>
          <w:kern w:val="2"/>
          <w:sz w:val="22"/>
          <w:szCs w:val="22"/>
          <w:lang w:val="en-US" w:eastAsia="zh-CN" w:bidi="ar-SA"/>
        </w:rPr>
      </w:pPr>
    </w:p>
    <w:p w14:paraId="365D7501">
      <w:pPr>
        <w:widowControl w:val="0"/>
        <w:spacing w:line="360" w:lineRule="auto"/>
        <w:jc w:val="both"/>
        <w:outlineLvl w:val="1"/>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附件3：</w:t>
      </w:r>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p>
    <w:p w14:paraId="292A03FE">
      <w:pPr>
        <w:widowControl w:val="0"/>
        <w:spacing w:line="360" w:lineRule="auto"/>
        <w:jc w:val="center"/>
        <w:outlineLvl w:val="1"/>
        <w:rPr>
          <w:rFonts w:ascii="宋体" w:hAnsi="宋体" w:eastAsia="宋体" w:cs="宋体"/>
          <w:b/>
          <w:bCs/>
          <w:color w:val="000000"/>
          <w:kern w:val="2"/>
          <w:sz w:val="22"/>
          <w:szCs w:val="22"/>
          <w:lang w:val="en-US" w:eastAsia="zh-CN" w:bidi="ar-SA"/>
        </w:rPr>
      </w:pPr>
      <w:bookmarkStart w:id="4017" w:name="_Toc1635"/>
      <w:bookmarkStart w:id="4018" w:name="_Toc256000199"/>
      <w:bookmarkStart w:id="4019" w:name="_Toc9180"/>
      <w:bookmarkStart w:id="4020" w:name="_Toc256002015"/>
      <w:bookmarkStart w:id="4021" w:name="_Toc256002469"/>
      <w:bookmarkStart w:id="4022" w:name="_Toc256001561"/>
      <w:bookmarkStart w:id="4023" w:name="_Toc256003831"/>
      <w:bookmarkStart w:id="4024" w:name="_Toc30400"/>
      <w:bookmarkStart w:id="4025" w:name="_Toc256003604"/>
      <w:bookmarkStart w:id="4026" w:name="_Toc256000653"/>
      <w:bookmarkStart w:id="4027" w:name="_Toc1160"/>
      <w:bookmarkStart w:id="4028" w:name="_Toc256001107"/>
      <w:bookmarkStart w:id="4029" w:name="_Toc256003377"/>
      <w:bookmarkStart w:id="4030" w:name="_Toc256002923"/>
      <w:bookmarkStart w:id="4031" w:name="_Toc256000880"/>
      <w:bookmarkStart w:id="4032" w:name="_Toc256000426"/>
      <w:bookmarkStart w:id="4033" w:name="_Toc23614"/>
      <w:bookmarkStart w:id="4034" w:name="_Toc256004058"/>
      <w:bookmarkStart w:id="4035" w:name="_Toc698560855"/>
      <w:bookmarkStart w:id="4036" w:name="_Toc256001334"/>
      <w:bookmarkStart w:id="4037" w:name="_Toc256002696"/>
      <w:bookmarkStart w:id="4038" w:name="_Toc256002242"/>
      <w:bookmarkStart w:id="4039" w:name="_Toc256003150"/>
      <w:bookmarkStart w:id="4040" w:name="_Toc256001788"/>
      <w:bookmarkStart w:id="4041" w:name="_Toc608362669"/>
      <w:r>
        <w:rPr>
          <w:rFonts w:hint="eastAsia" w:ascii="宋体" w:hAnsi="宋体" w:eastAsia="宋体" w:cs="宋体"/>
          <w:b/>
          <w:bCs/>
          <w:color w:val="000000"/>
          <w:kern w:val="2"/>
          <w:sz w:val="22"/>
          <w:szCs w:val="22"/>
          <w:lang w:val="en-US" w:eastAsia="zh-CN" w:bidi="ar-SA"/>
        </w:rPr>
        <w:t>暂估价一览表</w:t>
      </w:r>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p>
    <w:tbl>
      <w:tblPr>
        <w:tblStyle w:val="10"/>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14:paraId="76844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noWrap w:val="0"/>
            <w:vAlign w:val="center"/>
          </w:tcPr>
          <w:p w14:paraId="68BA3CC2">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序号</w:t>
            </w:r>
          </w:p>
        </w:tc>
        <w:tc>
          <w:tcPr>
            <w:tcW w:w="1974" w:type="dxa"/>
            <w:noWrap w:val="0"/>
            <w:vAlign w:val="center"/>
          </w:tcPr>
          <w:p w14:paraId="5DC64E44">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名称</w:t>
            </w:r>
          </w:p>
        </w:tc>
        <w:tc>
          <w:tcPr>
            <w:tcW w:w="792" w:type="dxa"/>
            <w:noWrap w:val="0"/>
            <w:vAlign w:val="center"/>
          </w:tcPr>
          <w:p w14:paraId="5C2EBECF">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单位</w:t>
            </w:r>
          </w:p>
        </w:tc>
        <w:tc>
          <w:tcPr>
            <w:tcW w:w="721" w:type="dxa"/>
            <w:noWrap w:val="0"/>
            <w:vAlign w:val="center"/>
          </w:tcPr>
          <w:p w14:paraId="3938ED6F">
            <w:pPr>
              <w:keepNext/>
              <w:widowControl w:val="0"/>
              <w:adjustRightInd w:val="0"/>
              <w:spacing w:after="0" w:line="240" w:lineRule="auto"/>
              <w:ind w:left="0" w:leftChars="0" w:right="0" w:rightChars="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数量</w:t>
            </w:r>
          </w:p>
        </w:tc>
        <w:tc>
          <w:tcPr>
            <w:tcW w:w="1259" w:type="dxa"/>
            <w:noWrap w:val="0"/>
            <w:vAlign w:val="center"/>
          </w:tcPr>
          <w:p w14:paraId="26726095">
            <w:pPr>
              <w:keepNext/>
              <w:widowControl w:val="0"/>
              <w:adjustRightInd w:val="0"/>
              <w:spacing w:after="0" w:line="240" w:lineRule="auto"/>
              <w:ind w:left="0" w:leftChars="0" w:right="0" w:rightChars="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单价（元）</w:t>
            </w:r>
          </w:p>
        </w:tc>
        <w:tc>
          <w:tcPr>
            <w:tcW w:w="1320" w:type="dxa"/>
            <w:noWrap w:val="0"/>
            <w:vAlign w:val="center"/>
          </w:tcPr>
          <w:p w14:paraId="7370ACEF">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合价（元）</w:t>
            </w:r>
          </w:p>
        </w:tc>
        <w:tc>
          <w:tcPr>
            <w:tcW w:w="1584" w:type="dxa"/>
            <w:noWrap w:val="0"/>
            <w:vAlign w:val="center"/>
          </w:tcPr>
          <w:p w14:paraId="3E552FFB">
            <w:pPr>
              <w:keepNext/>
              <w:widowControl w:val="0"/>
              <w:adjustRightInd w:val="0"/>
              <w:spacing w:after="0" w:line="440" w:lineRule="exact"/>
              <w:ind w:left="63" w:leftChars="3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备注</w:t>
            </w:r>
          </w:p>
        </w:tc>
      </w:tr>
      <w:tr w14:paraId="6D227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4A914C3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491997C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0642A60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772C5EE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6CE2A97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0865ABD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2AF7135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095C9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3C77A85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457C7D9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41AE5BA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694A502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47942D5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1449932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52F34F1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271B9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5F3BEA1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0CC1D07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5158890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08664CD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528C890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0AF9D2B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270B26E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6134D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45C23CF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4B8E93D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50D721B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5475E0E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654E1AE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322ACC8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3B89D0E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368FB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7D496EC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0069043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51E37B7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286A587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0D0148A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02706DD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0D9975D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55620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64462F4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6219065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09CB396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2AF3577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7BBC98E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2D4227A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2FE7FB7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02E55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54334EA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6175101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1576390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4A798CF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44BD74F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59C43C5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2FC691A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4B6A1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2D22F77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0D951FA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0D219D4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63826E3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59E02D1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245F5B6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044A667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4C232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2716F39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71E6FE8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01D1A49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1F58599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31F96DA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2DAA826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409C3E0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72EE8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5039F01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4F1A5EA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1536F78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59EFC49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312B319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29F6B37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54AA52B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3AF55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0B43B42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3D3B1593">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21726C2C">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5352E86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6D7F0CA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16FB6FF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179CD4D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5B8D5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462E69F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52A1663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66A2643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3A0059C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1A5D5F7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52940BB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6408443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72E75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4A5B79A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67409D2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2F37B55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5DF4E23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2FB55EE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27A417E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00EB24A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42F52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7E2B68A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32DA981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1275FFED">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177835DB">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39F268F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09FF213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52DC4401">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77289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49739C2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046B7B24">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1083F5EF">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1E67C2C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38F418C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317C99E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1BBA416A">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55C43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003748C9">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0B4BCFA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072E355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73B61875">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2497AE9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07DD308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261C476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r w14:paraId="1BDAA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noWrap w:val="0"/>
            <w:vAlign w:val="top"/>
          </w:tcPr>
          <w:p w14:paraId="7FA495A7">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974" w:type="dxa"/>
            <w:noWrap w:val="0"/>
            <w:vAlign w:val="top"/>
          </w:tcPr>
          <w:p w14:paraId="06102CE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92" w:type="dxa"/>
            <w:noWrap w:val="0"/>
            <w:vAlign w:val="top"/>
          </w:tcPr>
          <w:p w14:paraId="6347B920">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721" w:type="dxa"/>
            <w:noWrap w:val="0"/>
            <w:vAlign w:val="top"/>
          </w:tcPr>
          <w:p w14:paraId="11EF6788">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259" w:type="dxa"/>
            <w:noWrap w:val="0"/>
            <w:vAlign w:val="top"/>
          </w:tcPr>
          <w:p w14:paraId="4883F8CE">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320" w:type="dxa"/>
            <w:noWrap w:val="0"/>
            <w:vAlign w:val="top"/>
          </w:tcPr>
          <w:p w14:paraId="616C9046">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c>
          <w:tcPr>
            <w:tcW w:w="1584" w:type="dxa"/>
            <w:noWrap w:val="0"/>
            <w:vAlign w:val="top"/>
          </w:tcPr>
          <w:p w14:paraId="7E7F0032">
            <w:pPr>
              <w:keepNext/>
              <w:widowControl w:val="0"/>
              <w:adjustRightInd w:val="0"/>
              <w:spacing w:after="0" w:line="440" w:lineRule="exact"/>
              <w:ind w:left="63" w:leftChars="30" w:right="63" w:rightChars="30"/>
              <w:jc w:val="center"/>
              <w:textAlignment w:val="baseline"/>
              <w:rPr>
                <w:rFonts w:ascii="宋体" w:hAnsi="宋体" w:eastAsia="宋体" w:cs="宋体"/>
                <w:color w:val="000000"/>
                <w:kern w:val="2"/>
                <w:sz w:val="22"/>
                <w:szCs w:val="22"/>
                <w:lang w:val="en-US" w:eastAsia="zh-CN" w:bidi="ar-SA"/>
              </w:rPr>
            </w:pPr>
          </w:p>
        </w:tc>
      </w:tr>
    </w:tbl>
    <w:p w14:paraId="08AFF380">
      <w:pPr>
        <w:widowControl w:val="0"/>
        <w:spacing w:line="360" w:lineRule="auto"/>
        <w:jc w:val="both"/>
        <w:rPr>
          <w:rFonts w:ascii="宋体" w:hAnsi="宋体" w:eastAsia="宋体" w:cs="宋体"/>
          <w:color w:val="000000"/>
          <w:kern w:val="2"/>
          <w:sz w:val="22"/>
          <w:szCs w:val="22"/>
          <w:lang w:val="en-US" w:eastAsia="zh-CN" w:bidi="ar-SA"/>
        </w:rPr>
      </w:pPr>
    </w:p>
    <w:p w14:paraId="37E6EB0F">
      <w:pPr>
        <w:widowControl w:val="0"/>
        <w:spacing w:line="360" w:lineRule="auto"/>
        <w:jc w:val="both"/>
        <w:rPr>
          <w:rFonts w:ascii="宋体" w:hAnsi="宋体" w:eastAsia="宋体" w:cs="宋体"/>
          <w:color w:val="000000"/>
          <w:kern w:val="2"/>
          <w:sz w:val="22"/>
          <w:szCs w:val="22"/>
          <w:lang w:val="en-US" w:eastAsia="zh-CN" w:bidi="ar-SA"/>
        </w:rPr>
      </w:pPr>
    </w:p>
    <w:p w14:paraId="3904A5C7">
      <w:pPr>
        <w:widowControl w:val="0"/>
        <w:spacing w:line="360" w:lineRule="auto"/>
        <w:jc w:val="both"/>
        <w:rPr>
          <w:rFonts w:ascii="宋体" w:hAnsi="宋体" w:eastAsia="宋体" w:cs="宋体"/>
          <w:color w:val="000000"/>
          <w:kern w:val="2"/>
          <w:sz w:val="22"/>
          <w:szCs w:val="22"/>
          <w:lang w:val="en-US" w:eastAsia="zh-CN" w:bidi="ar-SA"/>
        </w:rPr>
      </w:pPr>
    </w:p>
    <w:p w14:paraId="7310C8C2">
      <w:pPr>
        <w:widowControl w:val="0"/>
        <w:spacing w:line="360" w:lineRule="auto"/>
        <w:jc w:val="both"/>
        <w:rPr>
          <w:rFonts w:ascii="宋体" w:hAnsi="宋体" w:eastAsia="宋体" w:cs="宋体"/>
          <w:color w:val="000000"/>
          <w:kern w:val="2"/>
          <w:sz w:val="22"/>
          <w:szCs w:val="22"/>
          <w:lang w:val="en-US" w:eastAsia="zh-CN" w:bidi="ar-SA"/>
        </w:rPr>
      </w:pPr>
    </w:p>
    <w:p w14:paraId="1CB44D54">
      <w:pPr>
        <w:widowControl w:val="0"/>
        <w:spacing w:line="360" w:lineRule="auto"/>
        <w:jc w:val="both"/>
        <w:rPr>
          <w:rFonts w:ascii="宋体" w:hAnsi="宋体" w:eastAsia="宋体" w:cs="宋体"/>
          <w:color w:val="000000"/>
          <w:kern w:val="2"/>
          <w:sz w:val="22"/>
          <w:szCs w:val="22"/>
          <w:lang w:val="en-US" w:eastAsia="zh-CN" w:bidi="ar-SA"/>
        </w:rPr>
      </w:pPr>
    </w:p>
    <w:p w14:paraId="66CBB23E">
      <w:pPr>
        <w:widowControl w:val="0"/>
        <w:spacing w:line="360" w:lineRule="auto"/>
        <w:jc w:val="both"/>
        <w:rPr>
          <w:rFonts w:ascii="宋体" w:hAnsi="宋体" w:eastAsia="宋体" w:cs="宋体"/>
          <w:color w:val="000000"/>
          <w:kern w:val="2"/>
          <w:sz w:val="22"/>
          <w:szCs w:val="22"/>
          <w:lang w:val="en-US" w:eastAsia="zh-CN" w:bidi="ar-SA"/>
        </w:rPr>
      </w:pPr>
    </w:p>
    <w:p w14:paraId="449B06FD">
      <w:pPr>
        <w:widowControl w:val="0"/>
        <w:spacing w:line="360" w:lineRule="auto"/>
        <w:jc w:val="both"/>
        <w:rPr>
          <w:rFonts w:ascii="宋体" w:hAnsi="宋体" w:eastAsia="宋体" w:cs="宋体"/>
          <w:color w:val="000000"/>
          <w:kern w:val="2"/>
          <w:sz w:val="22"/>
          <w:szCs w:val="22"/>
          <w:lang w:val="en-US" w:eastAsia="zh-CN" w:bidi="ar-SA"/>
        </w:rPr>
      </w:pPr>
    </w:p>
    <w:p w14:paraId="0508AB2F">
      <w:pPr>
        <w:widowControl w:val="0"/>
        <w:jc w:val="both"/>
        <w:outlineLvl w:val="1"/>
        <w:rPr>
          <w:rFonts w:ascii="宋体" w:hAnsi="宋体" w:eastAsia="宋体" w:cs="宋体"/>
          <w:color w:val="000000"/>
          <w:kern w:val="2"/>
          <w:sz w:val="22"/>
          <w:szCs w:val="22"/>
          <w:lang w:val="en-US" w:eastAsia="zh-CN" w:bidi="ar-SA"/>
        </w:rPr>
      </w:pPr>
    </w:p>
    <w:p w14:paraId="43F387CA">
      <w:pPr>
        <w:widowControl w:val="0"/>
        <w:jc w:val="both"/>
        <w:outlineLvl w:val="1"/>
        <w:rPr>
          <w:rFonts w:ascii="宋体" w:hAnsi="宋体" w:eastAsia="宋体" w:cs="宋体"/>
          <w:b/>
          <w:bCs/>
          <w:color w:val="000000"/>
          <w:kern w:val="2"/>
          <w:sz w:val="22"/>
          <w:szCs w:val="22"/>
          <w:lang w:val="en-US" w:eastAsia="zh-CN" w:bidi="ar-SA"/>
        </w:rPr>
      </w:pPr>
      <w:bookmarkStart w:id="4042" w:name="_Toc256002244"/>
      <w:bookmarkStart w:id="4043" w:name="_Toc256002471"/>
      <w:bookmarkStart w:id="4044" w:name="_Toc256003379"/>
      <w:bookmarkStart w:id="4045" w:name="_Toc256000201"/>
      <w:bookmarkStart w:id="4046" w:name="_Toc256002925"/>
      <w:bookmarkStart w:id="4047" w:name="_Toc256004060"/>
      <w:bookmarkStart w:id="4048" w:name="_Toc256000882"/>
      <w:bookmarkStart w:id="4049" w:name="_Toc256001790"/>
      <w:bookmarkStart w:id="4050" w:name="_Toc256000655"/>
      <w:bookmarkStart w:id="4051" w:name="_Toc256003152"/>
      <w:bookmarkStart w:id="4052" w:name="_Toc256002698"/>
      <w:bookmarkStart w:id="4053" w:name="_Toc256001109"/>
      <w:bookmarkStart w:id="4054" w:name="_Toc785335212"/>
      <w:bookmarkStart w:id="4055" w:name="_Toc256002017"/>
      <w:bookmarkStart w:id="4056" w:name="_Toc1492274086"/>
      <w:bookmarkStart w:id="4057" w:name="_Toc256003606"/>
      <w:bookmarkStart w:id="4058" w:name="_Toc256000428"/>
      <w:bookmarkStart w:id="4059" w:name="_Toc256001563"/>
      <w:bookmarkStart w:id="4060" w:name="_Toc256001336"/>
      <w:bookmarkStart w:id="4061" w:name="_Toc256003833"/>
      <w:bookmarkStart w:id="4062" w:name="_Toc245732170"/>
      <w:r>
        <w:rPr>
          <w:rFonts w:hint="eastAsia" w:ascii="宋体" w:hAnsi="宋体" w:eastAsia="宋体" w:cs="宋体"/>
          <w:b/>
          <w:bCs/>
          <w:color w:val="000000"/>
          <w:kern w:val="2"/>
          <w:sz w:val="22"/>
          <w:szCs w:val="22"/>
          <w:lang w:val="en-US" w:eastAsia="zh-CN" w:bidi="ar-SA"/>
        </w:rPr>
        <w:t>附件4：</w:t>
      </w:r>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p>
    <w:p w14:paraId="2D53A306">
      <w:pPr>
        <w:widowControl w:val="0"/>
        <w:jc w:val="center"/>
        <w:outlineLvl w:val="1"/>
        <w:rPr>
          <w:rFonts w:ascii="宋体" w:hAnsi="宋体" w:eastAsia="宋体" w:cs="宋体"/>
          <w:b/>
          <w:bCs/>
          <w:color w:val="000000"/>
          <w:kern w:val="0"/>
          <w:sz w:val="22"/>
          <w:szCs w:val="22"/>
          <w:lang w:val="en-US" w:eastAsia="zh-CN" w:bidi="ar-SA"/>
        </w:rPr>
      </w:pPr>
      <w:bookmarkStart w:id="4063" w:name="_Toc256002926"/>
      <w:bookmarkStart w:id="4064" w:name="_Toc256001337"/>
      <w:bookmarkStart w:id="4065" w:name="_Toc256002472"/>
      <w:bookmarkStart w:id="4066" w:name="_Toc256003607"/>
      <w:bookmarkStart w:id="4067" w:name="_Toc101"/>
      <w:bookmarkStart w:id="4068" w:name="_Toc256000202"/>
      <w:bookmarkStart w:id="4069" w:name="_Toc256003153"/>
      <w:bookmarkStart w:id="4070" w:name="_Toc256002699"/>
      <w:bookmarkStart w:id="4071" w:name="_Toc256003834"/>
      <w:bookmarkStart w:id="4072" w:name="_Toc256001564"/>
      <w:bookmarkStart w:id="4073" w:name="_Toc15104"/>
      <w:bookmarkStart w:id="4074" w:name="_Toc887574828"/>
      <w:bookmarkStart w:id="4075" w:name="_Toc1935472469"/>
      <w:bookmarkStart w:id="4076" w:name="_Toc256000656"/>
      <w:bookmarkStart w:id="4077" w:name="_Toc22735"/>
      <w:bookmarkStart w:id="4078" w:name="_Toc30933"/>
      <w:bookmarkStart w:id="4079" w:name="_Toc256001110"/>
      <w:bookmarkStart w:id="4080" w:name="_Toc256000883"/>
      <w:bookmarkStart w:id="4081" w:name="_Toc256001791"/>
      <w:bookmarkStart w:id="4082" w:name="_Toc256004061"/>
      <w:bookmarkStart w:id="4083" w:name="_Toc256002018"/>
      <w:bookmarkStart w:id="4084" w:name="_Toc256000429"/>
      <w:bookmarkStart w:id="4085" w:name="_Toc256003380"/>
      <w:bookmarkStart w:id="4086" w:name="_Toc256002245"/>
      <w:r>
        <w:rPr>
          <w:rFonts w:hint="eastAsia" w:ascii="宋体" w:hAnsi="宋体" w:eastAsia="宋体" w:cs="宋体"/>
          <w:b/>
          <w:bCs/>
          <w:color w:val="000000"/>
          <w:kern w:val="2"/>
          <w:sz w:val="22"/>
          <w:szCs w:val="22"/>
          <w:lang w:val="en-US" w:eastAsia="zh-CN" w:bidi="ar-SA"/>
        </w:rPr>
        <w:t>发包人供应材料设备一览表</w:t>
      </w:r>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p>
    <w:tbl>
      <w:tblPr>
        <w:tblStyle w:val="10"/>
        <w:tblW w:w="9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1117"/>
      </w:tblGrid>
      <w:tr w14:paraId="1A3A9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noWrap w:val="0"/>
            <w:vAlign w:val="center"/>
          </w:tcPr>
          <w:p w14:paraId="0F99E72D">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序号</w:t>
            </w:r>
          </w:p>
        </w:tc>
        <w:tc>
          <w:tcPr>
            <w:tcW w:w="1311" w:type="dxa"/>
            <w:noWrap w:val="0"/>
            <w:vAlign w:val="center"/>
          </w:tcPr>
          <w:p w14:paraId="2180C8D6">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材  料、</w:t>
            </w:r>
          </w:p>
          <w:p w14:paraId="2687DDE7">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设备品种</w:t>
            </w:r>
          </w:p>
        </w:tc>
        <w:tc>
          <w:tcPr>
            <w:tcW w:w="1325" w:type="dxa"/>
            <w:noWrap w:val="0"/>
            <w:vAlign w:val="center"/>
          </w:tcPr>
          <w:p w14:paraId="4AE87EC4">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规格型号</w:t>
            </w:r>
          </w:p>
        </w:tc>
        <w:tc>
          <w:tcPr>
            <w:tcW w:w="879" w:type="dxa"/>
            <w:noWrap w:val="0"/>
            <w:vAlign w:val="center"/>
          </w:tcPr>
          <w:p w14:paraId="5B90397F">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单位</w:t>
            </w:r>
          </w:p>
        </w:tc>
        <w:tc>
          <w:tcPr>
            <w:tcW w:w="795" w:type="dxa"/>
            <w:noWrap w:val="0"/>
            <w:vAlign w:val="center"/>
          </w:tcPr>
          <w:p w14:paraId="51A08C92">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数量</w:t>
            </w:r>
          </w:p>
        </w:tc>
        <w:tc>
          <w:tcPr>
            <w:tcW w:w="975" w:type="dxa"/>
            <w:noWrap w:val="0"/>
            <w:vAlign w:val="center"/>
          </w:tcPr>
          <w:p w14:paraId="5A15BF18">
            <w:pPr>
              <w:keepNext/>
              <w:widowControl w:val="0"/>
              <w:adjustRightInd w:val="0"/>
              <w:snapToGrid w:val="0"/>
              <w:spacing w:after="0" w:line="240" w:lineRule="auto"/>
              <w:ind w:left="0" w:leftChars="0" w:right="0" w:rightChars="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单价（元）</w:t>
            </w:r>
          </w:p>
        </w:tc>
        <w:tc>
          <w:tcPr>
            <w:tcW w:w="927" w:type="dxa"/>
            <w:noWrap w:val="0"/>
            <w:vAlign w:val="center"/>
          </w:tcPr>
          <w:p w14:paraId="7AA4EB89">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质量</w:t>
            </w:r>
          </w:p>
          <w:p w14:paraId="7AD95278">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等级</w:t>
            </w:r>
          </w:p>
        </w:tc>
        <w:tc>
          <w:tcPr>
            <w:tcW w:w="695" w:type="dxa"/>
            <w:noWrap w:val="0"/>
            <w:vAlign w:val="center"/>
          </w:tcPr>
          <w:p w14:paraId="1A196F4D">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供应</w:t>
            </w:r>
          </w:p>
          <w:p w14:paraId="3A23F9A5">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时间</w:t>
            </w:r>
          </w:p>
        </w:tc>
        <w:tc>
          <w:tcPr>
            <w:tcW w:w="798" w:type="dxa"/>
            <w:noWrap w:val="0"/>
            <w:vAlign w:val="center"/>
          </w:tcPr>
          <w:p w14:paraId="72FD2C1A">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送达</w:t>
            </w:r>
          </w:p>
          <w:p w14:paraId="09F76E55">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地点</w:t>
            </w:r>
          </w:p>
        </w:tc>
        <w:tc>
          <w:tcPr>
            <w:tcW w:w="1117" w:type="dxa"/>
            <w:noWrap w:val="0"/>
            <w:vAlign w:val="center"/>
          </w:tcPr>
          <w:p w14:paraId="777F98E1">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备注</w:t>
            </w:r>
          </w:p>
        </w:tc>
      </w:tr>
      <w:tr w14:paraId="24DC9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3C27E8EB">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1" w:type="dxa"/>
            <w:noWrap w:val="0"/>
            <w:vAlign w:val="center"/>
          </w:tcPr>
          <w:p w14:paraId="29C2410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25" w:type="dxa"/>
            <w:noWrap w:val="0"/>
            <w:vAlign w:val="center"/>
          </w:tcPr>
          <w:p w14:paraId="0588FDBB">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79" w:type="dxa"/>
            <w:noWrap w:val="0"/>
            <w:vAlign w:val="center"/>
          </w:tcPr>
          <w:p w14:paraId="3379DD83">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5" w:type="dxa"/>
            <w:noWrap w:val="0"/>
            <w:vAlign w:val="center"/>
          </w:tcPr>
          <w:p w14:paraId="24E6C8D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75" w:type="dxa"/>
            <w:noWrap w:val="0"/>
            <w:vAlign w:val="center"/>
          </w:tcPr>
          <w:p w14:paraId="22C13E5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27" w:type="dxa"/>
            <w:noWrap w:val="0"/>
            <w:vAlign w:val="center"/>
          </w:tcPr>
          <w:p w14:paraId="4706586A">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695" w:type="dxa"/>
            <w:noWrap w:val="0"/>
            <w:vAlign w:val="center"/>
          </w:tcPr>
          <w:p w14:paraId="23BBEE2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8" w:type="dxa"/>
            <w:noWrap w:val="0"/>
            <w:vAlign w:val="center"/>
          </w:tcPr>
          <w:p w14:paraId="2C35F19F">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17" w:type="dxa"/>
            <w:noWrap w:val="0"/>
            <w:vAlign w:val="center"/>
          </w:tcPr>
          <w:p w14:paraId="3DCEB6A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1CE9B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42182316">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1" w:type="dxa"/>
            <w:noWrap w:val="0"/>
            <w:vAlign w:val="center"/>
          </w:tcPr>
          <w:p w14:paraId="5EB81F66">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25" w:type="dxa"/>
            <w:noWrap w:val="0"/>
            <w:vAlign w:val="center"/>
          </w:tcPr>
          <w:p w14:paraId="7150E25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79" w:type="dxa"/>
            <w:noWrap w:val="0"/>
            <w:vAlign w:val="center"/>
          </w:tcPr>
          <w:p w14:paraId="1E7FD1CA">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5" w:type="dxa"/>
            <w:noWrap w:val="0"/>
            <w:vAlign w:val="center"/>
          </w:tcPr>
          <w:p w14:paraId="7B78F2C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75" w:type="dxa"/>
            <w:noWrap w:val="0"/>
            <w:vAlign w:val="center"/>
          </w:tcPr>
          <w:p w14:paraId="37D6999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27" w:type="dxa"/>
            <w:noWrap w:val="0"/>
            <w:vAlign w:val="center"/>
          </w:tcPr>
          <w:p w14:paraId="6C5AF40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695" w:type="dxa"/>
            <w:noWrap w:val="0"/>
            <w:vAlign w:val="center"/>
          </w:tcPr>
          <w:p w14:paraId="4DE40EA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8" w:type="dxa"/>
            <w:noWrap w:val="0"/>
            <w:vAlign w:val="center"/>
          </w:tcPr>
          <w:p w14:paraId="4F7DB10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17" w:type="dxa"/>
            <w:noWrap w:val="0"/>
            <w:vAlign w:val="center"/>
          </w:tcPr>
          <w:p w14:paraId="3CCA3E1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21701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017EA70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1" w:type="dxa"/>
            <w:noWrap w:val="0"/>
            <w:vAlign w:val="center"/>
          </w:tcPr>
          <w:p w14:paraId="6761CF6B">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25" w:type="dxa"/>
            <w:noWrap w:val="0"/>
            <w:vAlign w:val="center"/>
          </w:tcPr>
          <w:p w14:paraId="2E6AB5DF">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79" w:type="dxa"/>
            <w:noWrap w:val="0"/>
            <w:vAlign w:val="center"/>
          </w:tcPr>
          <w:p w14:paraId="151342AE">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5" w:type="dxa"/>
            <w:noWrap w:val="0"/>
            <w:vAlign w:val="center"/>
          </w:tcPr>
          <w:p w14:paraId="7277ED0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75" w:type="dxa"/>
            <w:noWrap w:val="0"/>
            <w:vAlign w:val="center"/>
          </w:tcPr>
          <w:p w14:paraId="6C31B1A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27" w:type="dxa"/>
            <w:noWrap w:val="0"/>
            <w:vAlign w:val="center"/>
          </w:tcPr>
          <w:p w14:paraId="391F8D8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695" w:type="dxa"/>
            <w:noWrap w:val="0"/>
            <w:vAlign w:val="center"/>
          </w:tcPr>
          <w:p w14:paraId="45B0D66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8" w:type="dxa"/>
            <w:noWrap w:val="0"/>
            <w:vAlign w:val="center"/>
          </w:tcPr>
          <w:p w14:paraId="0E8007FF">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17" w:type="dxa"/>
            <w:noWrap w:val="0"/>
            <w:vAlign w:val="center"/>
          </w:tcPr>
          <w:p w14:paraId="71DF68E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17A02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54CFB634">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1" w:type="dxa"/>
            <w:noWrap w:val="0"/>
            <w:vAlign w:val="center"/>
          </w:tcPr>
          <w:p w14:paraId="009255A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25" w:type="dxa"/>
            <w:noWrap w:val="0"/>
            <w:vAlign w:val="center"/>
          </w:tcPr>
          <w:p w14:paraId="1BB4DB8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79" w:type="dxa"/>
            <w:noWrap w:val="0"/>
            <w:vAlign w:val="center"/>
          </w:tcPr>
          <w:p w14:paraId="5371C5F1">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5" w:type="dxa"/>
            <w:noWrap w:val="0"/>
            <w:vAlign w:val="center"/>
          </w:tcPr>
          <w:p w14:paraId="39C7F5C1">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75" w:type="dxa"/>
            <w:noWrap w:val="0"/>
            <w:vAlign w:val="center"/>
          </w:tcPr>
          <w:p w14:paraId="682A6BE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27" w:type="dxa"/>
            <w:noWrap w:val="0"/>
            <w:vAlign w:val="center"/>
          </w:tcPr>
          <w:p w14:paraId="5E495F5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695" w:type="dxa"/>
            <w:noWrap w:val="0"/>
            <w:vAlign w:val="center"/>
          </w:tcPr>
          <w:p w14:paraId="6D7FCD4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8" w:type="dxa"/>
            <w:noWrap w:val="0"/>
            <w:vAlign w:val="center"/>
          </w:tcPr>
          <w:p w14:paraId="15EEA45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17" w:type="dxa"/>
            <w:noWrap w:val="0"/>
            <w:vAlign w:val="center"/>
          </w:tcPr>
          <w:p w14:paraId="4486860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45A52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0C18F19E">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1" w:type="dxa"/>
            <w:noWrap w:val="0"/>
            <w:vAlign w:val="center"/>
          </w:tcPr>
          <w:p w14:paraId="14F3E72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25" w:type="dxa"/>
            <w:noWrap w:val="0"/>
            <w:vAlign w:val="center"/>
          </w:tcPr>
          <w:p w14:paraId="46677B94">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79" w:type="dxa"/>
            <w:noWrap w:val="0"/>
            <w:vAlign w:val="center"/>
          </w:tcPr>
          <w:p w14:paraId="4B93777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5" w:type="dxa"/>
            <w:noWrap w:val="0"/>
            <w:vAlign w:val="center"/>
          </w:tcPr>
          <w:p w14:paraId="32D884C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75" w:type="dxa"/>
            <w:noWrap w:val="0"/>
            <w:vAlign w:val="center"/>
          </w:tcPr>
          <w:p w14:paraId="24250FE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27" w:type="dxa"/>
            <w:noWrap w:val="0"/>
            <w:vAlign w:val="center"/>
          </w:tcPr>
          <w:p w14:paraId="25D0B86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695" w:type="dxa"/>
            <w:noWrap w:val="0"/>
            <w:vAlign w:val="center"/>
          </w:tcPr>
          <w:p w14:paraId="01177944">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8" w:type="dxa"/>
            <w:noWrap w:val="0"/>
            <w:vAlign w:val="center"/>
          </w:tcPr>
          <w:p w14:paraId="3C229CD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17" w:type="dxa"/>
            <w:noWrap w:val="0"/>
            <w:vAlign w:val="center"/>
          </w:tcPr>
          <w:p w14:paraId="300FDDF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154F1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563318DA">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1" w:type="dxa"/>
            <w:noWrap w:val="0"/>
            <w:vAlign w:val="center"/>
          </w:tcPr>
          <w:p w14:paraId="6910F71F">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25" w:type="dxa"/>
            <w:noWrap w:val="0"/>
            <w:vAlign w:val="center"/>
          </w:tcPr>
          <w:p w14:paraId="4E4C0793">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79" w:type="dxa"/>
            <w:noWrap w:val="0"/>
            <w:vAlign w:val="center"/>
          </w:tcPr>
          <w:p w14:paraId="493452C4">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5" w:type="dxa"/>
            <w:noWrap w:val="0"/>
            <w:vAlign w:val="center"/>
          </w:tcPr>
          <w:p w14:paraId="1BAB50C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75" w:type="dxa"/>
            <w:noWrap w:val="0"/>
            <w:vAlign w:val="center"/>
          </w:tcPr>
          <w:p w14:paraId="44C2B421">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27" w:type="dxa"/>
            <w:noWrap w:val="0"/>
            <w:vAlign w:val="center"/>
          </w:tcPr>
          <w:p w14:paraId="1AEC31C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695" w:type="dxa"/>
            <w:noWrap w:val="0"/>
            <w:vAlign w:val="center"/>
          </w:tcPr>
          <w:p w14:paraId="296FAF5A">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8" w:type="dxa"/>
            <w:noWrap w:val="0"/>
            <w:vAlign w:val="center"/>
          </w:tcPr>
          <w:p w14:paraId="203CF4F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17" w:type="dxa"/>
            <w:noWrap w:val="0"/>
            <w:vAlign w:val="center"/>
          </w:tcPr>
          <w:p w14:paraId="449EBA2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53992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280A0A4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0A02DC1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6D453CC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1FA0349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2F738ED0">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5F26F55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1225BFA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6BA48F00">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204E1DC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037D9B3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7A4B8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583B52A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1" w:type="dxa"/>
            <w:noWrap w:val="0"/>
            <w:vAlign w:val="center"/>
          </w:tcPr>
          <w:p w14:paraId="5C5AB31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25" w:type="dxa"/>
            <w:noWrap w:val="0"/>
            <w:vAlign w:val="center"/>
          </w:tcPr>
          <w:p w14:paraId="795C28A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79" w:type="dxa"/>
            <w:noWrap w:val="0"/>
            <w:vAlign w:val="center"/>
          </w:tcPr>
          <w:p w14:paraId="3FDEB46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5" w:type="dxa"/>
            <w:noWrap w:val="0"/>
            <w:vAlign w:val="center"/>
          </w:tcPr>
          <w:p w14:paraId="79A29A5F">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75" w:type="dxa"/>
            <w:noWrap w:val="0"/>
            <w:vAlign w:val="center"/>
          </w:tcPr>
          <w:p w14:paraId="3F7E2FD4">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27" w:type="dxa"/>
            <w:noWrap w:val="0"/>
            <w:vAlign w:val="center"/>
          </w:tcPr>
          <w:p w14:paraId="00269EC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695" w:type="dxa"/>
            <w:noWrap w:val="0"/>
            <w:vAlign w:val="center"/>
          </w:tcPr>
          <w:p w14:paraId="75108FC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798" w:type="dxa"/>
            <w:noWrap w:val="0"/>
            <w:vAlign w:val="center"/>
          </w:tcPr>
          <w:p w14:paraId="575828E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17" w:type="dxa"/>
            <w:noWrap w:val="0"/>
            <w:vAlign w:val="center"/>
          </w:tcPr>
          <w:p w14:paraId="46C85B03">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4C26E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7A9BCE5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45676DE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48B7826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2827B0B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21BD1F4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3D16AFA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39A0432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16A818F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54592CE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2DE200F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48BDF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282A815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5178880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2850C24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5137B83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5F04BFF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7FC4174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56E08DC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798ED49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6880A7B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39424E6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05902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49A95E9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5872BF2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72B1BA3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11FF283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5712ECC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570F7B0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64EECC2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3DE3030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2F06BB7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52A8B1A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607CF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05C2960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669BFFE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00ABEF8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4DC2526B">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367B631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270DE85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1DEB9FC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1CC76DB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2DDF2D2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7678E87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0FB8D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49632EA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45B8509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515AF4A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6BC9ABE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75540D5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107E6BD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57B6192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743FE19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45C9ECD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3151561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59664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6CD91040">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3C81E00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7616CAC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1DCB246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4DB783B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13EF6FE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74FA05B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2E419AA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4DDF54A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63A1D73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67D72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70E1070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0296FD6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0837B7E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46BFB00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3E4B638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6200369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70546EF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60CF024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4A003AF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51407BA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58F68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1FE4D5C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507747B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179525B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04360AF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34CFE88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4EEFFC0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518E2EE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6580E370">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55356ED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721FF78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42D0B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noWrap w:val="0"/>
            <w:vAlign w:val="center"/>
          </w:tcPr>
          <w:p w14:paraId="31D8325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1" w:type="dxa"/>
            <w:noWrap w:val="0"/>
            <w:vAlign w:val="center"/>
          </w:tcPr>
          <w:p w14:paraId="4F8E9B1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25" w:type="dxa"/>
            <w:noWrap w:val="0"/>
            <w:vAlign w:val="center"/>
          </w:tcPr>
          <w:p w14:paraId="7657184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79" w:type="dxa"/>
            <w:noWrap w:val="0"/>
            <w:vAlign w:val="center"/>
          </w:tcPr>
          <w:p w14:paraId="2A9FE06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5" w:type="dxa"/>
            <w:noWrap w:val="0"/>
            <w:vAlign w:val="center"/>
          </w:tcPr>
          <w:p w14:paraId="5820B1E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75" w:type="dxa"/>
            <w:noWrap w:val="0"/>
            <w:vAlign w:val="center"/>
          </w:tcPr>
          <w:p w14:paraId="68AC9B6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27" w:type="dxa"/>
            <w:noWrap w:val="0"/>
            <w:vAlign w:val="center"/>
          </w:tcPr>
          <w:p w14:paraId="2362415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695" w:type="dxa"/>
            <w:noWrap w:val="0"/>
            <w:vAlign w:val="center"/>
          </w:tcPr>
          <w:p w14:paraId="1A49426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798" w:type="dxa"/>
            <w:noWrap w:val="0"/>
            <w:vAlign w:val="center"/>
          </w:tcPr>
          <w:p w14:paraId="5E6B8A9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17" w:type="dxa"/>
            <w:noWrap w:val="0"/>
            <w:vAlign w:val="center"/>
          </w:tcPr>
          <w:p w14:paraId="29DE54B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bl>
    <w:p w14:paraId="6FC0CEBF">
      <w:pPr>
        <w:widowControl w:val="0"/>
        <w:spacing w:line="360" w:lineRule="auto"/>
        <w:jc w:val="both"/>
        <w:rPr>
          <w:rFonts w:ascii="宋体" w:hAnsi="宋体" w:eastAsia="宋体" w:cs="宋体"/>
          <w:color w:val="000000"/>
          <w:kern w:val="2"/>
          <w:sz w:val="22"/>
          <w:szCs w:val="22"/>
          <w:lang w:val="en-US" w:eastAsia="zh-CN" w:bidi="ar-SA"/>
        </w:rPr>
      </w:pPr>
    </w:p>
    <w:p w14:paraId="0ADC6B67">
      <w:pPr>
        <w:widowControl w:val="0"/>
        <w:spacing w:line="360" w:lineRule="auto"/>
        <w:jc w:val="both"/>
        <w:rPr>
          <w:rFonts w:ascii="宋体" w:hAnsi="宋体" w:eastAsia="宋体" w:cs="宋体"/>
          <w:color w:val="000000"/>
          <w:kern w:val="2"/>
          <w:sz w:val="22"/>
          <w:szCs w:val="22"/>
          <w:lang w:val="en-US" w:eastAsia="zh-CN" w:bidi="ar-SA"/>
        </w:rPr>
      </w:pPr>
    </w:p>
    <w:p w14:paraId="77E3A50E">
      <w:pPr>
        <w:widowControl w:val="0"/>
        <w:spacing w:line="360" w:lineRule="auto"/>
        <w:jc w:val="both"/>
        <w:rPr>
          <w:rFonts w:ascii="宋体" w:hAnsi="宋体" w:eastAsia="宋体" w:cs="宋体"/>
          <w:color w:val="000000"/>
          <w:kern w:val="2"/>
          <w:sz w:val="22"/>
          <w:szCs w:val="22"/>
          <w:lang w:val="en-US" w:eastAsia="zh-CN" w:bidi="ar-SA"/>
        </w:rPr>
      </w:pPr>
    </w:p>
    <w:p w14:paraId="0D4E11E7">
      <w:pPr>
        <w:widowControl w:val="0"/>
        <w:spacing w:line="360" w:lineRule="auto"/>
        <w:jc w:val="both"/>
        <w:rPr>
          <w:rFonts w:ascii="宋体" w:hAnsi="宋体" w:eastAsia="宋体" w:cs="宋体"/>
          <w:color w:val="000000"/>
          <w:kern w:val="2"/>
          <w:sz w:val="22"/>
          <w:szCs w:val="22"/>
          <w:lang w:val="en-US" w:eastAsia="zh-CN" w:bidi="ar-SA"/>
        </w:rPr>
      </w:pPr>
    </w:p>
    <w:p w14:paraId="77CAD0F3">
      <w:pPr>
        <w:widowControl w:val="0"/>
        <w:spacing w:line="360" w:lineRule="auto"/>
        <w:jc w:val="both"/>
        <w:rPr>
          <w:rFonts w:ascii="宋体" w:hAnsi="宋体" w:eastAsia="宋体" w:cs="宋体"/>
          <w:color w:val="000000"/>
          <w:kern w:val="2"/>
          <w:sz w:val="22"/>
          <w:szCs w:val="22"/>
          <w:lang w:val="en-US" w:eastAsia="zh-CN" w:bidi="ar-SA"/>
        </w:rPr>
      </w:pPr>
    </w:p>
    <w:p w14:paraId="176EBA30">
      <w:pPr>
        <w:widowControl w:val="0"/>
        <w:spacing w:line="360" w:lineRule="auto"/>
        <w:jc w:val="both"/>
        <w:rPr>
          <w:rFonts w:ascii="宋体" w:hAnsi="宋体" w:eastAsia="宋体" w:cs="宋体"/>
          <w:color w:val="000000"/>
          <w:kern w:val="2"/>
          <w:sz w:val="22"/>
          <w:szCs w:val="22"/>
          <w:lang w:val="en-US" w:eastAsia="zh-CN" w:bidi="ar-SA"/>
        </w:rPr>
      </w:pPr>
    </w:p>
    <w:p w14:paraId="475641F4">
      <w:pPr>
        <w:widowControl w:val="0"/>
        <w:jc w:val="both"/>
        <w:outlineLvl w:val="1"/>
        <w:rPr>
          <w:rFonts w:ascii="宋体" w:hAnsi="宋体" w:eastAsia="宋体" w:cs="宋体"/>
          <w:color w:val="000000"/>
          <w:kern w:val="2"/>
          <w:sz w:val="22"/>
          <w:szCs w:val="22"/>
          <w:lang w:val="en-US" w:eastAsia="zh-CN" w:bidi="ar-SA"/>
        </w:rPr>
      </w:pPr>
    </w:p>
    <w:p w14:paraId="215ED794">
      <w:pPr>
        <w:widowControl w:val="0"/>
        <w:jc w:val="both"/>
        <w:outlineLvl w:val="1"/>
        <w:rPr>
          <w:rFonts w:ascii="宋体" w:hAnsi="宋体" w:eastAsia="宋体" w:cs="宋体"/>
          <w:b/>
          <w:bCs/>
          <w:color w:val="000000"/>
          <w:kern w:val="2"/>
          <w:sz w:val="22"/>
          <w:szCs w:val="22"/>
          <w:lang w:val="en-US" w:eastAsia="zh-CN" w:bidi="ar-SA"/>
        </w:rPr>
      </w:pPr>
      <w:bookmarkStart w:id="4087" w:name="_Toc256001339"/>
      <w:bookmarkStart w:id="4088" w:name="_Toc256002247"/>
      <w:bookmarkStart w:id="4089" w:name="_Toc256004063"/>
      <w:bookmarkStart w:id="4090" w:name="_Toc256002701"/>
      <w:bookmarkStart w:id="4091" w:name="_Toc1053508749"/>
      <w:bookmarkStart w:id="4092" w:name="_Toc256002928"/>
      <w:bookmarkStart w:id="4093" w:name="_Toc256001793"/>
      <w:bookmarkStart w:id="4094" w:name="_Toc256002474"/>
      <w:bookmarkStart w:id="4095" w:name="_Toc256001566"/>
      <w:bookmarkStart w:id="4096" w:name="_Toc256000431"/>
      <w:bookmarkStart w:id="4097" w:name="_Toc256000204"/>
      <w:bookmarkStart w:id="4098" w:name="_Toc283425744"/>
      <w:bookmarkStart w:id="4099" w:name="_Toc256000885"/>
      <w:bookmarkStart w:id="4100" w:name="_Toc256003836"/>
      <w:bookmarkStart w:id="4101" w:name="_Toc121452988"/>
      <w:bookmarkStart w:id="4102" w:name="_Toc256002020"/>
      <w:bookmarkStart w:id="4103" w:name="_Toc256000658"/>
      <w:bookmarkStart w:id="4104" w:name="_Toc256003155"/>
      <w:bookmarkStart w:id="4105" w:name="_Toc256001112"/>
      <w:bookmarkStart w:id="4106" w:name="_Toc256003382"/>
      <w:bookmarkStart w:id="4107" w:name="_Toc256003609"/>
      <w:r>
        <w:rPr>
          <w:rFonts w:hint="eastAsia" w:ascii="宋体" w:hAnsi="宋体" w:eastAsia="宋体" w:cs="宋体"/>
          <w:b/>
          <w:bCs/>
          <w:color w:val="000000"/>
          <w:kern w:val="2"/>
          <w:sz w:val="22"/>
          <w:szCs w:val="22"/>
          <w:lang w:val="en-US" w:eastAsia="zh-CN" w:bidi="ar-SA"/>
        </w:rPr>
        <w:t>附件5：</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p>
    <w:p w14:paraId="2FE7E931">
      <w:pPr>
        <w:widowControl w:val="0"/>
        <w:jc w:val="center"/>
        <w:outlineLvl w:val="1"/>
        <w:rPr>
          <w:rFonts w:ascii="宋体" w:hAnsi="宋体" w:eastAsia="宋体" w:cs="宋体"/>
          <w:b/>
          <w:bCs/>
          <w:color w:val="000000"/>
          <w:kern w:val="0"/>
          <w:sz w:val="22"/>
          <w:szCs w:val="22"/>
          <w:lang w:val="en-US" w:eastAsia="zh-CN" w:bidi="ar-SA"/>
        </w:rPr>
      </w:pPr>
      <w:bookmarkStart w:id="4108" w:name="_Toc256001567"/>
      <w:bookmarkStart w:id="4109" w:name="_Toc256000205"/>
      <w:bookmarkStart w:id="4110" w:name="_Toc256001113"/>
      <w:bookmarkStart w:id="4111" w:name="_Toc1909146247"/>
      <w:bookmarkStart w:id="4112" w:name="_Toc18017"/>
      <w:bookmarkStart w:id="4113" w:name="_Toc256002248"/>
      <w:bookmarkStart w:id="4114" w:name="_Toc256001340"/>
      <w:bookmarkStart w:id="4115" w:name="_Toc1788163381"/>
      <w:bookmarkStart w:id="4116" w:name="_Toc23379"/>
      <w:bookmarkStart w:id="4117" w:name="_Toc256003610"/>
      <w:bookmarkStart w:id="4118" w:name="_Toc256000659"/>
      <w:bookmarkStart w:id="4119" w:name="_Toc256002702"/>
      <w:bookmarkStart w:id="4120" w:name="_Toc256000886"/>
      <w:bookmarkStart w:id="4121" w:name="_Toc30591"/>
      <w:bookmarkStart w:id="4122" w:name="_Toc256002021"/>
      <w:bookmarkStart w:id="4123" w:name="_Toc256002929"/>
      <w:bookmarkStart w:id="4124" w:name="_Toc256004064"/>
      <w:bookmarkStart w:id="4125" w:name="_Toc256002475"/>
      <w:bookmarkStart w:id="4126" w:name="_Toc256000432"/>
      <w:bookmarkStart w:id="4127" w:name="_Toc256003383"/>
      <w:bookmarkStart w:id="4128" w:name="_Toc256003837"/>
      <w:bookmarkStart w:id="4129" w:name="_Toc256003156"/>
      <w:bookmarkStart w:id="4130" w:name="_Toc936"/>
      <w:bookmarkStart w:id="4131" w:name="_Toc256001794"/>
      <w:r>
        <w:rPr>
          <w:rFonts w:hint="eastAsia" w:ascii="宋体" w:hAnsi="宋体" w:eastAsia="宋体" w:cs="宋体"/>
          <w:b/>
          <w:bCs/>
          <w:color w:val="000000"/>
          <w:kern w:val="2"/>
          <w:sz w:val="22"/>
          <w:szCs w:val="22"/>
          <w:lang w:val="en-US" w:eastAsia="zh-CN" w:bidi="ar-SA"/>
        </w:rPr>
        <w:t>发包人供应苗木一览表</w:t>
      </w:r>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p>
    <w:tbl>
      <w:tblPr>
        <w:tblStyle w:val="10"/>
        <w:tblW w:w="99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59"/>
        <w:gridCol w:w="2006"/>
        <w:gridCol w:w="1315"/>
        <w:gridCol w:w="945"/>
        <w:gridCol w:w="855"/>
        <w:gridCol w:w="1049"/>
        <w:gridCol w:w="855"/>
        <w:gridCol w:w="935"/>
        <w:gridCol w:w="1133"/>
      </w:tblGrid>
      <w:tr w14:paraId="5A09A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1659464C">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序号</w:t>
            </w:r>
          </w:p>
        </w:tc>
        <w:tc>
          <w:tcPr>
            <w:tcW w:w="2006" w:type="dxa"/>
            <w:noWrap w:val="0"/>
            <w:vAlign w:val="center"/>
          </w:tcPr>
          <w:p w14:paraId="484CC77C">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苗木材料名称</w:t>
            </w:r>
          </w:p>
        </w:tc>
        <w:tc>
          <w:tcPr>
            <w:tcW w:w="1315" w:type="dxa"/>
            <w:noWrap w:val="0"/>
            <w:vAlign w:val="center"/>
          </w:tcPr>
          <w:p w14:paraId="31CD57D5">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规格</w:t>
            </w:r>
          </w:p>
        </w:tc>
        <w:tc>
          <w:tcPr>
            <w:tcW w:w="945" w:type="dxa"/>
            <w:noWrap w:val="0"/>
            <w:vAlign w:val="center"/>
          </w:tcPr>
          <w:p w14:paraId="6EAB72D9">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单位</w:t>
            </w:r>
          </w:p>
        </w:tc>
        <w:tc>
          <w:tcPr>
            <w:tcW w:w="855" w:type="dxa"/>
            <w:noWrap w:val="0"/>
            <w:vAlign w:val="center"/>
          </w:tcPr>
          <w:p w14:paraId="79967CD1">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数量</w:t>
            </w:r>
          </w:p>
        </w:tc>
        <w:tc>
          <w:tcPr>
            <w:tcW w:w="1049" w:type="dxa"/>
            <w:noWrap w:val="0"/>
            <w:vAlign w:val="center"/>
          </w:tcPr>
          <w:p w14:paraId="54902159">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单价（元）</w:t>
            </w:r>
          </w:p>
        </w:tc>
        <w:tc>
          <w:tcPr>
            <w:tcW w:w="855" w:type="dxa"/>
            <w:noWrap w:val="0"/>
            <w:vAlign w:val="center"/>
          </w:tcPr>
          <w:p w14:paraId="6B9C15BC">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供 应</w:t>
            </w:r>
          </w:p>
          <w:p w14:paraId="0AF60988">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时 间</w:t>
            </w:r>
          </w:p>
        </w:tc>
        <w:tc>
          <w:tcPr>
            <w:tcW w:w="935" w:type="dxa"/>
            <w:noWrap w:val="0"/>
            <w:vAlign w:val="center"/>
          </w:tcPr>
          <w:p w14:paraId="4B1E3C11">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送 达</w:t>
            </w:r>
          </w:p>
          <w:p w14:paraId="57D2A1EC">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地 点</w:t>
            </w:r>
          </w:p>
        </w:tc>
        <w:tc>
          <w:tcPr>
            <w:tcW w:w="1133" w:type="dxa"/>
            <w:noWrap w:val="0"/>
            <w:vAlign w:val="center"/>
          </w:tcPr>
          <w:p w14:paraId="4D4759A4">
            <w:pPr>
              <w:keepNext/>
              <w:widowControl w:val="0"/>
              <w:adjustRightInd w:val="0"/>
              <w:snapToGrid w:val="0"/>
              <w:spacing w:after="0" w:line="240" w:lineRule="auto"/>
              <w:ind w:left="0" w:leftChars="0" w:right="63" w:rightChars="30"/>
              <w:jc w:val="center"/>
              <w:textAlignment w:val="baseline"/>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备注</w:t>
            </w:r>
          </w:p>
        </w:tc>
      </w:tr>
      <w:tr w14:paraId="453F4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1F0F0A3E">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2006" w:type="dxa"/>
            <w:noWrap w:val="0"/>
            <w:vAlign w:val="center"/>
          </w:tcPr>
          <w:p w14:paraId="49BC29AB">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5" w:type="dxa"/>
            <w:noWrap w:val="0"/>
            <w:vAlign w:val="center"/>
          </w:tcPr>
          <w:p w14:paraId="0F361A1A">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45" w:type="dxa"/>
            <w:noWrap w:val="0"/>
            <w:vAlign w:val="center"/>
          </w:tcPr>
          <w:p w14:paraId="1CAE848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1633C673">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049" w:type="dxa"/>
            <w:noWrap w:val="0"/>
            <w:vAlign w:val="center"/>
          </w:tcPr>
          <w:p w14:paraId="5867D166">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3EE01C9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35" w:type="dxa"/>
            <w:noWrap w:val="0"/>
            <w:vAlign w:val="center"/>
          </w:tcPr>
          <w:p w14:paraId="16AC066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33" w:type="dxa"/>
            <w:noWrap w:val="0"/>
            <w:vAlign w:val="center"/>
          </w:tcPr>
          <w:p w14:paraId="2941B13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3C872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2A70ED4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2006" w:type="dxa"/>
            <w:noWrap w:val="0"/>
            <w:vAlign w:val="center"/>
          </w:tcPr>
          <w:p w14:paraId="304C3296">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5" w:type="dxa"/>
            <w:noWrap w:val="0"/>
            <w:vAlign w:val="center"/>
          </w:tcPr>
          <w:p w14:paraId="78594411">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45" w:type="dxa"/>
            <w:noWrap w:val="0"/>
            <w:vAlign w:val="center"/>
          </w:tcPr>
          <w:p w14:paraId="50550A0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3C0E2321">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049" w:type="dxa"/>
            <w:noWrap w:val="0"/>
            <w:vAlign w:val="center"/>
          </w:tcPr>
          <w:p w14:paraId="3CFD85EB">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581672C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35" w:type="dxa"/>
            <w:noWrap w:val="0"/>
            <w:vAlign w:val="center"/>
          </w:tcPr>
          <w:p w14:paraId="2EAA216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33" w:type="dxa"/>
            <w:noWrap w:val="0"/>
            <w:vAlign w:val="center"/>
          </w:tcPr>
          <w:p w14:paraId="1AA07A4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0C02E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44985D3F">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2006" w:type="dxa"/>
            <w:noWrap w:val="0"/>
            <w:vAlign w:val="center"/>
          </w:tcPr>
          <w:p w14:paraId="6C31A26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5" w:type="dxa"/>
            <w:noWrap w:val="0"/>
            <w:vAlign w:val="center"/>
          </w:tcPr>
          <w:p w14:paraId="59DDBCB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45" w:type="dxa"/>
            <w:noWrap w:val="0"/>
            <w:vAlign w:val="center"/>
          </w:tcPr>
          <w:p w14:paraId="3348275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4F53EEF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049" w:type="dxa"/>
            <w:noWrap w:val="0"/>
            <w:vAlign w:val="center"/>
          </w:tcPr>
          <w:p w14:paraId="2746E33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4E3E0A2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35" w:type="dxa"/>
            <w:noWrap w:val="0"/>
            <w:vAlign w:val="center"/>
          </w:tcPr>
          <w:p w14:paraId="76A26E0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33" w:type="dxa"/>
            <w:noWrap w:val="0"/>
            <w:vAlign w:val="center"/>
          </w:tcPr>
          <w:p w14:paraId="18EF912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39611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0F6F619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2006" w:type="dxa"/>
            <w:noWrap w:val="0"/>
            <w:vAlign w:val="center"/>
          </w:tcPr>
          <w:p w14:paraId="16E7EE7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5" w:type="dxa"/>
            <w:noWrap w:val="0"/>
            <w:vAlign w:val="center"/>
          </w:tcPr>
          <w:p w14:paraId="4EBECD1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45" w:type="dxa"/>
            <w:noWrap w:val="0"/>
            <w:vAlign w:val="center"/>
          </w:tcPr>
          <w:p w14:paraId="2380AD1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0D33088B">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049" w:type="dxa"/>
            <w:noWrap w:val="0"/>
            <w:vAlign w:val="center"/>
          </w:tcPr>
          <w:p w14:paraId="7C04256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18E04A5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35" w:type="dxa"/>
            <w:noWrap w:val="0"/>
            <w:vAlign w:val="center"/>
          </w:tcPr>
          <w:p w14:paraId="0750B7AE">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33" w:type="dxa"/>
            <w:noWrap w:val="0"/>
            <w:vAlign w:val="center"/>
          </w:tcPr>
          <w:p w14:paraId="5D28870A">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7E82F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7A2A736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2006" w:type="dxa"/>
            <w:noWrap w:val="0"/>
            <w:vAlign w:val="center"/>
          </w:tcPr>
          <w:p w14:paraId="7001395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5" w:type="dxa"/>
            <w:noWrap w:val="0"/>
            <w:vAlign w:val="center"/>
          </w:tcPr>
          <w:p w14:paraId="1522A67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45" w:type="dxa"/>
            <w:noWrap w:val="0"/>
            <w:vAlign w:val="center"/>
          </w:tcPr>
          <w:p w14:paraId="7D80747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7652AFA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049" w:type="dxa"/>
            <w:noWrap w:val="0"/>
            <w:vAlign w:val="center"/>
          </w:tcPr>
          <w:p w14:paraId="637ABFB2">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0CF93DB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35" w:type="dxa"/>
            <w:noWrap w:val="0"/>
            <w:vAlign w:val="center"/>
          </w:tcPr>
          <w:p w14:paraId="0E26E3E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33" w:type="dxa"/>
            <w:noWrap w:val="0"/>
            <w:vAlign w:val="center"/>
          </w:tcPr>
          <w:p w14:paraId="3388A9D3">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36E3D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607E590B">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2006" w:type="dxa"/>
            <w:noWrap w:val="0"/>
            <w:vAlign w:val="center"/>
          </w:tcPr>
          <w:p w14:paraId="128B2FA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5" w:type="dxa"/>
            <w:noWrap w:val="0"/>
            <w:vAlign w:val="center"/>
          </w:tcPr>
          <w:p w14:paraId="3FC6D3C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45" w:type="dxa"/>
            <w:noWrap w:val="0"/>
            <w:vAlign w:val="center"/>
          </w:tcPr>
          <w:p w14:paraId="0788C91F">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76288A29">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049" w:type="dxa"/>
            <w:noWrap w:val="0"/>
            <w:vAlign w:val="center"/>
          </w:tcPr>
          <w:p w14:paraId="3B78F99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4C4F7DA6">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35" w:type="dxa"/>
            <w:noWrap w:val="0"/>
            <w:vAlign w:val="center"/>
          </w:tcPr>
          <w:p w14:paraId="47C9272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33" w:type="dxa"/>
            <w:noWrap w:val="0"/>
            <w:vAlign w:val="center"/>
          </w:tcPr>
          <w:p w14:paraId="04EBFA77">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2D736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13240DD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2F19516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6623B98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12457C0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533F5D1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407D068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38166E3B">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60E471A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7BFA47E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49930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4D861E10">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2006" w:type="dxa"/>
            <w:noWrap w:val="0"/>
            <w:vAlign w:val="center"/>
          </w:tcPr>
          <w:p w14:paraId="05EE493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315" w:type="dxa"/>
            <w:noWrap w:val="0"/>
            <w:vAlign w:val="center"/>
          </w:tcPr>
          <w:p w14:paraId="7180A56C">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45" w:type="dxa"/>
            <w:noWrap w:val="0"/>
            <w:vAlign w:val="center"/>
          </w:tcPr>
          <w:p w14:paraId="772E9455">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191AD991">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049" w:type="dxa"/>
            <w:noWrap w:val="0"/>
            <w:vAlign w:val="center"/>
          </w:tcPr>
          <w:p w14:paraId="4B27387D">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855" w:type="dxa"/>
            <w:noWrap w:val="0"/>
            <w:vAlign w:val="center"/>
          </w:tcPr>
          <w:p w14:paraId="2E22AC64">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935" w:type="dxa"/>
            <w:noWrap w:val="0"/>
            <w:vAlign w:val="center"/>
          </w:tcPr>
          <w:p w14:paraId="2B3152D8">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c>
          <w:tcPr>
            <w:tcW w:w="1133" w:type="dxa"/>
            <w:noWrap w:val="0"/>
            <w:vAlign w:val="center"/>
          </w:tcPr>
          <w:p w14:paraId="6DA12703">
            <w:pPr>
              <w:keepNext/>
              <w:widowControl w:val="0"/>
              <w:adjustRightInd w:val="0"/>
              <w:snapToGrid w:val="0"/>
              <w:spacing w:after="0" w:line="360" w:lineRule="auto"/>
              <w:ind w:left="63" w:leftChars="30" w:right="63" w:rightChars="30" w:firstLine="480"/>
              <w:jc w:val="center"/>
              <w:textAlignment w:val="baseline"/>
              <w:rPr>
                <w:rFonts w:ascii="宋体" w:hAnsi="宋体" w:eastAsia="宋体" w:cs="宋体"/>
                <w:color w:val="000000"/>
                <w:kern w:val="2"/>
                <w:sz w:val="22"/>
                <w:szCs w:val="22"/>
                <w:lang w:val="en-US" w:eastAsia="zh-CN" w:bidi="ar-SA"/>
              </w:rPr>
            </w:pPr>
          </w:p>
        </w:tc>
      </w:tr>
      <w:tr w14:paraId="4A868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68D03D7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22646EE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1317299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35570B4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4C44B75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1DF3665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52C80D8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1BAFC9D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2CB4ABE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21478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61E2D3D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0493798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4847409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51063C6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5ECC2B2B">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10F21C8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435DA83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0427395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14A69DB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2060C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59F6DF9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5FB59E6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1580D16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4F75C34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5B1DCC0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0A320B2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7833941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14750E9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395CD45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5B6A5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25AB7A2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4F2DE60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053949F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5C15C60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5BD2D09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328DF4D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16E1F5D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68D7D320">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153B060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19103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4E3EBBA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07EC4D8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3EA34EC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7291C52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1C3904EB">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2AC09920">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2375E73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05B602F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2C44752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2D234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7DA4DCF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574070D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405FA4E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4EA0247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4AA2AF95">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20AB61AB">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7867F6E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093364C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239F5ED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28F44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7E0FE19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12FB2FC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4D1D941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451DFE6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0E08277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703E8FF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2A0FCFEF">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21339A59">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77F4CA0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53BBB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29186538">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0845C29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38CE7010">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3691493A">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5D550AF1">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5AADEA06">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5852675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3F5E331C">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063E970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r w14:paraId="38D60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9" w:type="dxa"/>
            <w:noWrap w:val="0"/>
            <w:vAlign w:val="center"/>
          </w:tcPr>
          <w:p w14:paraId="59FD02B4">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2006" w:type="dxa"/>
            <w:noWrap w:val="0"/>
            <w:vAlign w:val="center"/>
          </w:tcPr>
          <w:p w14:paraId="275C6FC2">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315" w:type="dxa"/>
            <w:noWrap w:val="0"/>
            <w:vAlign w:val="center"/>
          </w:tcPr>
          <w:p w14:paraId="232F304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45" w:type="dxa"/>
            <w:noWrap w:val="0"/>
            <w:vAlign w:val="center"/>
          </w:tcPr>
          <w:p w14:paraId="0D7C4E2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0FE8DEEE">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049" w:type="dxa"/>
            <w:noWrap w:val="0"/>
            <w:vAlign w:val="center"/>
          </w:tcPr>
          <w:p w14:paraId="298E7AD3">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855" w:type="dxa"/>
            <w:noWrap w:val="0"/>
            <w:vAlign w:val="center"/>
          </w:tcPr>
          <w:p w14:paraId="69E12447">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935" w:type="dxa"/>
            <w:noWrap w:val="0"/>
            <w:vAlign w:val="center"/>
          </w:tcPr>
          <w:p w14:paraId="43D8570B">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c>
          <w:tcPr>
            <w:tcW w:w="1133" w:type="dxa"/>
            <w:noWrap w:val="0"/>
            <w:vAlign w:val="center"/>
          </w:tcPr>
          <w:p w14:paraId="5EFAA16D">
            <w:pPr>
              <w:widowControl w:val="0"/>
              <w:snapToGrid w:val="0"/>
              <w:spacing w:line="360" w:lineRule="auto"/>
              <w:ind w:firstLine="480"/>
              <w:jc w:val="center"/>
              <w:rPr>
                <w:rFonts w:ascii="宋体" w:hAnsi="宋体" w:eastAsia="宋体" w:cs="宋体"/>
                <w:color w:val="000000"/>
                <w:kern w:val="2"/>
                <w:sz w:val="22"/>
                <w:szCs w:val="22"/>
                <w:lang w:val="en-US" w:eastAsia="zh-CN" w:bidi="ar-SA"/>
              </w:rPr>
            </w:pPr>
          </w:p>
        </w:tc>
      </w:tr>
    </w:tbl>
    <w:p w14:paraId="37BB6A08">
      <w:pPr>
        <w:widowControl w:val="0"/>
        <w:spacing w:line="360" w:lineRule="auto"/>
        <w:jc w:val="both"/>
        <w:rPr>
          <w:rFonts w:ascii="宋体" w:hAnsi="宋体" w:eastAsia="宋体" w:cs="宋体"/>
          <w:color w:val="000000"/>
          <w:kern w:val="2"/>
          <w:sz w:val="22"/>
          <w:szCs w:val="22"/>
          <w:lang w:val="en-US" w:eastAsia="zh-CN" w:bidi="ar-SA"/>
        </w:rPr>
      </w:pPr>
    </w:p>
    <w:p w14:paraId="4B45E9B7">
      <w:pPr>
        <w:widowControl w:val="0"/>
        <w:spacing w:line="360" w:lineRule="auto"/>
        <w:jc w:val="both"/>
        <w:rPr>
          <w:rFonts w:ascii="宋体" w:hAnsi="宋体" w:eastAsia="宋体" w:cs="宋体"/>
          <w:color w:val="000000"/>
          <w:kern w:val="2"/>
          <w:sz w:val="22"/>
          <w:szCs w:val="22"/>
          <w:lang w:val="en-US" w:eastAsia="zh-CN" w:bidi="ar-SA"/>
        </w:rPr>
      </w:pPr>
    </w:p>
    <w:p w14:paraId="7BA658A2">
      <w:pPr>
        <w:widowControl w:val="0"/>
        <w:jc w:val="both"/>
        <w:rPr>
          <w:rFonts w:ascii="宋体" w:hAnsi="宋体" w:eastAsia="宋体" w:cs="宋体"/>
          <w:color w:val="000000"/>
          <w:kern w:val="2"/>
          <w:sz w:val="22"/>
          <w:szCs w:val="22"/>
          <w:lang w:val="en-US" w:eastAsia="zh-CN" w:bidi="ar-SA"/>
        </w:rPr>
      </w:pPr>
    </w:p>
    <w:p w14:paraId="6A376C5A">
      <w:pPr>
        <w:widowControl w:val="0"/>
        <w:jc w:val="both"/>
        <w:rPr>
          <w:rFonts w:ascii="宋体" w:hAnsi="宋体" w:eastAsia="宋体" w:cs="宋体"/>
          <w:color w:val="000000"/>
          <w:kern w:val="2"/>
          <w:sz w:val="22"/>
          <w:szCs w:val="22"/>
          <w:lang w:val="en-US" w:eastAsia="zh-CN" w:bidi="ar-SA"/>
        </w:rPr>
      </w:pPr>
    </w:p>
    <w:p w14:paraId="28378660">
      <w:pPr>
        <w:widowControl w:val="0"/>
        <w:jc w:val="both"/>
        <w:rPr>
          <w:rFonts w:ascii="宋体" w:hAnsi="宋体" w:eastAsia="宋体" w:cs="宋体"/>
          <w:color w:val="000000"/>
          <w:kern w:val="2"/>
          <w:sz w:val="22"/>
          <w:szCs w:val="22"/>
          <w:lang w:val="en-US" w:eastAsia="zh-CN" w:bidi="ar-SA"/>
        </w:rPr>
      </w:pPr>
    </w:p>
    <w:p w14:paraId="255A241C">
      <w:pPr>
        <w:widowControl w:val="0"/>
        <w:jc w:val="both"/>
        <w:rPr>
          <w:rFonts w:ascii="宋体" w:hAnsi="宋体" w:eastAsia="宋体" w:cs="宋体"/>
          <w:color w:val="000000"/>
          <w:kern w:val="2"/>
          <w:sz w:val="22"/>
          <w:szCs w:val="22"/>
          <w:lang w:val="en-US" w:eastAsia="zh-CN" w:bidi="ar-SA"/>
        </w:rPr>
      </w:pPr>
    </w:p>
    <w:p w14:paraId="3B65E2F6">
      <w:pPr>
        <w:widowControl w:val="0"/>
        <w:jc w:val="both"/>
        <w:rPr>
          <w:rFonts w:ascii="宋体" w:hAnsi="宋体" w:eastAsia="宋体" w:cs="宋体"/>
          <w:color w:val="000000"/>
          <w:kern w:val="2"/>
          <w:sz w:val="22"/>
          <w:szCs w:val="22"/>
          <w:lang w:val="en-US" w:eastAsia="zh-CN" w:bidi="ar-SA"/>
        </w:rPr>
      </w:pPr>
    </w:p>
    <w:p w14:paraId="546FA08A">
      <w:pPr>
        <w:widowControl w:val="0"/>
        <w:jc w:val="both"/>
        <w:rPr>
          <w:rFonts w:ascii="宋体" w:hAnsi="宋体" w:eastAsia="宋体" w:cs="宋体"/>
          <w:color w:val="000000"/>
          <w:kern w:val="2"/>
          <w:sz w:val="22"/>
          <w:szCs w:val="22"/>
          <w:lang w:val="en-US" w:eastAsia="zh-CN" w:bidi="ar-SA"/>
        </w:rPr>
      </w:pPr>
    </w:p>
    <w:p w14:paraId="0DEDED53">
      <w:pPr>
        <w:widowControl w:val="0"/>
        <w:spacing w:line="360" w:lineRule="auto"/>
        <w:jc w:val="both"/>
        <w:outlineLvl w:val="1"/>
        <w:rPr>
          <w:rFonts w:ascii="宋体" w:hAnsi="宋体" w:eastAsia="宋体" w:cs="宋体"/>
          <w:b/>
          <w:bCs/>
          <w:color w:val="000000"/>
          <w:kern w:val="2"/>
          <w:sz w:val="22"/>
          <w:szCs w:val="22"/>
          <w:lang w:val="en-US" w:eastAsia="zh-CN" w:bidi="ar-SA"/>
        </w:rPr>
      </w:pPr>
      <w:bookmarkStart w:id="4132" w:name="_Toc1799881692"/>
      <w:bookmarkStart w:id="4133" w:name="_Toc1357349786"/>
      <w:bookmarkStart w:id="4134" w:name="_Toc256003611"/>
      <w:bookmarkStart w:id="4135" w:name="_Toc256001341"/>
      <w:bookmarkStart w:id="4136" w:name="_Toc256002249"/>
      <w:bookmarkStart w:id="4137" w:name="_Toc256002476"/>
      <w:bookmarkStart w:id="4138" w:name="_Toc256000433"/>
      <w:bookmarkStart w:id="4139" w:name="_Toc256004065"/>
      <w:bookmarkStart w:id="4140" w:name="_Toc256000887"/>
      <w:bookmarkStart w:id="4141" w:name="_Toc256002930"/>
      <w:bookmarkStart w:id="4142" w:name="_Toc256000660"/>
      <w:bookmarkStart w:id="4143" w:name="_Toc256003838"/>
      <w:bookmarkStart w:id="4144" w:name="_Toc2144979508"/>
      <w:bookmarkStart w:id="4145" w:name="_Toc256002703"/>
      <w:bookmarkStart w:id="4146" w:name="_Toc256002022"/>
      <w:bookmarkStart w:id="4147" w:name="_Toc256001568"/>
      <w:bookmarkStart w:id="4148" w:name="_Toc256001795"/>
      <w:bookmarkStart w:id="4149" w:name="_Toc256003384"/>
      <w:bookmarkStart w:id="4150" w:name="_Toc256003157"/>
      <w:bookmarkStart w:id="4151" w:name="_Toc256000206"/>
      <w:bookmarkStart w:id="4152" w:name="_Toc256001114"/>
      <w:r>
        <w:rPr>
          <w:rFonts w:hint="eastAsia" w:ascii="宋体" w:hAnsi="宋体" w:eastAsia="宋体" w:cs="宋体"/>
          <w:b/>
          <w:bCs/>
          <w:color w:val="000000"/>
          <w:kern w:val="2"/>
          <w:sz w:val="22"/>
          <w:szCs w:val="22"/>
          <w:lang w:val="en-US" w:eastAsia="zh-CN" w:bidi="ar-SA"/>
        </w:rPr>
        <w:t>附件6:</w:t>
      </w:r>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p>
    <w:p w14:paraId="619969D6">
      <w:pPr>
        <w:keepNext/>
        <w:keepLines/>
        <w:widowControl w:val="0"/>
        <w:spacing w:before="0" w:after="260" w:line="360" w:lineRule="auto"/>
        <w:jc w:val="center"/>
        <w:outlineLvl w:val="1"/>
        <w:rPr>
          <w:rFonts w:ascii="宋体" w:hAnsi="宋体" w:eastAsia="宋体" w:cs="宋体"/>
          <w:b/>
          <w:bCs/>
          <w:color w:val="000000"/>
          <w:kern w:val="2"/>
          <w:sz w:val="24"/>
          <w:szCs w:val="24"/>
          <w:lang w:val="en-US" w:eastAsia="zh-CN" w:bidi="ar-SA"/>
        </w:rPr>
      </w:pPr>
      <w:bookmarkStart w:id="4153" w:name="_Toc1792836188"/>
      <w:bookmarkStart w:id="4154" w:name="_Toc256002023"/>
      <w:bookmarkStart w:id="4155" w:name="_Toc256002477"/>
      <w:bookmarkStart w:id="4156" w:name="_Toc256001115"/>
      <w:bookmarkStart w:id="4157" w:name="_Toc256003612"/>
      <w:bookmarkStart w:id="4158" w:name="_Toc256001342"/>
      <w:bookmarkStart w:id="4159" w:name="_Toc256003839"/>
      <w:bookmarkStart w:id="4160" w:name="_Toc256004066"/>
      <w:bookmarkStart w:id="4161" w:name="_Toc256001796"/>
      <w:bookmarkStart w:id="4162" w:name="_Toc256002931"/>
      <w:bookmarkStart w:id="4163" w:name="_Toc256002704"/>
      <w:bookmarkStart w:id="4164" w:name="_Toc256000434"/>
      <w:bookmarkStart w:id="4165" w:name="_Toc256002250"/>
      <w:bookmarkStart w:id="4166" w:name="_Toc256000888"/>
      <w:bookmarkStart w:id="4167" w:name="_Toc2133128467"/>
      <w:bookmarkStart w:id="4168" w:name="_Toc256003385"/>
      <w:bookmarkStart w:id="4169" w:name="_Toc256000207"/>
      <w:bookmarkStart w:id="4170" w:name="_Toc256003158"/>
      <w:bookmarkStart w:id="4171" w:name="_Toc256000661"/>
      <w:bookmarkStart w:id="4172" w:name="_Toc256001569"/>
      <w:r>
        <w:rPr>
          <w:rFonts w:hint="eastAsia" w:ascii="宋体" w:hAnsi="宋体" w:eastAsia="宋体" w:cs="宋体"/>
          <w:b/>
          <w:bCs/>
          <w:color w:val="000000"/>
          <w:kern w:val="2"/>
          <w:sz w:val="24"/>
          <w:szCs w:val="24"/>
          <w:lang w:val="en-US" w:eastAsia="zh-CN" w:bidi="ar-SA"/>
        </w:rPr>
        <w:t>绿化养护责任书</w:t>
      </w:r>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p>
    <w:p w14:paraId="1935A6C2">
      <w:pPr>
        <w:widowControl w:val="0"/>
        <w:snapToGrid w:val="0"/>
        <w:spacing w:line="360" w:lineRule="auto"/>
        <w:ind w:firstLine="600"/>
        <w:jc w:val="distribut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发包人和承包人根据《园林绿化养护标准》（CJJ/T287）或</w:t>
      </w:r>
    </w:p>
    <w:p w14:paraId="717230D8">
      <w:pPr>
        <w:widowControl w:val="0"/>
        <w:snapToGrid w:val="0"/>
        <w:spacing w:line="360" w:lineRule="auto"/>
        <w:jc w:val="left"/>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（地方标准）等相关规定，经协商一致就</w:t>
      </w:r>
      <w:r>
        <w:rPr>
          <w:rFonts w:hint="eastAsia" w:ascii="宋体" w:hAnsi="宋体" w:cs="宋体"/>
          <w:color w:val="000000"/>
          <w:kern w:val="2"/>
          <w:sz w:val="24"/>
          <w:szCs w:val="24"/>
          <w:u w:val="single"/>
          <w:lang w:val="en-US" w:eastAsia="zh-CN" w:bidi="ar-SA"/>
        </w:rPr>
        <w:t>建邺北部老城区街旁绿地改造（3处口袋公园）项目</w:t>
      </w:r>
      <w:r>
        <w:rPr>
          <w:rFonts w:hint="eastAsia" w:ascii="宋体" w:hAnsi="宋体" w:eastAsia="宋体" w:cs="宋体"/>
          <w:color w:val="000000"/>
          <w:kern w:val="2"/>
          <w:sz w:val="24"/>
          <w:szCs w:val="24"/>
          <w:u w:val="single"/>
          <w:lang w:val="en-US" w:eastAsia="zh-CN" w:bidi="ar-SA"/>
        </w:rPr>
        <w:t>工程</w:t>
      </w:r>
      <w:r>
        <w:rPr>
          <w:rFonts w:hint="eastAsia" w:ascii="宋体" w:hAnsi="宋体" w:eastAsia="宋体" w:cs="宋体"/>
          <w:color w:val="000000"/>
          <w:kern w:val="2"/>
          <w:sz w:val="24"/>
          <w:szCs w:val="24"/>
          <w:lang w:val="en-US" w:eastAsia="zh-CN" w:bidi="ar-SA"/>
        </w:rPr>
        <w:t>（工程全称）签订绿化养护责任书。</w:t>
      </w:r>
    </w:p>
    <w:p w14:paraId="3EE12EE3">
      <w:pPr>
        <w:widowControl w:val="0"/>
        <w:snapToGrid w:val="0"/>
        <w:spacing w:line="360" w:lineRule="auto"/>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一、责任范围和内容</w:t>
      </w:r>
    </w:p>
    <w:p w14:paraId="7205049C">
      <w:pPr>
        <w:widowControl w:val="0"/>
        <w:snapToGrid w:val="0"/>
        <w:spacing w:line="360" w:lineRule="auto"/>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承包人在绿化养护期内，按照有关法律规定和合同约定，承担施工范围内的绿化养护责任。</w:t>
      </w:r>
    </w:p>
    <w:p w14:paraId="7B01B561">
      <w:pPr>
        <w:widowControl w:val="0"/>
        <w:snapToGrid w:val="0"/>
        <w:spacing w:line="360" w:lineRule="auto"/>
        <w:ind w:firstLine="6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内容包括对养护范围内植物采取的整形修剪、松土除草、灌溉与排水、施肥、有害生物防治、改植与补植、绿地防护（如防台风、防寒）等技术措施；</w:t>
      </w:r>
      <w:r>
        <w:rPr>
          <w:rFonts w:hint="eastAsia" w:ascii="宋体" w:hAnsi="宋体" w:eastAsia="宋体" w:cs="宋体"/>
          <w:bCs/>
          <w:color w:val="000000"/>
          <w:kern w:val="2"/>
          <w:sz w:val="24"/>
          <w:szCs w:val="24"/>
          <w:lang w:val="en-US" w:eastAsia="zh-CN" w:bidi="ar-SA"/>
        </w:rPr>
        <w:t>其他内容</w:t>
      </w:r>
      <w:r>
        <w:rPr>
          <w:rFonts w:hint="eastAsia" w:ascii="宋体" w:hAnsi="宋体" w:eastAsia="宋体" w:cs="宋体"/>
          <w:color w:val="000000"/>
          <w:kern w:val="2"/>
          <w:sz w:val="24"/>
          <w:szCs w:val="24"/>
          <w:lang w:val="en-US" w:eastAsia="zh-CN" w:bidi="ar-SA"/>
        </w:rPr>
        <w:t>双方约定如下：。</w:t>
      </w:r>
    </w:p>
    <w:p w14:paraId="3175367E">
      <w:pPr>
        <w:widowControl w:val="0"/>
        <w:snapToGrid w:val="0"/>
        <w:spacing w:line="360" w:lineRule="auto"/>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二、养护标准</w:t>
      </w:r>
    </w:p>
    <w:p w14:paraId="54B7DAE0">
      <w:pPr>
        <w:widowControl w:val="0"/>
        <w:snapToGrid w:val="0"/>
        <w:spacing w:line="360" w:lineRule="auto"/>
        <w:ind w:firstLine="600"/>
        <w:jc w:val="distribut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绿化养护质量按照</w:t>
      </w:r>
      <w:r>
        <w:rPr>
          <w:rFonts w:ascii="Wingdings" w:hAnsi="Wingdings"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《园林绿化养护标准》（CJJ/T287）或</w:t>
      </w:r>
    </w:p>
    <w:p w14:paraId="465F67F9">
      <w:pPr>
        <w:widowControl w:val="0"/>
        <w:snapToGrid w:val="0"/>
        <w:spacing w:line="360" w:lineRule="auto"/>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0"/>
          <w:sz w:val="24"/>
          <w:szCs w:val="24"/>
          <w:u w:val="single"/>
          <w:lang w:val="en-US" w:eastAsia="zh-CN" w:bidi="ar-SA"/>
        </w:rPr>
        <w:t>江苏省城市园林绿化养护管理分级标准</w:t>
      </w:r>
      <w:r>
        <w:rPr>
          <w:rFonts w:hint="eastAsia" w:ascii="宋体" w:hAnsi="宋体" w:eastAsia="宋体" w:cs="宋体"/>
          <w:color w:val="000000"/>
          <w:kern w:val="2"/>
          <w:sz w:val="24"/>
          <w:szCs w:val="24"/>
          <w:lang w:val="en-US" w:eastAsia="zh-CN" w:bidi="ar-SA"/>
        </w:rPr>
        <w:t>（地方标准）中</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cs="宋体"/>
          <w:color w:val="000000"/>
          <w:kern w:val="2"/>
          <w:sz w:val="24"/>
          <w:szCs w:val="24"/>
          <w:u w:val="single"/>
          <w:lang w:val="en-US" w:eastAsia="zh-CN" w:bidi="ar-SA"/>
        </w:rPr>
        <w:t>1</w:t>
      </w:r>
      <w:r>
        <w:rPr>
          <w:rFonts w:hint="eastAsia" w:ascii="宋体" w:hAnsi="宋体" w:eastAsia="宋体" w:cs="宋体"/>
          <w:color w:val="000000"/>
          <w:kern w:val="2"/>
          <w:sz w:val="24"/>
          <w:szCs w:val="24"/>
          <w:lang w:val="en-US" w:eastAsia="zh-CN" w:bidi="ar-SA"/>
        </w:rPr>
        <w:t>级标准。</w:t>
      </w:r>
    </w:p>
    <w:p w14:paraId="17723A68">
      <w:pPr>
        <w:widowControl w:val="0"/>
        <w:snapToGrid w:val="0"/>
        <w:spacing w:line="360" w:lineRule="auto"/>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三、考核标准</w:t>
      </w:r>
    </w:p>
    <w:p w14:paraId="71A932C6">
      <w:pPr>
        <w:widowControl w:val="0"/>
        <w:snapToGrid w:val="0"/>
        <w:spacing w:line="360" w:lineRule="auto"/>
        <w:ind w:firstLine="453" w:firstLineChars="189"/>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由发包人按</w:t>
      </w:r>
      <w:r>
        <w:rPr>
          <w:rFonts w:hint="eastAsia" w:ascii="宋体" w:hAnsi="宋体" w:eastAsia="宋体" w:cs="宋体"/>
          <w:color w:val="000000"/>
          <w:kern w:val="0"/>
          <w:sz w:val="24"/>
          <w:szCs w:val="24"/>
          <w:u w:val="single"/>
          <w:lang w:val="en-US" w:eastAsia="zh-CN" w:bidi="ar-SA"/>
        </w:rPr>
        <w:t>江苏省城市园林绿化养护管理分级标准</w:t>
      </w:r>
      <w:r>
        <w:rPr>
          <w:rFonts w:hint="eastAsia" w:ascii="宋体" w:hAnsi="宋体" w:eastAsia="宋体" w:cs="宋体"/>
          <w:color w:val="000000"/>
          <w:kern w:val="2"/>
          <w:sz w:val="24"/>
          <w:szCs w:val="24"/>
          <w:lang w:val="en-US" w:eastAsia="zh-CN" w:bidi="ar-SA"/>
        </w:rPr>
        <w:t>（</w:t>
      </w:r>
      <w:r>
        <w:rPr>
          <w:rFonts w:ascii="Wingdings" w:hAnsi="Wingdings"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国家标准</w:t>
      </w:r>
      <w:r>
        <w:rPr>
          <w:rFonts w:ascii="Wingdings" w:hAnsi="Wingdings"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行业标准☑地方标准）中</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cs="宋体"/>
          <w:color w:val="000000"/>
          <w:kern w:val="2"/>
          <w:sz w:val="24"/>
          <w:szCs w:val="24"/>
          <w:u w:val="single"/>
          <w:lang w:val="en-US" w:eastAsia="zh-CN" w:bidi="ar-SA"/>
        </w:rPr>
        <w:t>1</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级标准进行考核，相关费用从质量保证金中扣除。</w:t>
      </w:r>
    </w:p>
    <w:p w14:paraId="3CA44C24">
      <w:pPr>
        <w:widowControl w:val="0"/>
        <w:snapToGrid w:val="0"/>
        <w:spacing w:line="360" w:lineRule="auto"/>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四、绿化养护期</w:t>
      </w:r>
    </w:p>
    <w:p w14:paraId="6986285D">
      <w:pPr>
        <w:widowControl w:val="0"/>
        <w:snapToGrid w:val="0"/>
        <w:spacing w:line="360" w:lineRule="auto"/>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绿化养护期</w:t>
      </w:r>
      <w:r>
        <w:rPr>
          <w:rFonts w:hint="eastAsia" w:ascii="宋体" w:hAnsi="宋体" w:eastAsia="宋体" w:cs="宋体"/>
          <w:color w:val="000000"/>
          <w:kern w:val="2"/>
          <w:sz w:val="24"/>
          <w:szCs w:val="24"/>
          <w:u w:val="single"/>
          <w:lang w:val="en-US" w:eastAsia="zh-CN" w:bidi="ar-SA"/>
        </w:rPr>
        <w:t xml:space="preserve"> 12 </w:t>
      </w:r>
      <w:r>
        <w:rPr>
          <w:rFonts w:hint="eastAsia" w:ascii="宋体" w:hAnsi="宋体" w:eastAsia="宋体" w:cs="宋体"/>
          <w:color w:val="000000"/>
          <w:kern w:val="2"/>
          <w:sz w:val="24"/>
          <w:szCs w:val="24"/>
          <w:lang w:val="en-US" w:eastAsia="zh-CN" w:bidi="ar-SA"/>
        </w:rPr>
        <w:t>个月，</w:t>
      </w:r>
      <w:r>
        <w:rPr>
          <w:rFonts w:hint="eastAsia" w:ascii="宋体" w:hAnsi="宋体" w:eastAsia="宋体" w:cs="宋体"/>
          <w:color w:val="000000"/>
          <w:kern w:val="0"/>
          <w:sz w:val="24"/>
          <w:szCs w:val="24"/>
          <w:lang w:val="en-US" w:eastAsia="zh-CN" w:bidi="ar-SA"/>
        </w:rPr>
        <w:t>从工程竣工验收合格之日起计算</w:t>
      </w:r>
      <w:r>
        <w:rPr>
          <w:rFonts w:hint="eastAsia" w:ascii="宋体" w:hAnsi="宋体" w:eastAsia="宋体" w:cs="宋体"/>
          <w:color w:val="000000"/>
          <w:kern w:val="2"/>
          <w:sz w:val="24"/>
          <w:szCs w:val="24"/>
          <w:lang w:val="en-US" w:eastAsia="zh-CN" w:bidi="ar-SA"/>
        </w:rPr>
        <w:t>。</w:t>
      </w:r>
    </w:p>
    <w:p w14:paraId="00C89D1D">
      <w:pPr>
        <w:widowControl w:val="0"/>
        <w:snapToGrid w:val="0"/>
        <w:spacing w:line="360" w:lineRule="auto"/>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五、养护责任</w:t>
      </w:r>
    </w:p>
    <w:p w14:paraId="4534B331">
      <w:pPr>
        <w:widowControl w:val="0"/>
        <w:snapToGrid w:val="0"/>
        <w:spacing w:line="360" w:lineRule="auto"/>
        <w:ind w:left="105" w:leftChars="50"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1．为确保养护质量，承包人应安排专业队伍和人员进行养护管理。</w:t>
      </w:r>
    </w:p>
    <w:p w14:paraId="3CE03D62">
      <w:pPr>
        <w:widowControl w:val="0"/>
        <w:snapToGrid w:val="0"/>
        <w:spacing w:line="360" w:lineRule="auto"/>
        <w:ind w:left="105" w:leftChars="50"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14:paraId="62A97225">
      <w:pPr>
        <w:widowControl w:val="0"/>
        <w:snapToGrid w:val="0"/>
        <w:spacing w:line="360" w:lineRule="auto"/>
        <w:ind w:left="105" w:leftChars="50"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3．苗木成活率按合同约定执行，发生苗木等植物材料死亡，须按原设计品种和规格及时更换，更换费用由承包人承担。</w:t>
      </w:r>
    </w:p>
    <w:p w14:paraId="7E547F79">
      <w:pPr>
        <w:widowControl w:val="0"/>
        <w:snapToGrid w:val="0"/>
        <w:spacing w:line="360" w:lineRule="auto"/>
        <w:ind w:left="105" w:leftChars="50"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4．绿化养护期满后，由发包人组织验收。</w:t>
      </w:r>
    </w:p>
    <w:p w14:paraId="5F87A4D0">
      <w:pPr>
        <w:widowControl w:val="0"/>
        <w:spacing w:line="360" w:lineRule="auto"/>
        <w:ind w:firstLine="720" w:firstLineChars="3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 xml:space="preserve">5．其他责任约定： </w:t>
      </w:r>
      <w:r>
        <w:rPr>
          <w:rFonts w:hint="eastAsia" w:ascii="宋体" w:hAnsi="宋体" w:eastAsia="宋体" w:cs="宋体"/>
          <w:color w:val="000000"/>
          <w:kern w:val="2"/>
          <w:sz w:val="24"/>
          <w:szCs w:val="24"/>
          <w:u w:val="single"/>
          <w:lang w:val="en-US" w:eastAsia="zh-CN" w:bidi="ar-SA"/>
        </w:rPr>
        <w:t xml:space="preserve">                   /              。</w:t>
      </w:r>
    </w:p>
    <w:p w14:paraId="667E0E55">
      <w:pPr>
        <w:widowControl w:val="0"/>
        <w:snapToGrid w:val="0"/>
        <w:spacing w:line="360" w:lineRule="auto"/>
        <w:ind w:firstLine="482" w:firstLineChars="2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六、养护费用</w:t>
      </w:r>
    </w:p>
    <w:p w14:paraId="06D0E4A6">
      <w:pPr>
        <w:widowControl w:val="0"/>
        <w:snapToGrid w:val="0"/>
        <w:spacing w:line="360" w:lineRule="auto"/>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养护费用由承包人承担。</w:t>
      </w:r>
    </w:p>
    <w:p w14:paraId="6BC358B3">
      <w:pPr>
        <w:widowControl w:val="0"/>
        <w:snapToGrid w:val="0"/>
        <w:spacing w:line="360" w:lineRule="auto"/>
        <w:jc w:val="left"/>
        <w:rPr>
          <w:rFonts w:ascii="宋体" w:hAnsi="宋体" w:eastAsia="宋体" w:cs="宋体"/>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 xml:space="preserve">    七、其他约定</w:t>
      </w:r>
      <w:r>
        <w:rPr>
          <w:rFonts w:hint="eastAsia" w:ascii="宋体" w:hAnsi="宋体" w:eastAsia="宋体" w:cs="宋体"/>
          <w:color w:val="000000"/>
          <w:kern w:val="2"/>
          <w:sz w:val="24"/>
          <w:szCs w:val="24"/>
          <w:lang w:val="en-US" w:eastAsia="zh-CN" w:bidi="ar-SA"/>
        </w:rPr>
        <w:t>：。</w:t>
      </w:r>
    </w:p>
    <w:p w14:paraId="6F0DBC81">
      <w:pPr>
        <w:widowControl w:val="0"/>
        <w:snapToGrid w:val="0"/>
        <w:spacing w:line="360" w:lineRule="auto"/>
        <w:ind w:left="105" w:leftChars="50"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绿化养护责任书由发包人、承包人在工程竣工验收前共同签署，作为施工合同附件，其有效期限至绿化养护期满。</w:t>
      </w:r>
    </w:p>
    <w:p w14:paraId="3350643D">
      <w:pPr>
        <w:widowControl w:val="0"/>
        <w:jc w:val="both"/>
        <w:rPr>
          <w:rFonts w:ascii="宋体" w:hAnsi="宋体" w:eastAsia="宋体" w:cs="宋体"/>
          <w:color w:val="000000"/>
          <w:kern w:val="2"/>
          <w:sz w:val="24"/>
          <w:szCs w:val="24"/>
          <w:lang w:val="en-US" w:eastAsia="zh-CN" w:bidi="ar-SA"/>
        </w:rPr>
      </w:pPr>
    </w:p>
    <w:p w14:paraId="10C56E15">
      <w:pPr>
        <w:widowControl w:val="0"/>
        <w:snapToGrid w:val="0"/>
        <w:spacing w:line="360" w:lineRule="auto"/>
        <w:ind w:firstLine="482"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八、责任书份数</w:t>
      </w:r>
    </w:p>
    <w:p w14:paraId="2B85BE27">
      <w:pPr>
        <w:widowControl w:val="0"/>
        <w:snapToGrid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本合同一式 拾贰份，均具有同等法律效力，发包人执捌份，承包人执肆份。</w:t>
      </w:r>
    </w:p>
    <w:p w14:paraId="1DFA621F">
      <w:pPr>
        <w:widowControl w:val="0"/>
        <w:jc w:val="both"/>
        <w:rPr>
          <w:rFonts w:ascii="宋体" w:hAnsi="宋体" w:eastAsia="宋体" w:cs="宋体"/>
          <w:color w:val="000000"/>
          <w:kern w:val="2"/>
          <w:sz w:val="22"/>
          <w:szCs w:val="22"/>
          <w:lang w:val="en-US" w:eastAsia="zh-CN" w:bidi="ar-SA"/>
        </w:rPr>
      </w:pPr>
      <w:r>
        <w:rPr>
          <w:rFonts w:ascii="宋体" w:hAnsi="宋体" w:eastAsia="宋体" w:cs="宋体"/>
          <w:color w:val="000000"/>
          <w:kern w:val="2"/>
          <w:sz w:val="22"/>
          <w:szCs w:val="2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2559050</wp:posOffset>
                </wp:positionH>
                <wp:positionV relativeFrom="paragraph">
                  <wp:posOffset>205740</wp:posOffset>
                </wp:positionV>
                <wp:extent cx="3074670" cy="2667635"/>
                <wp:effectExtent l="0" t="0" r="11430" b="18415"/>
                <wp:wrapNone/>
                <wp:docPr id="8" name="文本框 8"/>
                <wp:cNvGraphicFramePr/>
                <a:graphic xmlns:a="http://schemas.openxmlformats.org/drawingml/2006/main">
                  <a:graphicData uri="http://schemas.microsoft.com/office/word/2010/wordprocessingShape">
                    <wps:wsp>
                      <wps:cNvSpPr txBox="1"/>
                      <wps:spPr>
                        <a:xfrm>
                          <a:off x="0" y="0"/>
                          <a:ext cx="3074670" cy="2667635"/>
                        </a:xfrm>
                        <a:prstGeom prst="rect">
                          <a:avLst/>
                        </a:prstGeom>
                        <a:solidFill>
                          <a:srgbClr val="FFFFFF"/>
                        </a:solidFill>
                        <a:ln>
                          <a:noFill/>
                        </a:ln>
                        <a:effectLst/>
                      </wps:spPr>
                      <wps:txbx>
                        <w:txbxContent>
                          <w:p w14:paraId="74B6DFD8">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承包人：（公章）</w:t>
                            </w:r>
                          </w:p>
                          <w:p w14:paraId="41FE819E">
                            <w:pPr>
                              <w:widowControl w:val="0"/>
                              <w:spacing w:line="600" w:lineRule="exact"/>
                              <w:jc w:val="both"/>
                              <w:rPr>
                                <w:rFonts w:ascii="宋体" w:hAnsi="宋体" w:eastAsia="宋体" w:cs="宋体"/>
                                <w:kern w:val="2"/>
                                <w:sz w:val="22"/>
                                <w:szCs w:val="22"/>
                                <w:lang w:val="en-US" w:eastAsia="zh-CN" w:bidi="ar-SA"/>
                              </w:rPr>
                            </w:pPr>
                          </w:p>
                          <w:p w14:paraId="6D885F7F">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法定代表人或其委托代理人：（签字）</w:t>
                            </w:r>
                          </w:p>
                          <w:p w14:paraId="7085C197">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地  址：</w:t>
                            </w:r>
                          </w:p>
                          <w:p w14:paraId="69803CD9">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电  话：</w:t>
                            </w:r>
                          </w:p>
                          <w:p w14:paraId="1A7639D4">
                            <w:pPr>
                              <w:widowControl w:val="0"/>
                              <w:spacing w:line="600" w:lineRule="exact"/>
                              <w:jc w:val="both"/>
                              <w:rPr>
                                <w:rFonts w:ascii="Times New Roman" w:hAnsi="Times New Roman" w:eastAsia="宋体" w:cs="Times New Roman"/>
                                <w:kern w:val="2"/>
                                <w:sz w:val="22"/>
                                <w:szCs w:val="22"/>
                                <w:u w:val="single"/>
                                <w:lang w:val="en-US" w:eastAsia="zh-CN" w:bidi="ar-SA"/>
                              </w:rPr>
                            </w:pPr>
                            <w:r>
                              <w:rPr>
                                <w:rFonts w:hint="eastAsia" w:ascii="宋体" w:hAnsi="宋体" w:eastAsia="宋体" w:cs="宋体"/>
                                <w:kern w:val="2"/>
                                <w:sz w:val="22"/>
                                <w:szCs w:val="22"/>
                                <w:lang w:val="en-US" w:eastAsia="zh-CN" w:bidi="ar-SA"/>
                              </w:rPr>
                              <w:t>日  期：</w:t>
                            </w:r>
                            <w:r>
                              <w:rPr>
                                <w:rFonts w:hint="eastAsia" w:ascii="宋体" w:hAnsi="宋体" w:eastAsia="宋体" w:cs="宋体"/>
                                <w:kern w:val="2"/>
                                <w:sz w:val="22"/>
                                <w:szCs w:val="22"/>
                                <w:u w:val="single"/>
                                <w:lang w:val="en-US" w:eastAsia="zh-CN" w:bidi="ar-SA"/>
                              </w:rPr>
                              <w:t>2024</w:t>
                            </w:r>
                            <w:r>
                              <w:rPr>
                                <w:rFonts w:hint="eastAsia" w:ascii="宋体" w:hAnsi="宋体" w:eastAsia="宋体" w:cs="宋体"/>
                                <w:kern w:val="2"/>
                                <w:sz w:val="22"/>
                                <w:szCs w:val="22"/>
                                <w:lang w:val="en-US" w:eastAsia="zh-CN" w:bidi="ar-SA"/>
                              </w:rPr>
                              <w:t>年月日</w:t>
                            </w:r>
                          </w:p>
                          <w:p w14:paraId="6E93BC56"/>
                        </w:txbxContent>
                      </wps:txbx>
                      <wps:bodyPr upright="1"/>
                    </wps:wsp>
                  </a:graphicData>
                </a:graphic>
              </wp:anchor>
            </w:drawing>
          </mc:Choice>
          <mc:Fallback>
            <w:pict>
              <v:shape id="_x0000_s1026" o:spid="_x0000_s1026" o:spt="202" type="#_x0000_t202" style="position:absolute;left:0pt;margin-left:201.5pt;margin-top:16.2pt;height:210.05pt;width:242.1pt;z-index:251667456;mso-width-relative:page;mso-height-relative:page;" fillcolor="#FFFFFF" filled="t" stroked="f" coordsize="21600,21600" o:gfxdata="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6AVUHYAAAACgEAAA8AAAAAAAAAAQAgAAAAIgAAAGRycy9kb3du&#10;cmV2LnhtbFBLAQIUABQAAAAIAIdO4kD095yvxgEAAIYDAAAOAAAAAAAAAAEAIAAAACcBAABkcnMv&#10;ZTJvRG9jLnhtbFBLBQYAAAAABgAGAFkBAABfBQAAAAA=&#10;">
                <v:fill on="t" focussize="0,0"/>
                <v:stroke on="f"/>
                <v:imagedata o:title=""/>
                <o:lock v:ext="edit" aspectratio="f"/>
                <v:textbox>
                  <w:txbxContent>
                    <w:p w14:paraId="74B6DFD8">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承包人：（公章）</w:t>
                      </w:r>
                    </w:p>
                    <w:p w14:paraId="41FE819E">
                      <w:pPr>
                        <w:widowControl w:val="0"/>
                        <w:spacing w:line="600" w:lineRule="exact"/>
                        <w:jc w:val="both"/>
                        <w:rPr>
                          <w:rFonts w:ascii="宋体" w:hAnsi="宋体" w:eastAsia="宋体" w:cs="宋体"/>
                          <w:kern w:val="2"/>
                          <w:sz w:val="22"/>
                          <w:szCs w:val="22"/>
                          <w:lang w:val="en-US" w:eastAsia="zh-CN" w:bidi="ar-SA"/>
                        </w:rPr>
                      </w:pPr>
                    </w:p>
                    <w:p w14:paraId="6D885F7F">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法定代表人或其委托代理人：（签字）</w:t>
                      </w:r>
                    </w:p>
                    <w:p w14:paraId="7085C197">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地  址：</w:t>
                      </w:r>
                    </w:p>
                    <w:p w14:paraId="69803CD9">
                      <w:pPr>
                        <w:widowControl w:val="0"/>
                        <w:spacing w:line="600" w:lineRule="exac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电  话：</w:t>
                      </w:r>
                    </w:p>
                    <w:p w14:paraId="1A7639D4">
                      <w:pPr>
                        <w:widowControl w:val="0"/>
                        <w:spacing w:line="600" w:lineRule="exact"/>
                        <w:jc w:val="both"/>
                        <w:rPr>
                          <w:rFonts w:ascii="Times New Roman" w:hAnsi="Times New Roman" w:eastAsia="宋体" w:cs="Times New Roman"/>
                          <w:kern w:val="2"/>
                          <w:sz w:val="22"/>
                          <w:szCs w:val="22"/>
                          <w:u w:val="single"/>
                          <w:lang w:val="en-US" w:eastAsia="zh-CN" w:bidi="ar-SA"/>
                        </w:rPr>
                      </w:pPr>
                      <w:r>
                        <w:rPr>
                          <w:rFonts w:hint="eastAsia" w:ascii="宋体" w:hAnsi="宋体" w:eastAsia="宋体" w:cs="宋体"/>
                          <w:kern w:val="2"/>
                          <w:sz w:val="22"/>
                          <w:szCs w:val="22"/>
                          <w:lang w:val="en-US" w:eastAsia="zh-CN" w:bidi="ar-SA"/>
                        </w:rPr>
                        <w:t>日  期：</w:t>
                      </w:r>
                      <w:r>
                        <w:rPr>
                          <w:rFonts w:hint="eastAsia" w:ascii="宋体" w:hAnsi="宋体" w:eastAsia="宋体" w:cs="宋体"/>
                          <w:kern w:val="2"/>
                          <w:sz w:val="22"/>
                          <w:szCs w:val="22"/>
                          <w:u w:val="single"/>
                          <w:lang w:val="en-US" w:eastAsia="zh-CN" w:bidi="ar-SA"/>
                        </w:rPr>
                        <w:t>2024</w:t>
                      </w:r>
                      <w:r>
                        <w:rPr>
                          <w:rFonts w:hint="eastAsia" w:ascii="宋体" w:hAnsi="宋体" w:eastAsia="宋体" w:cs="宋体"/>
                          <w:kern w:val="2"/>
                          <w:sz w:val="22"/>
                          <w:szCs w:val="22"/>
                          <w:lang w:val="en-US" w:eastAsia="zh-CN" w:bidi="ar-SA"/>
                        </w:rPr>
                        <w:t>年月日</w:t>
                      </w:r>
                    </w:p>
                    <w:p w14:paraId="6E93BC56"/>
                  </w:txbxContent>
                </v:textbox>
              </v:shape>
            </w:pict>
          </mc:Fallback>
        </mc:AlternateContent>
      </w:r>
      <w:r>
        <w:rPr>
          <w:rFonts w:ascii="宋体" w:hAnsi="宋体" w:eastAsia="宋体" w:cs="宋体"/>
          <w:color w:val="000000"/>
          <w:kern w:val="2"/>
          <w:sz w:val="22"/>
          <w:szCs w:val="2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-287020</wp:posOffset>
                </wp:positionH>
                <wp:positionV relativeFrom="paragraph">
                  <wp:posOffset>201295</wp:posOffset>
                </wp:positionV>
                <wp:extent cx="2865755" cy="2677795"/>
                <wp:effectExtent l="0" t="0" r="10795" b="8255"/>
                <wp:wrapNone/>
                <wp:docPr id="9" name="文本框 9"/>
                <wp:cNvGraphicFramePr/>
                <a:graphic xmlns:a="http://schemas.openxmlformats.org/drawingml/2006/main">
                  <a:graphicData uri="http://schemas.microsoft.com/office/word/2010/wordprocessingShape">
                    <wps:wsp>
                      <wps:cNvSpPr txBox="1"/>
                      <wps:spPr>
                        <a:xfrm>
                          <a:off x="0" y="0"/>
                          <a:ext cx="2865755" cy="2677795"/>
                        </a:xfrm>
                        <a:prstGeom prst="rect">
                          <a:avLst/>
                        </a:prstGeom>
                        <a:solidFill>
                          <a:srgbClr val="FFFFFF"/>
                        </a:solidFill>
                        <a:ln>
                          <a:noFill/>
                        </a:ln>
                        <a:effectLst/>
                      </wps:spPr>
                      <wps:txbx>
                        <w:txbxContent>
                          <w:p w14:paraId="2A7AE8BD">
                            <w:pPr>
                              <w:widowControl w:val="0"/>
                              <w:spacing w:line="600" w:lineRule="atLeast"/>
                              <w:ind w:left="1760" w:hanging="1760" w:hangingChars="800"/>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发包人：（公章）</w:t>
                            </w:r>
                            <w:r>
                              <w:rPr>
                                <w:rFonts w:hint="eastAsia" w:ascii="宋体" w:hAnsi="宋体" w:eastAsia="宋体" w:cs="宋体"/>
                                <w:kern w:val="2"/>
                                <w:sz w:val="22"/>
                                <w:szCs w:val="22"/>
                                <w:u w:val="single"/>
                                <w:lang w:val="en-US" w:eastAsia="zh-CN" w:bidi="ar-SA"/>
                              </w:rPr>
                              <w:t>南京建邺城市建设集团</w:t>
                            </w:r>
                          </w:p>
                          <w:p w14:paraId="2C76699E">
                            <w:pPr>
                              <w:widowControl w:val="0"/>
                              <w:spacing w:line="600" w:lineRule="atLeast"/>
                              <w:ind w:left="1747" w:leftChars="832"/>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u w:val="single"/>
                                <w:lang w:val="en-US" w:eastAsia="zh-CN" w:bidi="ar-SA"/>
                              </w:rPr>
                              <w:t xml:space="preserve">有限公司           </w:t>
                            </w:r>
                          </w:p>
                          <w:p w14:paraId="77E75E0B">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法定代表人或其委托代理人：（签字）</w:t>
                            </w:r>
                          </w:p>
                          <w:p w14:paraId="2860C195">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地  址：</w:t>
                            </w:r>
                            <w:r>
                              <w:rPr>
                                <w:rFonts w:hint="eastAsia" w:ascii="宋体" w:hAnsi="宋体" w:eastAsia="宋体" w:cs="宋体"/>
                                <w:kern w:val="2"/>
                                <w:sz w:val="22"/>
                                <w:szCs w:val="22"/>
                                <w:u w:val="single"/>
                                <w:lang w:val="en-US" w:eastAsia="zh-CN" w:bidi="ar-SA"/>
                              </w:rPr>
                              <w:t xml:space="preserve"> 南京市建邺区文体路56号11楼   </w:t>
                            </w:r>
                          </w:p>
                          <w:p w14:paraId="52FEB791">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电  话：</w:t>
                            </w:r>
                            <w:r>
                              <w:rPr>
                                <w:rFonts w:hint="eastAsia" w:ascii="宋体" w:hAnsi="宋体" w:eastAsia="宋体" w:cs="宋体"/>
                                <w:kern w:val="2"/>
                                <w:sz w:val="22"/>
                                <w:szCs w:val="22"/>
                                <w:u w:val="single"/>
                                <w:lang w:val="en-US" w:eastAsia="zh-CN" w:bidi="ar-SA"/>
                              </w:rPr>
                              <w:t xml:space="preserve">   025-84788730                          </w:t>
                            </w:r>
                          </w:p>
                          <w:p w14:paraId="15B72C8C">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日  期：</w:t>
                            </w:r>
                            <w:r>
                              <w:rPr>
                                <w:rFonts w:hint="eastAsia" w:ascii="宋体" w:hAnsi="宋体" w:eastAsia="宋体" w:cs="宋体"/>
                                <w:kern w:val="2"/>
                                <w:sz w:val="22"/>
                                <w:szCs w:val="22"/>
                                <w:u w:val="single"/>
                                <w:lang w:val="en-US" w:eastAsia="zh-CN" w:bidi="ar-SA"/>
                              </w:rPr>
                              <w:t>2024</w:t>
                            </w:r>
                            <w:r>
                              <w:rPr>
                                <w:rFonts w:hint="eastAsia" w:ascii="宋体" w:hAnsi="宋体" w:eastAsia="宋体" w:cs="宋体"/>
                                <w:kern w:val="2"/>
                                <w:sz w:val="22"/>
                                <w:szCs w:val="22"/>
                                <w:lang w:val="en-US" w:eastAsia="zh-CN" w:bidi="ar-SA"/>
                              </w:rPr>
                              <w:t>年月日</w:t>
                            </w:r>
                          </w:p>
                          <w:p w14:paraId="4C65ABA7">
                            <w:pPr>
                              <w:widowControl w:val="0"/>
                              <w:jc w:val="both"/>
                              <w:rPr>
                                <w:rFonts w:ascii="Times New Roman" w:hAnsi="Times New Roman" w:eastAsia="宋体" w:cs="Times New Roman"/>
                                <w:kern w:val="2"/>
                                <w:sz w:val="21"/>
                                <w:szCs w:val="22"/>
                                <w:lang w:val="en-US" w:eastAsia="zh-CN" w:bidi="ar-SA"/>
                              </w:rPr>
                            </w:pPr>
                          </w:p>
                        </w:txbxContent>
                      </wps:txbx>
                      <wps:bodyPr upright="1"/>
                    </wps:wsp>
                  </a:graphicData>
                </a:graphic>
              </wp:anchor>
            </w:drawing>
          </mc:Choice>
          <mc:Fallback>
            <w:pict>
              <v:shape id="_x0000_s1026" o:spid="_x0000_s1026" o:spt="202" type="#_x0000_t202" style="position:absolute;left:0pt;margin-left:-22.6pt;margin-top:15.85pt;height:210.85pt;width:225.65pt;z-index:251666432;mso-width-relative:page;mso-height-relative:page;" fillcolor="#FFFFFF" filled="t" stroked="f" coordsize="21600,21600" o:gfxdata="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U7prtkAAAAKAQAADwAAAAAAAAABACAAAAAiAAAAZHJzL2Rv&#10;d25yZXYueG1sUEsBAhQAFAAAAAgAh07iQK8GD/bHAQAAhgMAAA4AAAAAAAAAAQAgAAAAKAEAAGRy&#10;cy9lMm9Eb2MueG1sUEsFBgAAAAAGAAYAWQEAAGEFAAAAAA==&#10;">
                <v:fill on="t" focussize="0,0"/>
                <v:stroke on="f"/>
                <v:imagedata o:title=""/>
                <o:lock v:ext="edit" aspectratio="f"/>
                <v:textbox>
                  <w:txbxContent>
                    <w:p w14:paraId="2A7AE8BD">
                      <w:pPr>
                        <w:widowControl w:val="0"/>
                        <w:spacing w:line="600" w:lineRule="atLeast"/>
                        <w:ind w:left="1760" w:hanging="1760" w:hangingChars="800"/>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发包人：（公章）</w:t>
                      </w:r>
                      <w:r>
                        <w:rPr>
                          <w:rFonts w:hint="eastAsia" w:ascii="宋体" w:hAnsi="宋体" w:eastAsia="宋体" w:cs="宋体"/>
                          <w:kern w:val="2"/>
                          <w:sz w:val="22"/>
                          <w:szCs w:val="22"/>
                          <w:u w:val="single"/>
                          <w:lang w:val="en-US" w:eastAsia="zh-CN" w:bidi="ar-SA"/>
                        </w:rPr>
                        <w:t>南京建邺城市建设集团</w:t>
                      </w:r>
                    </w:p>
                    <w:p w14:paraId="2C76699E">
                      <w:pPr>
                        <w:widowControl w:val="0"/>
                        <w:spacing w:line="600" w:lineRule="atLeast"/>
                        <w:ind w:left="1747" w:leftChars="832"/>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u w:val="single"/>
                          <w:lang w:val="en-US" w:eastAsia="zh-CN" w:bidi="ar-SA"/>
                        </w:rPr>
                        <w:t xml:space="preserve">有限公司           </w:t>
                      </w:r>
                    </w:p>
                    <w:p w14:paraId="77E75E0B">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法定代表人或其委托代理人：（签字）</w:t>
                      </w:r>
                    </w:p>
                    <w:p w14:paraId="2860C195">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地  址：</w:t>
                      </w:r>
                      <w:r>
                        <w:rPr>
                          <w:rFonts w:hint="eastAsia" w:ascii="宋体" w:hAnsi="宋体" w:eastAsia="宋体" w:cs="宋体"/>
                          <w:kern w:val="2"/>
                          <w:sz w:val="22"/>
                          <w:szCs w:val="22"/>
                          <w:u w:val="single"/>
                          <w:lang w:val="en-US" w:eastAsia="zh-CN" w:bidi="ar-SA"/>
                        </w:rPr>
                        <w:t xml:space="preserve"> 南京市建邺区文体路56号11楼   </w:t>
                      </w:r>
                    </w:p>
                    <w:p w14:paraId="52FEB791">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电  话：</w:t>
                      </w:r>
                      <w:r>
                        <w:rPr>
                          <w:rFonts w:hint="eastAsia" w:ascii="宋体" w:hAnsi="宋体" w:eastAsia="宋体" w:cs="宋体"/>
                          <w:kern w:val="2"/>
                          <w:sz w:val="22"/>
                          <w:szCs w:val="22"/>
                          <w:u w:val="single"/>
                          <w:lang w:val="en-US" w:eastAsia="zh-CN" w:bidi="ar-SA"/>
                        </w:rPr>
                        <w:t xml:space="preserve">   025-84788730                          </w:t>
                      </w:r>
                    </w:p>
                    <w:p w14:paraId="15B72C8C">
                      <w:pPr>
                        <w:widowControl w:val="0"/>
                        <w:spacing w:line="600" w:lineRule="atLeast"/>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日  期：</w:t>
                      </w:r>
                      <w:r>
                        <w:rPr>
                          <w:rFonts w:hint="eastAsia" w:ascii="宋体" w:hAnsi="宋体" w:eastAsia="宋体" w:cs="宋体"/>
                          <w:kern w:val="2"/>
                          <w:sz w:val="22"/>
                          <w:szCs w:val="22"/>
                          <w:u w:val="single"/>
                          <w:lang w:val="en-US" w:eastAsia="zh-CN" w:bidi="ar-SA"/>
                        </w:rPr>
                        <w:t>2024</w:t>
                      </w:r>
                      <w:r>
                        <w:rPr>
                          <w:rFonts w:hint="eastAsia" w:ascii="宋体" w:hAnsi="宋体" w:eastAsia="宋体" w:cs="宋体"/>
                          <w:kern w:val="2"/>
                          <w:sz w:val="22"/>
                          <w:szCs w:val="22"/>
                          <w:lang w:val="en-US" w:eastAsia="zh-CN" w:bidi="ar-SA"/>
                        </w:rPr>
                        <w:t>年月日</w:t>
                      </w:r>
                    </w:p>
                    <w:p w14:paraId="4C65ABA7">
                      <w:pPr>
                        <w:widowControl w:val="0"/>
                        <w:jc w:val="both"/>
                        <w:rPr>
                          <w:rFonts w:ascii="Times New Roman" w:hAnsi="Times New Roman" w:eastAsia="宋体" w:cs="Times New Roman"/>
                          <w:kern w:val="2"/>
                          <w:sz w:val="21"/>
                          <w:szCs w:val="22"/>
                          <w:lang w:val="en-US" w:eastAsia="zh-CN" w:bidi="ar-SA"/>
                        </w:rPr>
                      </w:pPr>
                    </w:p>
                  </w:txbxContent>
                </v:textbox>
              </v:shape>
            </w:pict>
          </mc:Fallback>
        </mc:AlternateContent>
      </w:r>
    </w:p>
    <w:p w14:paraId="7F2B18C3">
      <w:pPr>
        <w:widowControl w:val="0"/>
        <w:jc w:val="both"/>
        <w:rPr>
          <w:rFonts w:ascii="宋体" w:hAnsi="宋体" w:eastAsia="宋体" w:cs="宋体"/>
          <w:color w:val="000000"/>
          <w:kern w:val="2"/>
          <w:sz w:val="22"/>
          <w:szCs w:val="22"/>
          <w:lang w:val="en-US" w:eastAsia="zh-CN" w:bidi="ar-SA"/>
        </w:rPr>
      </w:pPr>
    </w:p>
    <w:p w14:paraId="042F05A8">
      <w:pPr>
        <w:widowControl w:val="0"/>
        <w:jc w:val="both"/>
        <w:rPr>
          <w:rFonts w:ascii="宋体" w:hAnsi="宋体" w:eastAsia="宋体" w:cs="宋体"/>
          <w:color w:val="000000"/>
          <w:kern w:val="2"/>
          <w:sz w:val="22"/>
          <w:szCs w:val="22"/>
          <w:lang w:val="en-US" w:eastAsia="zh-CN" w:bidi="ar-SA"/>
        </w:rPr>
      </w:pPr>
    </w:p>
    <w:p w14:paraId="10C9ACC3">
      <w:pPr>
        <w:widowControl w:val="0"/>
        <w:jc w:val="both"/>
        <w:rPr>
          <w:rFonts w:ascii="宋体" w:hAnsi="宋体" w:eastAsia="宋体" w:cs="宋体"/>
          <w:color w:val="000000"/>
          <w:kern w:val="2"/>
          <w:sz w:val="22"/>
          <w:szCs w:val="22"/>
          <w:lang w:val="en-US" w:eastAsia="zh-CN" w:bidi="ar-SA"/>
        </w:rPr>
      </w:pPr>
    </w:p>
    <w:p w14:paraId="5D349ABD">
      <w:pPr>
        <w:widowControl w:val="0"/>
        <w:jc w:val="both"/>
        <w:rPr>
          <w:rFonts w:ascii="宋体" w:hAnsi="宋体" w:eastAsia="宋体" w:cs="宋体"/>
          <w:color w:val="000000"/>
          <w:kern w:val="2"/>
          <w:sz w:val="22"/>
          <w:szCs w:val="22"/>
          <w:lang w:val="en-US" w:eastAsia="zh-CN" w:bidi="ar-SA"/>
        </w:rPr>
      </w:pPr>
    </w:p>
    <w:p w14:paraId="59E7BC0A">
      <w:pPr>
        <w:widowControl w:val="0"/>
        <w:jc w:val="both"/>
        <w:rPr>
          <w:rFonts w:ascii="宋体" w:hAnsi="宋体" w:eastAsia="宋体" w:cs="宋体"/>
          <w:color w:val="000000"/>
          <w:kern w:val="2"/>
          <w:sz w:val="22"/>
          <w:szCs w:val="22"/>
          <w:lang w:val="en-US" w:eastAsia="zh-CN" w:bidi="ar-SA"/>
        </w:rPr>
      </w:pPr>
    </w:p>
    <w:p w14:paraId="52A14B89">
      <w:pPr>
        <w:widowControl w:val="0"/>
        <w:jc w:val="both"/>
        <w:rPr>
          <w:rFonts w:ascii="宋体" w:hAnsi="宋体" w:eastAsia="宋体" w:cs="宋体"/>
          <w:color w:val="000000"/>
          <w:kern w:val="2"/>
          <w:sz w:val="22"/>
          <w:szCs w:val="22"/>
          <w:lang w:val="en-US" w:eastAsia="zh-CN" w:bidi="ar-SA"/>
        </w:rPr>
      </w:pPr>
    </w:p>
    <w:p w14:paraId="1C283AB7">
      <w:pPr>
        <w:widowControl w:val="0"/>
        <w:jc w:val="both"/>
        <w:rPr>
          <w:rFonts w:ascii="宋体" w:hAnsi="宋体" w:eastAsia="宋体" w:cs="宋体"/>
          <w:color w:val="000000"/>
          <w:kern w:val="2"/>
          <w:sz w:val="22"/>
          <w:szCs w:val="22"/>
          <w:lang w:val="en-US" w:eastAsia="zh-CN" w:bidi="ar-SA"/>
        </w:rPr>
      </w:pPr>
    </w:p>
    <w:p w14:paraId="5BC5E4CE">
      <w:pPr>
        <w:widowControl w:val="0"/>
        <w:jc w:val="both"/>
        <w:rPr>
          <w:rFonts w:ascii="宋体" w:hAnsi="宋体" w:eastAsia="宋体" w:cs="宋体"/>
          <w:color w:val="000000"/>
          <w:kern w:val="2"/>
          <w:sz w:val="22"/>
          <w:szCs w:val="22"/>
          <w:lang w:val="en-US" w:eastAsia="zh-CN" w:bidi="ar-SA"/>
        </w:rPr>
      </w:pPr>
    </w:p>
    <w:p w14:paraId="6D2A1999">
      <w:pPr>
        <w:widowControl w:val="0"/>
        <w:jc w:val="both"/>
        <w:rPr>
          <w:rFonts w:ascii="宋体" w:hAnsi="宋体" w:eastAsia="宋体" w:cs="宋体"/>
          <w:color w:val="000000"/>
          <w:kern w:val="2"/>
          <w:sz w:val="22"/>
          <w:szCs w:val="22"/>
          <w:lang w:val="en-US" w:eastAsia="zh-CN" w:bidi="ar-SA"/>
        </w:rPr>
      </w:pPr>
    </w:p>
    <w:p w14:paraId="0BC39DA0">
      <w:pPr>
        <w:widowControl w:val="0"/>
        <w:jc w:val="both"/>
        <w:rPr>
          <w:rFonts w:ascii="宋体" w:hAnsi="宋体" w:eastAsia="宋体" w:cs="宋体"/>
          <w:color w:val="000000"/>
          <w:kern w:val="2"/>
          <w:sz w:val="22"/>
          <w:szCs w:val="22"/>
          <w:lang w:val="en-US" w:eastAsia="zh-CN" w:bidi="ar-SA"/>
        </w:rPr>
      </w:pPr>
    </w:p>
    <w:p w14:paraId="037786FF">
      <w:pPr>
        <w:widowControl w:val="0"/>
        <w:jc w:val="both"/>
        <w:rPr>
          <w:rFonts w:ascii="宋体" w:hAnsi="宋体" w:eastAsia="宋体" w:cs="宋体"/>
          <w:color w:val="000000"/>
          <w:kern w:val="2"/>
          <w:sz w:val="22"/>
          <w:szCs w:val="22"/>
          <w:lang w:val="en-US" w:eastAsia="zh-CN" w:bidi="ar-SA"/>
        </w:rPr>
      </w:pPr>
    </w:p>
    <w:p w14:paraId="069A71BC">
      <w:pPr>
        <w:widowControl w:val="0"/>
        <w:jc w:val="both"/>
        <w:rPr>
          <w:rFonts w:ascii="宋体" w:hAnsi="宋体" w:eastAsia="宋体" w:cs="宋体"/>
          <w:color w:val="000000"/>
          <w:kern w:val="2"/>
          <w:sz w:val="22"/>
          <w:szCs w:val="22"/>
          <w:lang w:val="en-US" w:eastAsia="zh-CN" w:bidi="ar-SA"/>
        </w:rPr>
      </w:pPr>
    </w:p>
    <w:p w14:paraId="4340F1AA">
      <w:pPr>
        <w:widowControl w:val="0"/>
        <w:jc w:val="both"/>
        <w:rPr>
          <w:rFonts w:ascii="宋体" w:hAnsi="宋体" w:eastAsia="宋体" w:cs="宋体"/>
          <w:color w:val="000000"/>
          <w:kern w:val="2"/>
          <w:sz w:val="22"/>
          <w:szCs w:val="22"/>
          <w:lang w:val="en-US" w:eastAsia="zh-CN" w:bidi="ar-SA"/>
        </w:rPr>
      </w:pPr>
    </w:p>
    <w:p w14:paraId="0786F88B">
      <w:pPr>
        <w:widowControl w:val="0"/>
        <w:jc w:val="both"/>
        <w:rPr>
          <w:rFonts w:ascii="宋体" w:hAnsi="宋体" w:eastAsia="宋体" w:cs="宋体"/>
          <w:color w:val="000000"/>
          <w:kern w:val="2"/>
          <w:sz w:val="22"/>
          <w:szCs w:val="22"/>
          <w:lang w:val="en-US" w:eastAsia="zh-CN" w:bidi="ar-SA"/>
        </w:rPr>
      </w:pPr>
    </w:p>
    <w:p w14:paraId="17D6BB53">
      <w:pPr>
        <w:widowControl w:val="0"/>
        <w:jc w:val="both"/>
        <w:rPr>
          <w:rFonts w:ascii="宋体" w:hAnsi="宋体" w:eastAsia="宋体" w:cs="宋体"/>
          <w:color w:val="000000"/>
          <w:kern w:val="2"/>
          <w:sz w:val="22"/>
          <w:szCs w:val="22"/>
          <w:lang w:val="en-US" w:eastAsia="zh-CN" w:bidi="ar-SA"/>
        </w:rPr>
      </w:pPr>
    </w:p>
    <w:p w14:paraId="589FACBC">
      <w:pPr>
        <w:widowControl w:val="0"/>
        <w:jc w:val="both"/>
        <w:rPr>
          <w:rFonts w:ascii="宋体" w:hAnsi="宋体" w:eastAsia="宋体" w:cs="宋体"/>
          <w:color w:val="000000"/>
          <w:kern w:val="2"/>
          <w:sz w:val="22"/>
          <w:szCs w:val="22"/>
          <w:lang w:val="en-US" w:eastAsia="zh-CN" w:bidi="ar-SA"/>
        </w:rPr>
      </w:pPr>
    </w:p>
    <w:p w14:paraId="38A1C2A1">
      <w:pPr>
        <w:widowControl w:val="0"/>
        <w:jc w:val="both"/>
        <w:rPr>
          <w:rFonts w:ascii="宋体" w:hAnsi="宋体" w:eastAsia="宋体" w:cs="宋体"/>
          <w:color w:val="000000"/>
          <w:kern w:val="2"/>
          <w:sz w:val="22"/>
          <w:szCs w:val="22"/>
          <w:lang w:val="en-US" w:eastAsia="zh-CN" w:bidi="ar-SA"/>
        </w:rPr>
      </w:pPr>
    </w:p>
    <w:p w14:paraId="58CED4E7">
      <w:pPr>
        <w:widowControl w:val="0"/>
        <w:spacing w:line="360" w:lineRule="auto"/>
        <w:jc w:val="both"/>
        <w:outlineLvl w:val="1"/>
        <w:rPr>
          <w:rFonts w:ascii="宋体" w:hAnsi="宋体" w:eastAsia="宋体" w:cs="宋体"/>
          <w:color w:val="000000"/>
          <w:kern w:val="2"/>
          <w:sz w:val="22"/>
          <w:szCs w:val="22"/>
          <w:lang w:val="en-US" w:eastAsia="zh-CN" w:bidi="ar-SA"/>
        </w:rPr>
      </w:pPr>
    </w:p>
    <w:p w14:paraId="1F5984E9">
      <w:pPr>
        <w:widowControl w:val="0"/>
        <w:jc w:val="both"/>
        <w:rPr>
          <w:rFonts w:ascii="宋体" w:hAnsi="宋体" w:eastAsia="宋体" w:cs="宋体"/>
          <w:color w:val="000000"/>
          <w:kern w:val="2"/>
          <w:sz w:val="22"/>
          <w:szCs w:val="22"/>
          <w:lang w:val="en-US" w:eastAsia="zh-CN" w:bidi="ar-SA"/>
        </w:rPr>
      </w:pPr>
    </w:p>
    <w:p w14:paraId="010230BC">
      <w:pPr>
        <w:widowControl w:val="0"/>
        <w:jc w:val="both"/>
        <w:rPr>
          <w:rFonts w:ascii="宋体" w:hAnsi="宋体" w:eastAsia="宋体" w:cs="宋体"/>
          <w:color w:val="000000"/>
          <w:kern w:val="2"/>
          <w:sz w:val="22"/>
          <w:szCs w:val="22"/>
          <w:lang w:val="en-US" w:eastAsia="zh-CN" w:bidi="ar-SA"/>
        </w:rPr>
      </w:pPr>
    </w:p>
    <w:p w14:paraId="40D5F46B">
      <w:pPr>
        <w:widowControl w:val="0"/>
        <w:jc w:val="both"/>
        <w:rPr>
          <w:rFonts w:ascii="宋体" w:hAnsi="宋体" w:eastAsia="宋体" w:cs="宋体"/>
          <w:color w:val="000000"/>
          <w:kern w:val="2"/>
          <w:sz w:val="22"/>
          <w:szCs w:val="22"/>
          <w:lang w:val="en-US" w:eastAsia="zh-CN" w:bidi="ar-SA"/>
        </w:rPr>
      </w:pPr>
    </w:p>
    <w:p w14:paraId="4A998802">
      <w:pPr>
        <w:widowControl w:val="0"/>
        <w:jc w:val="both"/>
        <w:rPr>
          <w:rFonts w:ascii="宋体" w:hAnsi="宋体" w:eastAsia="宋体" w:cs="宋体"/>
          <w:color w:val="000000"/>
          <w:kern w:val="2"/>
          <w:sz w:val="22"/>
          <w:szCs w:val="22"/>
          <w:lang w:val="en-US" w:eastAsia="zh-CN" w:bidi="ar-SA"/>
        </w:rPr>
      </w:pPr>
    </w:p>
    <w:p w14:paraId="1D17D4EE">
      <w:pPr>
        <w:widowControl w:val="0"/>
        <w:jc w:val="both"/>
        <w:rPr>
          <w:rFonts w:ascii="宋体" w:hAnsi="宋体" w:eastAsia="宋体" w:cs="宋体"/>
          <w:color w:val="000000"/>
          <w:kern w:val="2"/>
          <w:sz w:val="22"/>
          <w:szCs w:val="22"/>
          <w:lang w:val="en-US" w:eastAsia="zh-CN" w:bidi="ar-SA"/>
        </w:rPr>
      </w:pPr>
    </w:p>
    <w:p w14:paraId="0A18F5FF">
      <w:pPr>
        <w:widowControl w:val="0"/>
        <w:jc w:val="both"/>
        <w:rPr>
          <w:rFonts w:ascii="宋体" w:hAnsi="宋体" w:eastAsia="宋体" w:cs="宋体"/>
          <w:color w:val="000000"/>
          <w:kern w:val="2"/>
          <w:sz w:val="22"/>
          <w:szCs w:val="22"/>
          <w:lang w:val="en-US" w:eastAsia="zh-CN" w:bidi="ar-SA"/>
        </w:rPr>
      </w:pPr>
    </w:p>
    <w:p w14:paraId="7CD8CF1A">
      <w:pPr>
        <w:widowControl w:val="0"/>
        <w:jc w:val="both"/>
        <w:rPr>
          <w:rFonts w:ascii="宋体" w:hAnsi="宋体" w:eastAsia="宋体" w:cs="宋体"/>
          <w:color w:val="000000"/>
          <w:kern w:val="2"/>
          <w:sz w:val="22"/>
          <w:szCs w:val="22"/>
          <w:lang w:val="en-US" w:eastAsia="zh-CN" w:bidi="ar-SA"/>
        </w:rPr>
      </w:pPr>
    </w:p>
    <w:p w14:paraId="593FEC53">
      <w:pPr>
        <w:widowControl w:val="0"/>
        <w:jc w:val="both"/>
        <w:rPr>
          <w:rFonts w:ascii="宋体" w:hAnsi="宋体" w:eastAsia="宋体" w:cs="宋体"/>
          <w:color w:val="000000"/>
          <w:kern w:val="2"/>
          <w:sz w:val="22"/>
          <w:szCs w:val="22"/>
          <w:lang w:val="en-US" w:eastAsia="zh-CN" w:bidi="ar-SA"/>
        </w:rPr>
      </w:pPr>
    </w:p>
    <w:p w14:paraId="3C04BA96">
      <w:pPr>
        <w:widowControl w:val="0"/>
        <w:jc w:val="both"/>
        <w:rPr>
          <w:rFonts w:ascii="宋体" w:hAnsi="宋体" w:eastAsia="宋体" w:cs="宋体"/>
          <w:color w:val="000000"/>
          <w:kern w:val="2"/>
          <w:sz w:val="22"/>
          <w:szCs w:val="22"/>
          <w:lang w:val="en-US" w:eastAsia="zh-CN" w:bidi="ar-SA"/>
        </w:rPr>
      </w:pPr>
    </w:p>
    <w:p w14:paraId="604D20AE">
      <w:pPr>
        <w:widowControl w:val="0"/>
        <w:jc w:val="both"/>
        <w:rPr>
          <w:rFonts w:ascii="宋体" w:hAnsi="宋体" w:eastAsia="宋体" w:cs="宋体"/>
          <w:color w:val="000000"/>
          <w:kern w:val="2"/>
          <w:sz w:val="22"/>
          <w:szCs w:val="22"/>
          <w:lang w:val="en-US" w:eastAsia="zh-CN" w:bidi="ar-SA"/>
        </w:rPr>
      </w:pPr>
    </w:p>
    <w:p w14:paraId="232ABAC7">
      <w:pPr>
        <w:widowControl w:val="0"/>
        <w:jc w:val="both"/>
        <w:rPr>
          <w:rFonts w:ascii="宋体" w:hAnsi="宋体" w:eastAsia="宋体" w:cs="宋体"/>
          <w:color w:val="000000"/>
          <w:kern w:val="2"/>
          <w:sz w:val="22"/>
          <w:szCs w:val="22"/>
          <w:lang w:val="en-US" w:eastAsia="zh-CN" w:bidi="ar-SA"/>
        </w:rPr>
      </w:pPr>
    </w:p>
    <w:p w14:paraId="018449FF">
      <w:pPr>
        <w:widowControl w:val="0"/>
        <w:jc w:val="both"/>
        <w:rPr>
          <w:rFonts w:ascii="宋体" w:hAnsi="宋体" w:eastAsia="宋体" w:cs="宋体"/>
          <w:color w:val="000000"/>
          <w:kern w:val="2"/>
          <w:sz w:val="22"/>
          <w:szCs w:val="22"/>
          <w:lang w:val="en-US" w:eastAsia="zh-CN" w:bidi="ar-SA"/>
        </w:rPr>
      </w:pPr>
    </w:p>
    <w:p w14:paraId="448E48F5">
      <w:pPr>
        <w:widowControl w:val="0"/>
        <w:jc w:val="both"/>
        <w:rPr>
          <w:rFonts w:ascii="宋体" w:hAnsi="宋体" w:eastAsia="宋体" w:cs="宋体"/>
          <w:color w:val="000000"/>
          <w:kern w:val="2"/>
          <w:sz w:val="22"/>
          <w:szCs w:val="22"/>
          <w:lang w:val="en-US" w:eastAsia="zh-CN" w:bidi="ar-SA"/>
        </w:rPr>
      </w:pPr>
    </w:p>
    <w:p w14:paraId="00FD28D6">
      <w:pPr>
        <w:widowControl w:val="0"/>
        <w:jc w:val="both"/>
        <w:rPr>
          <w:rFonts w:ascii="宋体" w:hAnsi="宋体" w:eastAsia="宋体" w:cs="宋体"/>
          <w:color w:val="000000"/>
          <w:kern w:val="2"/>
          <w:sz w:val="22"/>
          <w:szCs w:val="22"/>
          <w:lang w:val="en-US" w:eastAsia="zh-CN" w:bidi="ar-SA"/>
        </w:rPr>
      </w:pPr>
    </w:p>
    <w:p w14:paraId="572E1857">
      <w:pPr>
        <w:widowControl w:val="0"/>
        <w:jc w:val="both"/>
        <w:rPr>
          <w:rFonts w:ascii="宋体" w:hAnsi="宋体" w:eastAsia="宋体" w:cs="宋体"/>
          <w:color w:val="000000"/>
          <w:kern w:val="2"/>
          <w:sz w:val="22"/>
          <w:szCs w:val="22"/>
          <w:lang w:val="en-US" w:eastAsia="zh-CN" w:bidi="ar-SA"/>
        </w:rPr>
      </w:pPr>
    </w:p>
    <w:p w14:paraId="36F8D811">
      <w:pPr>
        <w:widowControl w:val="0"/>
        <w:jc w:val="both"/>
        <w:rPr>
          <w:rFonts w:ascii="宋体" w:hAnsi="宋体" w:eastAsia="宋体" w:cs="宋体"/>
          <w:color w:val="000000"/>
          <w:kern w:val="2"/>
          <w:sz w:val="22"/>
          <w:szCs w:val="22"/>
          <w:lang w:val="en-US" w:eastAsia="zh-CN" w:bidi="ar-SA"/>
        </w:rPr>
      </w:pPr>
    </w:p>
    <w:p w14:paraId="01216E41">
      <w:pPr>
        <w:widowControl w:val="0"/>
        <w:spacing w:line="360" w:lineRule="auto"/>
        <w:jc w:val="both"/>
        <w:outlineLvl w:val="1"/>
        <w:rPr>
          <w:rFonts w:ascii="宋体" w:hAnsi="宋体" w:eastAsia="宋体" w:cs="宋体"/>
          <w:b/>
          <w:bCs/>
          <w:color w:val="000000"/>
          <w:kern w:val="2"/>
          <w:sz w:val="22"/>
          <w:szCs w:val="22"/>
          <w:lang w:val="en-US" w:eastAsia="zh-CN" w:bidi="ar-SA"/>
        </w:rPr>
      </w:pPr>
      <w:bookmarkStart w:id="4173" w:name="_Toc256000897"/>
      <w:bookmarkStart w:id="4174" w:name="_Toc256000216"/>
      <w:bookmarkStart w:id="4175" w:name="_Toc256000670"/>
      <w:bookmarkStart w:id="4176" w:name="_Toc256002259"/>
      <w:bookmarkStart w:id="4177" w:name="_Toc256002713"/>
      <w:bookmarkStart w:id="4178" w:name="_Toc256004075"/>
      <w:bookmarkStart w:id="4179" w:name="_Toc256002940"/>
      <w:bookmarkStart w:id="4180" w:name="_Toc256001124"/>
      <w:bookmarkStart w:id="4181" w:name="_Toc256003167"/>
      <w:bookmarkStart w:id="4182" w:name="_Toc256003394"/>
      <w:bookmarkStart w:id="4183" w:name="_Toc256002486"/>
      <w:bookmarkStart w:id="4184" w:name="_Toc732104650"/>
      <w:bookmarkStart w:id="4185" w:name="_Toc298211660"/>
      <w:bookmarkStart w:id="4186" w:name="_Toc256003621"/>
      <w:bookmarkStart w:id="4187" w:name="_Toc256000443"/>
      <w:bookmarkStart w:id="4188" w:name="_Toc256001805"/>
      <w:bookmarkStart w:id="4189" w:name="_Toc256002032"/>
      <w:bookmarkStart w:id="4190" w:name="_Toc1831685531"/>
      <w:bookmarkStart w:id="4191" w:name="_Toc256003848"/>
      <w:bookmarkStart w:id="4192" w:name="_Toc256001578"/>
      <w:bookmarkStart w:id="4193" w:name="_Toc256001351"/>
      <w:r>
        <w:rPr>
          <w:rFonts w:hint="eastAsia" w:ascii="宋体" w:hAnsi="宋体" w:eastAsia="宋体" w:cs="宋体"/>
          <w:b/>
          <w:bCs/>
          <w:color w:val="000000"/>
          <w:kern w:val="2"/>
          <w:sz w:val="22"/>
          <w:szCs w:val="22"/>
          <w:lang w:val="en-US" w:eastAsia="zh-CN" w:bidi="ar-SA"/>
        </w:rPr>
        <w:t>附件7：</w:t>
      </w:r>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p>
    <w:p w14:paraId="2CC36EFF">
      <w:pPr>
        <w:widowControl w:val="0"/>
        <w:spacing w:line="440" w:lineRule="exact"/>
        <w:jc w:val="center"/>
        <w:outlineLvl w:val="1"/>
        <w:rPr>
          <w:rFonts w:ascii="宋体" w:hAnsi="宋体" w:eastAsia="宋体" w:cs="宋体"/>
          <w:b/>
          <w:bCs/>
          <w:color w:val="000000"/>
          <w:kern w:val="2"/>
          <w:sz w:val="24"/>
          <w:szCs w:val="24"/>
          <w:lang w:val="en-US" w:eastAsia="zh-CN" w:bidi="ar-SA"/>
        </w:rPr>
      </w:pPr>
      <w:bookmarkStart w:id="4194" w:name="_Toc256002033"/>
      <w:bookmarkStart w:id="4195" w:name="_Toc2084188277"/>
      <w:bookmarkStart w:id="4196" w:name="_Toc256002260"/>
      <w:bookmarkStart w:id="4197" w:name="_Toc256000444"/>
      <w:bookmarkStart w:id="4198" w:name="_Toc256000671"/>
      <w:bookmarkStart w:id="4199" w:name="_Toc256003849"/>
      <w:bookmarkStart w:id="4200" w:name="_Toc256004076"/>
      <w:bookmarkStart w:id="4201" w:name="_Toc256002714"/>
      <w:bookmarkStart w:id="4202" w:name="_Toc256000898"/>
      <w:bookmarkStart w:id="4203" w:name="_Toc256001579"/>
      <w:bookmarkStart w:id="4204" w:name="_Toc256002941"/>
      <w:bookmarkStart w:id="4205" w:name="_Toc256001352"/>
      <w:bookmarkStart w:id="4206" w:name="_Toc256003622"/>
      <w:bookmarkStart w:id="4207" w:name="_Toc256003395"/>
      <w:bookmarkStart w:id="4208" w:name="_Toc256001125"/>
      <w:bookmarkStart w:id="4209" w:name="_Toc256001806"/>
      <w:bookmarkStart w:id="4210" w:name="_Toc358881767"/>
      <w:bookmarkStart w:id="4211" w:name="_Toc256002487"/>
      <w:bookmarkStart w:id="4212" w:name="_Toc256003168"/>
      <w:bookmarkStart w:id="4213" w:name="_Toc256000217"/>
      <w:r>
        <w:rPr>
          <w:rFonts w:hint="eastAsia" w:ascii="宋体" w:hAnsi="宋体" w:eastAsia="宋体" w:cs="宋体"/>
          <w:b/>
          <w:bCs/>
          <w:color w:val="000000"/>
          <w:kern w:val="2"/>
          <w:sz w:val="24"/>
          <w:szCs w:val="24"/>
          <w:lang w:val="en-US" w:eastAsia="zh-CN" w:bidi="ar-SA"/>
        </w:rPr>
        <w:t>工程质量保修书</w:t>
      </w:r>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p>
    <w:p w14:paraId="25E09A08">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发包人和承包人根据《中华人民共和国建筑法》《建设工程质量管理条例》和《园林绿化工程施工及验收规范》</w:t>
      </w:r>
      <w:r>
        <w:rPr>
          <w:rFonts w:hint="eastAsia" w:ascii="宋体" w:hAnsi="宋体" w:eastAsia="宋体" w:cs="宋体"/>
          <w:bCs/>
          <w:color w:val="000000"/>
          <w:kern w:val="2"/>
          <w:sz w:val="24"/>
          <w:szCs w:val="24"/>
          <w:lang w:val="en-US" w:eastAsia="zh-CN" w:bidi="ar-SA"/>
        </w:rPr>
        <w:t>（CJJ82）以及（地方标准），</w:t>
      </w:r>
      <w:r>
        <w:rPr>
          <w:rFonts w:hint="eastAsia" w:ascii="宋体" w:hAnsi="宋体" w:eastAsia="宋体" w:cs="宋体"/>
          <w:color w:val="000000"/>
          <w:kern w:val="2"/>
          <w:sz w:val="24"/>
          <w:szCs w:val="24"/>
          <w:lang w:val="en-US" w:eastAsia="zh-CN" w:bidi="ar-SA"/>
        </w:rPr>
        <w:t>经协商一致就</w:t>
      </w:r>
      <w:r>
        <w:rPr>
          <w:rFonts w:hint="eastAsia" w:ascii="宋体" w:hAnsi="宋体" w:cs="宋体"/>
          <w:color w:val="000000"/>
          <w:kern w:val="2"/>
          <w:sz w:val="24"/>
          <w:szCs w:val="24"/>
          <w:u w:val="single"/>
          <w:lang w:val="en-US" w:eastAsia="zh-CN" w:bidi="ar-SA"/>
        </w:rPr>
        <w:t>建邺北部老城区街旁绿地改造（3处口袋公园）项目</w:t>
      </w:r>
      <w:r>
        <w:rPr>
          <w:rFonts w:hint="eastAsia" w:ascii="宋体" w:hAnsi="宋体" w:eastAsia="宋体" w:cs="宋体"/>
          <w:color w:val="000000"/>
          <w:kern w:val="2"/>
          <w:sz w:val="24"/>
          <w:szCs w:val="24"/>
          <w:u w:val="single"/>
          <w:lang w:val="en-US" w:eastAsia="zh-CN" w:bidi="ar-SA"/>
        </w:rPr>
        <w:t>工程</w:t>
      </w:r>
      <w:r>
        <w:rPr>
          <w:rFonts w:hint="eastAsia" w:ascii="宋体" w:hAnsi="宋体" w:eastAsia="宋体" w:cs="宋体"/>
          <w:color w:val="000000"/>
          <w:kern w:val="2"/>
          <w:sz w:val="24"/>
          <w:szCs w:val="24"/>
          <w:lang w:val="en-US" w:eastAsia="zh-CN" w:bidi="ar-SA"/>
        </w:rPr>
        <w:t>（工程名称）签订工程质量保修书。</w:t>
      </w:r>
    </w:p>
    <w:p w14:paraId="100D05DE">
      <w:pPr>
        <w:widowControl w:val="0"/>
        <w:snapToGrid w:val="0"/>
        <w:spacing w:line="440" w:lineRule="exact"/>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一、工程质量保修范围和内容</w:t>
      </w:r>
    </w:p>
    <w:p w14:paraId="0BA77914">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承包人在质量保修期内，按照有关法律规定和合同约定，承担工程质量保修责任。</w:t>
      </w:r>
    </w:p>
    <w:p w14:paraId="4C122E3E">
      <w:pPr>
        <w:widowControl w:val="0"/>
        <w:snapToGrid w:val="0"/>
        <w:spacing w:line="440" w:lineRule="exact"/>
        <w:ind w:firstLine="6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宋体" w:hAnsi="宋体" w:eastAsia="宋体" w:cs="宋体"/>
          <w:color w:val="000000"/>
          <w:kern w:val="2"/>
          <w:sz w:val="24"/>
          <w:szCs w:val="24"/>
          <w:u w:val="single"/>
          <w:lang w:val="en-US" w:eastAsia="zh-CN" w:bidi="ar-SA"/>
        </w:rPr>
        <w:t xml:space="preserve">保修范围为承包方承包施工的全部内容。                                 </w:t>
      </w:r>
    </w:p>
    <w:p w14:paraId="6D0EC0CF">
      <w:pPr>
        <w:widowControl w:val="0"/>
        <w:snapToGrid w:val="0"/>
        <w:spacing w:line="440" w:lineRule="exact"/>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二、质量保修期</w:t>
      </w:r>
    </w:p>
    <w:p w14:paraId="1A0DB07C">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工程的质量保修期如下：</w:t>
      </w:r>
    </w:p>
    <w:p w14:paraId="2E9B3A37">
      <w:pPr>
        <w:widowControl w:val="0"/>
        <w:snapToGrid w:val="0"/>
        <w:spacing w:line="440" w:lineRule="exact"/>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1. 地基基础工程和主体结构工程为设计文件规定的工程合理使用年限；</w:t>
      </w:r>
    </w:p>
    <w:p w14:paraId="4FE9FAF8">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 屋面防水工程、有防水要求的卫生间、房间和外墙面的防渗为</w:t>
      </w:r>
      <w:r>
        <w:rPr>
          <w:rFonts w:hint="eastAsia" w:ascii="宋体" w:hAnsi="宋体" w:eastAsia="宋体" w:cs="宋体"/>
          <w:color w:val="000000"/>
          <w:kern w:val="2"/>
          <w:sz w:val="24"/>
          <w:szCs w:val="24"/>
          <w:u w:val="single"/>
          <w:lang w:val="en-US" w:eastAsia="zh-CN" w:bidi="ar-SA"/>
        </w:rPr>
        <w:t xml:space="preserve">   5  </w:t>
      </w:r>
      <w:r>
        <w:rPr>
          <w:rFonts w:hint="eastAsia" w:ascii="宋体" w:hAnsi="宋体" w:eastAsia="宋体" w:cs="宋体"/>
          <w:color w:val="000000"/>
          <w:kern w:val="2"/>
          <w:sz w:val="24"/>
          <w:szCs w:val="24"/>
          <w:lang w:val="en-US" w:eastAsia="zh-CN" w:bidi="ar-SA"/>
        </w:rPr>
        <w:t>年；其他防水工程年。</w:t>
      </w:r>
    </w:p>
    <w:p w14:paraId="2E57DE82">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 装修工程为年；</w:t>
      </w:r>
    </w:p>
    <w:p w14:paraId="29775399">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 电气管线、给排水管道、设备安装工程为</w:t>
      </w:r>
      <w:r>
        <w:rPr>
          <w:rFonts w:hint="eastAsia" w:ascii="宋体" w:hAnsi="宋体" w:eastAsia="宋体" w:cs="宋体"/>
          <w:color w:val="000000"/>
          <w:kern w:val="2"/>
          <w:sz w:val="24"/>
          <w:szCs w:val="24"/>
          <w:u w:val="single"/>
          <w:lang w:val="en-US" w:eastAsia="zh-CN" w:bidi="ar-SA"/>
        </w:rPr>
        <w:t xml:space="preserve">  2  </w:t>
      </w:r>
      <w:r>
        <w:rPr>
          <w:rFonts w:hint="eastAsia" w:ascii="宋体" w:hAnsi="宋体" w:eastAsia="宋体" w:cs="宋体"/>
          <w:color w:val="000000"/>
          <w:kern w:val="2"/>
          <w:sz w:val="24"/>
          <w:szCs w:val="24"/>
          <w:lang w:val="en-US" w:eastAsia="zh-CN" w:bidi="ar-SA"/>
        </w:rPr>
        <w:t>年；</w:t>
      </w:r>
    </w:p>
    <w:p w14:paraId="30A3655A">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5．供热与供冷系统为</w:t>
      </w:r>
      <w:r>
        <w:rPr>
          <w:rFonts w:hint="eastAsia" w:ascii="宋体" w:hAnsi="宋体" w:eastAsia="宋体" w:cs="宋体"/>
          <w:color w:val="000000"/>
          <w:kern w:val="2"/>
          <w:sz w:val="24"/>
          <w:szCs w:val="24"/>
          <w:u w:val="single"/>
          <w:lang w:val="en-US" w:eastAsia="zh-CN" w:bidi="ar-SA"/>
        </w:rPr>
        <w:t xml:space="preserve">  2  </w:t>
      </w:r>
      <w:r>
        <w:rPr>
          <w:rFonts w:hint="eastAsia" w:ascii="宋体" w:hAnsi="宋体" w:eastAsia="宋体" w:cs="宋体"/>
          <w:color w:val="000000"/>
          <w:kern w:val="2"/>
          <w:sz w:val="24"/>
          <w:szCs w:val="24"/>
          <w:lang w:val="en-US" w:eastAsia="zh-CN" w:bidi="ar-SA"/>
        </w:rPr>
        <w:t>个采暖期、供冷期；</w:t>
      </w:r>
    </w:p>
    <w:p w14:paraId="52B8C4FE">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 绿化工程为</w:t>
      </w:r>
      <w:r>
        <w:rPr>
          <w:rFonts w:hint="eastAsia" w:ascii="宋体" w:hAnsi="宋体" w:eastAsia="宋体" w:cs="宋体"/>
          <w:color w:val="000000"/>
          <w:kern w:val="2"/>
          <w:sz w:val="24"/>
          <w:szCs w:val="24"/>
          <w:u w:val="single"/>
          <w:lang w:val="en-US" w:eastAsia="zh-CN" w:bidi="ar-SA"/>
        </w:rPr>
        <w:t xml:space="preserve">      12    </w:t>
      </w:r>
      <w:r>
        <w:rPr>
          <w:rFonts w:hint="eastAsia" w:ascii="宋体" w:hAnsi="宋体" w:eastAsia="宋体" w:cs="宋体"/>
          <w:color w:val="000000"/>
          <w:kern w:val="2"/>
          <w:sz w:val="24"/>
          <w:szCs w:val="24"/>
          <w:lang w:val="en-US" w:eastAsia="zh-CN" w:bidi="ar-SA"/>
        </w:rPr>
        <w:t>个月；</w:t>
      </w:r>
    </w:p>
    <w:p w14:paraId="797DCF43">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 园林附属工程为</w:t>
      </w:r>
      <w:r>
        <w:rPr>
          <w:rFonts w:hint="eastAsia" w:ascii="宋体" w:hAnsi="宋体" w:eastAsia="宋体" w:cs="宋体"/>
          <w:color w:val="000000"/>
          <w:kern w:val="2"/>
          <w:sz w:val="24"/>
          <w:szCs w:val="24"/>
          <w:u w:val="single"/>
          <w:lang w:val="en-US" w:eastAsia="zh-CN" w:bidi="ar-SA"/>
        </w:rPr>
        <w:t xml:space="preserve">   12   </w:t>
      </w:r>
      <w:r>
        <w:rPr>
          <w:rFonts w:hint="eastAsia" w:ascii="宋体" w:hAnsi="宋体" w:eastAsia="宋体" w:cs="宋体"/>
          <w:color w:val="000000"/>
          <w:kern w:val="2"/>
          <w:sz w:val="24"/>
          <w:szCs w:val="24"/>
          <w:lang w:val="en-US" w:eastAsia="zh-CN" w:bidi="ar-SA"/>
        </w:rPr>
        <w:t>个月；</w:t>
      </w:r>
    </w:p>
    <w:p w14:paraId="03F1AA8F">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 其他项目保修期限约定如下：</w:t>
      </w:r>
      <w:r>
        <w:rPr>
          <w:rFonts w:hint="eastAsia" w:ascii="宋体" w:hAnsi="宋体" w:eastAsia="宋体" w:cs="宋体"/>
          <w:color w:val="000000"/>
          <w:kern w:val="2"/>
          <w:sz w:val="24"/>
          <w:szCs w:val="24"/>
          <w:u w:val="single"/>
          <w:lang w:val="en-US" w:eastAsia="zh-CN" w:bidi="ar-SA"/>
        </w:rPr>
        <w:t xml:space="preserve"> 2年 </w:t>
      </w:r>
      <w:r>
        <w:rPr>
          <w:rFonts w:hint="eastAsia" w:ascii="宋体" w:hAnsi="宋体" w:eastAsia="宋体" w:cs="宋体"/>
          <w:color w:val="000000"/>
          <w:kern w:val="2"/>
          <w:sz w:val="24"/>
          <w:szCs w:val="24"/>
          <w:lang w:val="en-US" w:eastAsia="zh-CN" w:bidi="ar-SA"/>
        </w:rPr>
        <w:t>。</w:t>
      </w:r>
    </w:p>
    <w:p w14:paraId="3C294668">
      <w:pPr>
        <w:widowControl w:val="0"/>
        <w:snapToGrid w:val="0"/>
        <w:spacing w:line="440" w:lineRule="exact"/>
        <w:ind w:firstLine="6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质量保修期自工程竣工验收合格之日起计算。</w:t>
      </w:r>
    </w:p>
    <w:p w14:paraId="06673744">
      <w:pPr>
        <w:widowControl w:val="0"/>
        <w:numPr>
          <w:ilvl w:val="0"/>
          <w:numId w:val="7"/>
        </w:numPr>
        <w:snapToGrid w:val="0"/>
        <w:spacing w:line="440" w:lineRule="exact"/>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缺陷责任期</w:t>
      </w:r>
    </w:p>
    <w:p w14:paraId="4E595246">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工程缺陷责任期为</w:t>
      </w:r>
      <w:r>
        <w:rPr>
          <w:rFonts w:hint="eastAsia" w:ascii="宋体" w:hAnsi="宋体" w:eastAsia="宋体" w:cs="宋体"/>
          <w:color w:val="000000"/>
          <w:kern w:val="2"/>
          <w:sz w:val="24"/>
          <w:szCs w:val="24"/>
          <w:u w:val="single"/>
          <w:lang w:val="en-US" w:eastAsia="zh-CN" w:bidi="ar-SA"/>
        </w:rPr>
        <w:t>12</w:t>
      </w:r>
      <w:r>
        <w:rPr>
          <w:rFonts w:hint="eastAsia" w:ascii="宋体" w:hAnsi="宋体" w:eastAsia="宋体" w:cs="宋体"/>
          <w:color w:val="000000"/>
          <w:kern w:val="2"/>
          <w:sz w:val="24"/>
          <w:szCs w:val="24"/>
          <w:lang w:val="en-US" w:eastAsia="zh-CN" w:bidi="ar-SA"/>
        </w:rPr>
        <w:t>个月，缺陷责任期自工程竣工验收合格之日起计算。单位工程先于全部工程进行验收，单位工程缺陷责任期自单位工程验收合格之日起算。</w:t>
      </w:r>
    </w:p>
    <w:p w14:paraId="13CBAC41">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缺陷责任期终止后，发包人应退还剩余的质量保证金。</w:t>
      </w:r>
    </w:p>
    <w:p w14:paraId="3D347532">
      <w:pPr>
        <w:widowControl w:val="0"/>
        <w:numPr>
          <w:ilvl w:val="0"/>
          <w:numId w:val="7"/>
        </w:numPr>
        <w:snapToGrid w:val="0"/>
        <w:spacing w:line="440" w:lineRule="exact"/>
        <w:ind w:firstLine="600"/>
        <w:jc w:val="both"/>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质量保修责任</w:t>
      </w:r>
    </w:p>
    <w:p w14:paraId="0EB91C1F">
      <w:pPr>
        <w:widowControl w:val="0"/>
        <w:numPr>
          <w:ilvl w:val="0"/>
          <w:numId w:val="8"/>
        </w:numPr>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属于保修范围、内容的项目，承包人应当在接到保修通知之日起7天内派人保修。承包人不在约定期限内派人保修的，发包人可以委托他人修理，费用由承包人承担，从质量保证金中扣除。</w:t>
      </w:r>
    </w:p>
    <w:p w14:paraId="35C2F9EF">
      <w:pPr>
        <w:widowControl w:val="0"/>
        <w:numPr>
          <w:ilvl w:val="0"/>
          <w:numId w:val="8"/>
        </w:numPr>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发生紧急事故需抢修的，承包人在接到事故通知后，应当立即到达事故现场抢修。</w:t>
      </w:r>
    </w:p>
    <w:p w14:paraId="1B910CCF">
      <w:pPr>
        <w:widowControl w:val="0"/>
        <w:numPr>
          <w:ilvl w:val="0"/>
          <w:numId w:val="8"/>
        </w:numPr>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14:paraId="1A2075C2">
      <w:pPr>
        <w:widowControl w:val="0"/>
        <w:numPr>
          <w:ilvl w:val="0"/>
          <w:numId w:val="8"/>
        </w:numPr>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在工程质量保修期内，未能在合理期限对工程质量问题进行修复，或拒绝按要求进行修复的，承包人应向发包人支付修复工程支出的实际金额。</w:t>
      </w:r>
    </w:p>
    <w:p w14:paraId="5AC4F046">
      <w:pPr>
        <w:widowControl w:val="0"/>
        <w:numPr>
          <w:ilvl w:val="0"/>
          <w:numId w:val="8"/>
        </w:numPr>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质量保修完成后，由发包人组织验收。</w:t>
      </w:r>
    </w:p>
    <w:p w14:paraId="2554BEE8">
      <w:pPr>
        <w:widowControl w:val="0"/>
        <w:snapToGrid w:val="0"/>
        <w:spacing w:line="440" w:lineRule="exact"/>
        <w:ind w:left="600"/>
        <w:jc w:val="both"/>
        <w:rPr>
          <w:rFonts w:ascii="宋体" w:hAnsi="宋体" w:eastAsia="宋体" w:cs="宋体"/>
          <w:color w:val="000000"/>
          <w:kern w:val="2"/>
          <w:sz w:val="24"/>
          <w:szCs w:val="24"/>
          <w:u w:val="single"/>
          <w:lang w:val="en-US" w:eastAsia="zh-CN" w:bidi="ar-SA"/>
        </w:rPr>
      </w:pPr>
      <w:r>
        <w:rPr>
          <w:rFonts w:hint="eastAsia" w:ascii="宋体" w:hAnsi="宋体" w:eastAsia="宋体" w:cs="宋体"/>
          <w:b/>
          <w:color w:val="000000"/>
          <w:kern w:val="2"/>
          <w:sz w:val="24"/>
          <w:szCs w:val="24"/>
          <w:lang w:val="en-US" w:eastAsia="zh-CN" w:bidi="ar-SA"/>
        </w:rPr>
        <w:t>五、双方约定的其他工程质量保修项</w:t>
      </w:r>
      <w:r>
        <w:rPr>
          <w:rFonts w:hint="eastAsia" w:ascii="宋体" w:hAnsi="宋体" w:eastAsia="宋体" w:cs="宋体"/>
          <w:color w:val="000000"/>
          <w:kern w:val="2"/>
          <w:sz w:val="24"/>
          <w:szCs w:val="24"/>
          <w:lang w:val="en-US" w:eastAsia="zh-CN" w:bidi="ar-SA"/>
        </w:rPr>
        <w:t>：。</w:t>
      </w:r>
    </w:p>
    <w:p w14:paraId="37EFD2DA">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工程质量保修书由发包人、承包人在工程竣工验收前共同签署，作为施工合同附件，其有效期限至保修期满。 </w:t>
      </w:r>
    </w:p>
    <w:p w14:paraId="332D0864">
      <w:pPr>
        <w:widowControl w:val="0"/>
        <w:snapToGrid w:val="0"/>
        <w:spacing w:line="440" w:lineRule="exact"/>
        <w:ind w:firstLine="723" w:firstLineChars="300"/>
        <w:jc w:val="both"/>
        <w:rPr>
          <w:rFonts w:ascii="宋体" w:hAnsi="宋体" w:eastAsia="宋体" w:cs="宋体"/>
          <w:b/>
          <w:color w:val="000000"/>
          <w:kern w:val="2"/>
          <w:sz w:val="24"/>
          <w:szCs w:val="24"/>
          <w:lang w:val="en-US" w:eastAsia="zh-CN" w:bidi="ar-SA"/>
        </w:rPr>
      </w:pPr>
      <w:bookmarkStart w:id="4214" w:name="_Toc184263479"/>
      <w:bookmarkStart w:id="4215" w:name="_Toc2094516902"/>
      <w:r>
        <w:rPr>
          <w:rFonts w:hint="eastAsia" w:ascii="宋体" w:hAnsi="宋体" w:eastAsia="宋体" w:cs="宋体"/>
          <w:b/>
          <w:color w:val="000000"/>
          <w:kern w:val="2"/>
          <w:sz w:val="24"/>
          <w:szCs w:val="24"/>
          <w:lang w:val="en-US" w:eastAsia="zh-CN" w:bidi="ar-SA"/>
        </w:rPr>
        <w:t>六、责任书份数</w:t>
      </w:r>
    </w:p>
    <w:p w14:paraId="131B06B8">
      <w:pPr>
        <w:widowControl w:val="0"/>
        <w:spacing w:line="440" w:lineRule="exact"/>
        <w:ind w:firstLine="480" w:firstLineChars="200"/>
        <w:jc w:val="both"/>
        <w:outlineLvl w:val="1"/>
        <w:rPr>
          <w:rFonts w:ascii="宋体" w:hAnsi="宋体" w:eastAsia="宋体" w:cs="宋体"/>
          <w:color w:val="000000"/>
          <w:kern w:val="2"/>
          <w:sz w:val="24"/>
          <w:szCs w:val="24"/>
          <w:lang w:val="en-US" w:eastAsia="zh-CN" w:bidi="ar-SA"/>
        </w:rPr>
      </w:pPr>
      <w:bookmarkStart w:id="4216" w:name="_Toc256002942"/>
      <w:bookmarkStart w:id="4217" w:name="_Toc256002261"/>
      <w:bookmarkStart w:id="4218" w:name="_Toc256000445"/>
      <w:bookmarkStart w:id="4219" w:name="_Toc256003850"/>
      <w:bookmarkStart w:id="4220" w:name="_Toc256002034"/>
      <w:bookmarkStart w:id="4221" w:name="_Toc256001580"/>
      <w:bookmarkStart w:id="4222" w:name="_Toc256004077"/>
      <w:bookmarkStart w:id="4223" w:name="_Toc256003169"/>
      <w:bookmarkStart w:id="4224" w:name="_Toc256002488"/>
      <w:bookmarkStart w:id="4225" w:name="_Toc256000899"/>
      <w:bookmarkStart w:id="4226" w:name="_Toc256003623"/>
      <w:bookmarkStart w:id="4227" w:name="_Toc256000218"/>
      <w:bookmarkStart w:id="4228" w:name="_Toc256001353"/>
      <w:bookmarkStart w:id="4229" w:name="_Toc256001807"/>
      <w:bookmarkStart w:id="4230" w:name="_Toc256003396"/>
      <w:bookmarkStart w:id="4231" w:name="_Toc256002715"/>
      <w:bookmarkStart w:id="4232" w:name="_Toc256000672"/>
      <w:bookmarkStart w:id="4233" w:name="_Toc256001126"/>
      <w:r>
        <w:rPr>
          <w:rFonts w:hint="eastAsia" w:ascii="宋体" w:hAnsi="宋体" w:eastAsia="宋体" w:cs="宋体"/>
          <w:color w:val="000000"/>
          <w:kern w:val="2"/>
          <w:sz w:val="24"/>
          <w:szCs w:val="24"/>
          <w:lang w:val="en-US" w:eastAsia="zh-CN" w:bidi="ar-SA"/>
        </w:rPr>
        <w:t>本合同一式 拾贰份，均具有同等法律效力，发包人执捌份，承包人执肆份。</w:t>
      </w:r>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p>
    <w:p w14:paraId="7136C7DD">
      <w:pPr>
        <w:widowControl w:val="0"/>
        <w:ind w:firstLine="440" w:firstLineChars="200"/>
        <w:jc w:val="both"/>
        <w:outlineLvl w:val="1"/>
        <w:rPr>
          <w:rFonts w:ascii="宋体" w:hAnsi="宋体" w:eastAsia="宋体" w:cs="宋体"/>
          <w:color w:val="000000"/>
          <w:kern w:val="2"/>
          <w:sz w:val="22"/>
          <w:szCs w:val="22"/>
          <w:lang w:val="en-US" w:eastAsia="zh-CN" w:bidi="ar-SA"/>
        </w:rPr>
      </w:pPr>
      <w:r>
        <w:rPr>
          <w:rFonts w:ascii="宋体" w:hAnsi="宋体" w:eastAsia="宋体" w:cs="宋体"/>
          <w:color w:val="000000"/>
          <w:kern w:val="2"/>
          <w:sz w:val="22"/>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-280670</wp:posOffset>
                </wp:positionH>
                <wp:positionV relativeFrom="paragraph">
                  <wp:posOffset>194945</wp:posOffset>
                </wp:positionV>
                <wp:extent cx="2889885" cy="3563620"/>
                <wp:effectExtent l="0" t="0" r="5715" b="17780"/>
                <wp:wrapNone/>
                <wp:docPr id="1" name="文本框 1"/>
                <wp:cNvGraphicFramePr/>
                <a:graphic xmlns:a="http://schemas.openxmlformats.org/drawingml/2006/main">
                  <a:graphicData uri="http://schemas.microsoft.com/office/word/2010/wordprocessingShape">
                    <wps:wsp>
                      <wps:cNvSpPr txBox="1"/>
                      <wps:spPr>
                        <a:xfrm>
                          <a:off x="0" y="0"/>
                          <a:ext cx="2889885" cy="3563620"/>
                        </a:xfrm>
                        <a:prstGeom prst="rect">
                          <a:avLst/>
                        </a:prstGeom>
                        <a:solidFill>
                          <a:srgbClr val="FFFFFF"/>
                        </a:solidFill>
                        <a:ln>
                          <a:noFill/>
                        </a:ln>
                        <a:effectLst/>
                      </wps:spPr>
                      <wps:txbx>
                        <w:txbxContent>
                          <w:p w14:paraId="395B64C0">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发包人：（公章）南京建邺城市建设集团有限公司</w:t>
                            </w:r>
                          </w:p>
                          <w:p w14:paraId="2402BFAE">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法定代表人或其委托代理人：（签字）</w:t>
                            </w:r>
                          </w:p>
                          <w:p w14:paraId="2E195C01">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社会统一信用代码证号：</w:t>
                            </w:r>
                            <w:r>
                              <w:rPr>
                                <w:rFonts w:hint="eastAsia" w:ascii="宋体" w:hAnsi="宋体" w:eastAsia="宋体" w:cs="宋体"/>
                                <w:kern w:val="2"/>
                                <w:sz w:val="21"/>
                                <w:szCs w:val="21"/>
                                <w:u w:val="single"/>
                                <w:lang w:val="en-US" w:eastAsia="zh-CN" w:bidi="ar-SA"/>
                              </w:rPr>
                              <w:t xml:space="preserve"> 91320105135176740X  </w:t>
                            </w:r>
                          </w:p>
                          <w:p w14:paraId="50D9EE03">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  址：</w:t>
                            </w:r>
                            <w:r>
                              <w:rPr>
                                <w:rFonts w:hint="eastAsia" w:ascii="宋体" w:hAnsi="宋体" w:eastAsia="宋体" w:cs="宋体"/>
                                <w:kern w:val="2"/>
                                <w:sz w:val="21"/>
                                <w:szCs w:val="21"/>
                                <w:u w:val="single"/>
                                <w:lang w:val="en-US" w:eastAsia="zh-CN" w:bidi="ar-SA"/>
                              </w:rPr>
                              <w:t>南京市建邺区文体路56号11楼</w:t>
                            </w:r>
                          </w:p>
                          <w:p w14:paraId="3CB2C75F">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邮政编码：</w:t>
                            </w:r>
                            <w:r>
                              <w:rPr>
                                <w:rFonts w:hint="eastAsia" w:ascii="宋体" w:hAnsi="宋体" w:eastAsia="宋体" w:cs="宋体"/>
                                <w:kern w:val="2"/>
                                <w:sz w:val="21"/>
                                <w:szCs w:val="21"/>
                                <w:u w:val="single"/>
                                <w:lang w:val="en-US" w:eastAsia="zh-CN" w:bidi="ar-SA"/>
                              </w:rPr>
                              <w:t xml:space="preserve">         210017           </w:t>
                            </w:r>
                          </w:p>
                          <w:p w14:paraId="723EA3CD">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  话：</w:t>
                            </w:r>
                            <w:r>
                              <w:rPr>
                                <w:rFonts w:hint="eastAsia" w:ascii="宋体" w:hAnsi="宋体" w:eastAsia="宋体" w:cs="宋体"/>
                                <w:kern w:val="2"/>
                                <w:sz w:val="21"/>
                                <w:szCs w:val="21"/>
                                <w:u w:val="single"/>
                                <w:lang w:val="en-US" w:eastAsia="zh-CN" w:bidi="ar-SA"/>
                              </w:rPr>
                              <w:t xml:space="preserve">       025-84788730         </w:t>
                            </w:r>
                          </w:p>
                          <w:p w14:paraId="2F291A2A">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传  真：</w:t>
                            </w:r>
                          </w:p>
                          <w:p w14:paraId="51A8A178">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开户银行：</w:t>
                            </w:r>
                            <w:r>
                              <w:rPr>
                                <w:rFonts w:hint="eastAsia" w:ascii="宋体" w:hAnsi="宋体" w:eastAsia="宋体" w:cs="宋体"/>
                                <w:kern w:val="2"/>
                                <w:sz w:val="21"/>
                                <w:szCs w:val="21"/>
                                <w:u w:val="single"/>
                                <w:lang w:val="en-US" w:eastAsia="zh-CN" w:bidi="ar-SA"/>
                              </w:rPr>
                              <w:t xml:space="preserve">     南京银行奥体支行     </w:t>
                            </w:r>
                          </w:p>
                          <w:p w14:paraId="259C072A">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账  号：</w:t>
                            </w:r>
                            <w:r>
                              <w:rPr>
                                <w:rFonts w:hint="eastAsia" w:ascii="宋体" w:hAnsi="宋体" w:eastAsia="宋体" w:cs="宋体"/>
                                <w:kern w:val="2"/>
                                <w:sz w:val="21"/>
                                <w:szCs w:val="21"/>
                                <w:u w:val="single"/>
                                <w:lang w:val="en-US" w:eastAsia="zh-CN" w:bidi="ar-SA"/>
                              </w:rPr>
                              <w:t xml:space="preserve">     016320000000025        </w:t>
                            </w:r>
                          </w:p>
                          <w:p w14:paraId="3983FB62">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 xml:space="preserve">日  期：年月日  </w:t>
                            </w:r>
                          </w:p>
                        </w:txbxContent>
                      </wps:txbx>
                      <wps:bodyPr upright="1"/>
                    </wps:wsp>
                  </a:graphicData>
                </a:graphic>
              </wp:anchor>
            </w:drawing>
          </mc:Choice>
          <mc:Fallback>
            <w:pict>
              <v:shape id="_x0000_s1026" o:spid="_x0000_s1026" o:spt="202" type="#_x0000_t202" style="position:absolute;left:0pt;margin-left:-22.1pt;margin-top:15.35pt;height:280.6pt;width:227.55pt;z-index:251663360;mso-width-relative:page;mso-height-relative:page;" fillcolor="#FFFFFF" filled="t" stroked="f" coordsize="21600,21600" o:gfxdata="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d8wCHZAAAACgEAAA8AAAAAAAAAAQAgAAAAIgAAAGRycy9k&#10;b3ducmV2LnhtbFBLAQIUABQAAAAIAIdO4kBR+9YlyAEAAIYDAAAOAAAAAAAAAAEAIAAAACgBAABk&#10;cnMvZTJvRG9jLnhtbFBLBQYAAAAABgAGAFkBAABiBQAAAAA=&#10;">
                <v:fill on="t" focussize="0,0"/>
                <v:stroke on="f"/>
                <v:imagedata o:title=""/>
                <o:lock v:ext="edit" aspectratio="f"/>
                <v:textbox>
                  <w:txbxContent>
                    <w:p w14:paraId="395B64C0">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发包人：（公章）南京建邺城市建设集团有限公司</w:t>
                      </w:r>
                    </w:p>
                    <w:p w14:paraId="2402BFAE">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法定代表人或其委托代理人：（签字）</w:t>
                      </w:r>
                    </w:p>
                    <w:p w14:paraId="2E195C01">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社会统一信用代码证号：</w:t>
                      </w:r>
                      <w:r>
                        <w:rPr>
                          <w:rFonts w:hint="eastAsia" w:ascii="宋体" w:hAnsi="宋体" w:eastAsia="宋体" w:cs="宋体"/>
                          <w:kern w:val="2"/>
                          <w:sz w:val="21"/>
                          <w:szCs w:val="21"/>
                          <w:u w:val="single"/>
                          <w:lang w:val="en-US" w:eastAsia="zh-CN" w:bidi="ar-SA"/>
                        </w:rPr>
                        <w:t xml:space="preserve"> 91320105135176740X  </w:t>
                      </w:r>
                    </w:p>
                    <w:p w14:paraId="50D9EE03">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  址：</w:t>
                      </w:r>
                      <w:r>
                        <w:rPr>
                          <w:rFonts w:hint="eastAsia" w:ascii="宋体" w:hAnsi="宋体" w:eastAsia="宋体" w:cs="宋体"/>
                          <w:kern w:val="2"/>
                          <w:sz w:val="21"/>
                          <w:szCs w:val="21"/>
                          <w:u w:val="single"/>
                          <w:lang w:val="en-US" w:eastAsia="zh-CN" w:bidi="ar-SA"/>
                        </w:rPr>
                        <w:t>南京市建邺区文体路56号11楼</w:t>
                      </w:r>
                    </w:p>
                    <w:p w14:paraId="3CB2C75F">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邮政编码：</w:t>
                      </w:r>
                      <w:r>
                        <w:rPr>
                          <w:rFonts w:hint="eastAsia" w:ascii="宋体" w:hAnsi="宋体" w:eastAsia="宋体" w:cs="宋体"/>
                          <w:kern w:val="2"/>
                          <w:sz w:val="21"/>
                          <w:szCs w:val="21"/>
                          <w:u w:val="single"/>
                          <w:lang w:val="en-US" w:eastAsia="zh-CN" w:bidi="ar-SA"/>
                        </w:rPr>
                        <w:t xml:space="preserve">         210017           </w:t>
                      </w:r>
                    </w:p>
                    <w:p w14:paraId="723EA3CD">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  话：</w:t>
                      </w:r>
                      <w:r>
                        <w:rPr>
                          <w:rFonts w:hint="eastAsia" w:ascii="宋体" w:hAnsi="宋体" w:eastAsia="宋体" w:cs="宋体"/>
                          <w:kern w:val="2"/>
                          <w:sz w:val="21"/>
                          <w:szCs w:val="21"/>
                          <w:u w:val="single"/>
                          <w:lang w:val="en-US" w:eastAsia="zh-CN" w:bidi="ar-SA"/>
                        </w:rPr>
                        <w:t xml:space="preserve">       025-84788730         </w:t>
                      </w:r>
                    </w:p>
                    <w:p w14:paraId="2F291A2A">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传  真：</w:t>
                      </w:r>
                    </w:p>
                    <w:p w14:paraId="51A8A178">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开户银行：</w:t>
                      </w:r>
                      <w:r>
                        <w:rPr>
                          <w:rFonts w:hint="eastAsia" w:ascii="宋体" w:hAnsi="宋体" w:eastAsia="宋体" w:cs="宋体"/>
                          <w:kern w:val="2"/>
                          <w:sz w:val="21"/>
                          <w:szCs w:val="21"/>
                          <w:u w:val="single"/>
                          <w:lang w:val="en-US" w:eastAsia="zh-CN" w:bidi="ar-SA"/>
                        </w:rPr>
                        <w:t xml:space="preserve">     南京银行奥体支行     </w:t>
                      </w:r>
                    </w:p>
                    <w:p w14:paraId="259C072A">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账  号：</w:t>
                      </w:r>
                      <w:r>
                        <w:rPr>
                          <w:rFonts w:hint="eastAsia" w:ascii="宋体" w:hAnsi="宋体" w:eastAsia="宋体" w:cs="宋体"/>
                          <w:kern w:val="2"/>
                          <w:sz w:val="21"/>
                          <w:szCs w:val="21"/>
                          <w:u w:val="single"/>
                          <w:lang w:val="en-US" w:eastAsia="zh-CN" w:bidi="ar-SA"/>
                        </w:rPr>
                        <w:t xml:space="preserve">     016320000000025        </w:t>
                      </w:r>
                    </w:p>
                    <w:p w14:paraId="3983FB62">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 xml:space="preserve">日  期：年月日  </w:t>
                      </w:r>
                    </w:p>
                  </w:txbxContent>
                </v:textbox>
              </v:shape>
            </w:pict>
          </mc:Fallback>
        </mc:AlternateContent>
      </w:r>
    </w:p>
    <w:p w14:paraId="66F9CDF0">
      <w:pPr>
        <w:widowControl w:val="0"/>
        <w:jc w:val="both"/>
        <w:outlineLvl w:val="1"/>
        <w:rPr>
          <w:rFonts w:ascii="宋体" w:hAnsi="宋体" w:eastAsia="宋体" w:cs="宋体"/>
          <w:color w:val="000000"/>
          <w:kern w:val="2"/>
          <w:sz w:val="22"/>
          <w:szCs w:val="22"/>
          <w:lang w:val="en-US" w:eastAsia="zh-CN" w:bidi="ar-SA"/>
        </w:rPr>
      </w:pPr>
      <w:r>
        <w:rPr>
          <w:rFonts w:ascii="宋体" w:hAnsi="宋体" w:eastAsia="宋体" w:cs="宋体"/>
          <w:color w:val="000000"/>
          <w:kern w:val="2"/>
          <w:sz w:val="22"/>
          <w:szCs w:val="2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2739390</wp:posOffset>
                </wp:positionH>
                <wp:positionV relativeFrom="paragraph">
                  <wp:posOffset>110490</wp:posOffset>
                </wp:positionV>
                <wp:extent cx="2658110" cy="3409950"/>
                <wp:effectExtent l="0" t="0" r="8890" b="0"/>
                <wp:wrapNone/>
                <wp:docPr id="6" name="文本框 6"/>
                <wp:cNvGraphicFramePr/>
                <a:graphic xmlns:a="http://schemas.openxmlformats.org/drawingml/2006/main">
                  <a:graphicData uri="http://schemas.microsoft.com/office/word/2010/wordprocessingShape">
                    <wps:wsp>
                      <wps:cNvSpPr txBox="1"/>
                      <wps:spPr>
                        <a:xfrm>
                          <a:off x="0" y="0"/>
                          <a:ext cx="2658110" cy="3409950"/>
                        </a:xfrm>
                        <a:prstGeom prst="rect">
                          <a:avLst/>
                        </a:prstGeom>
                        <a:solidFill>
                          <a:srgbClr val="FFFFFF"/>
                        </a:solidFill>
                        <a:ln>
                          <a:noFill/>
                        </a:ln>
                        <a:effectLst/>
                      </wps:spPr>
                      <wps:txbx>
                        <w:txbxContent>
                          <w:p w14:paraId="5E840B32">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承包人：（公章） </w:t>
                            </w:r>
                          </w:p>
                          <w:p w14:paraId="4926173A">
                            <w:pPr>
                              <w:widowControl w:val="0"/>
                              <w:spacing w:line="360" w:lineRule="auto"/>
                              <w:jc w:val="both"/>
                              <w:rPr>
                                <w:rFonts w:ascii="宋体" w:hAnsi="宋体" w:eastAsia="宋体" w:cs="宋体"/>
                                <w:kern w:val="2"/>
                                <w:sz w:val="21"/>
                                <w:szCs w:val="21"/>
                                <w:lang w:val="en-US" w:eastAsia="zh-CN" w:bidi="ar-SA"/>
                              </w:rPr>
                            </w:pPr>
                          </w:p>
                          <w:p w14:paraId="5DAD2940">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法定代表人或其委托代理人：（签字）</w:t>
                            </w:r>
                          </w:p>
                          <w:p w14:paraId="778AE7F5">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社会统一信用代码证号：</w:t>
                            </w:r>
                          </w:p>
                          <w:p w14:paraId="5011D8B5">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  址：</w:t>
                            </w:r>
                          </w:p>
                          <w:p w14:paraId="7D3C0913">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邮政编码：</w:t>
                            </w:r>
                          </w:p>
                          <w:p w14:paraId="7C7D7481">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  话：</w:t>
                            </w:r>
                          </w:p>
                          <w:p w14:paraId="121ED6F1">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传  真：</w:t>
                            </w:r>
                          </w:p>
                          <w:p w14:paraId="14A145D7">
                            <w:pPr>
                              <w:spacing w:line="360" w:lineRule="auto"/>
                              <w:rPr>
                                <w:rFonts w:ascii="宋体" w:hAnsi="宋体" w:cs="宋体"/>
                                <w:u w:val="single"/>
                              </w:rPr>
                            </w:pPr>
                            <w:r>
                              <w:rPr>
                                <w:rFonts w:hint="eastAsia" w:ascii="宋体" w:hAnsi="宋体" w:cs="宋体"/>
                              </w:rPr>
                              <w:t>开户银行：</w:t>
                            </w:r>
                          </w:p>
                          <w:p w14:paraId="6BEB0959">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账  号：</w:t>
                            </w:r>
                          </w:p>
                          <w:p w14:paraId="08C2A3E2">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日  期：年月日   </w:t>
                            </w:r>
                          </w:p>
                          <w:p w14:paraId="61D43BFD"/>
                        </w:txbxContent>
                      </wps:txbx>
                      <wps:bodyPr upright="1"/>
                    </wps:wsp>
                  </a:graphicData>
                </a:graphic>
              </wp:anchor>
            </w:drawing>
          </mc:Choice>
          <mc:Fallback>
            <w:pict>
              <v:shape id="_x0000_s1026" o:spid="_x0000_s1026" o:spt="202" type="#_x0000_t202" style="position:absolute;left:0pt;margin-left:215.7pt;margin-top:8.7pt;height:268.5pt;width:209.3pt;z-index:251662336;mso-width-relative:page;mso-height-relative:page;" fillcolor="#FFFFFF" filled="t" stroked="f" coordsize="21600,21600" o:gfxdata="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zt3e3YAAAACgEAAA8AAAAAAAAAAQAgAAAAIgAAAGRycy9k&#10;b3ducmV2LnhtbFBLAQIUABQAAAAIAIdO4kAgNZZRyQEAAIYDAAAOAAAAAAAAAAEAIAAAACcBAABk&#10;cnMvZTJvRG9jLnhtbFBLBQYAAAAABgAGAFkBAABiBQAAAAA=&#10;">
                <v:fill on="t" focussize="0,0"/>
                <v:stroke on="f"/>
                <v:imagedata o:title=""/>
                <o:lock v:ext="edit" aspectratio="f"/>
                <v:textbox>
                  <w:txbxContent>
                    <w:p w14:paraId="5E840B32">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承包人：（公章） </w:t>
                      </w:r>
                    </w:p>
                    <w:p w14:paraId="4926173A">
                      <w:pPr>
                        <w:widowControl w:val="0"/>
                        <w:spacing w:line="360" w:lineRule="auto"/>
                        <w:jc w:val="both"/>
                        <w:rPr>
                          <w:rFonts w:ascii="宋体" w:hAnsi="宋体" w:eastAsia="宋体" w:cs="宋体"/>
                          <w:kern w:val="2"/>
                          <w:sz w:val="21"/>
                          <w:szCs w:val="21"/>
                          <w:lang w:val="en-US" w:eastAsia="zh-CN" w:bidi="ar-SA"/>
                        </w:rPr>
                      </w:pPr>
                    </w:p>
                    <w:p w14:paraId="5DAD2940">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法定代表人或其委托代理人：（签字）</w:t>
                      </w:r>
                    </w:p>
                    <w:p w14:paraId="778AE7F5">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社会统一信用代码证号：</w:t>
                      </w:r>
                    </w:p>
                    <w:p w14:paraId="5011D8B5">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  址：</w:t>
                      </w:r>
                    </w:p>
                    <w:p w14:paraId="7D3C0913">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邮政编码：</w:t>
                      </w:r>
                    </w:p>
                    <w:p w14:paraId="7C7D7481">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  话：</w:t>
                      </w:r>
                    </w:p>
                    <w:p w14:paraId="121ED6F1">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传  真：</w:t>
                      </w:r>
                    </w:p>
                    <w:p w14:paraId="14A145D7">
                      <w:pPr>
                        <w:spacing w:line="360" w:lineRule="auto"/>
                        <w:rPr>
                          <w:rFonts w:ascii="宋体" w:hAnsi="宋体" w:cs="宋体"/>
                          <w:u w:val="single"/>
                        </w:rPr>
                      </w:pPr>
                      <w:r>
                        <w:rPr>
                          <w:rFonts w:hint="eastAsia" w:ascii="宋体" w:hAnsi="宋体" w:cs="宋体"/>
                        </w:rPr>
                        <w:t>开户银行：</w:t>
                      </w:r>
                    </w:p>
                    <w:p w14:paraId="6BEB0959">
                      <w:pPr>
                        <w:widowControl w:val="0"/>
                        <w:spacing w:line="36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账  号：</w:t>
                      </w:r>
                    </w:p>
                    <w:p w14:paraId="08C2A3E2">
                      <w:pPr>
                        <w:widowControl w:val="0"/>
                        <w:spacing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日  期：年月日   </w:t>
                      </w:r>
                    </w:p>
                    <w:p w14:paraId="61D43BFD"/>
                  </w:txbxContent>
                </v:textbox>
              </v:shape>
            </w:pict>
          </mc:Fallback>
        </mc:AlternateContent>
      </w:r>
    </w:p>
    <w:p w14:paraId="4C5CD868">
      <w:pPr>
        <w:widowControl w:val="0"/>
        <w:jc w:val="both"/>
        <w:outlineLvl w:val="1"/>
        <w:rPr>
          <w:rFonts w:ascii="宋体" w:hAnsi="宋体" w:eastAsia="宋体" w:cs="宋体"/>
          <w:color w:val="000000"/>
          <w:kern w:val="2"/>
          <w:sz w:val="22"/>
          <w:szCs w:val="22"/>
          <w:lang w:val="en-US" w:eastAsia="zh-CN" w:bidi="ar-SA"/>
        </w:rPr>
      </w:pPr>
    </w:p>
    <w:p w14:paraId="3225EF10">
      <w:pPr>
        <w:widowControl w:val="0"/>
        <w:jc w:val="both"/>
        <w:outlineLvl w:val="1"/>
        <w:rPr>
          <w:rFonts w:ascii="宋体" w:hAnsi="宋体" w:eastAsia="宋体" w:cs="宋体"/>
          <w:color w:val="000000"/>
          <w:kern w:val="2"/>
          <w:sz w:val="22"/>
          <w:szCs w:val="22"/>
          <w:lang w:val="en-US" w:eastAsia="zh-CN" w:bidi="ar-SA"/>
        </w:rPr>
      </w:pPr>
    </w:p>
    <w:p w14:paraId="1C257DCF">
      <w:pPr>
        <w:widowControl w:val="0"/>
        <w:jc w:val="both"/>
        <w:outlineLvl w:val="1"/>
        <w:rPr>
          <w:rFonts w:ascii="宋体" w:hAnsi="宋体" w:eastAsia="宋体" w:cs="宋体"/>
          <w:color w:val="000000"/>
          <w:kern w:val="2"/>
          <w:sz w:val="22"/>
          <w:szCs w:val="22"/>
          <w:lang w:val="en-US" w:eastAsia="zh-CN" w:bidi="ar-SA"/>
        </w:rPr>
      </w:pPr>
    </w:p>
    <w:p w14:paraId="251BB534">
      <w:pPr>
        <w:widowControl w:val="0"/>
        <w:jc w:val="both"/>
        <w:outlineLvl w:val="1"/>
        <w:rPr>
          <w:rFonts w:ascii="宋体" w:hAnsi="宋体" w:eastAsia="宋体" w:cs="宋体"/>
          <w:color w:val="000000"/>
          <w:kern w:val="2"/>
          <w:sz w:val="22"/>
          <w:szCs w:val="22"/>
          <w:lang w:val="en-US" w:eastAsia="zh-CN" w:bidi="ar-SA"/>
        </w:rPr>
      </w:pPr>
    </w:p>
    <w:p w14:paraId="46943850">
      <w:pPr>
        <w:widowControl w:val="0"/>
        <w:jc w:val="both"/>
        <w:outlineLvl w:val="1"/>
        <w:rPr>
          <w:rFonts w:ascii="宋体" w:hAnsi="宋体" w:eastAsia="宋体" w:cs="宋体"/>
          <w:color w:val="000000"/>
          <w:kern w:val="2"/>
          <w:sz w:val="22"/>
          <w:szCs w:val="22"/>
          <w:lang w:val="en-US" w:eastAsia="zh-CN" w:bidi="ar-SA"/>
        </w:rPr>
      </w:pPr>
    </w:p>
    <w:p w14:paraId="714EF8E3">
      <w:pPr>
        <w:widowControl w:val="0"/>
        <w:jc w:val="both"/>
        <w:outlineLvl w:val="1"/>
        <w:rPr>
          <w:rFonts w:ascii="宋体" w:hAnsi="宋体" w:eastAsia="宋体" w:cs="宋体"/>
          <w:color w:val="000000"/>
          <w:kern w:val="2"/>
          <w:sz w:val="22"/>
          <w:szCs w:val="22"/>
          <w:lang w:val="en-US" w:eastAsia="zh-CN" w:bidi="ar-SA"/>
        </w:rPr>
      </w:pPr>
    </w:p>
    <w:p w14:paraId="32370C65">
      <w:pPr>
        <w:widowControl w:val="0"/>
        <w:jc w:val="both"/>
        <w:outlineLvl w:val="1"/>
        <w:rPr>
          <w:rFonts w:ascii="宋体" w:hAnsi="宋体" w:eastAsia="宋体" w:cs="宋体"/>
          <w:color w:val="000000"/>
          <w:kern w:val="2"/>
          <w:sz w:val="22"/>
          <w:szCs w:val="22"/>
          <w:lang w:val="en-US" w:eastAsia="zh-CN" w:bidi="ar-SA"/>
        </w:rPr>
      </w:pPr>
    </w:p>
    <w:p w14:paraId="7EDBA4D6">
      <w:pPr>
        <w:widowControl w:val="0"/>
        <w:jc w:val="both"/>
        <w:outlineLvl w:val="1"/>
        <w:rPr>
          <w:rFonts w:ascii="宋体" w:hAnsi="宋体" w:eastAsia="宋体" w:cs="宋体"/>
          <w:color w:val="000000"/>
          <w:kern w:val="2"/>
          <w:sz w:val="22"/>
          <w:szCs w:val="22"/>
          <w:lang w:val="en-US" w:eastAsia="zh-CN" w:bidi="ar-SA"/>
        </w:rPr>
      </w:pPr>
    </w:p>
    <w:p w14:paraId="3A1E0B30">
      <w:pPr>
        <w:widowControl w:val="0"/>
        <w:jc w:val="both"/>
        <w:outlineLvl w:val="1"/>
        <w:rPr>
          <w:rFonts w:ascii="宋体" w:hAnsi="宋体" w:eastAsia="宋体" w:cs="宋体"/>
          <w:color w:val="000000"/>
          <w:kern w:val="2"/>
          <w:sz w:val="22"/>
          <w:szCs w:val="22"/>
          <w:lang w:val="en-US" w:eastAsia="zh-CN" w:bidi="ar-SA"/>
        </w:rPr>
      </w:pPr>
    </w:p>
    <w:p w14:paraId="65992CE1">
      <w:pPr>
        <w:widowControl w:val="0"/>
        <w:jc w:val="both"/>
        <w:outlineLvl w:val="1"/>
        <w:rPr>
          <w:rFonts w:ascii="宋体" w:hAnsi="宋体" w:eastAsia="宋体" w:cs="宋体"/>
          <w:color w:val="000000"/>
          <w:kern w:val="2"/>
          <w:sz w:val="22"/>
          <w:szCs w:val="22"/>
          <w:lang w:val="en-US" w:eastAsia="zh-CN" w:bidi="ar-SA"/>
        </w:rPr>
      </w:pPr>
    </w:p>
    <w:p w14:paraId="19219BFB">
      <w:pPr>
        <w:widowControl w:val="0"/>
        <w:jc w:val="both"/>
        <w:outlineLvl w:val="1"/>
        <w:rPr>
          <w:rFonts w:ascii="宋体" w:hAnsi="宋体" w:eastAsia="宋体" w:cs="宋体"/>
          <w:color w:val="000000"/>
          <w:kern w:val="2"/>
          <w:sz w:val="22"/>
          <w:szCs w:val="22"/>
          <w:lang w:val="en-US" w:eastAsia="zh-CN" w:bidi="ar-SA"/>
        </w:rPr>
      </w:pPr>
      <w:bookmarkStart w:id="4234" w:name="_Toc362478915"/>
    </w:p>
    <w:p w14:paraId="4EEE069D">
      <w:pPr>
        <w:widowControl w:val="0"/>
        <w:jc w:val="both"/>
        <w:outlineLvl w:val="1"/>
        <w:rPr>
          <w:rFonts w:ascii="宋体" w:hAnsi="宋体" w:eastAsia="宋体" w:cs="宋体"/>
          <w:color w:val="000000"/>
          <w:kern w:val="2"/>
          <w:sz w:val="22"/>
          <w:szCs w:val="22"/>
          <w:lang w:val="en-US" w:eastAsia="zh-CN" w:bidi="ar-SA"/>
        </w:rPr>
      </w:pPr>
    </w:p>
    <w:p w14:paraId="0DE74443">
      <w:pPr>
        <w:widowControl w:val="0"/>
        <w:jc w:val="both"/>
        <w:outlineLvl w:val="1"/>
        <w:rPr>
          <w:rFonts w:ascii="宋体" w:hAnsi="宋体" w:eastAsia="宋体" w:cs="宋体"/>
          <w:color w:val="000000"/>
          <w:kern w:val="2"/>
          <w:sz w:val="22"/>
          <w:szCs w:val="22"/>
          <w:lang w:val="en-US" w:eastAsia="zh-CN" w:bidi="ar-SA"/>
        </w:rPr>
      </w:pPr>
    </w:p>
    <w:p w14:paraId="171F77D8">
      <w:pPr>
        <w:widowControl w:val="0"/>
        <w:jc w:val="both"/>
        <w:outlineLvl w:val="1"/>
        <w:rPr>
          <w:rFonts w:ascii="宋体" w:hAnsi="宋体" w:eastAsia="宋体" w:cs="宋体"/>
          <w:b/>
          <w:bCs/>
          <w:color w:val="000000"/>
          <w:kern w:val="2"/>
          <w:sz w:val="22"/>
          <w:szCs w:val="22"/>
          <w:lang w:val="en-US" w:eastAsia="zh-CN" w:bidi="ar-SA"/>
        </w:rPr>
      </w:pPr>
      <w:bookmarkStart w:id="4235" w:name="_Toc256002282"/>
      <w:bookmarkStart w:id="4236" w:name="_Toc256000239"/>
      <w:bookmarkStart w:id="4237" w:name="_Toc256003871"/>
      <w:bookmarkStart w:id="4238" w:name="_Toc256002509"/>
      <w:bookmarkStart w:id="4239" w:name="_Toc256004098"/>
      <w:bookmarkStart w:id="4240" w:name="_Toc256000466"/>
      <w:bookmarkStart w:id="4241" w:name="_Toc256003417"/>
      <w:bookmarkStart w:id="4242" w:name="_Toc256003644"/>
      <w:bookmarkStart w:id="4243" w:name="_Toc256001374"/>
      <w:bookmarkStart w:id="4244" w:name="_Toc256002055"/>
      <w:bookmarkStart w:id="4245" w:name="_Toc256001601"/>
      <w:bookmarkStart w:id="4246" w:name="_Toc256001147"/>
      <w:bookmarkStart w:id="4247" w:name="_Toc256001828"/>
      <w:bookmarkStart w:id="4248" w:name="_Toc256003190"/>
      <w:bookmarkStart w:id="4249" w:name="_Toc256000920"/>
      <w:bookmarkStart w:id="4250" w:name="_Toc256002963"/>
      <w:bookmarkStart w:id="4251" w:name="_Toc256002736"/>
      <w:bookmarkStart w:id="4252" w:name="_Toc256000693"/>
    </w:p>
    <w:p w14:paraId="14116486">
      <w:pPr>
        <w:widowControl w:val="0"/>
        <w:jc w:val="both"/>
        <w:outlineLvl w:val="1"/>
        <w:rPr>
          <w:rFonts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2"/>
          <w:sz w:val="22"/>
          <w:szCs w:val="22"/>
          <w:lang w:val="en-US" w:eastAsia="zh-CN" w:bidi="ar-SA"/>
        </w:rPr>
        <w:t>附件8：</w:t>
      </w:r>
      <w:bookmarkEnd w:id="4214"/>
      <w:bookmarkEnd w:id="4215"/>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p>
    <w:p w14:paraId="41957AE6">
      <w:pPr>
        <w:keepNext/>
        <w:keepLines/>
        <w:widowControl w:val="0"/>
        <w:spacing w:before="0" w:after="260" w:line="440" w:lineRule="exact"/>
        <w:ind w:firstLine="3373" w:firstLineChars="1400"/>
        <w:jc w:val="both"/>
        <w:outlineLvl w:val="1"/>
        <w:rPr>
          <w:rFonts w:hint="eastAsia" w:ascii="宋体" w:hAnsi="宋体" w:eastAsia="宋体" w:cs="宋体"/>
          <w:b/>
          <w:bCs/>
          <w:color w:val="000000"/>
          <w:kern w:val="2"/>
          <w:sz w:val="24"/>
          <w:szCs w:val="24"/>
          <w:lang w:val="en-US" w:eastAsia="zh-CN" w:bidi="ar-SA"/>
        </w:rPr>
      </w:pPr>
      <w:bookmarkStart w:id="4253" w:name="_Toc41181775"/>
      <w:bookmarkStart w:id="4254" w:name="_Toc256003418"/>
      <w:bookmarkStart w:id="4255" w:name="_Toc256000467"/>
      <w:bookmarkStart w:id="4256" w:name="_Toc256002964"/>
      <w:bookmarkStart w:id="4257" w:name="_Toc256003872"/>
      <w:bookmarkStart w:id="4258" w:name="_Toc256000240"/>
      <w:bookmarkStart w:id="4259" w:name="_Toc256000921"/>
      <w:bookmarkStart w:id="4260" w:name="_Toc256001375"/>
      <w:bookmarkStart w:id="4261" w:name="_Toc256003191"/>
      <w:bookmarkStart w:id="4262" w:name="_Toc256001148"/>
      <w:bookmarkStart w:id="4263" w:name="_Toc256000694"/>
      <w:bookmarkStart w:id="4264" w:name="_Toc1106295181"/>
      <w:bookmarkStart w:id="4265" w:name="_Toc256002056"/>
      <w:bookmarkStart w:id="4266" w:name="_Toc256003645"/>
      <w:bookmarkStart w:id="4267" w:name="_Toc256004099"/>
      <w:bookmarkStart w:id="4268" w:name="_Toc256002283"/>
      <w:bookmarkStart w:id="4269" w:name="_Toc256002737"/>
      <w:bookmarkStart w:id="4270" w:name="_Toc256001602"/>
      <w:bookmarkStart w:id="4271" w:name="_Toc256001829"/>
      <w:bookmarkStart w:id="4272" w:name="_Toc256002510"/>
    </w:p>
    <w:p w14:paraId="56B91470">
      <w:pPr>
        <w:pStyle w:val="2"/>
        <w:rPr>
          <w:rFonts w:hint="eastAsia" w:ascii="宋体" w:hAnsi="宋体" w:eastAsia="宋体" w:cs="宋体"/>
          <w:b/>
          <w:bCs/>
          <w:color w:val="000000"/>
          <w:kern w:val="2"/>
          <w:sz w:val="24"/>
          <w:szCs w:val="24"/>
          <w:lang w:val="en-US" w:eastAsia="zh-CN" w:bidi="ar-SA"/>
        </w:rPr>
      </w:pPr>
    </w:p>
    <w:p w14:paraId="2A18FDA0">
      <w:pPr>
        <w:pStyle w:val="2"/>
        <w:rPr>
          <w:rFonts w:hint="eastAsia" w:ascii="宋体" w:hAnsi="宋体" w:eastAsia="宋体" w:cs="宋体"/>
          <w:b/>
          <w:bCs/>
          <w:color w:val="000000"/>
          <w:kern w:val="2"/>
          <w:sz w:val="24"/>
          <w:szCs w:val="24"/>
          <w:lang w:val="en-US" w:eastAsia="zh-CN" w:bidi="ar-SA"/>
        </w:rPr>
      </w:pPr>
    </w:p>
    <w:p w14:paraId="041C6363">
      <w:pPr>
        <w:keepNext/>
        <w:keepLines/>
        <w:widowControl w:val="0"/>
        <w:spacing w:before="0" w:after="260" w:line="440" w:lineRule="exact"/>
        <w:ind w:firstLine="3373" w:firstLineChars="1400"/>
        <w:jc w:val="both"/>
        <w:outlineLvl w:val="1"/>
        <w:rPr>
          <w:rFonts w:hint="eastAsia" w:ascii="宋体" w:hAnsi="宋体" w:eastAsia="宋体" w:cs="宋体"/>
          <w:b/>
          <w:bCs/>
          <w:color w:val="000000"/>
          <w:kern w:val="2"/>
          <w:sz w:val="24"/>
          <w:szCs w:val="24"/>
          <w:lang w:val="en-US" w:eastAsia="zh-CN" w:bidi="ar-SA"/>
        </w:rPr>
      </w:pPr>
    </w:p>
    <w:p w14:paraId="260A83F6">
      <w:pPr>
        <w:keepNext/>
        <w:keepLines/>
        <w:widowControl w:val="0"/>
        <w:spacing w:before="0" w:after="260" w:line="440" w:lineRule="exact"/>
        <w:ind w:firstLine="3373" w:firstLineChars="1400"/>
        <w:jc w:val="both"/>
        <w:outlineLvl w:val="1"/>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廉政建设责任书</w:t>
      </w:r>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p>
    <w:p w14:paraId="53BCDC21">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14:paraId="6564B231">
      <w:pPr>
        <w:widowControl w:val="0"/>
        <w:snapToGrid w:val="0"/>
        <w:spacing w:line="440" w:lineRule="exact"/>
        <w:ind w:firstLine="482"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一、双方的责任</w:t>
      </w:r>
    </w:p>
    <w:p w14:paraId="0223F317">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1.1应严格遵守国家关于建设工程的有关法律、法规，相关政策，以及廉政建设的各项规定。</w:t>
      </w:r>
    </w:p>
    <w:p w14:paraId="4E408816">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1.2严格执行建设工程合同文件，自觉按合同办事。</w:t>
      </w:r>
    </w:p>
    <w:p w14:paraId="1E6FAE96">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1.3各项活动必须坚持公开、公平、公正、诚信、透明的原则(除法律法规另有规定者外)，不得为获取不正当的利益，损害国家、集体和对方利益，不得违反建设工程管理的规章制度。</w:t>
      </w:r>
    </w:p>
    <w:p w14:paraId="0C598455">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1.4发现对方在业务活动中有违规、违纪、违法行为的，应及时提醒对方，情节严重的，应向其上级主管部门或纪检监察、司法等有关机关举报。</w:t>
      </w:r>
    </w:p>
    <w:p w14:paraId="4386BBB8">
      <w:pPr>
        <w:widowControl w:val="0"/>
        <w:snapToGrid w:val="0"/>
        <w:spacing w:line="440" w:lineRule="exact"/>
        <w:ind w:firstLine="482"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二、发包人责任</w:t>
      </w:r>
    </w:p>
    <w:p w14:paraId="77ABAEBC">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发包人从事该建设工程项目的负责人和工作人员，在工程建设的事前、事中、事后应遵守以下规定：</w:t>
      </w:r>
    </w:p>
    <w:p w14:paraId="2BE805B2">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2.1不得向承包人和相关单位索要或接受回扣、礼金、有价证券、贵重物品和好处费、感谢费等。</w:t>
      </w:r>
    </w:p>
    <w:p w14:paraId="5469D62E">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2.2不得在承包人和相关单位报销任何应由发包人或个人支付的费用。</w:t>
      </w:r>
    </w:p>
    <w:p w14:paraId="41BFB3DE">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2.3不得要求、暗示或接受承包人和相关单位为个人装修住房、婚丧嫁娶、配偶子女的工作安排以及出国(境)、旅游等提供方便。</w:t>
      </w:r>
    </w:p>
    <w:p w14:paraId="04F5D8AA">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2.4不得参加有可能影响公正执行公务的承包人和相关单位的宴请、健身、娱乐等活动。</w:t>
      </w:r>
    </w:p>
    <w:p w14:paraId="0B3DFBA5">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2.5不得向承包人和相关单位介绍或为配偶、子女、亲属参与同发包人工程建设管理合同有关的业务活动；不得以任何理由要求承包人和相关单位使用某种产品、材料和设备。</w:t>
      </w:r>
    </w:p>
    <w:p w14:paraId="11B687F5">
      <w:pPr>
        <w:widowControl w:val="0"/>
        <w:snapToGrid w:val="0"/>
        <w:spacing w:line="440" w:lineRule="exact"/>
        <w:ind w:firstLine="482"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三、承包人责任</w:t>
      </w:r>
    </w:p>
    <w:p w14:paraId="669CBC38">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应与发包人保持正常的业务交往，按照有关法律法规和程序开展业务工作，严格执行工程建设的有关方针、政策，执行工程建设强制性标准，并遵守以下规定：</w:t>
      </w:r>
    </w:p>
    <w:p w14:paraId="5962A541">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3.1不得以任何理由向发包人及其工作人员索要、接受或赠送礼金、有价证券、贵重物品及回扣、好处费、感谢费等。</w:t>
      </w:r>
    </w:p>
    <w:p w14:paraId="70A291C1">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3.2不得以任何理由为发包人和相关单位报销应由对方或个人支付的费用。</w:t>
      </w:r>
    </w:p>
    <w:p w14:paraId="51F6C831">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3.3不得接受或暗示为发包人、相关单位或个人装修住房、婚丧嫁娶、配偶子女的工作安排以及出国(境)、旅游等提供方便。</w:t>
      </w:r>
    </w:p>
    <w:p w14:paraId="55BC703E">
      <w:pPr>
        <w:widowControl w:val="0"/>
        <w:snapToGrid w:val="0"/>
        <w:spacing w:line="440" w:lineRule="exact"/>
        <w:ind w:firstLine="480"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3.4不得以任何理由为发包人、相关单位或个人组织有可能影响公正执行公务的宴请、健身、娱乐等活动。</w:t>
      </w:r>
    </w:p>
    <w:p w14:paraId="41876BB3">
      <w:pPr>
        <w:widowControl w:val="0"/>
        <w:snapToGrid w:val="0"/>
        <w:spacing w:line="440" w:lineRule="exact"/>
        <w:ind w:firstLine="482"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四、违约责任</w:t>
      </w:r>
    </w:p>
    <w:p w14:paraId="3B17505A">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4.1发包人工作人员有违反本责任书第一、二条责任行为的，依据有关法律、法规给予处理；涉嫌犯罪的，移交司法机关追究刑事责任；给承包人单位造成经济损失的，应予以赔偿。</w:t>
      </w:r>
    </w:p>
    <w:p w14:paraId="0E7E6693">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4.2承包人工作人员有违反本责任书第一、三条责任行为的，依据有关法律法规处理；涉嫌犯罪的，移交司法机关追究刑事责任；给发包人单位造成经济损失的，应予以赔偿。</w:t>
      </w:r>
    </w:p>
    <w:p w14:paraId="4421AC51">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4.3本责任书作为本合同的组成部分，与本合同具有同等法律效力，经双方签署后立即生效。</w:t>
      </w:r>
    </w:p>
    <w:p w14:paraId="7E7B8029">
      <w:pPr>
        <w:widowControl w:val="0"/>
        <w:snapToGrid w:val="0"/>
        <w:spacing w:line="440" w:lineRule="exact"/>
        <w:ind w:firstLine="482"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五、责任书有效期</w:t>
      </w:r>
    </w:p>
    <w:p w14:paraId="0EAD5548">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本责任书的有效期为双方签署之日起至该工程项目竣工验收合格时止。</w:t>
      </w:r>
    </w:p>
    <w:p w14:paraId="16428102">
      <w:pPr>
        <w:widowControl w:val="0"/>
        <w:snapToGrid w:val="0"/>
        <w:spacing w:line="440" w:lineRule="exact"/>
        <w:ind w:firstLine="482" w:firstLineChars="200"/>
        <w:jc w:val="both"/>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六、责任书份数</w:t>
      </w:r>
    </w:p>
    <w:p w14:paraId="68B84083">
      <w:pPr>
        <w:widowControl w:val="0"/>
        <w:snapToGrid w:val="0"/>
        <w:spacing w:line="44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本责任书一式 拾贰份，均具有同等法律效力，发包人执捌份，承包人执肆份。</w:t>
      </w:r>
    </w:p>
    <w:p w14:paraId="4D02082E">
      <w:pPr>
        <w:widowControl w:val="0"/>
        <w:snapToGrid w:val="0"/>
        <w:spacing w:line="360" w:lineRule="auto"/>
        <w:ind w:left="105" w:leftChars="50" w:firstLine="600"/>
        <w:jc w:val="both"/>
        <w:rPr>
          <w:rFonts w:ascii="宋体" w:hAnsi="宋体" w:eastAsia="宋体" w:cs="宋体"/>
          <w:b/>
          <w:color w:val="000000"/>
          <w:kern w:val="2"/>
          <w:sz w:val="22"/>
          <w:szCs w:val="22"/>
          <w:lang w:val="en-US" w:eastAsia="zh-CN" w:bidi="ar-SA"/>
        </w:rPr>
      </w:pPr>
      <w:r>
        <w:rPr>
          <w:rFonts w:ascii="宋体" w:hAnsi="宋体" w:eastAsia="宋体" w:cs="宋体"/>
          <w:color w:val="000000"/>
          <w:kern w:val="2"/>
          <w:sz w:val="22"/>
          <w:szCs w:val="2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2803525</wp:posOffset>
                </wp:positionH>
                <wp:positionV relativeFrom="paragraph">
                  <wp:posOffset>62230</wp:posOffset>
                </wp:positionV>
                <wp:extent cx="3237230" cy="2667635"/>
                <wp:effectExtent l="0" t="0" r="1270" b="18415"/>
                <wp:wrapNone/>
                <wp:docPr id="7" name="文本框 7"/>
                <wp:cNvGraphicFramePr/>
                <a:graphic xmlns:a="http://schemas.openxmlformats.org/drawingml/2006/main">
                  <a:graphicData uri="http://schemas.microsoft.com/office/word/2010/wordprocessingShape">
                    <wps:wsp>
                      <wps:cNvSpPr txBox="1"/>
                      <wps:spPr>
                        <a:xfrm>
                          <a:off x="0" y="0"/>
                          <a:ext cx="3237230" cy="2667635"/>
                        </a:xfrm>
                        <a:prstGeom prst="rect">
                          <a:avLst/>
                        </a:prstGeom>
                        <a:solidFill>
                          <a:srgbClr val="FFFFFF"/>
                        </a:solidFill>
                        <a:ln>
                          <a:noFill/>
                        </a:ln>
                        <a:effectLst/>
                      </wps:spPr>
                      <wps:txbx>
                        <w:txbxContent>
                          <w:p w14:paraId="559A3384">
                            <w:pPr>
                              <w:widowControl w:val="0"/>
                              <w:spacing w:line="480" w:lineRule="auto"/>
                              <w:jc w:val="both"/>
                              <w:rPr>
                                <w:rFonts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承包人：（公章）  </w:t>
                            </w:r>
                          </w:p>
                          <w:p w14:paraId="2FD2C98F">
                            <w:pPr>
                              <w:widowControl w:val="0"/>
                              <w:spacing w:line="480" w:lineRule="auto"/>
                              <w:ind w:firstLine="220" w:firstLineChars="100"/>
                              <w:jc w:val="both"/>
                              <w:rPr>
                                <w:rFonts w:ascii="宋体" w:hAnsi="宋体" w:eastAsia="宋体" w:cs="宋体"/>
                                <w:kern w:val="2"/>
                                <w:sz w:val="22"/>
                                <w:szCs w:val="22"/>
                                <w:lang w:val="en-US" w:eastAsia="zh-CN" w:bidi="ar-SA"/>
                              </w:rPr>
                            </w:pPr>
                          </w:p>
                          <w:p w14:paraId="2285D439">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法定代表人或其委托代理人：（签字）</w:t>
                            </w:r>
                          </w:p>
                          <w:p w14:paraId="7F5EADC6">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地  址：</w:t>
                            </w:r>
                          </w:p>
                          <w:p w14:paraId="75FFEFE1">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电  话：</w:t>
                            </w:r>
                          </w:p>
                          <w:p w14:paraId="7723E5DE">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日  期：年月日</w:t>
                            </w:r>
                          </w:p>
                          <w:p w14:paraId="6E700659"/>
                        </w:txbxContent>
                      </wps:txbx>
                      <wps:bodyPr upright="1"/>
                    </wps:wsp>
                  </a:graphicData>
                </a:graphic>
              </wp:anchor>
            </w:drawing>
          </mc:Choice>
          <mc:Fallback>
            <w:pict>
              <v:shape id="_x0000_s1026" o:spid="_x0000_s1026" o:spt="202" type="#_x0000_t202" style="position:absolute;left:0pt;margin-left:220.75pt;margin-top:4.9pt;height:210.05pt;width:254.9pt;z-index:251665408;mso-width-relative:page;mso-height-relative:page;" fillcolor="#FFFFFF" filled="t" stroked="f" coordsize="21600,21600" o:gfxdata="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BEmttcAAAAJAQAADwAAAAAAAAABACAAAAAiAAAAZHJzL2Rvd25y&#10;ZXYueG1sUEsBAhQAFAAAAAgAh07iQEfhHMrGAQAAhgMAAA4AAAAAAAAAAQAgAAAAJgEAAGRycy9l&#10;Mm9Eb2MueG1sUEsFBgAAAAAGAAYAWQEAAF4FAAAAAA==&#10;">
                <v:fill on="t" focussize="0,0"/>
                <v:stroke on="f"/>
                <v:imagedata o:title=""/>
                <o:lock v:ext="edit" aspectratio="f"/>
                <v:textbox>
                  <w:txbxContent>
                    <w:p w14:paraId="559A3384">
                      <w:pPr>
                        <w:widowControl w:val="0"/>
                        <w:spacing w:line="480" w:lineRule="auto"/>
                        <w:jc w:val="both"/>
                        <w:rPr>
                          <w:rFonts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承包人：（公章）  </w:t>
                      </w:r>
                    </w:p>
                    <w:p w14:paraId="2FD2C98F">
                      <w:pPr>
                        <w:widowControl w:val="0"/>
                        <w:spacing w:line="480" w:lineRule="auto"/>
                        <w:ind w:firstLine="220" w:firstLineChars="100"/>
                        <w:jc w:val="both"/>
                        <w:rPr>
                          <w:rFonts w:ascii="宋体" w:hAnsi="宋体" w:eastAsia="宋体" w:cs="宋体"/>
                          <w:kern w:val="2"/>
                          <w:sz w:val="22"/>
                          <w:szCs w:val="22"/>
                          <w:lang w:val="en-US" w:eastAsia="zh-CN" w:bidi="ar-SA"/>
                        </w:rPr>
                      </w:pPr>
                    </w:p>
                    <w:p w14:paraId="2285D439">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法定代表人或其委托代理人：（签字）</w:t>
                      </w:r>
                    </w:p>
                    <w:p w14:paraId="7F5EADC6">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地  址：</w:t>
                      </w:r>
                    </w:p>
                    <w:p w14:paraId="75FFEFE1">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电  话：</w:t>
                      </w:r>
                    </w:p>
                    <w:p w14:paraId="7723E5DE">
                      <w:pPr>
                        <w:widowControl w:val="0"/>
                        <w:spacing w:line="480" w:lineRule="auto"/>
                        <w:jc w:val="both"/>
                        <w:rPr>
                          <w:rFonts w:ascii="宋体" w:hAnsi="宋体" w:eastAsia="宋体" w:cs="宋体"/>
                          <w:kern w:val="2"/>
                          <w:sz w:val="22"/>
                          <w:szCs w:val="22"/>
                          <w:u w:val="single"/>
                          <w:lang w:val="en-US" w:eastAsia="zh-CN" w:bidi="ar-SA"/>
                        </w:rPr>
                      </w:pPr>
                      <w:r>
                        <w:rPr>
                          <w:rFonts w:hint="eastAsia" w:ascii="宋体" w:hAnsi="宋体" w:eastAsia="宋体" w:cs="宋体"/>
                          <w:kern w:val="2"/>
                          <w:sz w:val="22"/>
                          <w:szCs w:val="22"/>
                          <w:lang w:val="en-US" w:eastAsia="zh-CN" w:bidi="ar-SA"/>
                        </w:rPr>
                        <w:t>日  期：年月日</w:t>
                      </w:r>
                    </w:p>
                    <w:p w14:paraId="6E700659"/>
                  </w:txbxContent>
                </v:textbox>
              </v:shape>
            </w:pict>
          </mc:Fallback>
        </mc:AlternateContent>
      </w:r>
      <w:r>
        <w:rPr>
          <w:rFonts w:ascii="宋体" w:hAnsi="宋体" w:eastAsia="宋体" w:cs="宋体"/>
          <w:color w:val="000000"/>
          <w:kern w:val="2"/>
          <w:sz w:val="22"/>
          <w:szCs w:val="2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0" name="文本框 10"/>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a:effectLst/>
                      </wps:spPr>
                      <wps:txbx>
                        <w:txbxContent>
                          <w:p w14:paraId="15F5F612">
                            <w:pPr>
                              <w:widowControl w:val="0"/>
                              <w:spacing w:line="48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发包人：（公章）南京建邺城市建设集团有限公司</w:t>
                            </w:r>
                          </w:p>
                          <w:p w14:paraId="2FE77D96">
                            <w:pPr>
                              <w:widowControl w:val="0"/>
                              <w:spacing w:line="48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法定代表人或其委托代理人：（签字）</w:t>
                            </w:r>
                          </w:p>
                          <w:p w14:paraId="43A7783F">
                            <w:pPr>
                              <w:widowControl w:val="0"/>
                              <w:spacing w:line="48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地  址：</w:t>
                            </w:r>
                            <w:r>
                              <w:rPr>
                                <w:rFonts w:hint="eastAsia" w:ascii="宋体" w:hAnsi="宋体" w:eastAsia="宋体" w:cs="宋体"/>
                                <w:kern w:val="2"/>
                                <w:sz w:val="21"/>
                                <w:szCs w:val="21"/>
                                <w:u w:val="single"/>
                                <w:lang w:val="en-US" w:eastAsia="zh-CN" w:bidi="ar-SA"/>
                              </w:rPr>
                              <w:t>南京市建邺区文体路56号11楼</w:t>
                            </w:r>
                          </w:p>
                          <w:p w14:paraId="3FD29078">
                            <w:pPr>
                              <w:widowControl w:val="0"/>
                              <w:spacing w:line="48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电  话：</w:t>
                            </w:r>
                            <w:r>
                              <w:rPr>
                                <w:rFonts w:hint="eastAsia" w:ascii="宋体" w:hAnsi="宋体" w:eastAsia="宋体" w:cs="宋体"/>
                                <w:kern w:val="2"/>
                                <w:sz w:val="22"/>
                                <w:szCs w:val="22"/>
                                <w:u w:val="single"/>
                                <w:lang w:val="en-US" w:eastAsia="zh-CN" w:bidi="ar-SA"/>
                              </w:rPr>
                              <w:t>025-84788730</w:t>
                            </w:r>
                          </w:p>
                          <w:p w14:paraId="324D42A2">
                            <w:pPr>
                              <w:widowControl w:val="0"/>
                              <w:jc w:val="both"/>
                              <w:rPr>
                                <w:rFonts w:ascii="宋体" w:hAnsi="宋体" w:eastAsia="宋体" w:cs="宋体"/>
                                <w:kern w:val="2"/>
                                <w:sz w:val="21"/>
                                <w:szCs w:val="22"/>
                                <w:lang w:val="en-US" w:eastAsia="zh-CN" w:bidi="ar-SA"/>
                              </w:rPr>
                            </w:pPr>
                            <w:r>
                              <w:rPr>
                                <w:rFonts w:hint="eastAsia" w:ascii="宋体" w:hAnsi="宋体" w:eastAsia="宋体" w:cs="宋体"/>
                                <w:kern w:val="2"/>
                                <w:sz w:val="21"/>
                                <w:szCs w:val="21"/>
                                <w:lang w:val="en-US" w:eastAsia="zh-CN" w:bidi="ar-SA"/>
                              </w:rPr>
                              <w:t>日  期：年月日</w:t>
                            </w:r>
                          </w:p>
                        </w:txbxContent>
                      </wps:txbx>
                      <wps:bodyPr upright="1"/>
                    </wps:wsp>
                  </a:graphicData>
                </a:graphic>
              </wp:anchor>
            </w:drawing>
          </mc:Choice>
          <mc:Fallback>
            <w:pict>
              <v:shape id="_x0000_s1026" o:spid="_x0000_s1026" o:spt="202" type="#_x0000_t202" style="position:absolute;left:0pt;margin-left:-4.8pt;margin-top:5pt;height:210.05pt;width:225.65pt;z-index:251664384;mso-width-relative:page;mso-height-relative:page;" fillcolor="#FFFFFF" filled="t" stroked="f" coordsize="21600,21600" o:gfxdata="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HkM/zXAAAACQEAAA8AAAAAAAAAAQAgAAAAIgAAAGRycy9kb3du&#10;cmV2LnhtbFBLAQIUABQAAAAIAIdO4kBTIYoCxwEAAIgDAAAOAAAAAAAAAAEAIAAAACYBAABkcnMv&#10;ZTJvRG9jLnhtbFBLBQYAAAAABgAGAFkBAABfBQAAAAA=&#10;">
                <v:fill on="t" focussize="0,0"/>
                <v:stroke on="f"/>
                <v:imagedata o:title=""/>
                <o:lock v:ext="edit" aspectratio="f"/>
                <v:textbox>
                  <w:txbxContent>
                    <w:p w14:paraId="15F5F612">
                      <w:pPr>
                        <w:widowControl w:val="0"/>
                        <w:spacing w:line="48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发包人：（公章）南京建邺城市建设集团有限公司</w:t>
                      </w:r>
                    </w:p>
                    <w:p w14:paraId="2FE77D96">
                      <w:pPr>
                        <w:widowControl w:val="0"/>
                        <w:spacing w:line="48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法定代表人或其委托代理人：（签字）</w:t>
                      </w:r>
                    </w:p>
                    <w:p w14:paraId="43A7783F">
                      <w:pPr>
                        <w:widowControl w:val="0"/>
                        <w:spacing w:line="48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地  址：</w:t>
                      </w:r>
                      <w:r>
                        <w:rPr>
                          <w:rFonts w:hint="eastAsia" w:ascii="宋体" w:hAnsi="宋体" w:eastAsia="宋体" w:cs="宋体"/>
                          <w:kern w:val="2"/>
                          <w:sz w:val="21"/>
                          <w:szCs w:val="21"/>
                          <w:u w:val="single"/>
                          <w:lang w:val="en-US" w:eastAsia="zh-CN" w:bidi="ar-SA"/>
                        </w:rPr>
                        <w:t>南京市建邺区文体路56号11楼</w:t>
                      </w:r>
                    </w:p>
                    <w:p w14:paraId="3FD29078">
                      <w:pPr>
                        <w:widowControl w:val="0"/>
                        <w:spacing w:line="480" w:lineRule="auto"/>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电  话：</w:t>
                      </w:r>
                      <w:r>
                        <w:rPr>
                          <w:rFonts w:hint="eastAsia" w:ascii="宋体" w:hAnsi="宋体" w:eastAsia="宋体" w:cs="宋体"/>
                          <w:kern w:val="2"/>
                          <w:sz w:val="22"/>
                          <w:szCs w:val="22"/>
                          <w:u w:val="single"/>
                          <w:lang w:val="en-US" w:eastAsia="zh-CN" w:bidi="ar-SA"/>
                        </w:rPr>
                        <w:t>025-84788730</w:t>
                      </w:r>
                    </w:p>
                    <w:p w14:paraId="324D42A2">
                      <w:pPr>
                        <w:widowControl w:val="0"/>
                        <w:jc w:val="both"/>
                        <w:rPr>
                          <w:rFonts w:ascii="宋体" w:hAnsi="宋体" w:eastAsia="宋体" w:cs="宋体"/>
                          <w:kern w:val="2"/>
                          <w:sz w:val="21"/>
                          <w:szCs w:val="22"/>
                          <w:lang w:val="en-US" w:eastAsia="zh-CN" w:bidi="ar-SA"/>
                        </w:rPr>
                      </w:pPr>
                      <w:r>
                        <w:rPr>
                          <w:rFonts w:hint="eastAsia" w:ascii="宋体" w:hAnsi="宋体" w:eastAsia="宋体" w:cs="宋体"/>
                          <w:kern w:val="2"/>
                          <w:sz w:val="21"/>
                          <w:szCs w:val="21"/>
                          <w:lang w:val="en-US" w:eastAsia="zh-CN" w:bidi="ar-SA"/>
                        </w:rPr>
                        <w:t>日  期：年月日</w:t>
                      </w:r>
                    </w:p>
                  </w:txbxContent>
                </v:textbox>
              </v:shape>
            </w:pict>
          </mc:Fallback>
        </mc:AlternateContent>
      </w:r>
    </w:p>
    <w:bookmarkEnd w:id="1584"/>
    <w:p w14:paraId="21DB5970">
      <w:pPr>
        <w:widowControl w:val="0"/>
        <w:autoSpaceDE w:val="0"/>
        <w:autoSpaceDN w:val="0"/>
        <w:adjustRightInd w:val="0"/>
        <w:snapToGrid w:val="0"/>
        <w:spacing w:line="360" w:lineRule="auto"/>
        <w:jc w:val="both"/>
        <w:rPr>
          <w:rFonts w:ascii="宋体" w:hAnsi="宋体" w:eastAsia="宋体" w:cs="宋体"/>
          <w:color w:val="000000"/>
          <w:kern w:val="0"/>
          <w:sz w:val="22"/>
          <w:szCs w:val="22"/>
          <w:lang w:val="en-US" w:eastAsia="zh-CN" w:bidi="ar-SA"/>
        </w:rPr>
      </w:pPr>
    </w:p>
    <w:p w14:paraId="0AA95368">
      <w:pPr>
        <w:rPr>
          <w:color w:val="000000"/>
        </w:rPr>
      </w:pPr>
    </w:p>
    <w:p w14:paraId="00E588DE">
      <w:pPr>
        <w:rPr>
          <w:rFonts w:ascii="宋体" w:hAnsi="宋体" w:cs="宋体"/>
          <w:sz w:val="28"/>
          <w:szCs w:val="28"/>
        </w:rPr>
      </w:pPr>
    </w:p>
    <w:p w14:paraId="4773CEAC">
      <w:pPr>
        <w:spacing w:line="360" w:lineRule="auto"/>
        <w:rPr>
          <w:rFonts w:hint="eastAsia" w:ascii="宋体" w:hAnsi="宋体" w:cs="宋体"/>
          <w:szCs w:val="21"/>
        </w:rPr>
      </w:pPr>
    </w:p>
    <w:p w14:paraId="60F57C38">
      <w:pPr>
        <w:spacing w:line="360" w:lineRule="auto"/>
        <w:rPr>
          <w:rFonts w:hint="eastAsia" w:ascii="方正小标宋_GBK" w:hAnsi="仿宋" w:eastAsia="方正小标宋_GBK"/>
          <w:b/>
          <w:sz w:val="44"/>
          <w:szCs w:val="44"/>
        </w:rPr>
      </w:pPr>
    </w:p>
    <w:p w14:paraId="3A3D35B0">
      <w:pPr>
        <w:widowControl/>
        <w:jc w:val="center"/>
        <w:rPr>
          <w:rFonts w:hint="eastAsia" w:ascii="宋体" w:hAnsi="宋体" w:cs="宋体"/>
          <w:color w:val="auto"/>
          <w:sz w:val="30"/>
          <w:szCs w:val="30"/>
          <w:highlight w:val="none"/>
        </w:rPr>
      </w:pPr>
      <w:r>
        <w:rPr>
          <w:rFonts w:hint="eastAsia" w:ascii="宋体" w:hAnsi="宋体" w:cs="宋体"/>
          <w:szCs w:val="21"/>
        </w:rPr>
        <w:br w:type="page"/>
      </w:r>
      <w:r>
        <w:rPr>
          <w:rFonts w:hint="eastAsia" w:ascii="宋体" w:hAnsi="宋体" w:cs="宋体"/>
          <w:color w:val="auto"/>
          <w:szCs w:val="21"/>
          <w:highlight w:val="none"/>
        </w:rPr>
        <w:tab/>
      </w:r>
      <w:bookmarkEnd w:id="304"/>
      <w:bookmarkStart w:id="4273" w:name="_Toc23868"/>
      <w:bookmarkStart w:id="4274" w:name="_Toc13409"/>
      <w:bookmarkStart w:id="4275" w:name="_Toc18001"/>
      <w:bookmarkStart w:id="4276" w:name="_Toc695"/>
      <w:bookmarkStart w:id="4277" w:name="_Toc13651"/>
      <w:bookmarkStart w:id="4278" w:name="_Toc21749"/>
      <w:bookmarkStart w:id="4279" w:name="_Toc1378"/>
      <w:bookmarkStart w:id="4280" w:name="_Toc15655"/>
      <w:bookmarkStart w:id="4281" w:name="_Toc21543"/>
      <w:bookmarkStart w:id="4282" w:name="_Toc12018"/>
      <w:bookmarkStart w:id="4283" w:name="_Toc19188"/>
      <w:r>
        <w:rPr>
          <w:rFonts w:hint="eastAsia" w:ascii="宋体" w:hAnsi="宋体" w:cs="宋体"/>
          <w:color w:val="auto"/>
          <w:sz w:val="32"/>
          <w:szCs w:val="32"/>
          <w:highlight w:val="none"/>
        </w:rPr>
        <w:t>第六章 竞争性磋商文件格式及附件</w:t>
      </w:r>
      <w:bookmarkEnd w:id="4273"/>
      <w:bookmarkEnd w:id="4274"/>
      <w:bookmarkEnd w:id="4275"/>
      <w:bookmarkEnd w:id="4276"/>
      <w:bookmarkEnd w:id="4277"/>
      <w:bookmarkEnd w:id="4278"/>
      <w:bookmarkEnd w:id="4279"/>
    </w:p>
    <w:p w14:paraId="237AA7C3">
      <w:pPr>
        <w:spacing w:line="360" w:lineRule="auto"/>
        <w:jc w:val="center"/>
        <w:rPr>
          <w:rFonts w:hint="eastAsia" w:ascii="宋体" w:hAnsi="宋体" w:cs="宋体"/>
          <w:b/>
          <w:color w:val="auto"/>
          <w:sz w:val="36"/>
          <w:szCs w:val="36"/>
          <w:highlight w:val="none"/>
        </w:rPr>
      </w:pPr>
      <w:bookmarkStart w:id="4284" w:name="_Toc23839"/>
    </w:p>
    <w:p w14:paraId="1DC37239">
      <w:pPr>
        <w:spacing w:line="360" w:lineRule="auto"/>
        <w:jc w:val="center"/>
        <w:rPr>
          <w:rFonts w:hint="eastAsia" w:ascii="宋体" w:hAnsi="宋体" w:cs="宋体"/>
          <w:b/>
          <w:color w:val="auto"/>
          <w:sz w:val="72"/>
          <w:highlight w:val="none"/>
        </w:rPr>
      </w:pPr>
    </w:p>
    <w:p w14:paraId="3D2CDC75">
      <w:pPr>
        <w:spacing w:line="360" w:lineRule="auto"/>
        <w:jc w:val="center"/>
        <w:rPr>
          <w:rFonts w:hint="eastAsia" w:ascii="宋体" w:hAnsi="宋体" w:cs="宋体"/>
          <w:b/>
          <w:color w:val="auto"/>
          <w:sz w:val="72"/>
          <w:highlight w:val="none"/>
        </w:rPr>
      </w:pPr>
    </w:p>
    <w:p w14:paraId="45D9BA2A">
      <w:pPr>
        <w:spacing w:line="360" w:lineRule="auto"/>
        <w:jc w:val="center"/>
        <w:rPr>
          <w:rFonts w:hint="eastAsia" w:ascii="宋体" w:hAnsi="宋体" w:cs="宋体"/>
          <w:b/>
          <w:color w:val="auto"/>
          <w:sz w:val="72"/>
          <w:highlight w:val="none"/>
        </w:rPr>
      </w:pPr>
      <w:r>
        <w:rPr>
          <w:rFonts w:hint="eastAsia" w:ascii="宋体" w:hAnsi="宋体" w:cs="宋体"/>
          <w:b/>
          <w:color w:val="auto"/>
          <w:sz w:val="72"/>
          <w:highlight w:val="none"/>
        </w:rPr>
        <w:t>竞争性磋商响应文件</w:t>
      </w:r>
    </w:p>
    <w:p w14:paraId="3DAE9478">
      <w:pPr>
        <w:spacing w:line="360" w:lineRule="auto"/>
        <w:ind w:firstLine="3708" w:firstLineChars="1026"/>
        <w:rPr>
          <w:rFonts w:hint="eastAsia" w:ascii="宋体" w:hAnsi="宋体" w:cs="宋体"/>
          <w:b/>
          <w:color w:val="auto"/>
          <w:sz w:val="36"/>
          <w:szCs w:val="36"/>
          <w:highlight w:val="none"/>
        </w:rPr>
      </w:pPr>
    </w:p>
    <w:p w14:paraId="3774F5E4">
      <w:pPr>
        <w:spacing w:line="360" w:lineRule="auto"/>
        <w:ind w:firstLine="3708" w:firstLineChars="1026"/>
        <w:rPr>
          <w:rFonts w:hint="eastAsia" w:ascii="宋体" w:hAnsi="宋体" w:cs="宋体"/>
          <w:b/>
          <w:color w:val="auto"/>
          <w:sz w:val="36"/>
          <w:szCs w:val="36"/>
          <w:highlight w:val="none"/>
        </w:rPr>
      </w:pPr>
    </w:p>
    <w:p w14:paraId="3E0C6A16">
      <w:pPr>
        <w:spacing w:line="360" w:lineRule="auto"/>
        <w:ind w:firstLine="3708" w:firstLineChars="1026"/>
        <w:rPr>
          <w:rFonts w:hint="eastAsia" w:ascii="宋体" w:hAnsi="宋体" w:cs="宋体"/>
          <w:b/>
          <w:color w:val="auto"/>
          <w:sz w:val="36"/>
          <w:szCs w:val="36"/>
          <w:highlight w:val="none"/>
        </w:rPr>
      </w:pPr>
    </w:p>
    <w:p w14:paraId="55E9FF72">
      <w:pPr>
        <w:spacing w:line="360" w:lineRule="auto"/>
        <w:ind w:firstLine="3708" w:firstLineChars="1026"/>
        <w:rPr>
          <w:rFonts w:hint="eastAsia" w:ascii="宋体" w:hAnsi="宋体" w:cs="宋体"/>
          <w:b/>
          <w:color w:val="auto"/>
          <w:sz w:val="36"/>
          <w:szCs w:val="36"/>
          <w:highlight w:val="none"/>
        </w:rPr>
      </w:pPr>
    </w:p>
    <w:p w14:paraId="2CF0250C">
      <w:pPr>
        <w:spacing w:line="360" w:lineRule="auto"/>
        <w:ind w:firstLine="1084" w:firstLineChars="30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项 目 编 号： </w:t>
      </w:r>
    </w:p>
    <w:p w14:paraId="69BB6803">
      <w:pPr>
        <w:spacing w:line="360" w:lineRule="auto"/>
        <w:ind w:firstLine="1084" w:firstLineChars="30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项 目 名 称： </w:t>
      </w:r>
    </w:p>
    <w:p w14:paraId="2906CC43">
      <w:pPr>
        <w:spacing w:line="360" w:lineRule="auto"/>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 xml:space="preserve">      供  应  商 ：</w:t>
      </w:r>
    </w:p>
    <w:p w14:paraId="78EDFF12">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日      期 ：</w:t>
      </w:r>
    </w:p>
    <w:p w14:paraId="6F5B8B91">
      <w:pPr>
        <w:outlineLvl w:val="1"/>
        <w:rPr>
          <w:rFonts w:hint="eastAsia" w:ascii="宋体" w:hAnsi="宋体" w:cs="宋体"/>
          <w:b/>
          <w:color w:val="auto"/>
          <w:szCs w:val="21"/>
          <w:highlight w:val="none"/>
        </w:rPr>
      </w:pPr>
      <w:r>
        <w:rPr>
          <w:rFonts w:hint="eastAsia" w:ascii="宋体" w:hAnsi="宋体" w:cs="宋体"/>
          <w:b/>
          <w:color w:val="auto"/>
          <w:sz w:val="36"/>
          <w:highlight w:val="none"/>
        </w:rPr>
        <w:br w:type="page"/>
      </w:r>
      <w:bookmarkStart w:id="4285" w:name="_Toc16617201"/>
      <w:bookmarkStart w:id="4286" w:name="_Toc2290"/>
      <w:bookmarkStart w:id="4287" w:name="_Toc27671"/>
      <w:bookmarkStart w:id="4288" w:name="_Toc28864"/>
      <w:bookmarkStart w:id="4289" w:name="_Toc3217"/>
      <w:bookmarkStart w:id="4290" w:name="_Toc8509"/>
      <w:bookmarkStart w:id="4291" w:name="_Toc9682"/>
      <w:bookmarkStart w:id="4292" w:name="_Toc18214"/>
      <w:bookmarkStart w:id="4293" w:name="_Toc4572"/>
      <w:bookmarkStart w:id="4294" w:name="_Toc10501"/>
      <w:bookmarkStart w:id="4295" w:name="_Toc25732"/>
      <w:r>
        <w:rPr>
          <w:rFonts w:hint="eastAsia" w:ascii="宋体" w:hAnsi="宋体" w:cs="宋体"/>
          <w:b/>
          <w:color w:val="auto"/>
          <w:sz w:val="24"/>
          <w:highlight w:val="none"/>
        </w:rPr>
        <w:t>一、磋商申请及声明</w:t>
      </w:r>
      <w:bookmarkEnd w:id="4284"/>
      <w:bookmarkEnd w:id="4285"/>
      <w:bookmarkEnd w:id="4286"/>
      <w:bookmarkEnd w:id="4287"/>
      <w:bookmarkEnd w:id="4288"/>
      <w:bookmarkEnd w:id="4289"/>
      <w:bookmarkEnd w:id="4290"/>
      <w:bookmarkEnd w:id="4291"/>
      <w:bookmarkEnd w:id="4292"/>
      <w:bookmarkEnd w:id="4293"/>
      <w:bookmarkEnd w:id="4294"/>
      <w:bookmarkEnd w:id="4295"/>
    </w:p>
    <w:p w14:paraId="39611DBA">
      <w:pPr>
        <w:ind w:firstLine="643" w:firstLineChars="200"/>
        <w:jc w:val="center"/>
        <w:rPr>
          <w:rFonts w:hint="eastAsia" w:ascii="宋体" w:hAnsi="宋体" w:cs="宋体"/>
          <w:b/>
          <w:bCs/>
          <w:color w:val="auto"/>
          <w:sz w:val="32"/>
          <w:szCs w:val="44"/>
          <w:highlight w:val="none"/>
        </w:rPr>
      </w:pPr>
    </w:p>
    <w:p w14:paraId="72A02986">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磋商申请及声明</w:t>
      </w:r>
    </w:p>
    <w:p w14:paraId="757BF0A7">
      <w:pPr>
        <w:keepNext/>
        <w:keepLines/>
        <w:widowControl w:val="0"/>
        <w:numPr>
          <w:ilvl w:val="0"/>
          <w:numId w:val="0"/>
        </w:numPr>
        <w:spacing w:before="280" w:after="290" w:line="376" w:lineRule="auto"/>
        <w:jc w:val="both"/>
        <w:outlineLvl w:val="3"/>
        <w:rPr>
          <w:rFonts w:hint="eastAsia" w:ascii="宋体" w:hAnsi="宋体" w:eastAsia="宋体" w:cs="宋体"/>
          <w:b/>
          <w:bCs/>
          <w:color w:val="auto"/>
          <w:kern w:val="2"/>
          <w:sz w:val="13"/>
          <w:szCs w:val="13"/>
          <w:highlight w:val="none"/>
          <w:lang w:val="en-US" w:eastAsia="zh-CN" w:bidi="ar-SA"/>
        </w:rPr>
      </w:pPr>
    </w:p>
    <w:p w14:paraId="30D9593E">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致：</w:t>
      </w:r>
      <w:r>
        <w:rPr>
          <w:rFonts w:hint="eastAsia" w:ascii="宋体" w:hAnsi="宋体" w:cs="宋体"/>
          <w:color w:val="auto"/>
          <w:sz w:val="24"/>
          <w:highlight w:val="none"/>
        </w:rPr>
        <w:t>南京建邺城市建设集团有限公司</w:t>
      </w:r>
    </w:p>
    <w:p w14:paraId="577AE5F0">
      <w:pPr>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根据贵方</w:t>
      </w:r>
      <w:r>
        <w:rPr>
          <w:rFonts w:hint="eastAsia" w:ascii="宋体" w:hAnsi="宋体" w:cs="宋体"/>
          <w:color w:val="auto"/>
          <w:sz w:val="24"/>
          <w:highlight w:val="none"/>
          <w:u w:val="single"/>
          <w:lang w:val="zh-CN"/>
        </w:rPr>
        <w:t xml:space="preserve">  （项目编号）   </w:t>
      </w:r>
      <w:r>
        <w:rPr>
          <w:rFonts w:hint="eastAsia" w:ascii="宋体" w:hAnsi="宋体" w:cs="宋体"/>
          <w:color w:val="auto"/>
          <w:sz w:val="24"/>
          <w:highlight w:val="none"/>
          <w:lang w:val="zh-CN"/>
        </w:rPr>
        <w:t>号采购文件，正式授权下述签字人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(姓名和职务)代表</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（供应商名称），提交响应文件并参加磋商。</w:t>
      </w:r>
    </w:p>
    <w:p w14:paraId="472152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据此函，签字人兹宣布同意如下：</w:t>
      </w:r>
    </w:p>
    <w:p w14:paraId="2B59A2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1.根据已收到的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磋商文件，遵照规定，我单位经现场考察和认真研究上述磋商文件后，愿以（大写）</w:t>
      </w:r>
      <w:r>
        <w:rPr>
          <w:rFonts w:hint="eastAsia" w:ascii="宋体" w:hAnsi="宋体" w:cs="宋体"/>
          <w:color w:val="auto"/>
          <w:sz w:val="24"/>
          <w:highlight w:val="none"/>
          <w:u w:val="single"/>
        </w:rPr>
        <w:t xml:space="preserve">              元</w:t>
      </w:r>
      <w:r>
        <w:rPr>
          <w:rFonts w:hint="eastAsia" w:ascii="宋体" w:hAnsi="宋体" w:cs="宋体"/>
          <w:color w:val="auto"/>
          <w:sz w:val="24"/>
          <w:highlight w:val="none"/>
        </w:rPr>
        <w:t>人民币（￥</w:t>
      </w:r>
      <w:r>
        <w:rPr>
          <w:rFonts w:hint="eastAsia" w:ascii="宋体" w:hAnsi="宋体" w:cs="宋体"/>
          <w:color w:val="auto"/>
          <w:sz w:val="24"/>
          <w:highlight w:val="none"/>
          <w:u w:val="single"/>
        </w:rPr>
        <w:t xml:space="preserve">       元</w:t>
      </w:r>
      <w:r>
        <w:rPr>
          <w:rFonts w:hint="eastAsia" w:ascii="宋体" w:hAnsi="宋体" w:cs="宋体"/>
          <w:color w:val="auto"/>
          <w:sz w:val="24"/>
          <w:highlight w:val="none"/>
        </w:rPr>
        <w:t>）作为磋商报价。项目工期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日历天；拟派项目负责人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460C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2.我们完全理解贵方不一定要接受最低报价的磋商或收到的任何磋商。</w:t>
      </w:r>
    </w:p>
    <w:p w14:paraId="0C74BA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3.我们已详细审核全部磋商文件及其有效补充文件，我们知道必须放弃提出含糊不清或误解的问题的权利。</w:t>
      </w:r>
    </w:p>
    <w:p w14:paraId="6C536E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4.我们同意从规定的磋商日期起遵循本磋商文件，并在规定的磋商有效期期满之前均具有约束力。</w:t>
      </w:r>
    </w:p>
    <w:p w14:paraId="00C6D5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5.同意向贵方提供贵方可能要求的与磋商有关的任何证据或资料。</w:t>
      </w:r>
    </w:p>
    <w:p w14:paraId="10A8E7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6.一旦我方成交，我方将根据磋商文件的规定，严格履行合同，并保证于承诺的时间完成货物的启动、调试等服务，交付采购人验收、使用。</w:t>
      </w:r>
    </w:p>
    <w:p w14:paraId="26E1BB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8C30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（1）提供虚假材料谋取中标、成交的；</w:t>
      </w:r>
    </w:p>
    <w:p w14:paraId="5FF508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（2）采取不正当手段诋毁、排挤其他供应商的；</w:t>
      </w:r>
    </w:p>
    <w:p w14:paraId="7BEC8E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（3）与采购人、其它供应商或者采购代理机构恶意串通的；</w:t>
      </w:r>
    </w:p>
    <w:p w14:paraId="2B10B2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（4）向采购人、采购代理机构行贿或者提供其他不正当利益的；</w:t>
      </w:r>
    </w:p>
    <w:p w14:paraId="54EECC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（5）在采购过程中与采购人进行协商磋商的；</w:t>
      </w:r>
    </w:p>
    <w:p w14:paraId="6DBF2E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14:paraId="475F5C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8.与本磋商有关的正式通讯地址为：</w:t>
      </w:r>
    </w:p>
    <w:p w14:paraId="05351DA9">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 xml:space="preserve">供应商名称（盖章）：  </w:t>
      </w:r>
    </w:p>
    <w:p w14:paraId="1F8C43C3">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地   址：</w:t>
      </w:r>
    </w:p>
    <w:p w14:paraId="100C81A3">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p>
    <w:p w14:paraId="71AEBEE7">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传   真：</w:t>
      </w:r>
    </w:p>
    <w:p w14:paraId="14061D22">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开户银行：</w:t>
      </w:r>
    </w:p>
    <w:p w14:paraId="3EC636E3">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帐    号：</w:t>
      </w:r>
    </w:p>
    <w:p w14:paraId="48B1DC35">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 xml:space="preserve">供应商授权代表姓名（签字）：  </w:t>
      </w:r>
    </w:p>
    <w:p w14:paraId="7B66882C">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 xml:space="preserve">日    期：     年  月  日 </w:t>
      </w:r>
    </w:p>
    <w:p w14:paraId="32A77D9D">
      <w:pPr>
        <w:ind w:firstLine="525" w:firstLineChars="250"/>
        <w:rPr>
          <w:rFonts w:hint="eastAsia" w:ascii="宋体" w:hAnsi="宋体" w:cs="宋体"/>
          <w:color w:val="auto"/>
          <w:highlight w:val="none"/>
          <w:u w:val="single"/>
        </w:rPr>
      </w:pPr>
    </w:p>
    <w:p w14:paraId="72789537">
      <w:pPr>
        <w:spacing w:line="360" w:lineRule="auto"/>
        <w:outlineLvl w:val="1"/>
        <w:rPr>
          <w:rFonts w:hint="eastAsia" w:ascii="宋体" w:hAnsi="宋体" w:cs="宋体"/>
          <w:b/>
          <w:color w:val="auto"/>
          <w:sz w:val="24"/>
          <w:highlight w:val="none"/>
        </w:rPr>
      </w:pPr>
      <w:bookmarkStart w:id="4296" w:name="_Toc11261"/>
      <w:r>
        <w:rPr>
          <w:rFonts w:hint="eastAsia" w:ascii="宋体" w:hAnsi="宋体" w:cs="宋体"/>
          <w:b/>
          <w:color w:val="auto"/>
          <w:szCs w:val="21"/>
          <w:highlight w:val="none"/>
        </w:rPr>
        <w:br w:type="page"/>
      </w:r>
      <w:bookmarkStart w:id="4297" w:name="_Toc28884"/>
      <w:bookmarkStart w:id="4298" w:name="_Toc28744"/>
      <w:bookmarkStart w:id="4299" w:name="_Toc25826"/>
      <w:bookmarkStart w:id="4300" w:name="_Toc31281"/>
      <w:bookmarkStart w:id="4301" w:name="_Toc26252"/>
      <w:bookmarkStart w:id="4302" w:name="_Toc31445"/>
      <w:bookmarkStart w:id="4303" w:name="_Toc29001"/>
      <w:bookmarkStart w:id="4304" w:name="_Toc4114"/>
      <w:bookmarkStart w:id="4305" w:name="_Toc16617202"/>
      <w:bookmarkStart w:id="4306" w:name="_Toc1085"/>
      <w:bookmarkStart w:id="4307" w:name="_Toc26531"/>
      <w:r>
        <w:rPr>
          <w:rFonts w:hint="eastAsia" w:ascii="宋体" w:hAnsi="宋体" w:cs="宋体"/>
          <w:b/>
          <w:color w:val="auto"/>
          <w:sz w:val="24"/>
          <w:highlight w:val="none"/>
        </w:rPr>
        <w:t>二、法定代表人授权委托书</w:t>
      </w:r>
      <w:bookmarkEnd w:id="4296"/>
      <w:bookmarkEnd w:id="4297"/>
      <w:bookmarkEnd w:id="4298"/>
      <w:bookmarkEnd w:id="4299"/>
      <w:bookmarkEnd w:id="4300"/>
      <w:bookmarkEnd w:id="4301"/>
      <w:bookmarkEnd w:id="4302"/>
      <w:bookmarkEnd w:id="4303"/>
      <w:bookmarkEnd w:id="4304"/>
      <w:bookmarkEnd w:id="4305"/>
      <w:bookmarkEnd w:id="4306"/>
      <w:bookmarkEnd w:id="4307"/>
    </w:p>
    <w:p w14:paraId="1F026786">
      <w:pPr>
        <w:spacing w:line="360" w:lineRule="auto"/>
        <w:ind w:firstLine="482" w:firstLineChars="200"/>
        <w:jc w:val="center"/>
        <w:rPr>
          <w:rFonts w:hint="eastAsia" w:ascii="宋体" w:hAnsi="宋体" w:cs="宋体"/>
          <w:b/>
          <w:bCs/>
          <w:color w:val="auto"/>
          <w:sz w:val="24"/>
          <w:highlight w:val="none"/>
        </w:rPr>
      </w:pPr>
    </w:p>
    <w:p w14:paraId="36612AC7">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法定代表人授权委托书</w:t>
      </w:r>
    </w:p>
    <w:p w14:paraId="78DE2CF3">
      <w:pPr>
        <w:spacing w:line="360" w:lineRule="auto"/>
        <w:ind w:firstLine="482" w:firstLineChars="200"/>
        <w:jc w:val="center"/>
        <w:rPr>
          <w:rFonts w:hint="eastAsia" w:ascii="宋体" w:hAnsi="宋体" w:cs="宋体"/>
          <w:b/>
          <w:bCs/>
          <w:color w:val="auto"/>
          <w:sz w:val="24"/>
          <w:highlight w:val="none"/>
        </w:rPr>
      </w:pPr>
    </w:p>
    <w:p w14:paraId="18EE19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南京建邺城市建设集团有限公司：</w:t>
      </w:r>
    </w:p>
    <w:p w14:paraId="4DA9E02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本授权书声明：注册于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（供应商注册地址）的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（法定代表人姓名、职务）代表本公司授权在下面签字的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（授权代表姓名、职务）为本公司的合法代理人，就贵方组织的项目编号，项目名称</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，以本公司名义处理一切与之有关的事务。</w:t>
      </w:r>
    </w:p>
    <w:p w14:paraId="05CB36B3">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14:paraId="25D60A7D">
      <w:pPr>
        <w:spacing w:line="360" w:lineRule="auto"/>
        <w:ind w:firstLine="420"/>
        <w:rPr>
          <w:rFonts w:hint="eastAsia" w:ascii="宋体" w:hAnsi="宋体" w:cs="宋体"/>
          <w:color w:val="auto"/>
          <w:sz w:val="24"/>
          <w:highlight w:val="none"/>
        </w:rPr>
      </w:pPr>
    </w:p>
    <w:p w14:paraId="1DE4E18B">
      <w:pPr>
        <w:wordWrap w:val="0"/>
        <w:spacing w:line="360" w:lineRule="auto"/>
        <w:ind w:firstLine="420"/>
        <w:jc w:val="right"/>
        <w:rPr>
          <w:rFonts w:hint="eastAsia" w:ascii="宋体" w:hAnsi="宋体" w:cs="宋体"/>
          <w:color w:val="auto"/>
          <w:sz w:val="24"/>
          <w:highlight w:val="none"/>
        </w:rPr>
      </w:pPr>
      <w:r>
        <w:rPr>
          <w:rFonts w:hint="eastAsia" w:ascii="宋体" w:hAnsi="宋体" w:cs="宋体"/>
          <w:color w:val="auto"/>
          <w:sz w:val="24"/>
          <w:highlight w:val="none"/>
        </w:rPr>
        <w:t xml:space="preserve">法定代表人签字：               </w:t>
      </w:r>
    </w:p>
    <w:p w14:paraId="063DA237">
      <w:pPr>
        <w:spacing w:line="360" w:lineRule="auto"/>
        <w:ind w:right="840" w:firstLine="435"/>
        <w:jc w:val="center"/>
        <w:rPr>
          <w:rFonts w:hint="eastAsia" w:ascii="宋体" w:hAnsi="宋体" w:cs="宋体"/>
          <w:color w:val="auto"/>
          <w:sz w:val="24"/>
          <w:highlight w:val="none"/>
        </w:rPr>
      </w:pPr>
      <w:r>
        <w:rPr>
          <w:rFonts w:hint="eastAsia" w:ascii="宋体" w:hAnsi="宋体" w:cs="宋体"/>
          <w:color w:val="auto"/>
          <w:sz w:val="24"/>
          <w:highlight w:val="none"/>
        </w:rPr>
        <w:t xml:space="preserve">                                     被授权人签字：</w:t>
      </w:r>
    </w:p>
    <w:p w14:paraId="36D1E3E7">
      <w:pPr>
        <w:spacing w:line="360" w:lineRule="auto"/>
        <w:ind w:right="420" w:firstLine="435"/>
        <w:jc w:val="center"/>
        <w:rPr>
          <w:rFonts w:hint="eastAsia" w:ascii="宋体" w:hAnsi="宋体" w:cs="宋体"/>
          <w:color w:val="auto"/>
          <w:sz w:val="24"/>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供应商</w:t>
      </w:r>
      <w:r>
        <w:rPr>
          <w:rFonts w:hint="eastAsia" w:ascii="宋体" w:hAnsi="宋体" w:cs="宋体"/>
          <w:color w:val="auto"/>
          <w:sz w:val="24"/>
          <w:highlight w:val="none"/>
        </w:rPr>
        <w:t xml:space="preserve">（盖章）：                 </w:t>
      </w:r>
    </w:p>
    <w:p w14:paraId="132B0A8F">
      <w:pPr>
        <w:tabs>
          <w:tab w:val="left" w:pos="1440"/>
        </w:tabs>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    年    月    日</w:t>
      </w:r>
    </w:p>
    <w:p w14:paraId="15B0DEB1">
      <w:pPr>
        <w:tabs>
          <w:tab w:val="left" w:pos="1440"/>
        </w:tabs>
        <w:ind w:firstLine="420" w:firstLineChars="200"/>
        <w:rPr>
          <w:rFonts w:hint="eastAsia" w:ascii="宋体" w:hAnsi="宋体" w:cs="宋体"/>
          <w:color w:val="auto"/>
          <w:szCs w:val="21"/>
          <w:highlight w:val="none"/>
        </w:rPr>
      </w:pPr>
    </w:p>
    <w:p w14:paraId="5BAB124B">
      <w:pPr>
        <w:jc w:val="left"/>
        <w:rPr>
          <w:rFonts w:hint="eastAsia" w:ascii="宋体" w:hAnsi="宋体" w:cs="宋体"/>
          <w:b/>
          <w:color w:val="auto"/>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0"/>
      </w:tblGrid>
      <w:tr w14:paraId="2F1C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9520" w:type="dxa"/>
            <w:noWrap w:val="0"/>
            <w:vAlign w:val="center"/>
          </w:tcPr>
          <w:p w14:paraId="368B5EB9">
            <w:pPr>
              <w:spacing w:line="360" w:lineRule="auto"/>
              <w:jc w:val="center"/>
              <w:outlineLvl w:val="1"/>
              <w:rPr>
                <w:rFonts w:hint="eastAsia" w:ascii="宋体" w:hAnsi="宋体" w:cs="宋体"/>
                <w:b/>
                <w:color w:val="auto"/>
                <w:szCs w:val="21"/>
                <w:highlight w:val="none"/>
              </w:rPr>
            </w:pPr>
            <w:bookmarkStart w:id="4308" w:name="_Toc19583"/>
            <w:bookmarkStart w:id="4309" w:name="_Toc16697"/>
            <w:bookmarkStart w:id="4310" w:name="_Toc15240"/>
            <w:bookmarkStart w:id="4311" w:name="_Toc31511"/>
            <w:bookmarkStart w:id="4312" w:name="_Toc27875"/>
            <w:bookmarkStart w:id="4313" w:name="_Toc16617203"/>
            <w:bookmarkStart w:id="4314" w:name="_Toc674"/>
            <w:bookmarkStart w:id="4315" w:name="_Toc10688"/>
            <w:bookmarkStart w:id="4316" w:name="_Toc20006"/>
            <w:r>
              <w:rPr>
                <w:rFonts w:hint="eastAsia" w:ascii="宋体" w:hAnsi="宋体" w:cs="宋体"/>
                <w:b/>
                <w:color w:val="auto"/>
                <w:szCs w:val="21"/>
                <w:highlight w:val="none"/>
                <w:lang w:val="zh-CN"/>
              </w:rPr>
              <w:t>授权代表身份证复印件</w:t>
            </w:r>
          </w:p>
        </w:tc>
      </w:tr>
    </w:tbl>
    <w:p w14:paraId="4B9C7B47">
      <w:pPr>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br w:type="page"/>
      </w:r>
      <w:bookmarkStart w:id="4317" w:name="_Toc17242"/>
      <w:bookmarkStart w:id="4318" w:name="_Toc9344"/>
      <w:bookmarkStart w:id="4319" w:name="_Toc3599"/>
      <w:r>
        <w:rPr>
          <w:rFonts w:hint="eastAsia" w:ascii="宋体" w:hAnsi="宋体" w:cs="宋体"/>
          <w:b/>
          <w:color w:val="auto"/>
          <w:sz w:val="24"/>
          <w:highlight w:val="none"/>
        </w:rPr>
        <w:t>三、磋商报价汇总表</w:t>
      </w:r>
      <w:bookmarkEnd w:id="4308"/>
      <w:bookmarkEnd w:id="4309"/>
      <w:bookmarkEnd w:id="4310"/>
      <w:bookmarkEnd w:id="4311"/>
      <w:bookmarkEnd w:id="4312"/>
      <w:bookmarkEnd w:id="4313"/>
      <w:bookmarkEnd w:id="4314"/>
      <w:bookmarkEnd w:id="4315"/>
      <w:bookmarkEnd w:id="4316"/>
      <w:bookmarkEnd w:id="4317"/>
      <w:bookmarkEnd w:id="4318"/>
      <w:bookmarkEnd w:id="4319"/>
    </w:p>
    <w:p w14:paraId="3F4C1FB5">
      <w:pPr>
        <w:autoSpaceDE w:val="0"/>
        <w:autoSpaceDN w:val="0"/>
        <w:adjustRightInd w:val="0"/>
        <w:spacing w:line="360" w:lineRule="auto"/>
        <w:ind w:firstLine="281" w:firstLineChars="100"/>
        <w:jc w:val="center"/>
        <w:rPr>
          <w:rFonts w:hint="eastAsia" w:ascii="宋体" w:hAnsi="宋体" w:cs="宋体"/>
          <w:b/>
          <w:color w:val="auto"/>
          <w:sz w:val="28"/>
          <w:szCs w:val="28"/>
          <w:highlight w:val="none"/>
        </w:rPr>
      </w:pPr>
    </w:p>
    <w:p w14:paraId="195BA491">
      <w:pPr>
        <w:spacing w:line="360" w:lineRule="auto"/>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磋商报价汇总表</w:t>
      </w:r>
    </w:p>
    <w:p w14:paraId="243EBB94">
      <w:pPr>
        <w:spacing w:line="360" w:lineRule="auto"/>
        <w:jc w:val="left"/>
        <w:rPr>
          <w:rFonts w:hint="eastAsia" w:ascii="宋体" w:hAnsi="宋体" w:cs="宋体"/>
          <w:color w:val="auto"/>
          <w:sz w:val="24"/>
          <w:highlight w:val="none"/>
          <w:lang w:val="en-GB"/>
        </w:rPr>
      </w:pPr>
      <w:r>
        <w:rPr>
          <w:rFonts w:hint="eastAsia" w:ascii="宋体" w:hAnsi="宋体" w:cs="宋体"/>
          <w:color w:val="auto"/>
          <w:sz w:val="24"/>
          <w:highlight w:val="none"/>
        </w:rPr>
        <w:t>项目编号：</w:t>
      </w:r>
    </w:p>
    <w:p w14:paraId="54A28CC2">
      <w:pPr>
        <w:autoSpaceDE w:val="0"/>
        <w:autoSpaceDN w:val="0"/>
        <w:adjustRightIn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bCs/>
          <w:color w:val="auto"/>
          <w:sz w:val="24"/>
          <w:highlight w:val="none"/>
          <w:lang w:eastAsia="zh-CN"/>
        </w:rPr>
        <w:t>建邺北部老城区街旁绿地改造（3处口袋公园）项目</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5707"/>
        <w:gridCol w:w="1999"/>
      </w:tblGrid>
      <w:tr w14:paraId="0B63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trPr>
        <w:tc>
          <w:tcPr>
            <w:tcW w:w="1834" w:type="dxa"/>
            <w:noWrap w:val="0"/>
            <w:vAlign w:val="center"/>
          </w:tcPr>
          <w:p w14:paraId="43C7CB15">
            <w:pPr>
              <w:widowControl w:val="0"/>
              <w:spacing w:after="0"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 磋商总报价</w:t>
            </w:r>
          </w:p>
        </w:tc>
        <w:tc>
          <w:tcPr>
            <w:tcW w:w="5707" w:type="dxa"/>
            <w:noWrap w:val="0"/>
            <w:vAlign w:val="center"/>
          </w:tcPr>
          <w:p w14:paraId="35304092">
            <w:pPr>
              <w:widowControl w:val="0"/>
              <w:spacing w:after="120" w:line="360" w:lineRule="auto"/>
              <w:jc w:val="both"/>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kern w:val="2"/>
                <w:sz w:val="24"/>
                <w:szCs w:val="24"/>
                <w:highlight w:val="none"/>
                <w:lang w:val="en-US" w:eastAsia="zh-CN" w:bidi="ar-SA"/>
              </w:rPr>
              <w:t>大写：人民币</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元</w:t>
            </w:r>
            <w:r>
              <w:rPr>
                <w:rFonts w:hint="eastAsia" w:ascii="宋体" w:hAnsi="宋体" w:eastAsia="宋体" w:cs="宋体"/>
                <w:bCs/>
                <w:color w:val="auto"/>
                <w:kern w:val="2"/>
                <w:sz w:val="24"/>
                <w:szCs w:val="24"/>
                <w:highlight w:val="none"/>
                <w:u w:val="single"/>
                <w:lang w:val="en-US" w:eastAsia="zh-CN" w:bidi="ar-SA"/>
              </w:rPr>
              <w:t xml:space="preserve">         </w:t>
            </w:r>
          </w:p>
          <w:p w14:paraId="02AA20BA">
            <w:pPr>
              <w:widowControl w:val="0"/>
              <w:spacing w:after="120" w:line="36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小写：￥</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元</w:t>
            </w:r>
          </w:p>
        </w:tc>
        <w:tc>
          <w:tcPr>
            <w:tcW w:w="1999" w:type="dxa"/>
            <w:noWrap w:val="0"/>
            <w:vAlign w:val="center"/>
          </w:tcPr>
          <w:p w14:paraId="119D338C">
            <w:pPr>
              <w:widowControl w:val="0"/>
              <w:spacing w:after="0" w:line="360" w:lineRule="auto"/>
              <w:jc w:val="center"/>
              <w:rPr>
                <w:rFonts w:hint="eastAsia" w:ascii="宋体" w:hAnsi="宋体" w:eastAsia="宋体" w:cs="宋体"/>
                <w:color w:val="auto"/>
                <w:kern w:val="2"/>
                <w:sz w:val="24"/>
                <w:szCs w:val="24"/>
                <w:highlight w:val="none"/>
                <w:lang w:val="en-US" w:eastAsia="zh-CN" w:bidi="ar-SA"/>
              </w:rPr>
            </w:pPr>
          </w:p>
        </w:tc>
      </w:tr>
      <w:tr w14:paraId="62C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34" w:type="dxa"/>
            <w:noWrap w:val="0"/>
            <w:vAlign w:val="center"/>
          </w:tcPr>
          <w:p w14:paraId="6AC70A7C">
            <w:pPr>
              <w:widowControl w:val="0"/>
              <w:spacing w:after="0"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响应文件份数</w:t>
            </w:r>
          </w:p>
        </w:tc>
        <w:tc>
          <w:tcPr>
            <w:tcW w:w="5707" w:type="dxa"/>
            <w:noWrap w:val="0"/>
            <w:vAlign w:val="center"/>
          </w:tcPr>
          <w:p w14:paraId="39F72529">
            <w:pPr>
              <w:widowControl w:val="0"/>
              <w:spacing w:after="0" w:line="36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正本：</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份              副本：</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份</w:t>
            </w:r>
          </w:p>
        </w:tc>
        <w:tc>
          <w:tcPr>
            <w:tcW w:w="1999" w:type="dxa"/>
            <w:noWrap w:val="0"/>
            <w:vAlign w:val="center"/>
          </w:tcPr>
          <w:p w14:paraId="249B9EB6">
            <w:pPr>
              <w:widowControl w:val="0"/>
              <w:spacing w:after="0" w:line="360" w:lineRule="auto"/>
              <w:jc w:val="both"/>
              <w:rPr>
                <w:rFonts w:hint="eastAsia" w:ascii="宋体" w:hAnsi="宋体" w:eastAsia="宋体" w:cs="宋体"/>
                <w:color w:val="auto"/>
                <w:kern w:val="2"/>
                <w:sz w:val="24"/>
                <w:szCs w:val="24"/>
                <w:highlight w:val="none"/>
                <w:lang w:val="en-US" w:eastAsia="zh-CN" w:bidi="ar-SA"/>
              </w:rPr>
            </w:pPr>
          </w:p>
        </w:tc>
      </w:tr>
      <w:tr w14:paraId="0C1D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34" w:type="dxa"/>
            <w:noWrap w:val="0"/>
            <w:vAlign w:val="center"/>
          </w:tcPr>
          <w:p w14:paraId="25F52571">
            <w:pPr>
              <w:widowControl w:val="0"/>
              <w:spacing w:after="0"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供应商是否属于小微型企业</w:t>
            </w:r>
          </w:p>
        </w:tc>
        <w:tc>
          <w:tcPr>
            <w:tcW w:w="5707" w:type="dxa"/>
            <w:noWrap w:val="0"/>
            <w:vAlign w:val="center"/>
          </w:tcPr>
          <w:p w14:paraId="25E07BC3">
            <w:pPr>
              <w:widowControl w:val="0"/>
              <w:spacing w:after="0" w:line="360" w:lineRule="auto"/>
              <w:jc w:val="both"/>
              <w:rPr>
                <w:rFonts w:hint="eastAsia" w:ascii="宋体" w:hAnsi="宋体" w:eastAsia="宋体" w:cs="宋体"/>
                <w:color w:val="auto"/>
                <w:kern w:val="2"/>
                <w:sz w:val="24"/>
                <w:szCs w:val="24"/>
                <w:highlight w:val="none"/>
                <w:lang w:val="zh-CN" w:eastAsia="zh-CN" w:bidi="ar-SA"/>
              </w:rPr>
            </w:pPr>
          </w:p>
        </w:tc>
        <w:tc>
          <w:tcPr>
            <w:tcW w:w="1999" w:type="dxa"/>
            <w:noWrap w:val="0"/>
            <w:vAlign w:val="center"/>
          </w:tcPr>
          <w:p w14:paraId="4D43418A">
            <w:pPr>
              <w:widowControl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填写“是”或“否</w:t>
            </w:r>
          </w:p>
        </w:tc>
      </w:tr>
    </w:tbl>
    <w:p w14:paraId="12A0E8B1">
      <w:pPr>
        <w:wordWrap w:val="0"/>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w:t>
      </w:r>
      <w:r>
        <w:rPr>
          <w:rFonts w:hint="eastAsia" w:ascii="宋体" w:hAnsi="宋体" w:cs="宋体"/>
          <w:color w:val="auto"/>
          <w:sz w:val="24"/>
          <w:highlight w:val="none"/>
        </w:rPr>
        <w:t xml:space="preserve">（盖章）：            </w:t>
      </w:r>
    </w:p>
    <w:p w14:paraId="325DA565">
      <w:pPr>
        <w:wordWrap w:val="0"/>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w:t>
      </w:r>
    </w:p>
    <w:p w14:paraId="1CCC0744">
      <w:pPr>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日    期：    年    月   日</w:t>
      </w:r>
    </w:p>
    <w:p w14:paraId="0EE764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说明：</w:t>
      </w:r>
    </w:p>
    <w:p w14:paraId="6BF9E99B">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1、采购人对每一项货物和服务仅接受一个价格，不得填报有选择性报价方案。若有优惠条款须注明，但不得影响报价，影响产品整体功能。</w:t>
      </w:r>
    </w:p>
    <w:p w14:paraId="2E558CD6">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磋商报价是磋商文件所确定的采购范围内的全部货物或服务的价格体现。磋商报价：包括但不限于人员劳资、交通费、风险评估费等，应包括供应商为完成该项目所承担的全部费用、利润、税金、政策性文件规定及及合同包含内的所有风险、责任等各项应有费用，不论其在采购文件中是否有提及。响应供应商应根据上述因素自行考虑磋商报价。</w:t>
      </w:r>
    </w:p>
    <w:p w14:paraId="50BBA525">
      <w:pPr>
        <w:outlineLvl w:val="1"/>
        <w:rPr>
          <w:rFonts w:hint="eastAsia" w:ascii="宋体" w:hAnsi="宋体" w:cs="宋体"/>
          <w:b/>
          <w:color w:val="auto"/>
          <w:szCs w:val="21"/>
          <w:highlight w:val="none"/>
        </w:rPr>
      </w:pPr>
      <w:bookmarkStart w:id="4320" w:name="_Toc7268"/>
      <w:r>
        <w:rPr>
          <w:rFonts w:hint="eastAsia" w:ascii="宋体" w:hAnsi="宋体" w:cs="宋体"/>
          <w:b/>
          <w:color w:val="auto"/>
          <w:szCs w:val="21"/>
          <w:highlight w:val="none"/>
        </w:rPr>
        <w:br w:type="page"/>
      </w:r>
      <w:bookmarkStart w:id="4321" w:name="_Toc23347"/>
      <w:bookmarkStart w:id="4322" w:name="_Toc1525"/>
      <w:bookmarkStart w:id="4323" w:name="_Toc15434"/>
      <w:bookmarkStart w:id="4324" w:name="_Toc28121"/>
      <w:bookmarkStart w:id="4325" w:name="_Toc5452"/>
      <w:bookmarkStart w:id="4326" w:name="_Toc16617204"/>
      <w:bookmarkStart w:id="4327" w:name="_Toc17151"/>
      <w:bookmarkStart w:id="4328" w:name="_Toc569"/>
      <w:bookmarkStart w:id="4329" w:name="_Toc19578"/>
      <w:bookmarkStart w:id="4330" w:name="_Toc5771"/>
      <w:bookmarkStart w:id="4331" w:name="_Toc3646"/>
      <w:r>
        <w:rPr>
          <w:rFonts w:hint="eastAsia" w:ascii="宋体" w:hAnsi="宋体" w:cs="宋体"/>
          <w:b/>
          <w:color w:val="auto"/>
          <w:sz w:val="24"/>
          <w:highlight w:val="none"/>
        </w:rPr>
        <w:t>四、磋商分项报价表</w:t>
      </w:r>
      <w:bookmarkEnd w:id="4321"/>
      <w:bookmarkEnd w:id="4322"/>
      <w:bookmarkEnd w:id="4323"/>
      <w:bookmarkEnd w:id="4324"/>
      <w:bookmarkEnd w:id="4325"/>
      <w:bookmarkEnd w:id="4326"/>
      <w:bookmarkEnd w:id="4327"/>
      <w:bookmarkEnd w:id="4328"/>
    </w:p>
    <w:p w14:paraId="1E07B7D6">
      <w:pPr>
        <w:autoSpaceDE w:val="0"/>
        <w:autoSpaceDN w:val="0"/>
        <w:adjustRightInd w:val="0"/>
        <w:spacing w:line="360" w:lineRule="auto"/>
        <w:ind w:firstLine="281" w:firstLineChars="100"/>
        <w:jc w:val="center"/>
        <w:rPr>
          <w:rFonts w:hint="eastAsia" w:ascii="宋体" w:hAnsi="宋体" w:cs="宋体"/>
          <w:b/>
          <w:color w:val="auto"/>
          <w:sz w:val="28"/>
          <w:szCs w:val="28"/>
          <w:highlight w:val="none"/>
        </w:rPr>
      </w:pPr>
    </w:p>
    <w:p w14:paraId="5A0D4EAF">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磋商分项报价表</w:t>
      </w:r>
    </w:p>
    <w:p w14:paraId="77CC770C">
      <w:pPr>
        <w:keepNext/>
        <w:keepLines/>
        <w:widowControl w:val="0"/>
        <w:numPr>
          <w:ilvl w:val="0"/>
          <w:numId w:val="0"/>
        </w:numPr>
        <w:spacing w:before="280" w:after="290" w:line="376" w:lineRule="auto"/>
        <w:jc w:val="both"/>
        <w:outlineLvl w:val="3"/>
        <w:rPr>
          <w:rFonts w:hint="eastAsia" w:ascii="宋体" w:hAnsi="宋体" w:eastAsia="宋体" w:cs="宋体"/>
          <w:b/>
          <w:bCs/>
          <w:color w:val="auto"/>
          <w:kern w:val="2"/>
          <w:sz w:val="24"/>
          <w:szCs w:val="24"/>
          <w:highlight w:val="none"/>
          <w:lang w:val="en-US" w:eastAsia="zh-CN" w:bidi="ar-SA"/>
        </w:rPr>
      </w:pPr>
    </w:p>
    <w:p w14:paraId="5F57DB50">
      <w:pPr>
        <w:autoSpaceDE w:val="0"/>
        <w:autoSpaceDN w:val="0"/>
        <w:adjustRightIn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供应商根据本项目采购人提供的工程量清单编制</w:t>
      </w:r>
    </w:p>
    <w:p w14:paraId="72FDDE67">
      <w:pPr>
        <w:autoSpaceDE w:val="0"/>
        <w:autoSpaceDN w:val="0"/>
        <w:adjustRightInd w:val="0"/>
        <w:jc w:val="left"/>
        <w:rPr>
          <w:rFonts w:hint="eastAsia" w:ascii="宋体" w:hAnsi="宋体" w:cs="宋体"/>
          <w:color w:val="auto"/>
          <w:szCs w:val="21"/>
          <w:highlight w:val="none"/>
          <w:lang w:val="zh-CN"/>
        </w:rPr>
      </w:pPr>
    </w:p>
    <w:p w14:paraId="10F0B80A">
      <w:pPr>
        <w:autoSpaceDE w:val="0"/>
        <w:autoSpaceDN w:val="0"/>
        <w:adjustRightInd w:val="0"/>
        <w:jc w:val="left"/>
        <w:rPr>
          <w:rFonts w:hint="eastAsia" w:ascii="宋体" w:hAnsi="宋体" w:cs="宋体"/>
          <w:color w:val="auto"/>
          <w:szCs w:val="21"/>
          <w:highlight w:val="none"/>
          <w:lang w:val="zh-CN"/>
        </w:rPr>
      </w:pPr>
    </w:p>
    <w:p w14:paraId="0DBECD59">
      <w:pPr>
        <w:autoSpaceDE w:val="0"/>
        <w:autoSpaceDN w:val="0"/>
        <w:adjustRightInd w:val="0"/>
        <w:jc w:val="left"/>
        <w:rPr>
          <w:rFonts w:hint="eastAsia" w:ascii="宋体" w:hAnsi="宋体" w:cs="宋体"/>
          <w:color w:val="auto"/>
          <w:szCs w:val="21"/>
          <w:highlight w:val="none"/>
          <w:lang w:val="zh-CN"/>
        </w:rPr>
      </w:pPr>
    </w:p>
    <w:p w14:paraId="6D2866DD">
      <w:pPr>
        <w:autoSpaceDE w:val="0"/>
        <w:autoSpaceDN w:val="0"/>
        <w:adjustRightInd w:val="0"/>
        <w:jc w:val="left"/>
        <w:rPr>
          <w:rFonts w:hint="eastAsia" w:ascii="宋体" w:hAnsi="宋体" w:cs="宋体"/>
          <w:color w:val="auto"/>
          <w:szCs w:val="21"/>
          <w:highlight w:val="none"/>
          <w:lang w:val="zh-CN"/>
        </w:rPr>
      </w:pPr>
    </w:p>
    <w:p w14:paraId="1CDDB770">
      <w:pPr>
        <w:autoSpaceDE w:val="0"/>
        <w:autoSpaceDN w:val="0"/>
        <w:adjustRightInd w:val="0"/>
        <w:jc w:val="left"/>
        <w:rPr>
          <w:rFonts w:hint="eastAsia" w:ascii="宋体" w:hAnsi="宋体" w:cs="宋体"/>
          <w:color w:val="auto"/>
          <w:szCs w:val="21"/>
          <w:highlight w:val="none"/>
          <w:lang w:val="zh-CN"/>
        </w:rPr>
      </w:pPr>
    </w:p>
    <w:p w14:paraId="62C1369E">
      <w:pPr>
        <w:autoSpaceDE w:val="0"/>
        <w:autoSpaceDN w:val="0"/>
        <w:adjustRightInd w:val="0"/>
        <w:jc w:val="left"/>
        <w:rPr>
          <w:rFonts w:hint="eastAsia" w:ascii="宋体" w:hAnsi="宋体" w:cs="宋体"/>
          <w:color w:val="auto"/>
          <w:szCs w:val="21"/>
          <w:highlight w:val="none"/>
          <w:lang w:val="zh-CN"/>
        </w:rPr>
      </w:pPr>
    </w:p>
    <w:p w14:paraId="280AE5B7">
      <w:pPr>
        <w:autoSpaceDE w:val="0"/>
        <w:autoSpaceDN w:val="0"/>
        <w:adjustRightInd w:val="0"/>
        <w:jc w:val="left"/>
        <w:rPr>
          <w:rFonts w:hint="eastAsia" w:ascii="宋体" w:hAnsi="宋体" w:cs="宋体"/>
          <w:color w:val="auto"/>
          <w:szCs w:val="21"/>
          <w:highlight w:val="none"/>
          <w:lang w:val="zh-CN"/>
        </w:rPr>
      </w:pPr>
    </w:p>
    <w:p w14:paraId="65A0D69C">
      <w:pPr>
        <w:autoSpaceDE w:val="0"/>
        <w:autoSpaceDN w:val="0"/>
        <w:adjustRightInd w:val="0"/>
        <w:jc w:val="left"/>
        <w:rPr>
          <w:rFonts w:hint="eastAsia" w:ascii="宋体" w:hAnsi="宋体" w:cs="宋体"/>
          <w:color w:val="auto"/>
          <w:szCs w:val="21"/>
          <w:highlight w:val="none"/>
          <w:lang w:val="zh-CN"/>
        </w:rPr>
      </w:pPr>
    </w:p>
    <w:p w14:paraId="3B00DF34">
      <w:pPr>
        <w:autoSpaceDE w:val="0"/>
        <w:autoSpaceDN w:val="0"/>
        <w:adjustRightInd w:val="0"/>
        <w:jc w:val="left"/>
        <w:rPr>
          <w:rFonts w:hint="eastAsia" w:ascii="宋体" w:hAnsi="宋体" w:cs="宋体"/>
          <w:color w:val="auto"/>
          <w:szCs w:val="21"/>
          <w:highlight w:val="none"/>
          <w:lang w:val="zh-CN"/>
        </w:rPr>
      </w:pPr>
    </w:p>
    <w:p w14:paraId="598565D1">
      <w:pPr>
        <w:autoSpaceDE w:val="0"/>
        <w:autoSpaceDN w:val="0"/>
        <w:adjustRightInd w:val="0"/>
        <w:jc w:val="left"/>
        <w:rPr>
          <w:rFonts w:hint="eastAsia" w:ascii="宋体" w:hAnsi="宋体" w:cs="宋体"/>
          <w:color w:val="auto"/>
          <w:szCs w:val="21"/>
          <w:highlight w:val="none"/>
          <w:lang w:val="zh-CN"/>
        </w:rPr>
      </w:pPr>
    </w:p>
    <w:p w14:paraId="24BDAE84">
      <w:pPr>
        <w:outlineLvl w:val="1"/>
        <w:rPr>
          <w:rFonts w:hint="eastAsia" w:ascii="宋体" w:hAnsi="宋体" w:cs="宋体"/>
          <w:b/>
          <w:color w:val="auto"/>
          <w:szCs w:val="21"/>
          <w:highlight w:val="none"/>
        </w:rPr>
      </w:pPr>
      <w:bookmarkStart w:id="4332" w:name="_Toc16617205"/>
      <w:bookmarkStart w:id="4333" w:name="_Toc12179"/>
      <w:bookmarkStart w:id="4334" w:name="_Toc6354"/>
      <w:bookmarkStart w:id="4335" w:name="_Toc27626"/>
      <w:bookmarkStart w:id="4336" w:name="_Toc2170"/>
      <w:r>
        <w:rPr>
          <w:rFonts w:hint="eastAsia" w:ascii="宋体" w:hAnsi="宋体" w:cs="宋体"/>
          <w:b/>
          <w:color w:val="auto"/>
          <w:szCs w:val="21"/>
          <w:highlight w:val="none"/>
        </w:rPr>
        <w:br w:type="page"/>
      </w:r>
      <w:bookmarkStart w:id="4337" w:name="_Toc10167"/>
      <w:bookmarkStart w:id="4338" w:name="_Toc32115"/>
      <w:bookmarkStart w:id="4339" w:name="_Toc23112"/>
      <w:r>
        <w:rPr>
          <w:rFonts w:hint="eastAsia" w:ascii="宋体" w:hAnsi="宋体" w:cs="宋体"/>
          <w:b/>
          <w:color w:val="auto"/>
          <w:sz w:val="24"/>
          <w:highlight w:val="none"/>
        </w:rPr>
        <w:t>五、</w:t>
      </w:r>
      <w:bookmarkEnd w:id="4320"/>
      <w:bookmarkEnd w:id="4329"/>
      <w:bookmarkEnd w:id="4330"/>
      <w:bookmarkEnd w:id="4331"/>
      <w:bookmarkEnd w:id="4332"/>
      <w:bookmarkEnd w:id="4333"/>
      <w:bookmarkEnd w:id="4334"/>
      <w:bookmarkEnd w:id="4335"/>
      <w:bookmarkEnd w:id="4336"/>
      <w:bookmarkStart w:id="4340" w:name="_Toc22265"/>
      <w:bookmarkStart w:id="4341" w:name="_Toc27185"/>
      <w:bookmarkStart w:id="4342" w:name="_Toc16617206"/>
      <w:bookmarkStart w:id="4343" w:name="_Toc14724"/>
      <w:bookmarkStart w:id="4344" w:name="_Toc9353"/>
      <w:bookmarkStart w:id="4345" w:name="_Toc4960"/>
      <w:bookmarkStart w:id="4346" w:name="_Toc6459"/>
      <w:bookmarkStart w:id="4347" w:name="_Toc7766"/>
      <w:bookmarkStart w:id="4348" w:name="_Toc10897"/>
      <w:bookmarkStart w:id="4349" w:name="_Toc17371"/>
      <w:bookmarkStart w:id="4350" w:name="_Toc17711"/>
      <w:r>
        <w:rPr>
          <w:rFonts w:hint="eastAsia" w:ascii="宋体" w:hAnsi="宋体" w:cs="宋体"/>
          <w:b/>
          <w:color w:val="auto"/>
          <w:sz w:val="24"/>
          <w:highlight w:val="none"/>
        </w:rPr>
        <w:t>资格证明</w:t>
      </w:r>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p>
    <w:p w14:paraId="034572C6">
      <w:pPr>
        <w:spacing w:line="360" w:lineRule="auto"/>
        <w:ind w:left="420" w:leftChars="200"/>
        <w:jc w:val="center"/>
        <w:rPr>
          <w:rFonts w:hint="eastAsia" w:ascii="宋体" w:hAnsi="宋体" w:cs="宋体"/>
          <w:b/>
          <w:color w:val="auto"/>
          <w:sz w:val="24"/>
          <w:highlight w:val="none"/>
        </w:rPr>
      </w:pPr>
    </w:p>
    <w:p w14:paraId="6BD9794D">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资格证明</w:t>
      </w:r>
    </w:p>
    <w:p w14:paraId="7F933CED">
      <w:pPr>
        <w:spacing w:line="440" w:lineRule="exact"/>
        <w:rPr>
          <w:rFonts w:hint="eastAsia" w:ascii="宋体" w:hAnsi="宋体" w:cs="宋体"/>
          <w:color w:val="auto"/>
          <w:sz w:val="24"/>
          <w:highlight w:val="none"/>
        </w:rPr>
      </w:pPr>
    </w:p>
    <w:p w14:paraId="192CA8B9">
      <w:pPr>
        <w:autoSpaceDE w:val="0"/>
        <w:autoSpaceDN w:val="0"/>
        <w:adjustRightInd w:val="0"/>
        <w:spacing w:line="460" w:lineRule="exact"/>
        <w:rPr>
          <w:rFonts w:hint="eastAsia" w:ascii="宋体" w:hAnsi="宋体" w:cs="宋体"/>
          <w:b/>
          <w:color w:val="auto"/>
          <w:sz w:val="24"/>
          <w:highlight w:val="none"/>
        </w:rPr>
      </w:pPr>
      <w:bookmarkStart w:id="4351" w:name="_Toc1611"/>
      <w:bookmarkStart w:id="4352" w:name="_Toc5463"/>
      <w:bookmarkStart w:id="4353" w:name="_Toc17578"/>
      <w:bookmarkStart w:id="4354" w:name="_Toc27376"/>
      <w:bookmarkStart w:id="4355" w:name="_Toc11298"/>
      <w:bookmarkStart w:id="4356" w:name="_Toc20154"/>
      <w:bookmarkStart w:id="4357" w:name="_Toc14780"/>
      <w:bookmarkStart w:id="4358" w:name="_Toc6883"/>
      <w:bookmarkStart w:id="4359" w:name="_Toc2697"/>
      <w:bookmarkStart w:id="4360" w:name="_Toc22898"/>
      <w:bookmarkStart w:id="4361" w:name="_Toc1847"/>
      <w:bookmarkStart w:id="4362" w:name="_Toc20605"/>
      <w:bookmarkStart w:id="4363" w:name="_Toc19820"/>
      <w:bookmarkStart w:id="4364" w:name="_Toc23155"/>
    </w:p>
    <w:p w14:paraId="4BCEFCF4">
      <w:pPr>
        <w:outlineLvl w:val="1"/>
        <w:rPr>
          <w:rFonts w:hint="eastAsia" w:ascii="宋体" w:hAnsi="宋体" w:cs="宋体"/>
          <w:b/>
          <w:color w:val="auto"/>
          <w:szCs w:val="21"/>
          <w:highlight w:val="none"/>
        </w:rPr>
      </w:pPr>
      <w:bookmarkStart w:id="4365" w:name="_Toc16617207"/>
      <w:r>
        <w:rPr>
          <w:rFonts w:hint="eastAsia" w:ascii="宋体" w:hAnsi="宋体" w:cs="宋体"/>
          <w:b/>
          <w:color w:val="auto"/>
          <w:szCs w:val="21"/>
          <w:highlight w:val="none"/>
        </w:rPr>
        <w:br w:type="page"/>
      </w:r>
      <w:bookmarkStart w:id="4366" w:name="_Toc8267"/>
      <w:bookmarkStart w:id="4367" w:name="_Toc12122"/>
      <w:bookmarkStart w:id="4368" w:name="_Toc4848"/>
      <w:r>
        <w:rPr>
          <w:rFonts w:hint="eastAsia" w:ascii="宋体" w:hAnsi="宋体" w:cs="宋体"/>
          <w:b/>
          <w:color w:val="auto"/>
          <w:sz w:val="24"/>
          <w:highlight w:val="none"/>
        </w:rPr>
        <w:t>六、项目实施方案</w:t>
      </w:r>
      <w:bookmarkEnd w:id="4351"/>
      <w:bookmarkEnd w:id="4352"/>
      <w:bookmarkEnd w:id="4353"/>
      <w:bookmarkEnd w:id="4354"/>
      <w:bookmarkEnd w:id="4355"/>
      <w:bookmarkEnd w:id="4356"/>
      <w:bookmarkEnd w:id="4357"/>
      <w:bookmarkEnd w:id="4358"/>
      <w:bookmarkEnd w:id="4359"/>
      <w:bookmarkEnd w:id="4360"/>
      <w:bookmarkEnd w:id="4365"/>
      <w:bookmarkEnd w:id="4366"/>
      <w:bookmarkEnd w:id="4367"/>
      <w:bookmarkEnd w:id="4368"/>
    </w:p>
    <w:p w14:paraId="34B4A71D">
      <w:pPr>
        <w:autoSpaceDE w:val="0"/>
        <w:autoSpaceDN w:val="0"/>
        <w:adjustRightInd w:val="0"/>
        <w:ind w:firstLine="360"/>
        <w:jc w:val="center"/>
        <w:rPr>
          <w:rFonts w:hint="eastAsia" w:ascii="宋体" w:hAnsi="宋体" w:cs="宋体"/>
          <w:color w:val="auto"/>
          <w:sz w:val="24"/>
          <w:highlight w:val="none"/>
        </w:rPr>
      </w:pPr>
      <w:r>
        <w:rPr>
          <w:rFonts w:hint="eastAsia" w:ascii="宋体" w:hAnsi="宋体" w:cs="宋体"/>
          <w:color w:val="auto"/>
          <w:sz w:val="24"/>
          <w:highlight w:val="none"/>
          <w:lang w:val="zh-CN"/>
        </w:rPr>
        <w:t>（格式自拟）</w:t>
      </w:r>
    </w:p>
    <w:bookmarkEnd w:id="4361"/>
    <w:bookmarkEnd w:id="4362"/>
    <w:bookmarkEnd w:id="4363"/>
    <w:bookmarkEnd w:id="4364"/>
    <w:p w14:paraId="0FB47375">
      <w:pPr>
        <w:rPr>
          <w:rFonts w:hint="eastAsia" w:ascii="宋体" w:hAnsi="宋体" w:cs="宋体"/>
          <w:b/>
          <w:color w:val="auto"/>
          <w:szCs w:val="21"/>
          <w:highlight w:val="none"/>
        </w:rPr>
      </w:pPr>
    </w:p>
    <w:p w14:paraId="3124A16F">
      <w:pPr>
        <w:rPr>
          <w:rFonts w:hint="eastAsia" w:ascii="宋体" w:hAnsi="宋体" w:cs="宋体"/>
          <w:b/>
          <w:color w:val="auto"/>
          <w:szCs w:val="21"/>
          <w:highlight w:val="none"/>
        </w:rPr>
      </w:pPr>
    </w:p>
    <w:p w14:paraId="41A67299">
      <w:pPr>
        <w:rPr>
          <w:rFonts w:hint="eastAsia" w:ascii="宋体" w:hAnsi="宋体" w:cs="宋体"/>
          <w:b/>
          <w:color w:val="auto"/>
          <w:szCs w:val="21"/>
          <w:highlight w:val="none"/>
        </w:rPr>
      </w:pPr>
    </w:p>
    <w:p w14:paraId="224902F4">
      <w:pPr>
        <w:outlineLvl w:val="1"/>
        <w:rPr>
          <w:rFonts w:hint="eastAsia" w:ascii="宋体" w:hAnsi="宋体" w:cs="宋体"/>
          <w:b/>
          <w:color w:val="auto"/>
          <w:szCs w:val="21"/>
          <w:highlight w:val="none"/>
        </w:rPr>
      </w:pPr>
      <w:bookmarkStart w:id="4369" w:name="_Toc13930"/>
      <w:bookmarkStart w:id="4370" w:name="_Toc10986"/>
      <w:bookmarkStart w:id="4371" w:name="_Toc7250"/>
      <w:bookmarkStart w:id="4372" w:name="_Toc27045"/>
      <w:bookmarkStart w:id="4373" w:name="_Toc26119"/>
      <w:r>
        <w:rPr>
          <w:rFonts w:hint="eastAsia" w:ascii="宋体" w:hAnsi="宋体" w:cs="宋体"/>
          <w:b/>
          <w:color w:val="auto"/>
          <w:szCs w:val="21"/>
          <w:highlight w:val="none"/>
        </w:rPr>
        <w:br w:type="page"/>
      </w:r>
      <w:bookmarkEnd w:id="4369"/>
      <w:bookmarkEnd w:id="4370"/>
      <w:bookmarkEnd w:id="4371"/>
      <w:bookmarkEnd w:id="4372"/>
      <w:bookmarkEnd w:id="4373"/>
      <w:bookmarkStart w:id="4374" w:name="_Toc7561"/>
      <w:bookmarkStart w:id="4375" w:name="_Toc12252"/>
      <w:bookmarkStart w:id="4376" w:name="_Toc16617208"/>
      <w:bookmarkStart w:id="4377" w:name="_Toc25275"/>
      <w:bookmarkStart w:id="4378" w:name="_Toc178"/>
      <w:bookmarkStart w:id="4379" w:name="_Toc32524"/>
      <w:bookmarkStart w:id="4380" w:name="_Toc18930"/>
      <w:bookmarkStart w:id="4381" w:name="_Toc30185"/>
      <w:bookmarkStart w:id="4382" w:name="_Toc2210"/>
      <w:bookmarkStart w:id="4383" w:name="_Toc23866"/>
      <w:bookmarkStart w:id="4384" w:name="_Toc4855"/>
      <w:bookmarkStart w:id="4385" w:name="_Toc18149"/>
      <w:r>
        <w:rPr>
          <w:rFonts w:hint="eastAsia" w:ascii="宋体" w:hAnsi="宋体" w:cs="宋体"/>
          <w:b/>
          <w:color w:val="auto"/>
          <w:sz w:val="24"/>
          <w:highlight w:val="none"/>
        </w:rPr>
        <w:t>七、项目组成人员一览表</w:t>
      </w:r>
      <w:bookmarkEnd w:id="4374"/>
      <w:bookmarkEnd w:id="4375"/>
      <w:bookmarkEnd w:id="4376"/>
      <w:bookmarkEnd w:id="4377"/>
      <w:bookmarkEnd w:id="4378"/>
      <w:bookmarkEnd w:id="4379"/>
      <w:bookmarkEnd w:id="4380"/>
      <w:bookmarkEnd w:id="4381"/>
      <w:bookmarkEnd w:id="4382"/>
      <w:bookmarkEnd w:id="4383"/>
      <w:bookmarkEnd w:id="4384"/>
      <w:bookmarkEnd w:id="4385"/>
    </w:p>
    <w:p w14:paraId="688E297A">
      <w:pPr>
        <w:autoSpaceDE w:val="0"/>
        <w:autoSpaceDN w:val="0"/>
        <w:adjustRightInd w:val="0"/>
        <w:jc w:val="center"/>
        <w:rPr>
          <w:rFonts w:hint="eastAsia" w:ascii="宋体" w:hAnsi="宋体" w:cs="宋体"/>
          <w:b/>
          <w:bCs/>
          <w:color w:val="auto"/>
          <w:sz w:val="28"/>
          <w:szCs w:val="28"/>
          <w:highlight w:val="none"/>
          <w:lang w:val="zh-CN"/>
        </w:rPr>
      </w:pPr>
    </w:p>
    <w:p w14:paraId="17845396">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项目组成人员一览表</w:t>
      </w:r>
    </w:p>
    <w:p w14:paraId="7AEFC379">
      <w:pPr>
        <w:keepNext/>
        <w:keepLines/>
        <w:widowControl w:val="0"/>
        <w:numPr>
          <w:ilvl w:val="0"/>
          <w:numId w:val="0"/>
        </w:numPr>
        <w:spacing w:before="280" w:after="290" w:line="376" w:lineRule="auto"/>
        <w:jc w:val="both"/>
        <w:outlineLvl w:val="3"/>
        <w:rPr>
          <w:rFonts w:hint="eastAsia" w:ascii="宋体" w:hAnsi="宋体" w:eastAsia="宋体" w:cs="宋体"/>
          <w:b/>
          <w:bCs/>
          <w:color w:val="auto"/>
          <w:kern w:val="2"/>
          <w:sz w:val="28"/>
          <w:szCs w:val="28"/>
          <w:highlight w:val="none"/>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14"/>
        <w:gridCol w:w="705"/>
        <w:gridCol w:w="1298"/>
        <w:gridCol w:w="912"/>
        <w:gridCol w:w="1471"/>
        <w:gridCol w:w="1250"/>
        <w:gridCol w:w="2409"/>
      </w:tblGrid>
      <w:tr w14:paraId="7544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9" w:type="dxa"/>
            <w:gridSpan w:val="6"/>
            <w:noWrap w:val="0"/>
            <w:vAlign w:val="center"/>
          </w:tcPr>
          <w:p w14:paraId="4CDB9930">
            <w:pPr>
              <w:autoSpaceDE w:val="0"/>
              <w:autoSpaceDN w:val="0"/>
              <w:adjustRightIn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zh-CN"/>
              </w:rPr>
              <w:t>项目名称：</w:t>
            </w:r>
            <w:r>
              <w:rPr>
                <w:rFonts w:hint="eastAsia" w:ascii="宋体" w:hAnsi="宋体" w:cs="宋体"/>
                <w:bCs/>
                <w:color w:val="auto"/>
                <w:sz w:val="24"/>
                <w:highlight w:val="none"/>
                <w:lang w:eastAsia="zh-CN"/>
              </w:rPr>
              <w:t>建邺北部老城区街旁绿地改造（3处口袋公园）项目</w:t>
            </w:r>
          </w:p>
        </w:tc>
        <w:tc>
          <w:tcPr>
            <w:tcW w:w="3659" w:type="dxa"/>
            <w:gridSpan w:val="2"/>
            <w:noWrap w:val="0"/>
            <w:vAlign w:val="center"/>
          </w:tcPr>
          <w:p w14:paraId="71F4EF88">
            <w:pPr>
              <w:spacing w:line="360" w:lineRule="auto"/>
              <w:jc w:val="left"/>
              <w:rPr>
                <w:rFonts w:hint="eastAsia" w:ascii="宋体" w:hAnsi="宋体" w:cs="宋体"/>
                <w:color w:val="auto"/>
                <w:sz w:val="24"/>
                <w:highlight w:val="none"/>
                <w:lang w:val="en-GB"/>
              </w:rPr>
            </w:pPr>
            <w:r>
              <w:rPr>
                <w:rFonts w:hint="eastAsia" w:ascii="宋体" w:hAnsi="宋体" w:cs="宋体"/>
                <w:color w:val="auto"/>
                <w:sz w:val="24"/>
                <w:highlight w:val="none"/>
                <w:lang w:val="zh-CN"/>
              </w:rPr>
              <w:t>项目编号：</w:t>
            </w:r>
          </w:p>
        </w:tc>
      </w:tr>
      <w:tr w14:paraId="7C74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64A618F5">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序号</w:t>
            </w:r>
          </w:p>
        </w:tc>
        <w:tc>
          <w:tcPr>
            <w:tcW w:w="814" w:type="dxa"/>
            <w:noWrap w:val="0"/>
            <w:vAlign w:val="center"/>
          </w:tcPr>
          <w:p w14:paraId="3EA3A71C">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姓名</w:t>
            </w:r>
          </w:p>
        </w:tc>
        <w:tc>
          <w:tcPr>
            <w:tcW w:w="705" w:type="dxa"/>
            <w:noWrap w:val="0"/>
            <w:vAlign w:val="center"/>
          </w:tcPr>
          <w:p w14:paraId="32BB459C">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性别</w:t>
            </w:r>
          </w:p>
        </w:tc>
        <w:tc>
          <w:tcPr>
            <w:tcW w:w="1298" w:type="dxa"/>
            <w:noWrap w:val="0"/>
            <w:vAlign w:val="center"/>
          </w:tcPr>
          <w:p w14:paraId="0692EC23">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执业资格</w:t>
            </w:r>
          </w:p>
        </w:tc>
        <w:tc>
          <w:tcPr>
            <w:tcW w:w="912" w:type="dxa"/>
            <w:noWrap w:val="0"/>
            <w:vAlign w:val="center"/>
          </w:tcPr>
          <w:p w14:paraId="69AF2145">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类别</w:t>
            </w:r>
          </w:p>
        </w:tc>
        <w:tc>
          <w:tcPr>
            <w:tcW w:w="1471" w:type="dxa"/>
            <w:noWrap w:val="0"/>
            <w:vAlign w:val="center"/>
          </w:tcPr>
          <w:p w14:paraId="707CE0DD">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证书号</w:t>
            </w:r>
          </w:p>
        </w:tc>
        <w:tc>
          <w:tcPr>
            <w:tcW w:w="1250" w:type="dxa"/>
            <w:noWrap w:val="0"/>
            <w:vAlign w:val="center"/>
          </w:tcPr>
          <w:p w14:paraId="28A0DA7E">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技术职称</w:t>
            </w:r>
          </w:p>
        </w:tc>
        <w:tc>
          <w:tcPr>
            <w:tcW w:w="2409" w:type="dxa"/>
            <w:noWrap w:val="0"/>
            <w:vAlign w:val="center"/>
          </w:tcPr>
          <w:p w14:paraId="0D442809">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 xml:space="preserve">备    注 </w:t>
            </w:r>
          </w:p>
          <w:p w14:paraId="37F0C3BD">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（本项目担任职务）</w:t>
            </w:r>
          </w:p>
        </w:tc>
      </w:tr>
      <w:tr w14:paraId="2A5B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noWrap w:val="0"/>
            <w:vAlign w:val="top"/>
          </w:tcPr>
          <w:p w14:paraId="2CAAB805">
            <w:pPr>
              <w:autoSpaceDE w:val="0"/>
              <w:autoSpaceDN w:val="0"/>
              <w:adjustRightInd w:val="0"/>
              <w:spacing w:line="360" w:lineRule="auto"/>
              <w:rPr>
                <w:rFonts w:hint="eastAsia" w:ascii="宋体" w:hAnsi="宋体" w:cs="宋体"/>
                <w:color w:val="auto"/>
                <w:sz w:val="24"/>
                <w:highlight w:val="none"/>
                <w:lang w:val="zh-CN"/>
              </w:rPr>
            </w:pPr>
          </w:p>
        </w:tc>
        <w:tc>
          <w:tcPr>
            <w:tcW w:w="814" w:type="dxa"/>
            <w:noWrap w:val="0"/>
            <w:vAlign w:val="top"/>
          </w:tcPr>
          <w:p w14:paraId="7C4A7624">
            <w:pPr>
              <w:autoSpaceDE w:val="0"/>
              <w:autoSpaceDN w:val="0"/>
              <w:adjustRightInd w:val="0"/>
              <w:spacing w:line="360" w:lineRule="auto"/>
              <w:rPr>
                <w:rFonts w:hint="eastAsia" w:ascii="宋体" w:hAnsi="宋体" w:cs="宋体"/>
                <w:color w:val="auto"/>
                <w:sz w:val="24"/>
                <w:highlight w:val="none"/>
                <w:lang w:val="zh-CN"/>
              </w:rPr>
            </w:pPr>
          </w:p>
        </w:tc>
        <w:tc>
          <w:tcPr>
            <w:tcW w:w="705" w:type="dxa"/>
            <w:noWrap w:val="0"/>
            <w:vAlign w:val="top"/>
          </w:tcPr>
          <w:p w14:paraId="50AB0D5A">
            <w:pPr>
              <w:autoSpaceDE w:val="0"/>
              <w:autoSpaceDN w:val="0"/>
              <w:adjustRightInd w:val="0"/>
              <w:spacing w:line="360" w:lineRule="auto"/>
              <w:rPr>
                <w:rFonts w:hint="eastAsia" w:ascii="宋体" w:hAnsi="宋体" w:cs="宋体"/>
                <w:color w:val="auto"/>
                <w:sz w:val="24"/>
                <w:highlight w:val="none"/>
                <w:lang w:val="zh-CN"/>
              </w:rPr>
            </w:pPr>
          </w:p>
        </w:tc>
        <w:tc>
          <w:tcPr>
            <w:tcW w:w="1298" w:type="dxa"/>
            <w:noWrap w:val="0"/>
            <w:vAlign w:val="top"/>
          </w:tcPr>
          <w:p w14:paraId="69B51A0E">
            <w:pPr>
              <w:autoSpaceDE w:val="0"/>
              <w:autoSpaceDN w:val="0"/>
              <w:adjustRightInd w:val="0"/>
              <w:spacing w:line="360" w:lineRule="auto"/>
              <w:rPr>
                <w:rFonts w:hint="eastAsia" w:ascii="宋体" w:hAnsi="宋体" w:cs="宋体"/>
                <w:color w:val="auto"/>
                <w:sz w:val="24"/>
                <w:highlight w:val="none"/>
                <w:lang w:val="zh-CN"/>
              </w:rPr>
            </w:pPr>
          </w:p>
        </w:tc>
        <w:tc>
          <w:tcPr>
            <w:tcW w:w="912" w:type="dxa"/>
            <w:noWrap w:val="0"/>
            <w:vAlign w:val="top"/>
          </w:tcPr>
          <w:p w14:paraId="62A0C1C1">
            <w:pPr>
              <w:autoSpaceDE w:val="0"/>
              <w:autoSpaceDN w:val="0"/>
              <w:adjustRightInd w:val="0"/>
              <w:spacing w:line="360" w:lineRule="auto"/>
              <w:rPr>
                <w:rFonts w:hint="eastAsia" w:ascii="宋体" w:hAnsi="宋体" w:cs="宋体"/>
                <w:color w:val="auto"/>
                <w:sz w:val="24"/>
                <w:highlight w:val="none"/>
                <w:lang w:val="zh-CN"/>
              </w:rPr>
            </w:pPr>
          </w:p>
        </w:tc>
        <w:tc>
          <w:tcPr>
            <w:tcW w:w="1471" w:type="dxa"/>
            <w:noWrap w:val="0"/>
            <w:vAlign w:val="top"/>
          </w:tcPr>
          <w:p w14:paraId="2CF7F06E">
            <w:pPr>
              <w:autoSpaceDE w:val="0"/>
              <w:autoSpaceDN w:val="0"/>
              <w:adjustRightInd w:val="0"/>
              <w:spacing w:line="360" w:lineRule="auto"/>
              <w:rPr>
                <w:rFonts w:hint="eastAsia" w:ascii="宋体" w:hAnsi="宋体" w:cs="宋体"/>
                <w:color w:val="auto"/>
                <w:sz w:val="24"/>
                <w:highlight w:val="none"/>
                <w:lang w:val="zh-CN"/>
              </w:rPr>
            </w:pPr>
          </w:p>
        </w:tc>
        <w:tc>
          <w:tcPr>
            <w:tcW w:w="1250" w:type="dxa"/>
            <w:noWrap w:val="0"/>
            <w:vAlign w:val="top"/>
          </w:tcPr>
          <w:p w14:paraId="225AFAB0">
            <w:pPr>
              <w:autoSpaceDE w:val="0"/>
              <w:autoSpaceDN w:val="0"/>
              <w:adjustRightInd w:val="0"/>
              <w:spacing w:line="360" w:lineRule="auto"/>
              <w:rPr>
                <w:rFonts w:hint="eastAsia" w:ascii="宋体" w:hAnsi="宋体" w:cs="宋体"/>
                <w:color w:val="auto"/>
                <w:sz w:val="24"/>
                <w:highlight w:val="none"/>
                <w:lang w:val="zh-CN"/>
              </w:rPr>
            </w:pPr>
          </w:p>
        </w:tc>
        <w:tc>
          <w:tcPr>
            <w:tcW w:w="2409" w:type="dxa"/>
            <w:noWrap w:val="0"/>
            <w:vAlign w:val="top"/>
          </w:tcPr>
          <w:p w14:paraId="64947B0C">
            <w:pPr>
              <w:autoSpaceDE w:val="0"/>
              <w:autoSpaceDN w:val="0"/>
              <w:adjustRightInd w:val="0"/>
              <w:spacing w:line="360" w:lineRule="auto"/>
              <w:rPr>
                <w:rFonts w:hint="eastAsia" w:ascii="宋体" w:hAnsi="宋体" w:cs="宋体"/>
                <w:color w:val="auto"/>
                <w:sz w:val="24"/>
                <w:highlight w:val="none"/>
                <w:lang w:val="zh-CN"/>
              </w:rPr>
            </w:pPr>
          </w:p>
        </w:tc>
      </w:tr>
      <w:tr w14:paraId="2A2A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noWrap w:val="0"/>
            <w:vAlign w:val="top"/>
          </w:tcPr>
          <w:p w14:paraId="7851671F">
            <w:pPr>
              <w:autoSpaceDE w:val="0"/>
              <w:autoSpaceDN w:val="0"/>
              <w:adjustRightInd w:val="0"/>
              <w:spacing w:line="360" w:lineRule="auto"/>
              <w:rPr>
                <w:rFonts w:hint="eastAsia" w:ascii="宋体" w:hAnsi="宋体" w:cs="宋体"/>
                <w:color w:val="auto"/>
                <w:sz w:val="24"/>
                <w:highlight w:val="none"/>
                <w:lang w:val="zh-CN"/>
              </w:rPr>
            </w:pPr>
          </w:p>
        </w:tc>
        <w:tc>
          <w:tcPr>
            <w:tcW w:w="814" w:type="dxa"/>
            <w:noWrap w:val="0"/>
            <w:vAlign w:val="top"/>
          </w:tcPr>
          <w:p w14:paraId="3AC68472">
            <w:pPr>
              <w:autoSpaceDE w:val="0"/>
              <w:autoSpaceDN w:val="0"/>
              <w:adjustRightInd w:val="0"/>
              <w:spacing w:line="360" w:lineRule="auto"/>
              <w:rPr>
                <w:rFonts w:hint="eastAsia" w:ascii="宋体" w:hAnsi="宋体" w:cs="宋体"/>
                <w:color w:val="auto"/>
                <w:sz w:val="24"/>
                <w:highlight w:val="none"/>
                <w:lang w:val="zh-CN"/>
              </w:rPr>
            </w:pPr>
          </w:p>
        </w:tc>
        <w:tc>
          <w:tcPr>
            <w:tcW w:w="705" w:type="dxa"/>
            <w:noWrap w:val="0"/>
            <w:vAlign w:val="top"/>
          </w:tcPr>
          <w:p w14:paraId="175E112F">
            <w:pPr>
              <w:autoSpaceDE w:val="0"/>
              <w:autoSpaceDN w:val="0"/>
              <w:adjustRightInd w:val="0"/>
              <w:spacing w:line="360" w:lineRule="auto"/>
              <w:rPr>
                <w:rFonts w:hint="eastAsia" w:ascii="宋体" w:hAnsi="宋体" w:cs="宋体"/>
                <w:color w:val="auto"/>
                <w:sz w:val="24"/>
                <w:highlight w:val="none"/>
                <w:lang w:val="zh-CN"/>
              </w:rPr>
            </w:pPr>
          </w:p>
        </w:tc>
        <w:tc>
          <w:tcPr>
            <w:tcW w:w="1298" w:type="dxa"/>
            <w:noWrap w:val="0"/>
            <w:vAlign w:val="top"/>
          </w:tcPr>
          <w:p w14:paraId="6EF71C8D">
            <w:pPr>
              <w:autoSpaceDE w:val="0"/>
              <w:autoSpaceDN w:val="0"/>
              <w:adjustRightInd w:val="0"/>
              <w:spacing w:line="360" w:lineRule="auto"/>
              <w:rPr>
                <w:rFonts w:hint="eastAsia" w:ascii="宋体" w:hAnsi="宋体" w:cs="宋体"/>
                <w:color w:val="auto"/>
                <w:sz w:val="24"/>
                <w:highlight w:val="none"/>
                <w:lang w:val="zh-CN"/>
              </w:rPr>
            </w:pPr>
          </w:p>
        </w:tc>
        <w:tc>
          <w:tcPr>
            <w:tcW w:w="912" w:type="dxa"/>
            <w:noWrap w:val="0"/>
            <w:vAlign w:val="top"/>
          </w:tcPr>
          <w:p w14:paraId="24317EF4">
            <w:pPr>
              <w:autoSpaceDE w:val="0"/>
              <w:autoSpaceDN w:val="0"/>
              <w:adjustRightInd w:val="0"/>
              <w:spacing w:line="360" w:lineRule="auto"/>
              <w:rPr>
                <w:rFonts w:hint="eastAsia" w:ascii="宋体" w:hAnsi="宋体" w:cs="宋体"/>
                <w:color w:val="auto"/>
                <w:sz w:val="24"/>
                <w:highlight w:val="none"/>
                <w:lang w:val="zh-CN"/>
              </w:rPr>
            </w:pPr>
          </w:p>
        </w:tc>
        <w:tc>
          <w:tcPr>
            <w:tcW w:w="1471" w:type="dxa"/>
            <w:noWrap w:val="0"/>
            <w:vAlign w:val="top"/>
          </w:tcPr>
          <w:p w14:paraId="46A11231">
            <w:pPr>
              <w:autoSpaceDE w:val="0"/>
              <w:autoSpaceDN w:val="0"/>
              <w:adjustRightInd w:val="0"/>
              <w:spacing w:line="360" w:lineRule="auto"/>
              <w:rPr>
                <w:rFonts w:hint="eastAsia" w:ascii="宋体" w:hAnsi="宋体" w:cs="宋体"/>
                <w:color w:val="auto"/>
                <w:sz w:val="24"/>
                <w:highlight w:val="none"/>
                <w:lang w:val="zh-CN"/>
              </w:rPr>
            </w:pPr>
          </w:p>
        </w:tc>
        <w:tc>
          <w:tcPr>
            <w:tcW w:w="1250" w:type="dxa"/>
            <w:noWrap w:val="0"/>
            <w:vAlign w:val="top"/>
          </w:tcPr>
          <w:p w14:paraId="74FCF852">
            <w:pPr>
              <w:autoSpaceDE w:val="0"/>
              <w:autoSpaceDN w:val="0"/>
              <w:adjustRightInd w:val="0"/>
              <w:spacing w:line="360" w:lineRule="auto"/>
              <w:rPr>
                <w:rFonts w:hint="eastAsia" w:ascii="宋体" w:hAnsi="宋体" w:cs="宋体"/>
                <w:color w:val="auto"/>
                <w:sz w:val="24"/>
                <w:highlight w:val="none"/>
                <w:lang w:val="zh-CN"/>
              </w:rPr>
            </w:pPr>
          </w:p>
        </w:tc>
        <w:tc>
          <w:tcPr>
            <w:tcW w:w="2409" w:type="dxa"/>
            <w:noWrap w:val="0"/>
            <w:vAlign w:val="top"/>
          </w:tcPr>
          <w:p w14:paraId="2D597F73">
            <w:pPr>
              <w:autoSpaceDE w:val="0"/>
              <w:autoSpaceDN w:val="0"/>
              <w:adjustRightInd w:val="0"/>
              <w:spacing w:line="360" w:lineRule="auto"/>
              <w:rPr>
                <w:rFonts w:hint="eastAsia" w:ascii="宋体" w:hAnsi="宋体" w:cs="宋体"/>
                <w:color w:val="auto"/>
                <w:sz w:val="24"/>
                <w:highlight w:val="none"/>
                <w:lang w:val="zh-CN"/>
              </w:rPr>
            </w:pPr>
          </w:p>
        </w:tc>
      </w:tr>
      <w:tr w14:paraId="46D2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noWrap w:val="0"/>
            <w:vAlign w:val="top"/>
          </w:tcPr>
          <w:p w14:paraId="705E3609">
            <w:pPr>
              <w:autoSpaceDE w:val="0"/>
              <w:autoSpaceDN w:val="0"/>
              <w:adjustRightInd w:val="0"/>
              <w:spacing w:line="360" w:lineRule="auto"/>
              <w:rPr>
                <w:rFonts w:hint="eastAsia" w:ascii="宋体" w:hAnsi="宋体" w:cs="宋体"/>
                <w:color w:val="auto"/>
                <w:sz w:val="24"/>
                <w:highlight w:val="none"/>
                <w:lang w:val="zh-CN"/>
              </w:rPr>
            </w:pPr>
          </w:p>
        </w:tc>
        <w:tc>
          <w:tcPr>
            <w:tcW w:w="814" w:type="dxa"/>
            <w:noWrap w:val="0"/>
            <w:vAlign w:val="top"/>
          </w:tcPr>
          <w:p w14:paraId="29020C13">
            <w:pPr>
              <w:autoSpaceDE w:val="0"/>
              <w:autoSpaceDN w:val="0"/>
              <w:adjustRightInd w:val="0"/>
              <w:spacing w:line="360" w:lineRule="auto"/>
              <w:rPr>
                <w:rFonts w:hint="eastAsia" w:ascii="宋体" w:hAnsi="宋体" w:cs="宋体"/>
                <w:color w:val="auto"/>
                <w:sz w:val="24"/>
                <w:highlight w:val="none"/>
                <w:lang w:val="zh-CN"/>
              </w:rPr>
            </w:pPr>
          </w:p>
        </w:tc>
        <w:tc>
          <w:tcPr>
            <w:tcW w:w="705" w:type="dxa"/>
            <w:noWrap w:val="0"/>
            <w:vAlign w:val="top"/>
          </w:tcPr>
          <w:p w14:paraId="65FD2343">
            <w:pPr>
              <w:autoSpaceDE w:val="0"/>
              <w:autoSpaceDN w:val="0"/>
              <w:adjustRightInd w:val="0"/>
              <w:spacing w:line="360" w:lineRule="auto"/>
              <w:rPr>
                <w:rFonts w:hint="eastAsia" w:ascii="宋体" w:hAnsi="宋体" w:cs="宋体"/>
                <w:color w:val="auto"/>
                <w:sz w:val="24"/>
                <w:highlight w:val="none"/>
                <w:lang w:val="zh-CN"/>
              </w:rPr>
            </w:pPr>
          </w:p>
        </w:tc>
        <w:tc>
          <w:tcPr>
            <w:tcW w:w="1298" w:type="dxa"/>
            <w:noWrap w:val="0"/>
            <w:vAlign w:val="top"/>
          </w:tcPr>
          <w:p w14:paraId="07B3565E">
            <w:pPr>
              <w:autoSpaceDE w:val="0"/>
              <w:autoSpaceDN w:val="0"/>
              <w:adjustRightInd w:val="0"/>
              <w:spacing w:line="360" w:lineRule="auto"/>
              <w:rPr>
                <w:rFonts w:hint="eastAsia" w:ascii="宋体" w:hAnsi="宋体" w:cs="宋体"/>
                <w:color w:val="auto"/>
                <w:sz w:val="24"/>
                <w:highlight w:val="none"/>
                <w:lang w:val="zh-CN"/>
              </w:rPr>
            </w:pPr>
          </w:p>
        </w:tc>
        <w:tc>
          <w:tcPr>
            <w:tcW w:w="912" w:type="dxa"/>
            <w:noWrap w:val="0"/>
            <w:vAlign w:val="top"/>
          </w:tcPr>
          <w:p w14:paraId="47299E24">
            <w:pPr>
              <w:autoSpaceDE w:val="0"/>
              <w:autoSpaceDN w:val="0"/>
              <w:adjustRightInd w:val="0"/>
              <w:spacing w:line="360" w:lineRule="auto"/>
              <w:rPr>
                <w:rFonts w:hint="eastAsia" w:ascii="宋体" w:hAnsi="宋体" w:cs="宋体"/>
                <w:color w:val="auto"/>
                <w:sz w:val="24"/>
                <w:highlight w:val="none"/>
                <w:lang w:val="zh-CN"/>
              </w:rPr>
            </w:pPr>
          </w:p>
        </w:tc>
        <w:tc>
          <w:tcPr>
            <w:tcW w:w="1471" w:type="dxa"/>
            <w:noWrap w:val="0"/>
            <w:vAlign w:val="top"/>
          </w:tcPr>
          <w:p w14:paraId="35A97635">
            <w:pPr>
              <w:autoSpaceDE w:val="0"/>
              <w:autoSpaceDN w:val="0"/>
              <w:adjustRightInd w:val="0"/>
              <w:spacing w:line="360" w:lineRule="auto"/>
              <w:rPr>
                <w:rFonts w:hint="eastAsia" w:ascii="宋体" w:hAnsi="宋体" w:cs="宋体"/>
                <w:color w:val="auto"/>
                <w:sz w:val="24"/>
                <w:highlight w:val="none"/>
                <w:lang w:val="zh-CN"/>
              </w:rPr>
            </w:pPr>
          </w:p>
        </w:tc>
        <w:tc>
          <w:tcPr>
            <w:tcW w:w="1250" w:type="dxa"/>
            <w:noWrap w:val="0"/>
            <w:vAlign w:val="top"/>
          </w:tcPr>
          <w:p w14:paraId="58A5251B">
            <w:pPr>
              <w:autoSpaceDE w:val="0"/>
              <w:autoSpaceDN w:val="0"/>
              <w:adjustRightInd w:val="0"/>
              <w:spacing w:line="360" w:lineRule="auto"/>
              <w:rPr>
                <w:rFonts w:hint="eastAsia" w:ascii="宋体" w:hAnsi="宋体" w:cs="宋体"/>
                <w:color w:val="auto"/>
                <w:sz w:val="24"/>
                <w:highlight w:val="none"/>
                <w:lang w:val="zh-CN"/>
              </w:rPr>
            </w:pPr>
          </w:p>
        </w:tc>
        <w:tc>
          <w:tcPr>
            <w:tcW w:w="2409" w:type="dxa"/>
            <w:noWrap w:val="0"/>
            <w:vAlign w:val="top"/>
          </w:tcPr>
          <w:p w14:paraId="1699A5B8">
            <w:pPr>
              <w:autoSpaceDE w:val="0"/>
              <w:autoSpaceDN w:val="0"/>
              <w:adjustRightInd w:val="0"/>
              <w:spacing w:line="360" w:lineRule="auto"/>
              <w:rPr>
                <w:rFonts w:hint="eastAsia" w:ascii="宋体" w:hAnsi="宋体" w:cs="宋体"/>
                <w:color w:val="auto"/>
                <w:sz w:val="24"/>
                <w:highlight w:val="none"/>
                <w:lang w:val="zh-CN"/>
              </w:rPr>
            </w:pPr>
          </w:p>
        </w:tc>
      </w:tr>
      <w:tr w14:paraId="090D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noWrap w:val="0"/>
            <w:vAlign w:val="top"/>
          </w:tcPr>
          <w:p w14:paraId="557374EC">
            <w:pPr>
              <w:autoSpaceDE w:val="0"/>
              <w:autoSpaceDN w:val="0"/>
              <w:adjustRightInd w:val="0"/>
              <w:spacing w:line="360" w:lineRule="auto"/>
              <w:rPr>
                <w:rFonts w:hint="eastAsia" w:ascii="宋体" w:hAnsi="宋体" w:cs="宋体"/>
                <w:color w:val="auto"/>
                <w:sz w:val="24"/>
                <w:highlight w:val="none"/>
                <w:lang w:val="zh-CN"/>
              </w:rPr>
            </w:pPr>
          </w:p>
        </w:tc>
        <w:tc>
          <w:tcPr>
            <w:tcW w:w="814" w:type="dxa"/>
            <w:noWrap w:val="0"/>
            <w:vAlign w:val="top"/>
          </w:tcPr>
          <w:p w14:paraId="59ECC3E4">
            <w:pPr>
              <w:autoSpaceDE w:val="0"/>
              <w:autoSpaceDN w:val="0"/>
              <w:adjustRightInd w:val="0"/>
              <w:spacing w:line="360" w:lineRule="auto"/>
              <w:rPr>
                <w:rFonts w:hint="eastAsia" w:ascii="宋体" w:hAnsi="宋体" w:cs="宋体"/>
                <w:color w:val="auto"/>
                <w:sz w:val="24"/>
                <w:highlight w:val="none"/>
                <w:lang w:val="zh-CN"/>
              </w:rPr>
            </w:pPr>
          </w:p>
        </w:tc>
        <w:tc>
          <w:tcPr>
            <w:tcW w:w="705" w:type="dxa"/>
            <w:noWrap w:val="0"/>
            <w:vAlign w:val="top"/>
          </w:tcPr>
          <w:p w14:paraId="29CF68F2">
            <w:pPr>
              <w:autoSpaceDE w:val="0"/>
              <w:autoSpaceDN w:val="0"/>
              <w:adjustRightInd w:val="0"/>
              <w:spacing w:line="360" w:lineRule="auto"/>
              <w:rPr>
                <w:rFonts w:hint="eastAsia" w:ascii="宋体" w:hAnsi="宋体" w:cs="宋体"/>
                <w:color w:val="auto"/>
                <w:sz w:val="24"/>
                <w:highlight w:val="none"/>
                <w:lang w:val="zh-CN"/>
              </w:rPr>
            </w:pPr>
          </w:p>
        </w:tc>
        <w:tc>
          <w:tcPr>
            <w:tcW w:w="1298" w:type="dxa"/>
            <w:noWrap w:val="0"/>
            <w:vAlign w:val="top"/>
          </w:tcPr>
          <w:p w14:paraId="1FB14D94">
            <w:pPr>
              <w:autoSpaceDE w:val="0"/>
              <w:autoSpaceDN w:val="0"/>
              <w:adjustRightInd w:val="0"/>
              <w:spacing w:line="360" w:lineRule="auto"/>
              <w:rPr>
                <w:rFonts w:hint="eastAsia" w:ascii="宋体" w:hAnsi="宋体" w:cs="宋体"/>
                <w:color w:val="auto"/>
                <w:sz w:val="24"/>
                <w:highlight w:val="none"/>
                <w:lang w:val="zh-CN"/>
              </w:rPr>
            </w:pPr>
          </w:p>
        </w:tc>
        <w:tc>
          <w:tcPr>
            <w:tcW w:w="912" w:type="dxa"/>
            <w:noWrap w:val="0"/>
            <w:vAlign w:val="top"/>
          </w:tcPr>
          <w:p w14:paraId="1B02588C">
            <w:pPr>
              <w:autoSpaceDE w:val="0"/>
              <w:autoSpaceDN w:val="0"/>
              <w:adjustRightInd w:val="0"/>
              <w:spacing w:line="360" w:lineRule="auto"/>
              <w:rPr>
                <w:rFonts w:hint="eastAsia" w:ascii="宋体" w:hAnsi="宋体" w:cs="宋体"/>
                <w:color w:val="auto"/>
                <w:sz w:val="24"/>
                <w:highlight w:val="none"/>
                <w:lang w:val="zh-CN"/>
              </w:rPr>
            </w:pPr>
          </w:p>
        </w:tc>
        <w:tc>
          <w:tcPr>
            <w:tcW w:w="1471" w:type="dxa"/>
            <w:noWrap w:val="0"/>
            <w:vAlign w:val="top"/>
          </w:tcPr>
          <w:p w14:paraId="0809BA8C">
            <w:pPr>
              <w:autoSpaceDE w:val="0"/>
              <w:autoSpaceDN w:val="0"/>
              <w:adjustRightInd w:val="0"/>
              <w:spacing w:line="360" w:lineRule="auto"/>
              <w:rPr>
                <w:rFonts w:hint="eastAsia" w:ascii="宋体" w:hAnsi="宋体" w:cs="宋体"/>
                <w:color w:val="auto"/>
                <w:sz w:val="24"/>
                <w:highlight w:val="none"/>
                <w:lang w:val="zh-CN"/>
              </w:rPr>
            </w:pPr>
          </w:p>
        </w:tc>
        <w:tc>
          <w:tcPr>
            <w:tcW w:w="1250" w:type="dxa"/>
            <w:noWrap w:val="0"/>
            <w:vAlign w:val="top"/>
          </w:tcPr>
          <w:p w14:paraId="28E40818">
            <w:pPr>
              <w:autoSpaceDE w:val="0"/>
              <w:autoSpaceDN w:val="0"/>
              <w:adjustRightInd w:val="0"/>
              <w:spacing w:line="360" w:lineRule="auto"/>
              <w:rPr>
                <w:rFonts w:hint="eastAsia" w:ascii="宋体" w:hAnsi="宋体" w:cs="宋体"/>
                <w:color w:val="auto"/>
                <w:sz w:val="24"/>
                <w:highlight w:val="none"/>
                <w:lang w:val="zh-CN"/>
              </w:rPr>
            </w:pPr>
          </w:p>
        </w:tc>
        <w:tc>
          <w:tcPr>
            <w:tcW w:w="2409" w:type="dxa"/>
            <w:noWrap w:val="0"/>
            <w:vAlign w:val="top"/>
          </w:tcPr>
          <w:p w14:paraId="6F580675">
            <w:pPr>
              <w:autoSpaceDE w:val="0"/>
              <w:autoSpaceDN w:val="0"/>
              <w:adjustRightInd w:val="0"/>
              <w:spacing w:line="360" w:lineRule="auto"/>
              <w:rPr>
                <w:rFonts w:hint="eastAsia" w:ascii="宋体" w:hAnsi="宋体" w:cs="宋体"/>
                <w:color w:val="auto"/>
                <w:sz w:val="24"/>
                <w:highlight w:val="none"/>
                <w:lang w:val="zh-CN"/>
              </w:rPr>
            </w:pPr>
          </w:p>
        </w:tc>
      </w:tr>
      <w:tr w14:paraId="5B65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noWrap w:val="0"/>
            <w:vAlign w:val="top"/>
          </w:tcPr>
          <w:p w14:paraId="19E56CA7">
            <w:pPr>
              <w:autoSpaceDE w:val="0"/>
              <w:autoSpaceDN w:val="0"/>
              <w:adjustRightInd w:val="0"/>
              <w:spacing w:line="360" w:lineRule="auto"/>
              <w:rPr>
                <w:rFonts w:hint="eastAsia" w:ascii="宋体" w:hAnsi="宋体" w:cs="宋体"/>
                <w:color w:val="auto"/>
                <w:sz w:val="24"/>
                <w:highlight w:val="none"/>
                <w:lang w:val="zh-CN"/>
              </w:rPr>
            </w:pPr>
          </w:p>
        </w:tc>
        <w:tc>
          <w:tcPr>
            <w:tcW w:w="814" w:type="dxa"/>
            <w:noWrap w:val="0"/>
            <w:vAlign w:val="top"/>
          </w:tcPr>
          <w:p w14:paraId="4824E718">
            <w:pPr>
              <w:autoSpaceDE w:val="0"/>
              <w:autoSpaceDN w:val="0"/>
              <w:adjustRightInd w:val="0"/>
              <w:spacing w:line="360" w:lineRule="auto"/>
              <w:rPr>
                <w:rFonts w:hint="eastAsia" w:ascii="宋体" w:hAnsi="宋体" w:cs="宋体"/>
                <w:color w:val="auto"/>
                <w:sz w:val="24"/>
                <w:highlight w:val="none"/>
                <w:lang w:val="zh-CN"/>
              </w:rPr>
            </w:pPr>
          </w:p>
        </w:tc>
        <w:tc>
          <w:tcPr>
            <w:tcW w:w="705" w:type="dxa"/>
            <w:noWrap w:val="0"/>
            <w:vAlign w:val="top"/>
          </w:tcPr>
          <w:p w14:paraId="30306B3C">
            <w:pPr>
              <w:autoSpaceDE w:val="0"/>
              <w:autoSpaceDN w:val="0"/>
              <w:adjustRightInd w:val="0"/>
              <w:spacing w:line="360" w:lineRule="auto"/>
              <w:rPr>
                <w:rFonts w:hint="eastAsia" w:ascii="宋体" w:hAnsi="宋体" w:cs="宋体"/>
                <w:color w:val="auto"/>
                <w:sz w:val="24"/>
                <w:highlight w:val="none"/>
                <w:lang w:val="zh-CN"/>
              </w:rPr>
            </w:pPr>
          </w:p>
        </w:tc>
        <w:tc>
          <w:tcPr>
            <w:tcW w:w="1298" w:type="dxa"/>
            <w:noWrap w:val="0"/>
            <w:vAlign w:val="top"/>
          </w:tcPr>
          <w:p w14:paraId="7115970D">
            <w:pPr>
              <w:autoSpaceDE w:val="0"/>
              <w:autoSpaceDN w:val="0"/>
              <w:adjustRightInd w:val="0"/>
              <w:spacing w:line="360" w:lineRule="auto"/>
              <w:rPr>
                <w:rFonts w:hint="eastAsia" w:ascii="宋体" w:hAnsi="宋体" w:cs="宋体"/>
                <w:color w:val="auto"/>
                <w:sz w:val="24"/>
                <w:highlight w:val="none"/>
                <w:lang w:val="zh-CN"/>
              </w:rPr>
            </w:pPr>
          </w:p>
        </w:tc>
        <w:tc>
          <w:tcPr>
            <w:tcW w:w="912" w:type="dxa"/>
            <w:noWrap w:val="0"/>
            <w:vAlign w:val="top"/>
          </w:tcPr>
          <w:p w14:paraId="70E5C189">
            <w:pPr>
              <w:autoSpaceDE w:val="0"/>
              <w:autoSpaceDN w:val="0"/>
              <w:adjustRightInd w:val="0"/>
              <w:spacing w:line="360" w:lineRule="auto"/>
              <w:rPr>
                <w:rFonts w:hint="eastAsia" w:ascii="宋体" w:hAnsi="宋体" w:cs="宋体"/>
                <w:color w:val="auto"/>
                <w:sz w:val="24"/>
                <w:highlight w:val="none"/>
                <w:lang w:val="zh-CN"/>
              </w:rPr>
            </w:pPr>
          </w:p>
        </w:tc>
        <w:tc>
          <w:tcPr>
            <w:tcW w:w="1471" w:type="dxa"/>
            <w:noWrap w:val="0"/>
            <w:vAlign w:val="top"/>
          </w:tcPr>
          <w:p w14:paraId="02506DFA">
            <w:pPr>
              <w:autoSpaceDE w:val="0"/>
              <w:autoSpaceDN w:val="0"/>
              <w:adjustRightInd w:val="0"/>
              <w:spacing w:line="360" w:lineRule="auto"/>
              <w:rPr>
                <w:rFonts w:hint="eastAsia" w:ascii="宋体" w:hAnsi="宋体" w:cs="宋体"/>
                <w:color w:val="auto"/>
                <w:sz w:val="24"/>
                <w:highlight w:val="none"/>
                <w:lang w:val="zh-CN"/>
              </w:rPr>
            </w:pPr>
          </w:p>
        </w:tc>
        <w:tc>
          <w:tcPr>
            <w:tcW w:w="1250" w:type="dxa"/>
            <w:noWrap w:val="0"/>
            <w:vAlign w:val="top"/>
          </w:tcPr>
          <w:p w14:paraId="0FFF2D8A">
            <w:pPr>
              <w:autoSpaceDE w:val="0"/>
              <w:autoSpaceDN w:val="0"/>
              <w:adjustRightInd w:val="0"/>
              <w:spacing w:line="360" w:lineRule="auto"/>
              <w:rPr>
                <w:rFonts w:hint="eastAsia" w:ascii="宋体" w:hAnsi="宋体" w:cs="宋体"/>
                <w:color w:val="auto"/>
                <w:sz w:val="24"/>
                <w:highlight w:val="none"/>
                <w:lang w:val="zh-CN"/>
              </w:rPr>
            </w:pPr>
          </w:p>
        </w:tc>
        <w:tc>
          <w:tcPr>
            <w:tcW w:w="2409" w:type="dxa"/>
            <w:noWrap w:val="0"/>
            <w:vAlign w:val="top"/>
          </w:tcPr>
          <w:p w14:paraId="3F3E400F">
            <w:pPr>
              <w:autoSpaceDE w:val="0"/>
              <w:autoSpaceDN w:val="0"/>
              <w:adjustRightInd w:val="0"/>
              <w:spacing w:line="360" w:lineRule="auto"/>
              <w:rPr>
                <w:rFonts w:hint="eastAsia" w:ascii="宋体" w:hAnsi="宋体" w:cs="宋体"/>
                <w:color w:val="auto"/>
                <w:sz w:val="24"/>
                <w:highlight w:val="none"/>
                <w:lang w:val="zh-CN"/>
              </w:rPr>
            </w:pPr>
          </w:p>
        </w:tc>
      </w:tr>
    </w:tbl>
    <w:p w14:paraId="56C23B20">
      <w:pPr>
        <w:wordWrap w:val="0"/>
        <w:autoSpaceDE w:val="0"/>
        <w:autoSpaceDN w:val="0"/>
        <w:adjustRightInd w:val="0"/>
        <w:jc w:val="right"/>
        <w:rPr>
          <w:rFonts w:hint="eastAsia" w:ascii="宋体" w:hAnsi="宋体" w:cs="宋体"/>
          <w:color w:val="auto"/>
          <w:sz w:val="24"/>
          <w:highlight w:val="none"/>
          <w:lang w:val="zh-CN"/>
        </w:rPr>
      </w:pPr>
      <w:r>
        <w:rPr>
          <w:rFonts w:hint="eastAsia" w:ascii="宋体" w:hAnsi="宋体" w:cs="宋体"/>
          <w:color w:val="auto"/>
          <w:szCs w:val="21"/>
          <w:highlight w:val="none"/>
          <w:lang w:val="zh-CN"/>
        </w:rPr>
        <w:t xml:space="preserve">   </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供应商</w:t>
      </w:r>
      <w:r>
        <w:rPr>
          <w:rFonts w:hint="eastAsia" w:ascii="宋体" w:hAnsi="宋体" w:cs="宋体"/>
          <w:color w:val="auto"/>
          <w:sz w:val="24"/>
          <w:highlight w:val="none"/>
        </w:rPr>
        <w:t xml:space="preserve">（盖章）：            </w:t>
      </w:r>
    </w:p>
    <w:p w14:paraId="2B206F3A">
      <w:pPr>
        <w:wordWrap w:val="0"/>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授权代表签字：             </w:t>
      </w:r>
    </w:p>
    <w:p w14:paraId="4BE98C63">
      <w:pPr>
        <w:autoSpaceDE w:val="0"/>
        <w:autoSpaceDN w:val="0"/>
        <w:adjustRightInd w:val="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日    期：    年    月   日</w:t>
      </w:r>
    </w:p>
    <w:p w14:paraId="27F3E51A">
      <w:pPr>
        <w:autoSpaceDE w:val="0"/>
        <w:autoSpaceDN w:val="0"/>
        <w:adjustRightInd w:val="0"/>
        <w:spacing w:line="460" w:lineRule="exact"/>
        <w:rPr>
          <w:rFonts w:hint="eastAsia" w:ascii="宋体" w:hAnsi="宋体" w:cs="宋体"/>
          <w:b/>
          <w:bCs/>
          <w:color w:val="auto"/>
          <w:sz w:val="24"/>
          <w:highlight w:val="none"/>
          <w:lang w:val="zh-CN"/>
        </w:rPr>
      </w:pPr>
      <w:bookmarkStart w:id="4386" w:name="_Toc30368"/>
      <w:bookmarkStart w:id="4387" w:name="_Toc25990"/>
      <w:bookmarkStart w:id="4388" w:name="_Toc3243"/>
      <w:bookmarkStart w:id="4389" w:name="_Toc18319"/>
      <w:bookmarkStart w:id="4390" w:name="_Toc5917"/>
      <w:bookmarkStart w:id="4391" w:name="_Toc6214"/>
      <w:bookmarkStart w:id="4392" w:name="_Toc21421"/>
      <w:bookmarkStart w:id="4393" w:name="_Toc9277"/>
    </w:p>
    <w:p w14:paraId="4DD1072A">
      <w:pPr>
        <w:outlineLvl w:val="1"/>
        <w:rPr>
          <w:rFonts w:hint="eastAsia" w:ascii="宋体" w:hAnsi="宋体" w:cs="宋体"/>
          <w:b/>
          <w:color w:val="auto"/>
          <w:szCs w:val="21"/>
          <w:highlight w:val="none"/>
        </w:rPr>
      </w:pPr>
      <w:bookmarkStart w:id="4394" w:name="_Toc16617209"/>
      <w:r>
        <w:rPr>
          <w:rFonts w:hint="eastAsia" w:ascii="宋体" w:hAnsi="宋体" w:cs="宋体"/>
          <w:b/>
          <w:color w:val="auto"/>
          <w:szCs w:val="21"/>
          <w:highlight w:val="none"/>
        </w:rPr>
        <w:br w:type="page"/>
      </w:r>
      <w:bookmarkStart w:id="4395" w:name="_Toc16738"/>
      <w:bookmarkStart w:id="4396" w:name="_Toc21063"/>
      <w:bookmarkStart w:id="4397" w:name="_Toc32036"/>
      <w:r>
        <w:rPr>
          <w:rFonts w:hint="eastAsia" w:ascii="宋体" w:hAnsi="宋体" w:cs="宋体"/>
          <w:b/>
          <w:color w:val="auto"/>
          <w:sz w:val="24"/>
          <w:highlight w:val="none"/>
        </w:rPr>
        <w:t>八、无重大违法记录声明格式</w:t>
      </w:r>
      <w:bookmarkEnd w:id="4394"/>
      <w:bookmarkEnd w:id="4395"/>
      <w:bookmarkEnd w:id="4396"/>
      <w:bookmarkEnd w:id="4397"/>
    </w:p>
    <w:p w14:paraId="28C42551">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无重大违法记录声明</w:t>
      </w:r>
    </w:p>
    <w:p w14:paraId="3890B288">
      <w:pPr>
        <w:keepNext/>
        <w:keepLines/>
        <w:widowControl w:val="0"/>
        <w:numPr>
          <w:ilvl w:val="0"/>
          <w:numId w:val="0"/>
        </w:numPr>
        <w:spacing w:before="280" w:after="290" w:line="376" w:lineRule="auto"/>
        <w:jc w:val="both"/>
        <w:outlineLvl w:val="3"/>
        <w:rPr>
          <w:rFonts w:hint="eastAsia" w:ascii="宋体" w:hAnsi="宋体" w:eastAsia="宋体" w:cs="宋体"/>
          <w:b/>
          <w:bCs/>
          <w:color w:val="auto"/>
          <w:kern w:val="2"/>
          <w:sz w:val="28"/>
          <w:szCs w:val="28"/>
          <w:highlight w:val="none"/>
          <w:lang w:val="en-US" w:eastAsia="zh-CN" w:bidi="ar-SA"/>
        </w:rPr>
      </w:pPr>
    </w:p>
    <w:p w14:paraId="20D3C7AE">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南京建邺城市建设集团有限公司：</w:t>
      </w:r>
    </w:p>
    <w:p w14:paraId="060A5866">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我单位</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（供应商名称）郑重声明：</w:t>
      </w:r>
    </w:p>
    <w:p w14:paraId="23D868DF">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参加政府采购活动前3年内在经营活动中</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（在下划线上如实填写：有或没有）重大违法记录。</w:t>
      </w:r>
    </w:p>
    <w:p w14:paraId="0D299313">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（说明：政府采购法第二十二条第一款第五项所称重大违法记录，是指供应商因违法经营受到刑事处罚或者责令停产停业、吊销许可证或者执照、较大数额罚款等行政处罚。）</w:t>
      </w:r>
    </w:p>
    <w:p w14:paraId="48BC213F">
      <w:pPr>
        <w:autoSpaceDE w:val="0"/>
        <w:autoSpaceDN w:val="0"/>
        <w:adjustRightInd w:val="0"/>
        <w:spacing w:line="360" w:lineRule="auto"/>
        <w:ind w:right="444"/>
        <w:jc w:val="center"/>
        <w:rPr>
          <w:rFonts w:hint="eastAsia" w:ascii="宋体" w:hAnsi="宋体" w:cs="宋体"/>
          <w:color w:val="auto"/>
          <w:sz w:val="24"/>
          <w:highlight w:val="none"/>
          <w:lang w:val="zh-CN"/>
        </w:rPr>
      </w:pPr>
      <w:r>
        <w:rPr>
          <w:rFonts w:hint="eastAsia" w:ascii="宋体" w:hAnsi="宋体" w:cs="宋体"/>
          <w:color w:val="auto"/>
          <w:spacing w:val="6"/>
          <w:sz w:val="24"/>
          <w:highlight w:val="none"/>
        </w:rPr>
        <w:t xml:space="preserve">                                                   </w:t>
      </w:r>
      <w:r>
        <w:rPr>
          <w:rFonts w:hint="eastAsia" w:ascii="宋体" w:hAnsi="宋体" w:cs="宋体"/>
          <w:color w:val="auto"/>
          <w:sz w:val="24"/>
          <w:highlight w:val="none"/>
          <w:lang w:val="zh-CN"/>
        </w:rPr>
        <w:t>供应商</w:t>
      </w:r>
      <w:r>
        <w:rPr>
          <w:rFonts w:hint="eastAsia" w:ascii="宋体" w:hAnsi="宋体" w:cs="宋体"/>
          <w:color w:val="auto"/>
          <w:sz w:val="24"/>
          <w:highlight w:val="none"/>
        </w:rPr>
        <w:t xml:space="preserve">（盖章）：            </w:t>
      </w:r>
    </w:p>
    <w:p w14:paraId="50A2753F">
      <w:pPr>
        <w:wordWrap w:val="0"/>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w:t>
      </w:r>
    </w:p>
    <w:p w14:paraId="7DD3255D">
      <w:pPr>
        <w:autoSpaceDE w:val="0"/>
        <w:autoSpaceDN w:val="0"/>
        <w:adjustRightInd w:val="0"/>
        <w:spacing w:line="360" w:lineRule="auto"/>
        <w:jc w:val="right"/>
        <w:rPr>
          <w:rFonts w:hint="eastAsia" w:ascii="宋体" w:hAnsi="宋体" w:cs="宋体"/>
          <w:b/>
          <w:color w:val="auto"/>
          <w:szCs w:val="21"/>
          <w:highlight w:val="none"/>
        </w:rPr>
      </w:pPr>
      <w:r>
        <w:rPr>
          <w:rFonts w:hint="eastAsia" w:ascii="宋体" w:hAnsi="宋体" w:cs="宋体"/>
          <w:color w:val="auto"/>
          <w:sz w:val="24"/>
          <w:highlight w:val="none"/>
          <w:lang w:val="zh-CN"/>
        </w:rPr>
        <w:t>日    期：    年    月   日</w:t>
      </w:r>
    </w:p>
    <w:p w14:paraId="1AE24313">
      <w:pPr>
        <w:outlineLvl w:val="1"/>
        <w:rPr>
          <w:rFonts w:hint="eastAsia" w:ascii="宋体" w:hAnsi="宋体" w:cs="宋体"/>
          <w:b/>
          <w:color w:val="auto"/>
          <w:szCs w:val="21"/>
          <w:highlight w:val="none"/>
        </w:rPr>
      </w:pPr>
      <w:bookmarkStart w:id="4398" w:name="_Toc16617210"/>
      <w:r>
        <w:rPr>
          <w:rFonts w:hint="eastAsia" w:ascii="宋体" w:hAnsi="宋体" w:cs="宋体"/>
          <w:b/>
          <w:color w:val="auto"/>
          <w:szCs w:val="21"/>
          <w:highlight w:val="none"/>
        </w:rPr>
        <w:br w:type="page"/>
      </w:r>
      <w:bookmarkStart w:id="4399" w:name="_Toc5056"/>
      <w:bookmarkStart w:id="4400" w:name="_Toc19393"/>
      <w:bookmarkStart w:id="4401" w:name="_Toc13463"/>
      <w:r>
        <w:rPr>
          <w:rFonts w:hint="eastAsia" w:ascii="宋体" w:hAnsi="宋体" w:cs="宋体"/>
          <w:b/>
          <w:color w:val="auto"/>
          <w:sz w:val="24"/>
          <w:highlight w:val="none"/>
        </w:rPr>
        <w:t>九、具备履行合同所必需的设备和专业技术能力的书面声明</w:t>
      </w:r>
      <w:bookmarkEnd w:id="4386"/>
      <w:bookmarkEnd w:id="4387"/>
      <w:bookmarkEnd w:id="4388"/>
      <w:bookmarkEnd w:id="4389"/>
      <w:bookmarkEnd w:id="4390"/>
      <w:bookmarkEnd w:id="4391"/>
      <w:bookmarkEnd w:id="4392"/>
      <w:bookmarkEnd w:id="4398"/>
      <w:bookmarkEnd w:id="4399"/>
      <w:bookmarkEnd w:id="4400"/>
      <w:bookmarkEnd w:id="4401"/>
    </w:p>
    <w:p w14:paraId="280C10B2">
      <w:pPr>
        <w:autoSpaceDE w:val="0"/>
        <w:autoSpaceDN w:val="0"/>
        <w:adjustRightInd w:val="0"/>
        <w:jc w:val="center"/>
        <w:rPr>
          <w:rFonts w:hint="eastAsia" w:ascii="宋体" w:hAnsi="宋体" w:cs="宋体"/>
          <w:b/>
          <w:bCs/>
          <w:color w:val="auto"/>
          <w:sz w:val="24"/>
          <w:highlight w:val="none"/>
          <w:lang w:val="zh-CN"/>
        </w:rPr>
      </w:pPr>
    </w:p>
    <w:p w14:paraId="10E53571">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具备履行合同所必需的设备和专业技术能力的书面声明</w:t>
      </w:r>
    </w:p>
    <w:p w14:paraId="72165412">
      <w:pPr>
        <w:ind w:firstLine="444" w:firstLineChars="200"/>
        <w:jc w:val="center"/>
        <w:rPr>
          <w:rFonts w:hint="eastAsia" w:ascii="宋体" w:hAnsi="宋体" w:cs="宋体"/>
          <w:color w:val="auto"/>
          <w:spacing w:val="6"/>
          <w:szCs w:val="21"/>
          <w:highlight w:val="none"/>
        </w:rPr>
      </w:pPr>
    </w:p>
    <w:p w14:paraId="2AFB4E00">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我单位郑重声明：我单位具备履行本项采购合同所必需的设备和专业技术能力，为履行本项采购合同我公司具备如下主要设备和主要专业技术能力：</w:t>
      </w:r>
    </w:p>
    <w:p w14:paraId="4050E0E0">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主要设备有：</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w:t>
      </w:r>
    </w:p>
    <w:p w14:paraId="5AECCA13">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主要专业技术能力有：</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w:t>
      </w:r>
    </w:p>
    <w:p w14:paraId="1BE54C9F">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w:t>
      </w:r>
    </w:p>
    <w:p w14:paraId="20E20A35">
      <w:pPr>
        <w:autoSpaceDE w:val="0"/>
        <w:autoSpaceDN w:val="0"/>
        <w:adjustRightInd w:val="0"/>
        <w:snapToGrid w:val="0"/>
        <w:spacing w:line="360" w:lineRule="auto"/>
        <w:ind w:right="84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供应商</w:t>
      </w:r>
      <w:r>
        <w:rPr>
          <w:rFonts w:hint="eastAsia" w:ascii="宋体" w:hAnsi="宋体" w:cs="宋体"/>
          <w:color w:val="auto"/>
          <w:sz w:val="24"/>
          <w:highlight w:val="none"/>
        </w:rPr>
        <w:t xml:space="preserve">（盖章）：            </w:t>
      </w:r>
    </w:p>
    <w:p w14:paraId="3B6618BA">
      <w:pPr>
        <w:autoSpaceDE w:val="0"/>
        <w:autoSpaceDN w:val="0"/>
        <w:adjustRightInd w:val="0"/>
        <w:snapToGrid w:val="0"/>
        <w:spacing w:line="360" w:lineRule="auto"/>
        <w:ind w:right="42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授权代表签字：             </w:t>
      </w:r>
    </w:p>
    <w:p w14:paraId="48F24B0B">
      <w:pPr>
        <w:wordWrap w:val="0"/>
        <w:autoSpaceDE w:val="0"/>
        <w:autoSpaceDN w:val="0"/>
        <w:adjustRightInd w:val="0"/>
        <w:snapToGri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日    期：   年    月   日</w:t>
      </w:r>
    </w:p>
    <w:bookmarkEnd w:id="4393"/>
    <w:p w14:paraId="5180F522">
      <w:pPr>
        <w:spacing w:line="360" w:lineRule="auto"/>
        <w:rPr>
          <w:rFonts w:hint="eastAsia" w:ascii="宋体" w:hAnsi="宋体" w:cs="宋体"/>
          <w:b/>
          <w:color w:val="auto"/>
          <w:sz w:val="24"/>
          <w:highlight w:val="none"/>
        </w:rPr>
      </w:pPr>
      <w:bookmarkStart w:id="4402" w:name="_Toc20700"/>
      <w:bookmarkStart w:id="4403" w:name="_Toc29835"/>
      <w:bookmarkStart w:id="4404" w:name="_Toc18025"/>
      <w:bookmarkStart w:id="4405" w:name="_Toc6772"/>
      <w:bookmarkStart w:id="4406" w:name="_Toc16617211"/>
      <w:bookmarkStart w:id="4407" w:name="_Toc14174"/>
      <w:bookmarkStart w:id="4408" w:name="_Toc16623"/>
      <w:bookmarkStart w:id="4409" w:name="_Toc10669"/>
      <w:bookmarkStart w:id="4410" w:name="_Toc1179"/>
    </w:p>
    <w:p w14:paraId="74E8626B">
      <w:pPr>
        <w:rPr>
          <w:rFonts w:hint="eastAsia" w:ascii="宋体" w:hAnsi="宋体" w:cs="宋体"/>
          <w:b/>
          <w:color w:val="auto"/>
          <w:szCs w:val="21"/>
          <w:highlight w:val="none"/>
        </w:rPr>
      </w:pPr>
    </w:p>
    <w:p w14:paraId="5823B303">
      <w:pPr>
        <w:rPr>
          <w:rFonts w:hint="eastAsia" w:ascii="宋体" w:hAnsi="宋体" w:cs="宋体"/>
          <w:b/>
          <w:color w:val="auto"/>
          <w:szCs w:val="21"/>
          <w:highlight w:val="none"/>
        </w:rPr>
      </w:pPr>
    </w:p>
    <w:p w14:paraId="10F83510">
      <w:pPr>
        <w:rPr>
          <w:rFonts w:hint="eastAsia" w:ascii="宋体" w:hAnsi="宋体" w:cs="宋体"/>
          <w:b/>
          <w:color w:val="auto"/>
          <w:szCs w:val="21"/>
          <w:highlight w:val="none"/>
        </w:rPr>
      </w:pPr>
    </w:p>
    <w:p w14:paraId="2C985E6B">
      <w:pPr>
        <w:rPr>
          <w:rFonts w:hint="eastAsia" w:ascii="宋体" w:hAnsi="宋体" w:cs="宋体"/>
          <w:b/>
          <w:color w:val="auto"/>
          <w:szCs w:val="21"/>
          <w:highlight w:val="none"/>
        </w:rPr>
      </w:pPr>
    </w:p>
    <w:p w14:paraId="78262523">
      <w:pPr>
        <w:outlineLvl w:val="1"/>
        <w:rPr>
          <w:rFonts w:hint="eastAsia" w:ascii="宋体" w:hAnsi="宋体" w:cs="宋体"/>
          <w:b/>
          <w:color w:val="auto"/>
          <w:szCs w:val="21"/>
          <w:highlight w:val="none"/>
        </w:rPr>
      </w:pPr>
      <w:bookmarkStart w:id="4411" w:name="_Toc9288"/>
      <w:bookmarkStart w:id="4412" w:name="_Toc6018"/>
      <w:bookmarkStart w:id="4413" w:name="_Toc17912"/>
      <w:bookmarkStart w:id="4414" w:name="_Toc26138"/>
      <w:bookmarkStart w:id="4415" w:name="_Toc6493"/>
      <w:bookmarkStart w:id="4416" w:name="_Toc26500"/>
      <w:bookmarkStart w:id="4417" w:name="_Toc20316"/>
      <w:r>
        <w:rPr>
          <w:rFonts w:hint="eastAsia" w:ascii="宋体" w:hAnsi="宋体" w:cs="宋体"/>
          <w:b/>
          <w:color w:val="auto"/>
          <w:szCs w:val="21"/>
          <w:highlight w:val="none"/>
        </w:rPr>
        <w:br w:type="page"/>
      </w:r>
      <w:bookmarkStart w:id="4418" w:name="_Toc12523"/>
      <w:bookmarkStart w:id="4419" w:name="_Toc22413"/>
      <w:bookmarkStart w:id="4420" w:name="_Toc19978"/>
      <w:r>
        <w:rPr>
          <w:rFonts w:hint="eastAsia" w:ascii="宋体" w:hAnsi="宋体" w:cs="宋体"/>
          <w:b/>
          <w:color w:val="auto"/>
          <w:sz w:val="24"/>
          <w:highlight w:val="none"/>
        </w:rPr>
        <w:t>十、质量保证及服务承诺</w:t>
      </w:r>
      <w:bookmarkEnd w:id="4411"/>
      <w:bookmarkEnd w:id="4412"/>
      <w:bookmarkEnd w:id="4413"/>
      <w:bookmarkEnd w:id="4414"/>
      <w:bookmarkEnd w:id="4415"/>
      <w:bookmarkEnd w:id="4416"/>
      <w:bookmarkEnd w:id="4417"/>
      <w:bookmarkEnd w:id="4418"/>
      <w:bookmarkEnd w:id="4419"/>
      <w:bookmarkEnd w:id="4420"/>
    </w:p>
    <w:p w14:paraId="0E9217A1">
      <w:pPr>
        <w:autoSpaceDE w:val="0"/>
        <w:autoSpaceDN w:val="0"/>
        <w:adjustRightInd w:val="0"/>
        <w:spacing w:line="460" w:lineRule="exact"/>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质量保证及服务承诺</w:t>
      </w:r>
    </w:p>
    <w:p w14:paraId="55EC91B1">
      <w:pPr>
        <w:keepNext/>
        <w:keepLines/>
        <w:widowControl w:val="0"/>
        <w:numPr>
          <w:ilvl w:val="0"/>
          <w:numId w:val="0"/>
        </w:numPr>
        <w:spacing w:before="280" w:after="290" w:line="376" w:lineRule="auto"/>
        <w:jc w:val="both"/>
        <w:outlineLvl w:val="3"/>
        <w:rPr>
          <w:rFonts w:hint="eastAsia" w:ascii="宋体" w:hAnsi="宋体" w:eastAsia="宋体" w:cs="宋体"/>
          <w:b/>
          <w:bCs/>
          <w:color w:val="auto"/>
          <w:kern w:val="2"/>
          <w:sz w:val="28"/>
          <w:szCs w:val="28"/>
          <w:highlight w:val="none"/>
          <w:lang w:val="zh-CN" w:eastAsia="zh-CN" w:bidi="ar-SA"/>
        </w:rPr>
      </w:pPr>
    </w:p>
    <w:p w14:paraId="77DE4F0F">
      <w:pPr>
        <w:autoSpaceDE w:val="0"/>
        <w:autoSpaceDN w:val="0"/>
        <w:adjustRightInd w:val="0"/>
        <w:jc w:val="center"/>
        <w:rPr>
          <w:rFonts w:hint="eastAsia" w:ascii="宋体" w:hAnsi="宋体" w:cs="宋体"/>
          <w:color w:val="auto"/>
          <w:szCs w:val="21"/>
          <w:highlight w:val="none"/>
        </w:rPr>
      </w:pPr>
    </w:p>
    <w:p w14:paraId="5C170F75">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我公司就项目编号为“”的</w:t>
      </w:r>
      <w:r>
        <w:rPr>
          <w:rFonts w:hint="eastAsia" w:ascii="宋体" w:hAnsi="宋体" w:cs="宋体"/>
          <w:b/>
          <w:bCs/>
          <w:color w:val="auto"/>
          <w:sz w:val="24"/>
          <w:highlight w:val="none"/>
          <w:u w:val="single"/>
          <w:lang w:eastAsia="zh-CN"/>
        </w:rPr>
        <w:t>建邺北部老城区街旁绿地改造（3处口袋公园）项目</w:t>
      </w:r>
      <w:r>
        <w:rPr>
          <w:rFonts w:hint="eastAsia" w:ascii="宋体" w:hAnsi="宋体" w:cs="宋体"/>
          <w:color w:val="auto"/>
          <w:sz w:val="24"/>
          <w:highlight w:val="none"/>
          <w:lang w:val="zh-CN"/>
        </w:rPr>
        <w:t>采购项目质量保证及服务承诺如下：</w:t>
      </w:r>
    </w:p>
    <w:p w14:paraId="21E33987">
      <w:pPr>
        <w:autoSpaceDE w:val="0"/>
        <w:autoSpaceDN w:val="0"/>
        <w:adjustRightInd w:val="0"/>
        <w:spacing w:line="360" w:lineRule="auto"/>
        <w:ind w:firstLine="360"/>
        <w:jc w:val="center"/>
        <w:rPr>
          <w:rFonts w:hint="eastAsia" w:ascii="宋体" w:hAnsi="宋体" w:cs="宋体"/>
          <w:color w:val="auto"/>
          <w:sz w:val="24"/>
          <w:highlight w:val="none"/>
        </w:rPr>
      </w:pPr>
    </w:p>
    <w:p w14:paraId="4E3020CD">
      <w:pPr>
        <w:autoSpaceDE w:val="0"/>
        <w:autoSpaceDN w:val="0"/>
        <w:adjustRightInd w:val="0"/>
        <w:spacing w:line="360" w:lineRule="auto"/>
        <w:ind w:firstLine="36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（供应商自拟）</w:t>
      </w:r>
    </w:p>
    <w:p w14:paraId="44BFC829">
      <w:pPr>
        <w:autoSpaceDE w:val="0"/>
        <w:autoSpaceDN w:val="0"/>
        <w:adjustRightInd w:val="0"/>
        <w:spacing w:line="360" w:lineRule="auto"/>
        <w:ind w:firstLine="360"/>
        <w:jc w:val="center"/>
        <w:rPr>
          <w:rFonts w:hint="eastAsia" w:ascii="宋体" w:hAnsi="宋体" w:cs="宋体"/>
          <w:color w:val="auto"/>
          <w:sz w:val="24"/>
          <w:highlight w:val="none"/>
          <w:lang w:val="zh-CN"/>
        </w:rPr>
      </w:pPr>
    </w:p>
    <w:p w14:paraId="001D248C">
      <w:pPr>
        <w:autoSpaceDE w:val="0"/>
        <w:autoSpaceDN w:val="0"/>
        <w:adjustRightInd w:val="0"/>
        <w:spacing w:line="360" w:lineRule="auto"/>
        <w:ind w:firstLine="360"/>
        <w:jc w:val="center"/>
        <w:rPr>
          <w:rFonts w:hint="eastAsia" w:ascii="宋体" w:hAnsi="宋体" w:cs="宋体"/>
          <w:color w:val="auto"/>
          <w:sz w:val="24"/>
          <w:highlight w:val="none"/>
          <w:lang w:val="zh-CN"/>
        </w:rPr>
      </w:pPr>
    </w:p>
    <w:p w14:paraId="1C7A774D">
      <w:pPr>
        <w:autoSpaceDE w:val="0"/>
        <w:autoSpaceDN w:val="0"/>
        <w:adjustRightInd w:val="0"/>
        <w:spacing w:line="360" w:lineRule="auto"/>
        <w:ind w:firstLine="360"/>
        <w:jc w:val="center"/>
        <w:rPr>
          <w:rFonts w:hint="eastAsia" w:ascii="宋体" w:hAnsi="宋体" w:cs="宋体"/>
          <w:color w:val="auto"/>
          <w:sz w:val="24"/>
          <w:highlight w:val="none"/>
          <w:lang w:val="zh-CN"/>
        </w:rPr>
      </w:pPr>
    </w:p>
    <w:p w14:paraId="657A1B49">
      <w:pPr>
        <w:autoSpaceDE w:val="0"/>
        <w:autoSpaceDN w:val="0"/>
        <w:adjustRightInd w:val="0"/>
        <w:spacing w:line="360" w:lineRule="auto"/>
        <w:rPr>
          <w:rFonts w:hint="eastAsia" w:ascii="宋体" w:hAnsi="宋体" w:cs="宋体"/>
          <w:color w:val="auto"/>
          <w:sz w:val="24"/>
          <w:highlight w:val="none"/>
          <w:lang w:val="zh-CN"/>
        </w:rPr>
      </w:pPr>
    </w:p>
    <w:p w14:paraId="36101A58">
      <w:pPr>
        <w:wordWrap w:val="0"/>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供应商</w:t>
      </w:r>
      <w:r>
        <w:rPr>
          <w:rFonts w:hint="eastAsia" w:ascii="宋体" w:hAnsi="宋体" w:cs="宋体"/>
          <w:color w:val="auto"/>
          <w:sz w:val="24"/>
          <w:highlight w:val="none"/>
        </w:rPr>
        <w:t xml:space="preserve">（盖章）：           </w:t>
      </w:r>
    </w:p>
    <w:p w14:paraId="08718458">
      <w:pPr>
        <w:wordWrap w:val="0"/>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w:t>
      </w:r>
    </w:p>
    <w:p w14:paraId="1A05B36A">
      <w:pPr>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日    期：    年    月   日</w:t>
      </w:r>
    </w:p>
    <w:p w14:paraId="1260198F">
      <w:pPr>
        <w:widowControl w:val="0"/>
        <w:spacing w:after="0"/>
        <w:ind w:right="105" w:firstLine="210" w:firstLineChars="100"/>
        <w:jc w:val="right"/>
        <w:rPr>
          <w:rFonts w:hint="eastAsia" w:ascii="宋体" w:hAnsi="宋体" w:eastAsia="宋体" w:cs="宋体"/>
          <w:color w:val="auto"/>
          <w:kern w:val="2"/>
          <w:sz w:val="21"/>
          <w:szCs w:val="21"/>
          <w:highlight w:val="none"/>
          <w:lang w:val="en-US" w:eastAsia="zh-CN" w:bidi="ar-SA"/>
        </w:rPr>
      </w:pPr>
    </w:p>
    <w:p w14:paraId="004E3824">
      <w:pPr>
        <w:rPr>
          <w:rFonts w:hint="eastAsia" w:ascii="宋体" w:hAnsi="宋体" w:cs="宋体"/>
          <w:b/>
          <w:color w:val="auto"/>
          <w:szCs w:val="21"/>
          <w:highlight w:val="none"/>
        </w:rPr>
      </w:pPr>
    </w:p>
    <w:p w14:paraId="5B570AB3">
      <w:pPr>
        <w:outlineLvl w:val="1"/>
        <w:rPr>
          <w:rFonts w:hint="eastAsia" w:ascii="宋体" w:hAnsi="宋体" w:cs="宋体"/>
          <w:b/>
          <w:color w:val="auto"/>
          <w:szCs w:val="21"/>
          <w:highlight w:val="none"/>
        </w:rPr>
      </w:pPr>
      <w:r>
        <w:rPr>
          <w:rFonts w:hint="eastAsia" w:ascii="宋体" w:hAnsi="宋体" w:cs="宋体"/>
          <w:b/>
          <w:color w:val="auto"/>
          <w:szCs w:val="21"/>
          <w:highlight w:val="none"/>
        </w:rPr>
        <w:br w:type="page"/>
      </w:r>
      <w:bookmarkStart w:id="4421" w:name="_Toc4009"/>
      <w:bookmarkStart w:id="4422" w:name="_Toc10553"/>
      <w:bookmarkStart w:id="4423" w:name="_Toc19275"/>
      <w:r>
        <w:rPr>
          <w:rFonts w:hint="eastAsia" w:ascii="宋体" w:hAnsi="宋体" w:cs="宋体"/>
          <w:b/>
          <w:color w:val="auto"/>
          <w:sz w:val="24"/>
          <w:highlight w:val="none"/>
        </w:rPr>
        <w:t>十一：中小企业声明函格式、残疾人福利性单位声明函</w:t>
      </w:r>
      <w:bookmarkEnd w:id="4402"/>
      <w:bookmarkEnd w:id="4403"/>
      <w:bookmarkEnd w:id="4404"/>
      <w:bookmarkEnd w:id="4405"/>
      <w:bookmarkEnd w:id="4406"/>
      <w:bookmarkEnd w:id="4407"/>
      <w:bookmarkEnd w:id="4408"/>
      <w:bookmarkEnd w:id="4409"/>
      <w:bookmarkEnd w:id="4410"/>
      <w:bookmarkEnd w:id="4421"/>
      <w:bookmarkEnd w:id="4422"/>
      <w:bookmarkEnd w:id="4423"/>
    </w:p>
    <w:p w14:paraId="08844DE1">
      <w:pPr>
        <w:spacing w:line="360" w:lineRule="auto"/>
        <w:jc w:val="center"/>
        <w:rPr>
          <w:rFonts w:hint="eastAsia" w:ascii="宋体" w:hAnsi="宋体" w:cs="宋体"/>
          <w:b/>
          <w:bCs/>
          <w:color w:val="auto"/>
          <w:sz w:val="28"/>
          <w:szCs w:val="28"/>
          <w:highlight w:val="none"/>
        </w:rPr>
      </w:pPr>
    </w:p>
    <w:p w14:paraId="038A1A77">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中小企业声明函（如有）</w:t>
      </w:r>
    </w:p>
    <w:p w14:paraId="0E171A04">
      <w:pPr>
        <w:keepNext/>
        <w:keepLines/>
        <w:widowControl w:val="0"/>
        <w:numPr>
          <w:ilvl w:val="0"/>
          <w:numId w:val="0"/>
        </w:numPr>
        <w:spacing w:before="280" w:after="290" w:line="376" w:lineRule="auto"/>
        <w:jc w:val="both"/>
        <w:outlineLvl w:val="3"/>
        <w:rPr>
          <w:rFonts w:hint="eastAsia" w:ascii="宋体" w:hAnsi="宋体" w:eastAsia="宋体" w:cs="宋体"/>
          <w:b/>
          <w:bCs/>
          <w:color w:val="auto"/>
          <w:kern w:val="2"/>
          <w:sz w:val="22"/>
          <w:szCs w:val="22"/>
          <w:highlight w:val="none"/>
          <w:lang w:val="en-US" w:eastAsia="zh-CN" w:bidi="ar-SA"/>
        </w:rPr>
      </w:pPr>
    </w:p>
    <w:p w14:paraId="4B16C49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本公司郑重声明，根据《政府采购促进中小企业发展暂行办法》（财库[2011]181号）的规定，本公司为______（请填写：中型、小型、微型）企业。即，本公司同时满足以下条件：</w:t>
      </w:r>
    </w:p>
    <w:p w14:paraId="7F86FE86">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05FAEB78">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14:paraId="685359A4">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本公司对上述声明的真实性负责。如有虚假，将依法承担相应责任。</w:t>
      </w:r>
    </w:p>
    <w:p w14:paraId="2474B1B0">
      <w:pPr>
        <w:spacing w:line="360" w:lineRule="auto"/>
        <w:rPr>
          <w:rFonts w:hint="eastAsia" w:ascii="宋体" w:hAnsi="宋体" w:cs="宋体"/>
          <w:color w:val="auto"/>
          <w:sz w:val="24"/>
          <w:highlight w:val="none"/>
        </w:rPr>
      </w:pPr>
    </w:p>
    <w:p w14:paraId="6C5C8AFA">
      <w:pPr>
        <w:spacing w:line="360" w:lineRule="auto"/>
        <w:ind w:firstLine="4800" w:firstLineChars="2000"/>
        <w:rPr>
          <w:rFonts w:hint="eastAsia" w:ascii="宋体" w:hAnsi="宋体" w:cs="宋体"/>
          <w:color w:val="auto"/>
          <w:sz w:val="24"/>
          <w:szCs w:val="32"/>
          <w:highlight w:val="none"/>
        </w:rPr>
      </w:pPr>
      <w:r>
        <w:rPr>
          <w:rFonts w:hint="eastAsia" w:ascii="宋体" w:hAnsi="宋体" w:cs="宋体"/>
          <w:color w:val="auto"/>
          <w:sz w:val="24"/>
          <w:highlight w:val="none"/>
        </w:rPr>
        <w:t>供应商</w:t>
      </w:r>
      <w:r>
        <w:rPr>
          <w:rFonts w:hint="eastAsia" w:ascii="宋体" w:hAnsi="宋体" w:cs="宋体"/>
          <w:color w:val="auto"/>
          <w:sz w:val="24"/>
          <w:szCs w:val="32"/>
          <w:highlight w:val="none"/>
        </w:rPr>
        <w:t>（盖章）：</w:t>
      </w:r>
    </w:p>
    <w:p w14:paraId="4C3620F2">
      <w:pPr>
        <w:spacing w:line="360" w:lineRule="auto"/>
        <w:ind w:firstLine="4800" w:firstLineChars="2000"/>
        <w:rPr>
          <w:rFonts w:hint="eastAsia" w:ascii="宋体" w:hAnsi="宋体" w:cs="宋体"/>
          <w:color w:val="auto"/>
          <w:sz w:val="24"/>
          <w:szCs w:val="32"/>
          <w:highlight w:val="none"/>
        </w:rPr>
      </w:pPr>
      <w:r>
        <w:rPr>
          <w:rFonts w:hint="eastAsia" w:ascii="宋体" w:hAnsi="宋体" w:cs="宋体"/>
          <w:color w:val="auto"/>
          <w:sz w:val="24"/>
          <w:szCs w:val="32"/>
          <w:highlight w:val="none"/>
        </w:rPr>
        <w:t>日　　　　　　期：</w:t>
      </w:r>
      <w:bookmarkStart w:id="4424" w:name="OLE_LINK14"/>
      <w:bookmarkStart w:id="4425" w:name="OLE_LINK13"/>
    </w:p>
    <w:p w14:paraId="792B6812">
      <w:pPr>
        <w:keepNext/>
        <w:keepLines/>
        <w:widowControl w:val="0"/>
        <w:numPr>
          <w:ilvl w:val="0"/>
          <w:numId w:val="0"/>
        </w:numPr>
        <w:spacing w:before="280" w:after="290" w:line="376" w:lineRule="auto"/>
        <w:jc w:val="both"/>
        <w:outlineLvl w:val="3"/>
        <w:rPr>
          <w:rFonts w:hint="eastAsia" w:ascii="宋体" w:hAnsi="宋体" w:eastAsia="宋体" w:cs="宋体"/>
          <w:b/>
          <w:bCs/>
          <w:color w:val="auto"/>
          <w:kern w:val="2"/>
          <w:sz w:val="28"/>
          <w:szCs w:val="28"/>
          <w:highlight w:val="none"/>
          <w:lang w:val="en-US" w:eastAsia="zh-CN" w:bidi="ar-SA"/>
        </w:rPr>
      </w:pPr>
    </w:p>
    <w:p w14:paraId="5730E8BD">
      <w:pPr>
        <w:ind w:firstLine="643" w:firstLineChars="200"/>
        <w:jc w:val="center"/>
        <w:rPr>
          <w:rFonts w:hint="eastAsia" w:ascii="宋体" w:hAnsi="宋体" w:cs="宋体"/>
          <w:b/>
          <w:bCs/>
          <w:color w:val="auto"/>
          <w:sz w:val="32"/>
          <w:szCs w:val="44"/>
          <w:highlight w:val="none"/>
        </w:rPr>
      </w:pPr>
      <w:r>
        <w:rPr>
          <w:rFonts w:hint="eastAsia" w:ascii="宋体" w:hAnsi="宋体" w:cs="宋体"/>
          <w:b/>
          <w:bCs/>
          <w:color w:val="auto"/>
          <w:sz w:val="32"/>
          <w:szCs w:val="44"/>
          <w:highlight w:val="none"/>
        </w:rPr>
        <w:t>残疾人福利性单位声明函</w:t>
      </w:r>
      <w:bookmarkEnd w:id="4424"/>
      <w:bookmarkEnd w:id="4425"/>
      <w:r>
        <w:rPr>
          <w:rFonts w:hint="eastAsia" w:ascii="宋体" w:hAnsi="宋体" w:cs="宋体"/>
          <w:b/>
          <w:bCs/>
          <w:color w:val="auto"/>
          <w:sz w:val="32"/>
          <w:szCs w:val="44"/>
          <w:highlight w:val="none"/>
        </w:rPr>
        <w:t>（如有）</w:t>
      </w:r>
    </w:p>
    <w:p w14:paraId="692C80CE">
      <w:pPr>
        <w:spacing w:line="360" w:lineRule="auto"/>
        <w:ind w:firstLine="420"/>
        <w:rPr>
          <w:rFonts w:hint="eastAsia" w:ascii="宋体" w:hAnsi="宋体" w:cs="宋体"/>
          <w:color w:val="auto"/>
          <w:highlight w:val="none"/>
        </w:rPr>
      </w:pPr>
    </w:p>
    <w:p w14:paraId="69F21AA5">
      <w:pPr>
        <w:spacing w:line="360" w:lineRule="auto"/>
        <w:ind w:firstLine="420"/>
        <w:rPr>
          <w:rFonts w:hint="eastAsia" w:ascii="宋体" w:hAnsi="宋体" w:cs="宋体"/>
          <w:color w:val="auto"/>
          <w:sz w:val="24"/>
          <w:szCs w:val="32"/>
          <w:highlight w:val="none"/>
        </w:rPr>
      </w:pPr>
      <w:r>
        <w:rPr>
          <w:rFonts w:hint="eastAsia" w:ascii="宋体" w:hAnsi="宋体" w:cs="宋体"/>
          <w:color w:val="auto"/>
          <w:sz w:val="24"/>
          <w:szCs w:val="32"/>
          <w:highlight w:val="none"/>
        </w:rPr>
        <w:t>本单位郑重声明，根据《财政部 民政部 中国残疾人联合会关于促进残疾人就业政府采购政策的通知》（财库〔2017〕 141号）的规定，本单位为</w:t>
      </w:r>
      <w:r>
        <w:rPr>
          <w:rFonts w:hint="eastAsia" w:ascii="宋体" w:hAnsi="宋体" w:cs="宋体"/>
          <w:color w:val="auto"/>
          <w:sz w:val="24"/>
          <w:szCs w:val="32"/>
          <w:highlight w:val="none"/>
          <w:u w:val="single"/>
        </w:rPr>
        <w:t xml:space="preserve">        （符合/不符合）   </w:t>
      </w:r>
      <w:r>
        <w:rPr>
          <w:rFonts w:hint="eastAsia" w:ascii="宋体" w:hAnsi="宋体" w:cs="宋体"/>
          <w:color w:val="auto"/>
          <w:sz w:val="24"/>
          <w:szCs w:val="32"/>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A03100">
      <w:pPr>
        <w:spacing w:line="360" w:lineRule="auto"/>
        <w:ind w:firstLine="420"/>
        <w:rPr>
          <w:rFonts w:hint="eastAsia" w:ascii="宋体" w:hAnsi="宋体" w:cs="宋体"/>
          <w:color w:val="auto"/>
          <w:sz w:val="24"/>
          <w:szCs w:val="32"/>
          <w:highlight w:val="none"/>
        </w:rPr>
      </w:pPr>
      <w:r>
        <w:rPr>
          <w:rFonts w:hint="eastAsia" w:ascii="宋体" w:hAnsi="宋体" w:cs="宋体"/>
          <w:color w:val="auto"/>
          <w:sz w:val="24"/>
          <w:szCs w:val="32"/>
          <w:highlight w:val="none"/>
        </w:rPr>
        <w:t>本单位对上述声明的真实性负责。如有虚假，将依法承担相应责任。</w:t>
      </w:r>
    </w:p>
    <w:p w14:paraId="444DD691">
      <w:pPr>
        <w:spacing w:line="360" w:lineRule="auto"/>
        <w:ind w:firstLine="420"/>
        <w:jc w:val="right"/>
        <w:rPr>
          <w:rFonts w:hint="eastAsia" w:ascii="宋体" w:hAnsi="宋体" w:cs="宋体"/>
          <w:color w:val="auto"/>
          <w:sz w:val="24"/>
          <w:szCs w:val="32"/>
          <w:highlight w:val="none"/>
        </w:rPr>
      </w:pPr>
      <w:r>
        <w:rPr>
          <w:rFonts w:hint="eastAsia" w:ascii="宋体" w:hAnsi="宋体" w:cs="宋体"/>
          <w:color w:val="auto"/>
          <w:sz w:val="24"/>
          <w:highlight w:val="none"/>
        </w:rPr>
        <w:t>供应商</w:t>
      </w:r>
      <w:r>
        <w:rPr>
          <w:rFonts w:hint="eastAsia" w:ascii="宋体" w:hAnsi="宋体" w:cs="宋体"/>
          <w:color w:val="auto"/>
          <w:sz w:val="24"/>
          <w:szCs w:val="32"/>
          <w:highlight w:val="none"/>
        </w:rPr>
        <w:t>（盖章）：</w:t>
      </w:r>
    </w:p>
    <w:p w14:paraId="25E5868A">
      <w:pPr>
        <w:spacing w:line="360" w:lineRule="auto"/>
        <w:ind w:firstLine="420"/>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日  期：</w:t>
      </w:r>
    </w:p>
    <w:p w14:paraId="47AE58B8">
      <w:pPr>
        <w:rPr>
          <w:rFonts w:hint="eastAsia" w:ascii="宋体" w:hAnsi="宋体" w:cs="宋体"/>
          <w:b/>
          <w:color w:val="auto"/>
          <w:sz w:val="24"/>
          <w:highlight w:val="none"/>
        </w:rPr>
      </w:pPr>
      <w:bookmarkStart w:id="4426" w:name="_Toc4600891"/>
      <w:bookmarkStart w:id="4427" w:name="_Toc5074"/>
      <w:bookmarkStart w:id="4428" w:name="_Toc24113"/>
      <w:bookmarkStart w:id="4429" w:name="_Toc16617212"/>
      <w:bookmarkStart w:id="4430" w:name="_Toc27059"/>
      <w:bookmarkStart w:id="4431" w:name="_Toc14117"/>
    </w:p>
    <w:bookmarkEnd w:id="305"/>
    <w:bookmarkEnd w:id="306"/>
    <w:bookmarkEnd w:id="307"/>
    <w:bookmarkEnd w:id="308"/>
    <w:bookmarkEnd w:id="309"/>
    <w:bookmarkEnd w:id="310"/>
    <w:bookmarkEnd w:id="311"/>
    <w:bookmarkEnd w:id="312"/>
    <w:bookmarkEnd w:id="4280"/>
    <w:bookmarkEnd w:id="4281"/>
    <w:bookmarkEnd w:id="4282"/>
    <w:bookmarkEnd w:id="4283"/>
    <w:bookmarkEnd w:id="4426"/>
    <w:bookmarkEnd w:id="4427"/>
    <w:bookmarkEnd w:id="4428"/>
    <w:bookmarkEnd w:id="4429"/>
    <w:bookmarkEnd w:id="4430"/>
    <w:bookmarkEnd w:id="4431"/>
    <w:p w14:paraId="7F8F4100">
      <w:pPr>
        <w:keepNext/>
        <w:keepLines/>
        <w:widowControl w:val="0"/>
        <w:numPr>
          <w:ilvl w:val="0"/>
          <w:numId w:val="9"/>
        </w:numPr>
        <w:spacing w:before="280" w:after="290" w:line="376" w:lineRule="auto"/>
        <w:ind w:left="432" w:hanging="432"/>
        <w:jc w:val="left"/>
        <w:outlineLvl w:val="3"/>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南京市政府采购供应商信用记录表暨信用承诺书</w:t>
      </w:r>
    </w:p>
    <w:p w14:paraId="1C32C83E">
      <w:pPr>
        <w:pStyle w:val="3"/>
        <w:numPr>
          <w:ilvl w:val="3"/>
          <w:numId w:val="0"/>
        </w:numPr>
        <w:ind w:leftChars="0"/>
        <w:rPr>
          <w:rFonts w:hint="eastAsia"/>
          <w:lang w:val="en-US" w:eastAsia="zh-CN"/>
        </w:rPr>
      </w:pPr>
      <w:r>
        <w:drawing>
          <wp:inline distT="0" distB="0" distL="114300" distR="114300">
            <wp:extent cx="5894070" cy="7657465"/>
            <wp:effectExtent l="0" t="0" r="11430" b="6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1"/>
                    <a:stretch>
                      <a:fillRect/>
                    </a:stretch>
                  </pic:blipFill>
                  <pic:spPr>
                    <a:xfrm>
                      <a:off x="0" y="0"/>
                      <a:ext cx="5894070" cy="7657465"/>
                    </a:xfrm>
                    <a:prstGeom prst="rect">
                      <a:avLst/>
                    </a:prstGeom>
                    <a:noFill/>
                    <a:ln>
                      <a:noFill/>
                    </a:ln>
                  </pic:spPr>
                </pic:pic>
              </a:graphicData>
            </a:graphic>
          </wp:inline>
        </w:drawing>
      </w:r>
    </w:p>
    <w:p w14:paraId="202FA94F">
      <w:pPr>
        <w:keepNext/>
        <w:keepLines/>
        <w:widowControl w:val="0"/>
        <w:numPr>
          <w:ilvl w:val="0"/>
          <w:numId w:val="0"/>
        </w:numPr>
        <w:spacing w:before="280" w:after="290" w:line="376" w:lineRule="auto"/>
        <w:ind w:left="432" w:hanging="432"/>
        <w:jc w:val="left"/>
        <w:outlineLvl w:val="3"/>
        <w:rPr>
          <w:rFonts w:hint="eastAsia" w:ascii="宋体" w:hAnsi="宋体" w:eastAsia="宋体" w:cs="宋体"/>
          <w:b/>
          <w:bCs/>
          <w:color w:val="auto"/>
          <w:kern w:val="2"/>
          <w:sz w:val="24"/>
          <w:szCs w:val="24"/>
          <w:highlight w:val="none"/>
          <w:lang w:val="en-US" w:eastAsia="zh-CN" w:bidi="ar-SA"/>
        </w:rPr>
      </w:pPr>
    </w:p>
    <w:p w14:paraId="6B5D9F6B">
      <w:pPr>
        <w:keepNext/>
        <w:keepLines/>
        <w:widowControl w:val="0"/>
        <w:numPr>
          <w:ilvl w:val="0"/>
          <w:numId w:val="0"/>
        </w:numPr>
        <w:spacing w:before="280" w:after="290" w:line="376" w:lineRule="auto"/>
        <w:ind w:left="432" w:hanging="432"/>
        <w:jc w:val="left"/>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十三、承诺书</w:t>
      </w:r>
    </w:p>
    <w:p w14:paraId="310C55D4">
      <w:pPr>
        <w:ind w:firstLine="643" w:firstLineChars="200"/>
        <w:jc w:val="center"/>
        <w:rPr>
          <w:rFonts w:hint="eastAsia" w:ascii="宋体" w:hAnsi="宋体" w:cs="宋体"/>
          <w:color w:val="auto"/>
          <w:spacing w:val="6"/>
          <w:szCs w:val="21"/>
          <w:highlight w:val="none"/>
        </w:rPr>
      </w:pPr>
      <w:r>
        <w:rPr>
          <w:rFonts w:hint="eastAsia" w:ascii="宋体" w:hAnsi="宋体" w:cs="宋体"/>
          <w:b/>
          <w:bCs/>
          <w:color w:val="auto"/>
          <w:sz w:val="32"/>
          <w:szCs w:val="44"/>
          <w:highlight w:val="none"/>
        </w:rPr>
        <w:t>承诺书</w:t>
      </w:r>
    </w:p>
    <w:p w14:paraId="60369DCA">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我单位郑重声明：</w:t>
      </w:r>
    </w:p>
    <w:p w14:paraId="274F6179">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 xml:space="preserve">项目负责人满足下列条件：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a. 项目负责人不得同时在两个或者两个以上单位受聘或者执业（包括但不限于以下两种情况）：</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w:t>
      </w:r>
      <w:r>
        <w:rPr>
          <w:rFonts w:hint="eastAsia" w:ascii="宋体" w:hAnsi="宋体" w:cs="宋体"/>
          <w:bCs/>
          <w:color w:val="auto"/>
          <w:sz w:val="24"/>
          <w:highlight w:val="none"/>
          <w:lang w:val="en-GB"/>
        </w:rPr>
        <w:fldChar w:fldCharType="begin"/>
      </w:r>
      <w:r>
        <w:rPr>
          <w:rFonts w:hint="eastAsia" w:ascii="宋体" w:hAnsi="宋体" w:cs="宋体"/>
          <w:bCs/>
          <w:color w:val="auto"/>
          <w:sz w:val="24"/>
          <w:highlight w:val="none"/>
          <w:lang w:val="en-GB"/>
        </w:rPr>
        <w:instrText xml:space="preserve"> = 1 \* GB3 </w:instrText>
      </w:r>
      <w:r>
        <w:rPr>
          <w:rFonts w:hint="eastAsia" w:ascii="宋体" w:hAnsi="宋体" w:cs="宋体"/>
          <w:bCs/>
          <w:color w:val="auto"/>
          <w:sz w:val="24"/>
          <w:highlight w:val="none"/>
          <w:lang w:val="en-GB"/>
        </w:rPr>
        <w:fldChar w:fldCharType="separate"/>
      </w:r>
      <w:r>
        <w:rPr>
          <w:rFonts w:hint="eastAsia" w:ascii="宋体" w:hAnsi="宋体" w:cs="宋体"/>
          <w:bCs/>
          <w:color w:val="auto"/>
          <w:sz w:val="24"/>
          <w:highlight w:val="none"/>
          <w:lang w:val="en-GB"/>
        </w:rPr>
        <w:t>①</w:t>
      </w:r>
      <w:r>
        <w:rPr>
          <w:rFonts w:hint="eastAsia" w:ascii="宋体" w:hAnsi="宋体" w:cs="宋体"/>
          <w:bCs/>
          <w:color w:val="auto"/>
          <w:sz w:val="24"/>
          <w:highlight w:val="none"/>
          <w:lang w:val="en-GB"/>
        </w:rPr>
        <w:fldChar w:fldCharType="end"/>
      </w:r>
      <w:r>
        <w:rPr>
          <w:rFonts w:hint="eastAsia" w:ascii="宋体" w:hAnsi="宋体" w:cs="宋体"/>
          <w:bCs/>
          <w:color w:val="auto"/>
          <w:sz w:val="24"/>
          <w:highlight w:val="none"/>
          <w:lang w:val="en-GB"/>
        </w:rPr>
        <w:t xml:space="preserve">同时在两个及以上单位签订劳动合同或交纳社会保险；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w:t>
      </w:r>
      <w:r>
        <w:rPr>
          <w:rFonts w:hint="eastAsia" w:ascii="宋体" w:hAnsi="宋体" w:cs="宋体"/>
          <w:bCs/>
          <w:color w:val="auto"/>
          <w:sz w:val="24"/>
          <w:highlight w:val="none"/>
          <w:lang w:val="en-GB"/>
        </w:rPr>
        <w:fldChar w:fldCharType="begin"/>
      </w:r>
      <w:r>
        <w:rPr>
          <w:rFonts w:hint="eastAsia" w:ascii="宋体" w:hAnsi="宋体" w:cs="宋体"/>
          <w:bCs/>
          <w:color w:val="auto"/>
          <w:sz w:val="24"/>
          <w:highlight w:val="none"/>
          <w:lang w:val="en-GB"/>
        </w:rPr>
        <w:instrText xml:space="preserve"> = 2 \* GB3 </w:instrText>
      </w:r>
      <w:r>
        <w:rPr>
          <w:rFonts w:hint="eastAsia" w:ascii="宋体" w:hAnsi="宋体" w:cs="宋体"/>
          <w:bCs/>
          <w:color w:val="auto"/>
          <w:sz w:val="24"/>
          <w:highlight w:val="none"/>
          <w:lang w:val="en-GB"/>
        </w:rPr>
        <w:fldChar w:fldCharType="separate"/>
      </w:r>
      <w:r>
        <w:rPr>
          <w:rFonts w:hint="eastAsia" w:ascii="宋体" w:hAnsi="宋体" w:cs="宋体"/>
          <w:bCs/>
          <w:color w:val="auto"/>
          <w:sz w:val="24"/>
          <w:highlight w:val="none"/>
          <w:lang w:val="en-GB"/>
        </w:rPr>
        <w:t>②</w:t>
      </w:r>
      <w:r>
        <w:rPr>
          <w:rFonts w:hint="eastAsia" w:ascii="宋体" w:hAnsi="宋体" w:cs="宋体"/>
          <w:bCs/>
          <w:color w:val="auto"/>
          <w:sz w:val="24"/>
          <w:highlight w:val="none"/>
          <w:lang w:val="en-GB"/>
        </w:rPr>
        <w:fldChar w:fldCharType="end"/>
      </w:r>
      <w:r>
        <w:rPr>
          <w:rFonts w:hint="eastAsia" w:ascii="宋体" w:hAnsi="宋体" w:cs="宋体"/>
          <w:bCs/>
          <w:color w:val="auto"/>
          <w:sz w:val="24"/>
          <w:highlight w:val="none"/>
          <w:lang w:val="en-GB"/>
        </w:rPr>
        <w:t xml:space="preserve">将本人执（职）业资格证书同时注册在两个及以上单位。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b. 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 文、同一施工地点分段发包或分期施工的情况且总的工程规模在项目负责人执业范围之内；  </w:t>
      </w:r>
      <w:r>
        <w:rPr>
          <w:rFonts w:hint="eastAsia" w:ascii="宋体" w:hAnsi="宋体" w:cs="宋体"/>
          <w:bCs/>
          <w:color w:val="auto"/>
          <w:sz w:val="24"/>
          <w:highlight w:val="none"/>
          <w:lang w:val="en-GB"/>
        </w:rPr>
        <w:cr/>
      </w:r>
      <w:r>
        <w:rPr>
          <w:rFonts w:hint="eastAsia" w:ascii="宋体" w:hAnsi="宋体" w:cs="宋体"/>
          <w:bCs/>
          <w:color w:val="auto"/>
          <w:sz w:val="24"/>
          <w:highlight w:val="none"/>
          <w:lang w:val="en-GB"/>
        </w:rPr>
        <w:t xml:space="preserve">    c. 项目负责人无行贿犯罪行为记录；或者有行贿犯罪行为记录，但自记录之日起已超过5年的。</w:t>
      </w:r>
    </w:p>
    <w:p w14:paraId="230455D7">
      <w:pPr>
        <w:widowControl/>
        <w:spacing w:line="360" w:lineRule="auto"/>
        <w:ind w:firstLine="480" w:firstLineChars="200"/>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w:t>
      </w:r>
      <w:r>
        <w:rPr>
          <w:rFonts w:hint="eastAsia" w:ascii="宋体" w:hAnsi="宋体" w:cs="宋体"/>
          <w:bCs/>
          <w:color w:val="auto"/>
          <w:sz w:val="24"/>
          <w:highlight w:val="none"/>
        </w:rPr>
        <w:t>5</w:t>
      </w:r>
      <w:r>
        <w:rPr>
          <w:rFonts w:hint="eastAsia" w:ascii="宋体" w:hAnsi="宋体" w:cs="宋体"/>
          <w:bCs/>
          <w:color w:val="auto"/>
          <w:sz w:val="24"/>
          <w:highlight w:val="none"/>
          <w:lang w:val="en-GB"/>
        </w:rPr>
        <w:t>）本项目项目负责人无在建工程。</w:t>
      </w:r>
    </w:p>
    <w:p w14:paraId="5E3F5352">
      <w:pPr>
        <w:pStyle w:val="14"/>
        <w:rPr>
          <w:rFonts w:hint="eastAsia"/>
          <w:color w:val="auto"/>
          <w:highlight w:val="none"/>
        </w:rPr>
      </w:pPr>
    </w:p>
    <w:p w14:paraId="13C326D8">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w:t>
      </w:r>
    </w:p>
    <w:p w14:paraId="0C3C038D">
      <w:pPr>
        <w:autoSpaceDE w:val="0"/>
        <w:autoSpaceDN w:val="0"/>
        <w:adjustRightInd w:val="0"/>
        <w:snapToGrid w:val="0"/>
        <w:spacing w:line="360" w:lineRule="auto"/>
        <w:ind w:right="84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供应商</w:t>
      </w:r>
      <w:r>
        <w:rPr>
          <w:rFonts w:hint="eastAsia" w:ascii="宋体" w:hAnsi="宋体" w:cs="宋体"/>
          <w:color w:val="auto"/>
          <w:sz w:val="24"/>
          <w:highlight w:val="none"/>
        </w:rPr>
        <w:t xml:space="preserve">（盖章）：            </w:t>
      </w:r>
    </w:p>
    <w:p w14:paraId="77DB0D06">
      <w:pPr>
        <w:autoSpaceDE w:val="0"/>
        <w:autoSpaceDN w:val="0"/>
        <w:adjustRightInd w:val="0"/>
        <w:snapToGrid w:val="0"/>
        <w:spacing w:line="360" w:lineRule="auto"/>
        <w:ind w:right="42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授权代表签字：             </w:t>
      </w:r>
    </w:p>
    <w:p w14:paraId="4843EBB1">
      <w:pPr>
        <w:wordWrap w:val="0"/>
        <w:autoSpaceDE w:val="0"/>
        <w:autoSpaceDN w:val="0"/>
        <w:adjustRightInd w:val="0"/>
        <w:snapToGri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日    期：   年    月   日</w:t>
      </w:r>
    </w:p>
    <w:p w14:paraId="4A4F5A59">
      <w:pPr>
        <w:pStyle w:val="14"/>
        <w:rPr>
          <w:rFonts w:hint="eastAsia"/>
          <w:color w:val="auto"/>
          <w:highlight w:val="none"/>
        </w:rPr>
      </w:pPr>
    </w:p>
    <w:p w14:paraId="014739B4">
      <w:pPr>
        <w:rPr>
          <w:color w:val="auto"/>
          <w:highlight w:val="none"/>
        </w:rPr>
      </w:pPr>
    </w:p>
    <w:sectPr>
      <w:headerReference r:id="rId8" w:type="default"/>
      <w:footerReference r:id="rId9"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11146919-8E84-4FEA-8DC5-AF693B6C5CEE}"/>
  </w:font>
  <w:font w:name="仿宋">
    <w:panose1 w:val="02010609060101010101"/>
    <w:charset w:val="86"/>
    <w:family w:val="modern"/>
    <w:pitch w:val="default"/>
    <w:sig w:usb0="800002BF" w:usb1="38CF7CFA" w:usb2="00000016" w:usb3="00000000" w:csb0="00040001" w:csb1="00000000"/>
    <w:embedRegular r:id="rId2" w:fontKey="{513ADB07-3B1D-4ABB-A3A2-3867E97497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991C">
    <w:pPr>
      <w:widowControl w:val="0"/>
      <w:snapToGrid w:val="0"/>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21"/>
        <w:lang w:val="en-US" w:eastAsia="zh-CN" w:bidi="ar-SA"/>
      </w:rPr>
      <w:t xml:space="preserve">第 </w:t>
    </w:r>
    <w:r>
      <w:rPr>
        <w:rFonts w:ascii="宋体" w:hAnsi="宋体" w:eastAsia="宋体" w:cs="Times New Roman"/>
        <w:kern w:val="0"/>
        <w:sz w:val="18"/>
        <w:szCs w:val="21"/>
        <w:lang w:val="en-US" w:eastAsia="zh-CN" w:bidi="ar-SA"/>
      </w:rPr>
      <w:fldChar w:fldCharType="begin"/>
    </w:r>
    <w:r>
      <w:rPr>
        <w:rFonts w:ascii="宋体" w:hAnsi="宋体" w:eastAsia="宋体" w:cs="Times New Roman"/>
        <w:kern w:val="0"/>
        <w:sz w:val="18"/>
        <w:szCs w:val="21"/>
        <w:lang w:val="en-US" w:eastAsia="zh-CN" w:bidi="ar-SA"/>
      </w:rPr>
      <w:instrText xml:space="preserve"> PAGE </w:instrText>
    </w:r>
    <w:r>
      <w:rPr>
        <w:rFonts w:ascii="宋体" w:hAnsi="宋体" w:eastAsia="宋体" w:cs="Times New Roman"/>
        <w:kern w:val="0"/>
        <w:sz w:val="18"/>
        <w:szCs w:val="21"/>
        <w:lang w:val="en-US" w:eastAsia="zh-CN" w:bidi="ar-SA"/>
      </w:rPr>
      <w:fldChar w:fldCharType="separate"/>
    </w:r>
    <w:r>
      <w:rPr>
        <w:rFonts w:ascii="宋体" w:hAnsi="宋体" w:eastAsia="宋体" w:cs="Times New Roman"/>
        <w:kern w:val="0"/>
        <w:sz w:val="18"/>
        <w:szCs w:val="21"/>
        <w:lang w:val="en-US" w:eastAsia="zh-CN" w:bidi="ar-SA"/>
      </w:rPr>
      <w:t>22</w:t>
    </w:r>
    <w:r>
      <w:rPr>
        <w:rFonts w:ascii="宋体" w:hAnsi="宋体" w:eastAsia="宋体" w:cs="Times New Roman"/>
        <w:kern w:val="0"/>
        <w:sz w:val="18"/>
        <w:szCs w:val="21"/>
        <w:lang w:val="en-US" w:eastAsia="zh-CN" w:bidi="ar-SA"/>
      </w:rPr>
      <w:fldChar w:fldCharType="end"/>
    </w:r>
    <w:r>
      <w:rPr>
        <w:rFonts w:hint="eastAsia" w:ascii="宋体" w:hAnsi="宋体" w:eastAsia="宋体" w:cs="Times New Roman"/>
        <w:kern w:val="0"/>
        <w:sz w:val="18"/>
        <w:szCs w:val="21"/>
        <w:lang w:val="en-US" w:eastAsia="zh-CN" w:bidi="ar-SA"/>
      </w:rPr>
      <w:t xml:space="preserve"> 页 共 </w:t>
    </w:r>
    <w:r>
      <w:rPr>
        <w:rFonts w:ascii="宋体" w:hAnsi="宋体" w:eastAsia="宋体" w:cs="Times New Roman"/>
        <w:kern w:val="0"/>
        <w:sz w:val="18"/>
        <w:szCs w:val="21"/>
        <w:lang w:val="en-US" w:eastAsia="zh-CN" w:bidi="ar-SA"/>
      </w:rPr>
      <w:fldChar w:fldCharType="begin"/>
    </w:r>
    <w:r>
      <w:rPr>
        <w:rFonts w:ascii="宋体" w:hAnsi="宋体" w:eastAsia="宋体" w:cs="Times New Roman"/>
        <w:kern w:val="0"/>
        <w:sz w:val="18"/>
        <w:szCs w:val="21"/>
        <w:lang w:val="en-US" w:eastAsia="zh-CN" w:bidi="ar-SA"/>
      </w:rPr>
      <w:instrText xml:space="preserve"> NUMPAGES </w:instrText>
    </w:r>
    <w:r>
      <w:rPr>
        <w:rFonts w:ascii="宋体" w:hAnsi="宋体" w:eastAsia="宋体" w:cs="Times New Roman"/>
        <w:kern w:val="0"/>
        <w:sz w:val="18"/>
        <w:szCs w:val="21"/>
        <w:lang w:val="en-US" w:eastAsia="zh-CN" w:bidi="ar-SA"/>
      </w:rPr>
      <w:fldChar w:fldCharType="separate"/>
    </w:r>
    <w:r>
      <w:rPr>
        <w:rFonts w:ascii="宋体" w:hAnsi="宋体" w:eastAsia="宋体" w:cs="Times New Roman"/>
        <w:kern w:val="0"/>
        <w:sz w:val="18"/>
        <w:szCs w:val="21"/>
        <w:lang w:val="en-US" w:eastAsia="zh-CN" w:bidi="ar-SA"/>
      </w:rPr>
      <w:t>135</w:t>
    </w:r>
    <w:r>
      <w:rPr>
        <w:rFonts w:ascii="宋体" w:hAnsi="宋体" w:eastAsia="宋体" w:cs="Times New Roman"/>
        <w:kern w:val="0"/>
        <w:sz w:val="18"/>
        <w:szCs w:val="21"/>
        <w:lang w:val="en-US" w:eastAsia="zh-CN" w:bidi="ar-SA"/>
      </w:rPr>
      <w:fldChar w:fldCharType="end"/>
    </w:r>
    <w:r>
      <w:rPr>
        <w:rFonts w:hint="eastAsia" w:ascii="宋体" w:hAnsi="宋体" w:eastAsia="宋体" w:cs="Times New Roman"/>
        <w:kern w:val="0"/>
        <w:sz w:val="18"/>
        <w:szCs w:val="21"/>
        <w:lang w:val="en-US" w:eastAsia="zh-CN" w:bidi="ar-S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5B08">
    <w:pPr>
      <w:widowControl w:val="0"/>
      <w:snapToGrid w:val="0"/>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0"/>
        <w:sz w:val="18"/>
        <w:szCs w:val="21"/>
        <w:lang w:val="en-US" w:eastAsia="zh-CN" w:bidi="ar-SA"/>
      </w:rPr>
      <w:t xml:space="preserve">第 </w:t>
    </w:r>
    <w:r>
      <w:rPr>
        <w:rFonts w:ascii="宋体" w:hAnsi="宋体" w:eastAsia="宋体" w:cs="Times New Roman"/>
        <w:kern w:val="0"/>
        <w:sz w:val="18"/>
        <w:szCs w:val="21"/>
        <w:lang w:val="en-US" w:eastAsia="zh-CN" w:bidi="ar-SA"/>
      </w:rPr>
      <w:fldChar w:fldCharType="begin"/>
    </w:r>
    <w:r>
      <w:rPr>
        <w:rFonts w:ascii="宋体" w:hAnsi="宋体" w:eastAsia="宋体" w:cs="Times New Roman"/>
        <w:kern w:val="0"/>
        <w:sz w:val="18"/>
        <w:szCs w:val="21"/>
        <w:lang w:val="en-US" w:eastAsia="zh-CN" w:bidi="ar-SA"/>
      </w:rPr>
      <w:instrText xml:space="preserve"> PAGE </w:instrText>
    </w:r>
    <w:r>
      <w:rPr>
        <w:rFonts w:ascii="宋体" w:hAnsi="宋体" w:eastAsia="宋体" w:cs="Times New Roman"/>
        <w:kern w:val="0"/>
        <w:sz w:val="18"/>
        <w:szCs w:val="21"/>
        <w:lang w:val="en-US" w:eastAsia="zh-CN" w:bidi="ar-SA"/>
      </w:rPr>
      <w:fldChar w:fldCharType="separate"/>
    </w:r>
    <w:r>
      <w:rPr>
        <w:rFonts w:ascii="宋体" w:hAnsi="宋体" w:eastAsia="宋体" w:cs="Times New Roman"/>
        <w:kern w:val="0"/>
        <w:sz w:val="18"/>
        <w:szCs w:val="21"/>
        <w:lang w:val="en-US" w:eastAsia="zh-CN" w:bidi="ar-SA"/>
      </w:rPr>
      <w:t>23</w:t>
    </w:r>
    <w:r>
      <w:rPr>
        <w:rFonts w:ascii="宋体" w:hAnsi="宋体" w:eastAsia="宋体" w:cs="Times New Roman"/>
        <w:kern w:val="0"/>
        <w:sz w:val="18"/>
        <w:szCs w:val="21"/>
        <w:lang w:val="en-US" w:eastAsia="zh-CN" w:bidi="ar-SA"/>
      </w:rPr>
      <w:fldChar w:fldCharType="end"/>
    </w:r>
    <w:r>
      <w:rPr>
        <w:rFonts w:hint="eastAsia" w:ascii="宋体" w:hAnsi="宋体" w:eastAsia="宋体" w:cs="Times New Roman"/>
        <w:kern w:val="0"/>
        <w:sz w:val="18"/>
        <w:szCs w:val="21"/>
        <w:lang w:val="en-US" w:eastAsia="zh-CN" w:bidi="ar-SA"/>
      </w:rPr>
      <w:t xml:space="preserve"> 页 共 </w:t>
    </w:r>
    <w:r>
      <w:rPr>
        <w:rFonts w:ascii="宋体" w:hAnsi="宋体" w:eastAsia="宋体" w:cs="Times New Roman"/>
        <w:kern w:val="0"/>
        <w:sz w:val="18"/>
        <w:szCs w:val="21"/>
        <w:lang w:val="en-US" w:eastAsia="zh-CN" w:bidi="ar-SA"/>
      </w:rPr>
      <w:fldChar w:fldCharType="begin"/>
    </w:r>
    <w:r>
      <w:rPr>
        <w:rFonts w:ascii="宋体" w:hAnsi="宋体" w:eastAsia="宋体" w:cs="Times New Roman"/>
        <w:kern w:val="0"/>
        <w:sz w:val="18"/>
        <w:szCs w:val="21"/>
        <w:lang w:val="en-US" w:eastAsia="zh-CN" w:bidi="ar-SA"/>
      </w:rPr>
      <w:instrText xml:space="preserve"> NUMPAGES </w:instrText>
    </w:r>
    <w:r>
      <w:rPr>
        <w:rFonts w:ascii="宋体" w:hAnsi="宋体" w:eastAsia="宋体" w:cs="Times New Roman"/>
        <w:kern w:val="0"/>
        <w:sz w:val="18"/>
        <w:szCs w:val="21"/>
        <w:lang w:val="en-US" w:eastAsia="zh-CN" w:bidi="ar-SA"/>
      </w:rPr>
      <w:fldChar w:fldCharType="separate"/>
    </w:r>
    <w:r>
      <w:rPr>
        <w:rFonts w:ascii="宋体" w:hAnsi="宋体" w:eastAsia="宋体" w:cs="Times New Roman"/>
        <w:kern w:val="0"/>
        <w:sz w:val="18"/>
        <w:szCs w:val="21"/>
        <w:lang w:val="en-US" w:eastAsia="zh-CN" w:bidi="ar-SA"/>
      </w:rPr>
      <w:t>135</w:t>
    </w:r>
    <w:r>
      <w:rPr>
        <w:rFonts w:ascii="宋体" w:hAnsi="宋体" w:eastAsia="宋体" w:cs="Times New Roman"/>
        <w:kern w:val="0"/>
        <w:sz w:val="18"/>
        <w:szCs w:val="21"/>
        <w:lang w:val="en-US" w:eastAsia="zh-CN" w:bidi="ar-SA"/>
      </w:rPr>
      <w:fldChar w:fldCharType="end"/>
    </w:r>
    <w:r>
      <w:rPr>
        <w:rFonts w:hint="eastAsia" w:ascii="宋体" w:hAnsi="宋体" w:eastAsia="宋体" w:cs="Times New Roman"/>
        <w:kern w:val="0"/>
        <w:sz w:val="18"/>
        <w:szCs w:val="21"/>
        <w:lang w:val="en-US" w:eastAsia="zh-CN" w:bidi="ar-S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C435">
    <w:pPr>
      <w:framePr w:wrap="around" w:vAnchor="text" w:hAnchor="margin" w:xAlign="center" w:y="1"/>
      <w:widowControl w:val="0"/>
      <w:snapToGrid w:val="0"/>
      <w:jc w:val="left"/>
      <w:rPr>
        <w:rStyle w:val="12"/>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Style w:val="12"/>
        <w:kern w:val="2"/>
        <w:sz w:val="21"/>
        <w:szCs w:val="24"/>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14:paraId="1C486448">
    <w:pPr>
      <w:widowControl w:val="0"/>
      <w:snapToGrid w:val="0"/>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82A9">
    <w:pPr>
      <w:tabs>
        <w:tab w:val="center" w:pos="4153"/>
        <w:tab w:val="right" w:pos="8306"/>
      </w:tabs>
      <w:snapToGrid w:val="0"/>
      <w:jc w:val="center"/>
      <w:rPr>
        <w:kern w:val="0"/>
        <w:sz w:val="18"/>
        <w:szCs w:val="18"/>
      </w:rPr>
    </w:pPr>
    <w:r>
      <w:rPr>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AD59EE">
                          <w:pPr>
                            <w:tabs>
                              <w:tab w:val="center" w:pos="4153"/>
                              <w:tab w:val="right" w:pos="8306"/>
                            </w:tabs>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34</w:t>
                          </w:r>
                          <w:r>
                            <w:rPr>
                              <w:kern w:val="0"/>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3DAD59EE">
                    <w:pPr>
                      <w:tabs>
                        <w:tab w:val="center" w:pos="4153"/>
                        <w:tab w:val="right" w:pos="8306"/>
                      </w:tabs>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34</w:t>
                    </w:r>
                    <w:r>
                      <w:rPr>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E590">
    <w:pPr>
      <w:widowControl w:val="0"/>
      <w:pBdr>
        <w:bottom w:val="none" w:color="auto" w:sz="0" w:space="1"/>
      </w:pBdr>
      <w:wordWrap w:val="0"/>
      <w:snapToGrid w:val="0"/>
      <w:jc w:val="right"/>
      <w:rPr>
        <w:rFonts w:hint="eastAsia" w:ascii="宋体" w:hAnsi="宋体" w:eastAsia="宋体" w:cs="Times New Roman"/>
        <w:color w:val="FF0000"/>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C898">
    <w:pPr>
      <w:widowControl w:val="0"/>
      <w:pBdr>
        <w:bottom w:val="single" w:color="auto" w:sz="6" w:space="1"/>
      </w:pBdr>
      <w:snapToGrid w:val="0"/>
      <w:jc w:val="right"/>
      <w:rPr>
        <w:rFonts w:hint="eastAsia"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14AE">
    <w:pPr>
      <w:pStyle w:val="7"/>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3EB7"/>
    <w:multiLevelType w:val="singleLevel"/>
    <w:tmpl w:val="A7723EB7"/>
    <w:lvl w:ilvl="0" w:tentative="0">
      <w:start w:val="1"/>
      <w:numFmt w:val="chineseCounting"/>
      <w:suff w:val="nothing"/>
      <w:lvlText w:val="（%1）"/>
      <w:lvlJc w:val="left"/>
      <w:rPr>
        <w:rFonts w:hint="eastAsia"/>
      </w:rPr>
    </w:lvl>
  </w:abstractNum>
  <w:abstractNum w:abstractNumId="1">
    <w:nsid w:val="BCEA77AC"/>
    <w:multiLevelType w:val="singleLevel"/>
    <w:tmpl w:val="BCEA77AC"/>
    <w:lvl w:ilvl="0" w:tentative="0">
      <w:start w:val="1"/>
      <w:numFmt w:val="decimal"/>
      <w:suff w:val="space"/>
      <w:lvlText w:val="%1."/>
      <w:lvlJc w:val="left"/>
    </w:lvl>
  </w:abstractNum>
  <w:abstractNum w:abstractNumId="2">
    <w:nsid w:val="F2CFA7D9"/>
    <w:multiLevelType w:val="singleLevel"/>
    <w:tmpl w:val="F2CFA7D9"/>
    <w:lvl w:ilvl="0" w:tentative="0">
      <w:start w:val="21"/>
      <w:numFmt w:val="decimal"/>
      <w:suff w:val="space"/>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00000003"/>
    <w:multiLevelType w:val="multilevel"/>
    <w:tmpl w:val="0000000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3"/>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6"/>
    <w:multiLevelType w:val="multilevel"/>
    <w:tmpl w:val="0000000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59ABA303"/>
    <w:multiLevelType w:val="singleLevel"/>
    <w:tmpl w:val="59ABA303"/>
    <w:lvl w:ilvl="0" w:tentative="0">
      <w:start w:val="1"/>
      <w:numFmt w:val="decimal"/>
      <w:suff w:val="nothing"/>
      <w:lvlText w:val="（%1）"/>
      <w:lvlJc w:val="left"/>
    </w:lvl>
  </w:abstractNum>
  <w:abstractNum w:abstractNumId="7">
    <w:nsid w:val="677099E0"/>
    <w:multiLevelType w:val="singleLevel"/>
    <w:tmpl w:val="677099E0"/>
    <w:lvl w:ilvl="0" w:tentative="0">
      <w:start w:val="12"/>
      <w:numFmt w:val="chineseCounting"/>
      <w:suff w:val="nothing"/>
      <w:lvlText w:val="%1、"/>
      <w:lvlJc w:val="left"/>
      <w:rPr>
        <w:rFonts w:hint="eastAsia"/>
      </w:rPr>
    </w:lvl>
  </w:abstractNum>
  <w:abstractNum w:abstractNumId="8">
    <w:nsid w:val="6EB4130E"/>
    <w:multiLevelType w:val="singleLevel"/>
    <w:tmpl w:val="6EB4130E"/>
    <w:lvl w:ilvl="0" w:tentative="0">
      <w:start w:val="3"/>
      <w:numFmt w:val="chineseCounting"/>
      <w:suff w:val="nothing"/>
      <w:lvlText w:val="%1、"/>
      <w:lvlJc w:val="left"/>
      <w:rPr>
        <w:rFonts w:hint="eastAsia"/>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ZWE3ZmJiYjVkYWRhYzU4NjNlYjI3ZDY0MzU5Y2UifQ=="/>
  </w:docVars>
  <w:rsids>
    <w:rsidRoot w:val="3B99404D"/>
    <w:rsid w:val="1CAF6FE3"/>
    <w:rsid w:val="1CB41D92"/>
    <w:rsid w:val="1D194196"/>
    <w:rsid w:val="1E5A1415"/>
    <w:rsid w:val="2A3911C1"/>
    <w:rsid w:val="30E776E3"/>
    <w:rsid w:val="34D40D55"/>
    <w:rsid w:val="3B99404D"/>
    <w:rsid w:val="3EF13696"/>
    <w:rsid w:val="40530951"/>
    <w:rsid w:val="4B8A3EE5"/>
    <w:rsid w:val="4DC712EA"/>
    <w:rsid w:val="53566757"/>
    <w:rsid w:val="54F475CA"/>
    <w:rsid w:val="56A3074C"/>
    <w:rsid w:val="61AC7DCD"/>
    <w:rsid w:val="68D32A2A"/>
    <w:rsid w:val="6B60619E"/>
    <w:rsid w:val="77BF52A6"/>
    <w:rsid w:val="7FC3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rPr>
      <w:rFonts w:ascii="Calibri" w:hAnsi="Calibri"/>
      <w:szCs w:val="20"/>
    </w:rPr>
  </w:style>
  <w:style w:type="paragraph" w:styleId="5">
    <w:name w:val="Body Text Indent 2"/>
    <w:basedOn w:val="1"/>
    <w:next w:val="1"/>
    <w:qFormat/>
    <w:uiPriority w:val="0"/>
    <w:pPr>
      <w:ind w:left="630" w:firstLine="645"/>
    </w:pPr>
    <w:rPr>
      <w:rFonts w:ascii="Arial" w:hAnsi="Arial" w:eastAsia="仿宋_GB2312"/>
      <w:sz w:val="32"/>
      <w:szCs w:val="20"/>
    </w:rPr>
  </w:style>
  <w:style w:type="paragraph" w:styleId="6">
    <w:name w:val="footer"/>
    <w:basedOn w:val="1"/>
    <w:qFormat/>
    <w:uiPriority w:val="99"/>
    <w:pPr>
      <w:tabs>
        <w:tab w:val="center" w:pos="4153"/>
        <w:tab w:val="right" w:pos="8306"/>
      </w:tabs>
      <w:snapToGrid w:val="0"/>
      <w:jc w:val="left"/>
    </w:pPr>
    <w:rPr>
      <w:rFonts w:ascii="Calibri" w:hAnsi="Calibr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toc 1"/>
    <w:basedOn w:val="1"/>
    <w:next w:val="1"/>
    <w:qFormat/>
    <w:uiPriority w:val="39"/>
    <w:rPr>
      <w:rFonts w:ascii="Calibri" w:hAnsi="Calibri" w:eastAsia="宋体" w:cs="Times New Roman"/>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2">
    <w:name w:val="page number"/>
    <w:qFormat/>
    <w:uiPriority w:val="0"/>
    <w:rPr>
      <w:rFonts w:ascii="Calibri" w:hAnsi="Calibri" w:eastAsia="宋体" w:cs="Times New Roman"/>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索引 41"/>
    <w:basedOn w:val="1"/>
    <w:next w:val="1"/>
    <w:semiHidden/>
    <w:qFormat/>
    <w:uiPriority w:val="0"/>
    <w:pPr>
      <w:ind w:left="600"/>
    </w:pPr>
    <w:rPr>
      <w:rFonts w:ascii="Times New Roman" w:hAnsi="Times New Roman" w:eastAsia="宋体" w:cs="Times New Roman"/>
      <w:szCs w:val="24"/>
    </w:rPr>
  </w:style>
  <w:style w:type="paragraph" w:customStyle="1" w:styleId="1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
    <w:name w:val="Normal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Heading 1_3"/>
    <w:basedOn w:val="16"/>
    <w:next w:val="16"/>
    <w:qFormat/>
    <w:uiPriority w:val="99"/>
    <w:pPr>
      <w:keepNext/>
      <w:keepLines/>
      <w:spacing w:before="340" w:after="330" w:line="576" w:lineRule="auto"/>
      <w:outlineLvl w:val="0"/>
    </w:pPr>
    <w:rPr>
      <w:b/>
      <w:bCs/>
      <w:kern w:val="44"/>
      <w:sz w:val="44"/>
      <w:szCs w:val="44"/>
    </w:rPr>
  </w:style>
  <w:style w:type="paragraph" w:customStyle="1" w:styleId="18">
    <w:name w:val="Heading 2_3"/>
    <w:basedOn w:val="16"/>
    <w:next w:val="16"/>
    <w:qFormat/>
    <w:uiPriority w:val="9"/>
    <w:pPr>
      <w:keepNext/>
      <w:keepLines/>
      <w:spacing w:before="260" w:after="260" w:line="413" w:lineRule="auto"/>
      <w:outlineLvl w:val="1"/>
    </w:pPr>
    <w:rPr>
      <w:rFonts w:ascii="Cambria" w:hAnsi="Cambria"/>
      <w:b/>
      <w:bCs/>
      <w:sz w:val="32"/>
      <w:szCs w:val="32"/>
    </w:rPr>
  </w:style>
  <w:style w:type="paragraph" w:customStyle="1" w:styleId="19">
    <w:name w:val="Normal_6_5"/>
    <w:next w:val="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Body Text Indent 2_0_5"/>
    <w:basedOn w:val="19"/>
    <w:next w:val="19"/>
    <w:unhideWhenUsed/>
    <w:qFormat/>
    <w:uiPriority w:val="99"/>
    <w:pPr>
      <w:spacing w:line="360" w:lineRule="auto"/>
      <w:ind w:firstLine="480" w:firstLineChars="200"/>
    </w:pPr>
    <w:rPr>
      <w:sz w:val="24"/>
      <w:szCs w:val="22"/>
    </w:rPr>
  </w:style>
  <w:style w:type="paragraph" w:customStyle="1" w:styleId="21">
    <w:name w:val="Body Text Indent 2_3"/>
    <w:basedOn w:val="16"/>
    <w:next w:val="16"/>
    <w:qFormat/>
    <w:uiPriority w:val="0"/>
    <w:pPr>
      <w:spacing w:line="360" w:lineRule="auto"/>
      <w:ind w:firstLine="480" w:firstLineChars="200"/>
    </w:pPr>
    <w:rPr>
      <w:sz w:val="24"/>
    </w:rPr>
  </w:style>
  <w:style w:type="paragraph" w:customStyle="1" w:styleId="22">
    <w:name w:val="List Paragraph_3"/>
    <w:basedOn w:val="16"/>
    <w:qFormat/>
    <w:uiPriority w:val="99"/>
    <w:pPr>
      <w:ind w:firstLine="420" w:firstLineChars="200"/>
    </w:pPr>
  </w:style>
  <w:style w:type="paragraph" w:customStyle="1" w:styleId="23">
    <w:name w:val="Body Text_6"/>
    <w:basedOn w:val="16"/>
    <w:qFormat/>
    <w:uiPriority w:val="99"/>
    <w:pPr>
      <w:adjustRightInd w:val="0"/>
      <w:spacing w:after="60" w:line="360" w:lineRule="atLeast"/>
      <w:ind w:left="72" w:leftChars="30" w:right="30" w:rightChars="30"/>
      <w:jc w:val="center"/>
      <w:textAlignment w:val="baseline"/>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93456</Words>
  <Characters>97725</Characters>
  <Lines>0</Lines>
  <Paragraphs>0</Paragraphs>
  <TotalTime>35</TotalTime>
  <ScaleCrop>false</ScaleCrop>
  <LinksUpToDate>false</LinksUpToDate>
  <CharactersWithSpaces>100706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2024-08-09T07:44:00Z</dcterms:created>
  <dc:creator>杨</dc:creator>
  <cp:lastModifiedBy>杨</cp:lastModifiedBy>
  <dcterms:modified xsi:type="dcterms:W3CDTF">2024-09-10T11:17:34Z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A9DC9497D9434B13B2FA56226DCD3413_13</vt:lpwstr>
  </property>
</Properties>
</file>