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仿宋" w:hAnsi="仿宋" w:eastAsia="仿宋" w:cs="仿宋"/>
          <w:spacing w:val="-3"/>
          <w:sz w:val="64"/>
          <w:highlight w:val="none"/>
        </w:rPr>
      </w:pPr>
      <w:r>
        <w:rPr>
          <w:rFonts w:hint="eastAsia" w:ascii="仿宋" w:hAnsi="仿宋" w:eastAsia="仿宋" w:cs="仿宋"/>
          <w:highlight w:val="none"/>
        </w:rPr>
        <w:drawing>
          <wp:inline distT="0" distB="0" distL="114300" distR="114300">
            <wp:extent cx="974725" cy="802005"/>
            <wp:effectExtent l="0" t="0" r="15875" b="1714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cstate="print"/>
                    <a:stretch>
                      <a:fillRect/>
                    </a:stretch>
                  </pic:blipFill>
                  <pic:spPr>
                    <a:xfrm>
                      <a:off x="0" y="0"/>
                      <a:ext cx="974725" cy="802005"/>
                    </a:xfrm>
                    <a:prstGeom prst="rect">
                      <a:avLst/>
                    </a:prstGeom>
                    <a:noFill/>
                    <a:ln>
                      <a:noFill/>
                    </a:ln>
                  </pic:spPr>
                </pic:pic>
              </a:graphicData>
            </a:graphic>
          </wp:inline>
        </w:drawing>
      </w:r>
    </w:p>
    <w:p>
      <w:pPr>
        <w:pStyle w:val="2"/>
        <w:ind w:firstLine="880"/>
        <w:rPr>
          <w:rFonts w:ascii="仿宋" w:hAnsi="仿宋" w:eastAsia="仿宋" w:cs="仿宋"/>
          <w:highlight w:val="none"/>
        </w:rPr>
      </w:pPr>
    </w:p>
    <w:p>
      <w:pPr>
        <w:spacing w:line="360" w:lineRule="auto"/>
        <w:jc w:val="center"/>
        <w:rPr>
          <w:rFonts w:ascii="仿宋" w:hAnsi="仿宋" w:eastAsia="仿宋" w:cs="仿宋"/>
          <w:b/>
          <w:bCs/>
          <w:sz w:val="64"/>
          <w:highlight w:val="none"/>
        </w:rPr>
      </w:pPr>
      <w:r>
        <w:rPr>
          <w:rFonts w:hint="eastAsia" w:ascii="仿宋" w:hAnsi="仿宋" w:eastAsia="仿宋" w:cs="仿宋"/>
          <w:b/>
          <w:bCs/>
          <w:spacing w:val="-3"/>
          <w:sz w:val="72"/>
          <w:szCs w:val="72"/>
          <w:highlight w:val="none"/>
        </w:rPr>
        <w:t>竞争性磋商文件</w:t>
      </w:r>
    </w:p>
    <w:p>
      <w:pPr>
        <w:spacing w:line="720" w:lineRule="auto"/>
        <w:rPr>
          <w:rFonts w:ascii="仿宋" w:hAnsi="仿宋" w:eastAsia="仿宋" w:cs="仿宋"/>
          <w:bCs/>
          <w:sz w:val="32"/>
          <w:szCs w:val="32"/>
          <w:highlight w:val="none"/>
        </w:rPr>
      </w:pPr>
    </w:p>
    <w:p>
      <w:pPr>
        <w:spacing w:line="480" w:lineRule="auto"/>
        <w:rPr>
          <w:rFonts w:hint="eastAsia" w:ascii="仿宋" w:hAnsi="仿宋" w:eastAsia="仿宋" w:cs="仿宋"/>
          <w:sz w:val="28"/>
          <w:szCs w:val="28"/>
          <w:highlight w:val="none"/>
          <w:lang w:val="en-US" w:eastAsia="zh-CN"/>
        </w:rPr>
      </w:pPr>
      <w:r>
        <w:rPr>
          <w:rFonts w:hint="eastAsia" w:ascii="仿宋" w:hAnsi="仿宋" w:eastAsia="仿宋" w:cs="仿宋"/>
          <w:bCs/>
          <w:sz w:val="28"/>
          <w:szCs w:val="28"/>
          <w:highlight w:val="none"/>
          <w:lang w:val="zh-CN"/>
        </w:rPr>
        <w:t>项目编号：</w:t>
      </w:r>
      <w:r>
        <w:rPr>
          <w:rFonts w:hint="eastAsia" w:ascii="仿宋" w:hAnsi="仿宋" w:eastAsia="仿宋" w:cs="仿宋"/>
          <w:sz w:val="28"/>
          <w:szCs w:val="28"/>
          <w:highlight w:val="none"/>
          <w:lang w:val="en-US" w:eastAsia="zh-CN"/>
        </w:rPr>
        <w:t>YCZX-CS-202401098</w:t>
      </w:r>
    </w:p>
    <w:p>
      <w:pPr>
        <w:spacing w:line="48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2024年铁心桥街道尹西社区社会组织服务项目</w:t>
      </w:r>
    </w:p>
    <w:p>
      <w:pPr>
        <w:spacing w:line="48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 购 人：</w:t>
      </w:r>
      <w:r>
        <w:rPr>
          <w:rFonts w:hint="eastAsia" w:ascii="仿宋" w:hAnsi="仿宋" w:eastAsia="仿宋" w:cs="仿宋"/>
          <w:sz w:val="28"/>
          <w:szCs w:val="28"/>
          <w:highlight w:val="none"/>
          <w:lang w:eastAsia="zh-CN"/>
        </w:rPr>
        <w:t>南京市雨花台区铁心桥街道尹西社区居民委员会</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采购类别：服务类</w:t>
      </w:r>
    </w:p>
    <w:p>
      <w:pPr>
        <w:rPr>
          <w:rFonts w:ascii="仿宋" w:hAnsi="仿宋" w:eastAsia="仿宋" w:cs="仿宋"/>
          <w:highlight w:val="none"/>
        </w:rPr>
      </w:pPr>
      <w:bookmarkStart w:id="0" w:name="江苏省华厦工程项目管理有限公司"/>
      <w:bookmarkEnd w:id="0"/>
    </w:p>
    <w:p>
      <w:pPr>
        <w:spacing w:line="360" w:lineRule="auto"/>
        <w:jc w:val="center"/>
        <w:rPr>
          <w:rFonts w:ascii="仿宋" w:hAnsi="仿宋" w:eastAsia="仿宋" w:cs="仿宋"/>
          <w:sz w:val="44"/>
          <w:szCs w:val="44"/>
          <w:highlight w:val="none"/>
        </w:rPr>
      </w:pPr>
    </w:p>
    <w:p>
      <w:pPr>
        <w:pStyle w:val="31"/>
        <w:ind w:firstLine="0"/>
        <w:rPr>
          <w:rFonts w:ascii="仿宋" w:hAnsi="仿宋" w:eastAsia="仿宋" w:cs="仿宋"/>
          <w:highlight w:val="none"/>
        </w:rPr>
      </w:pPr>
    </w:p>
    <w:p>
      <w:pPr>
        <w:rPr>
          <w:rFonts w:ascii="仿宋" w:hAnsi="仿宋" w:eastAsia="仿宋" w:cs="仿宋"/>
          <w:highlight w:val="none"/>
        </w:rPr>
      </w:pPr>
    </w:p>
    <w:p>
      <w:pPr>
        <w:pStyle w:val="31"/>
        <w:rPr>
          <w:rFonts w:ascii="仿宋" w:hAnsi="仿宋" w:eastAsia="仿宋" w:cs="仿宋"/>
          <w:highlight w:val="none"/>
        </w:rPr>
      </w:pPr>
    </w:p>
    <w:p>
      <w:pPr>
        <w:rPr>
          <w:rFonts w:ascii="仿宋" w:hAnsi="仿宋" w:eastAsia="仿宋" w:cs="仿宋"/>
          <w:highlight w:val="none"/>
        </w:rPr>
      </w:pPr>
    </w:p>
    <w:p>
      <w:pPr>
        <w:pStyle w:val="31"/>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spacing w:line="360" w:lineRule="auto"/>
        <w:jc w:val="center"/>
        <w:rPr>
          <w:rFonts w:ascii="仿宋" w:hAnsi="仿宋" w:eastAsia="仿宋" w:cs="仿宋"/>
          <w:sz w:val="44"/>
          <w:szCs w:val="44"/>
          <w:highlight w:val="none"/>
        </w:rPr>
      </w:pPr>
      <w:r>
        <w:rPr>
          <w:rFonts w:hint="eastAsia" w:ascii="仿宋" w:hAnsi="仿宋" w:eastAsia="仿宋" w:cs="仿宋"/>
          <w:sz w:val="44"/>
          <w:szCs w:val="44"/>
          <w:highlight w:val="none"/>
        </w:rPr>
        <w:t>源成工程咨询（江苏南京）有限责任公司</w:t>
      </w:r>
    </w:p>
    <w:p>
      <w:pPr>
        <w:spacing w:line="360" w:lineRule="auto"/>
        <w:jc w:val="center"/>
        <w:rPr>
          <w:rFonts w:ascii="仿宋" w:hAnsi="仿宋" w:eastAsia="仿宋" w:cs="仿宋"/>
          <w:sz w:val="44"/>
          <w:szCs w:val="44"/>
          <w:highlight w:val="none"/>
        </w:rPr>
      </w:pPr>
      <w:r>
        <w:rPr>
          <w:rFonts w:hint="eastAsia" w:ascii="仿宋" w:hAnsi="仿宋" w:eastAsia="仿宋" w:cs="仿宋"/>
          <w:sz w:val="44"/>
          <w:szCs w:val="44"/>
          <w:highlight w:val="none"/>
        </w:rPr>
        <w:t>二○二</w:t>
      </w:r>
      <w:r>
        <w:rPr>
          <w:rFonts w:hint="eastAsia" w:ascii="仿宋" w:hAnsi="仿宋" w:eastAsia="仿宋" w:cs="仿宋"/>
          <w:sz w:val="44"/>
          <w:szCs w:val="44"/>
          <w:highlight w:val="none"/>
          <w:lang w:val="en-US" w:eastAsia="zh-CN"/>
        </w:rPr>
        <w:t>四</w:t>
      </w:r>
      <w:r>
        <w:rPr>
          <w:rFonts w:hint="eastAsia" w:ascii="仿宋" w:hAnsi="仿宋" w:eastAsia="仿宋" w:cs="仿宋"/>
          <w:sz w:val="44"/>
          <w:szCs w:val="44"/>
          <w:highlight w:val="none"/>
        </w:rPr>
        <w:t>年</w:t>
      </w:r>
      <w:r>
        <w:rPr>
          <w:rFonts w:hint="eastAsia" w:ascii="仿宋" w:hAnsi="仿宋" w:eastAsia="仿宋" w:cs="仿宋"/>
          <w:sz w:val="44"/>
          <w:szCs w:val="44"/>
          <w:highlight w:val="none"/>
          <w:lang w:val="en-US" w:eastAsia="zh-CN"/>
        </w:rPr>
        <w:t>五</w:t>
      </w:r>
      <w:r>
        <w:rPr>
          <w:rFonts w:hint="eastAsia" w:ascii="仿宋" w:hAnsi="仿宋" w:eastAsia="仿宋" w:cs="仿宋"/>
          <w:sz w:val="44"/>
          <w:szCs w:val="44"/>
          <w:highlight w:val="none"/>
        </w:rPr>
        <w:t>月</w:t>
      </w:r>
    </w:p>
    <w:p>
      <w:pPr>
        <w:rPr>
          <w:rFonts w:ascii="仿宋" w:hAnsi="仿宋" w:eastAsia="仿宋" w:cs="仿宋"/>
          <w:highlight w:val="none"/>
        </w:rPr>
      </w:pPr>
      <w:r>
        <w:rPr>
          <w:rFonts w:hint="eastAsia" w:ascii="仿宋" w:hAnsi="仿宋" w:eastAsia="仿宋" w:cs="仿宋"/>
          <w:b/>
          <w:bCs/>
          <w:sz w:val="28"/>
          <w:szCs w:val="32"/>
          <w:highlight w:val="none"/>
        </w:rPr>
        <w:br w:type="page"/>
      </w: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28"/>
          <w:szCs w:val="28"/>
          <w:highlight w:val="none"/>
        </w:rPr>
      </w:pPr>
      <w:r>
        <w:rPr>
          <w:rFonts w:hint="eastAsia" w:ascii="仿宋" w:hAnsi="仿宋" w:eastAsia="仿宋" w:cs="仿宋"/>
          <w:b/>
          <w:bCs/>
          <w:sz w:val="44"/>
          <w:szCs w:val="44"/>
          <w:highlight w:val="none"/>
        </w:rPr>
        <w:t>目录</w:t>
      </w:r>
    </w:p>
    <w:p>
      <w:pPr>
        <w:pStyle w:val="31"/>
        <w:spacing w:line="480" w:lineRule="auto"/>
        <w:ind w:firstLine="0"/>
        <w:rPr>
          <w:rFonts w:ascii="仿宋" w:hAnsi="仿宋" w:eastAsia="仿宋" w:cs="仿宋"/>
          <w:highlight w:val="none"/>
        </w:rPr>
      </w:pPr>
    </w:p>
    <w:p>
      <w:pPr>
        <w:pStyle w:val="18"/>
        <w:tabs>
          <w:tab w:val="right" w:leader="dot" w:pos="8392"/>
        </w:tabs>
        <w:spacing w:before="0" w:line="480" w:lineRule="auto"/>
        <w:ind w:left="0"/>
        <w:rPr>
          <w:rFonts w:ascii="仿宋" w:hAnsi="仿宋" w:eastAsia="仿宋" w:cs="仿宋"/>
          <w:b w:val="0"/>
          <w:highlight w:val="none"/>
        </w:rPr>
      </w:pPr>
      <w:bookmarkStart w:id="1" w:name="_Toc20334"/>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TOC \o "1-1" \h \u </w:instrText>
      </w:r>
      <w:r>
        <w:rPr>
          <w:rFonts w:hint="eastAsia" w:ascii="仿宋" w:hAnsi="仿宋" w:eastAsia="仿宋" w:cs="仿宋"/>
          <w:b w:val="0"/>
          <w:bCs w:val="0"/>
          <w:highlight w:val="none"/>
        </w:rPr>
        <w:fldChar w:fldCharType="separate"/>
      </w:r>
      <w:r>
        <w:rPr>
          <w:highlight w:val="none"/>
        </w:rPr>
        <w:fldChar w:fldCharType="begin"/>
      </w:r>
      <w:r>
        <w:rPr>
          <w:highlight w:val="none"/>
        </w:rPr>
        <w:instrText xml:space="preserve"> HYPERLINK \l "_Toc20334" </w:instrText>
      </w:r>
      <w:r>
        <w:rPr>
          <w:highlight w:val="none"/>
        </w:rPr>
        <w:fldChar w:fldCharType="separate"/>
      </w:r>
      <w:r>
        <w:rPr>
          <w:rFonts w:hint="eastAsia" w:ascii="仿宋" w:hAnsi="仿宋" w:eastAsia="仿宋" w:cs="仿宋"/>
          <w:b w:val="0"/>
          <w:szCs w:val="32"/>
          <w:highlight w:val="none"/>
        </w:rPr>
        <w:t>第一章  竞争性磋商公告</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_Toc20334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pPr>
        <w:pStyle w:val="18"/>
        <w:tabs>
          <w:tab w:val="right" w:leader="dot" w:pos="8392"/>
        </w:tabs>
        <w:spacing w:before="0" w:line="480" w:lineRule="auto"/>
        <w:ind w:left="0"/>
        <w:rPr>
          <w:rFonts w:ascii="仿宋" w:hAnsi="仿宋" w:eastAsia="仿宋" w:cs="仿宋"/>
          <w:b w:val="0"/>
          <w:highlight w:val="none"/>
        </w:rPr>
      </w:pPr>
      <w:r>
        <w:rPr>
          <w:highlight w:val="none"/>
        </w:rPr>
        <w:fldChar w:fldCharType="begin"/>
      </w:r>
      <w:r>
        <w:rPr>
          <w:highlight w:val="none"/>
        </w:rPr>
        <w:instrText xml:space="preserve"> HYPERLINK \l "_Toc11720" </w:instrText>
      </w:r>
      <w:r>
        <w:rPr>
          <w:highlight w:val="none"/>
        </w:rPr>
        <w:fldChar w:fldCharType="separate"/>
      </w:r>
      <w:r>
        <w:rPr>
          <w:rFonts w:hint="eastAsia" w:ascii="仿宋" w:hAnsi="仿宋" w:eastAsia="仿宋" w:cs="仿宋"/>
          <w:b w:val="0"/>
          <w:szCs w:val="32"/>
          <w:highlight w:val="none"/>
        </w:rPr>
        <w:t>第二章  供应商须知</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_Toc11720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9</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pPr>
        <w:pStyle w:val="18"/>
        <w:tabs>
          <w:tab w:val="right" w:leader="dot" w:pos="8392"/>
        </w:tabs>
        <w:spacing w:before="0" w:line="480" w:lineRule="auto"/>
        <w:ind w:left="0"/>
        <w:rPr>
          <w:rFonts w:ascii="仿宋" w:hAnsi="仿宋" w:eastAsia="仿宋" w:cs="仿宋"/>
          <w:b w:val="0"/>
          <w:highlight w:val="none"/>
        </w:rPr>
      </w:pPr>
      <w:r>
        <w:rPr>
          <w:highlight w:val="none"/>
        </w:rPr>
        <w:fldChar w:fldCharType="begin"/>
      </w:r>
      <w:r>
        <w:rPr>
          <w:highlight w:val="none"/>
        </w:rPr>
        <w:instrText xml:space="preserve"> HYPERLINK \l "_Toc15704" </w:instrText>
      </w:r>
      <w:r>
        <w:rPr>
          <w:highlight w:val="none"/>
        </w:rPr>
        <w:fldChar w:fldCharType="separate"/>
      </w:r>
      <w:r>
        <w:rPr>
          <w:rFonts w:hint="eastAsia" w:ascii="仿宋" w:hAnsi="仿宋" w:eastAsia="仿宋" w:cs="仿宋"/>
          <w:b w:val="0"/>
          <w:szCs w:val="32"/>
          <w:highlight w:val="none"/>
        </w:rPr>
        <w:t>第三章  评审办法及标准</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_Toc15704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25</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pPr>
        <w:pStyle w:val="18"/>
        <w:tabs>
          <w:tab w:val="right" w:leader="dot" w:pos="8392"/>
        </w:tabs>
        <w:spacing w:before="0" w:line="480" w:lineRule="auto"/>
        <w:ind w:left="0"/>
        <w:jc w:val="center"/>
        <w:rPr>
          <w:rFonts w:ascii="仿宋" w:hAnsi="仿宋" w:eastAsia="仿宋" w:cs="仿宋"/>
          <w:b w:val="0"/>
          <w:highlight w:val="none"/>
        </w:rPr>
      </w:pPr>
      <w:r>
        <w:rPr>
          <w:highlight w:val="none"/>
        </w:rPr>
        <w:fldChar w:fldCharType="begin"/>
      </w:r>
      <w:r>
        <w:rPr>
          <w:highlight w:val="none"/>
        </w:rPr>
        <w:instrText xml:space="preserve"> HYPERLINK \l "_Toc2428" </w:instrText>
      </w:r>
      <w:r>
        <w:rPr>
          <w:highlight w:val="none"/>
        </w:rPr>
        <w:fldChar w:fldCharType="separate"/>
      </w:r>
      <w:r>
        <w:rPr>
          <w:rFonts w:hint="eastAsia" w:ascii="仿宋" w:hAnsi="仿宋" w:eastAsia="仿宋" w:cs="仿宋"/>
          <w:b w:val="0"/>
          <w:szCs w:val="32"/>
          <w:highlight w:val="none"/>
        </w:rPr>
        <w:t>第四章  竞争性磋商项目需求</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_Toc2428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28</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pPr>
        <w:pStyle w:val="18"/>
        <w:tabs>
          <w:tab w:val="right" w:leader="dot" w:pos="8392"/>
        </w:tabs>
        <w:spacing w:before="0" w:line="480" w:lineRule="auto"/>
        <w:ind w:left="0"/>
        <w:rPr>
          <w:rFonts w:ascii="仿宋" w:hAnsi="仿宋" w:eastAsia="仿宋" w:cs="仿宋"/>
          <w:b w:val="0"/>
          <w:highlight w:val="none"/>
        </w:rPr>
      </w:pPr>
      <w:r>
        <w:rPr>
          <w:highlight w:val="none"/>
        </w:rPr>
        <w:fldChar w:fldCharType="begin"/>
      </w:r>
      <w:r>
        <w:rPr>
          <w:highlight w:val="none"/>
        </w:rPr>
        <w:instrText xml:space="preserve"> HYPERLINK \l "_Toc1158" </w:instrText>
      </w:r>
      <w:r>
        <w:rPr>
          <w:highlight w:val="none"/>
        </w:rPr>
        <w:fldChar w:fldCharType="separate"/>
      </w:r>
      <w:r>
        <w:rPr>
          <w:rFonts w:hint="eastAsia" w:ascii="仿宋" w:hAnsi="仿宋" w:eastAsia="仿宋" w:cs="仿宋"/>
          <w:b w:val="0"/>
          <w:szCs w:val="32"/>
          <w:highlight w:val="none"/>
        </w:rPr>
        <w:t>第五章  合同草案条款及格式</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_Toc1158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28</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pPr>
        <w:pStyle w:val="18"/>
        <w:tabs>
          <w:tab w:val="right" w:leader="dot" w:pos="8392"/>
        </w:tabs>
        <w:spacing w:before="0" w:line="480" w:lineRule="auto"/>
        <w:ind w:left="0"/>
        <w:rPr>
          <w:rFonts w:ascii="仿宋" w:hAnsi="仿宋" w:eastAsia="仿宋" w:cs="仿宋"/>
          <w:highlight w:val="none"/>
        </w:rPr>
      </w:pPr>
      <w:r>
        <w:rPr>
          <w:highlight w:val="none"/>
        </w:rPr>
        <w:fldChar w:fldCharType="begin"/>
      </w:r>
      <w:r>
        <w:rPr>
          <w:highlight w:val="none"/>
        </w:rPr>
        <w:instrText xml:space="preserve"> HYPERLINK \l "_Toc17716" </w:instrText>
      </w:r>
      <w:r>
        <w:rPr>
          <w:highlight w:val="none"/>
        </w:rPr>
        <w:fldChar w:fldCharType="separate"/>
      </w:r>
      <w:r>
        <w:rPr>
          <w:rFonts w:hint="eastAsia" w:ascii="仿宋" w:hAnsi="仿宋" w:eastAsia="仿宋" w:cs="仿宋"/>
          <w:b w:val="0"/>
          <w:szCs w:val="32"/>
          <w:highlight w:val="none"/>
        </w:rPr>
        <w:t>第六章  响应文件格式</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_Toc17716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36</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pPr>
        <w:pStyle w:val="4"/>
        <w:spacing w:before="0" w:after="0" w:line="480" w:lineRule="auto"/>
        <w:rPr>
          <w:rFonts w:ascii="仿宋" w:hAnsi="仿宋" w:eastAsia="仿宋" w:cs="仿宋"/>
          <w:highlight w:val="none"/>
        </w:rPr>
      </w:pPr>
      <w:r>
        <w:rPr>
          <w:rFonts w:hint="eastAsia" w:ascii="仿宋" w:hAnsi="仿宋" w:eastAsia="仿宋" w:cs="仿宋"/>
          <w:bCs w:val="0"/>
          <w:szCs w:val="24"/>
          <w:highlight w:val="none"/>
        </w:rPr>
        <w:fldChar w:fldCharType="end"/>
      </w:r>
    </w:p>
    <w:p>
      <w:pPr>
        <w:rPr>
          <w:rFonts w:ascii="仿宋" w:hAnsi="仿宋" w:eastAsia="仿宋" w:cs="仿宋"/>
          <w:b/>
          <w:bCs/>
          <w:sz w:val="28"/>
          <w:szCs w:val="32"/>
          <w:highlight w:val="none"/>
        </w:rPr>
      </w:pPr>
      <w:r>
        <w:rPr>
          <w:rFonts w:hint="eastAsia" w:ascii="仿宋" w:hAnsi="仿宋" w:eastAsia="仿宋" w:cs="仿宋"/>
          <w:b/>
          <w:bCs/>
          <w:sz w:val="28"/>
          <w:szCs w:val="32"/>
          <w:highlight w:val="none"/>
        </w:rPr>
        <w:br w:type="page"/>
      </w:r>
    </w:p>
    <w:p>
      <w:pPr>
        <w:spacing w:line="360" w:lineRule="auto"/>
        <w:jc w:val="center"/>
        <w:outlineLvl w:val="0"/>
        <w:rPr>
          <w:rFonts w:ascii="仿宋" w:hAnsi="仿宋" w:eastAsia="仿宋" w:cs="仿宋"/>
          <w:b/>
          <w:bCs/>
          <w:sz w:val="28"/>
          <w:szCs w:val="32"/>
          <w:highlight w:val="none"/>
        </w:rPr>
      </w:pPr>
      <w:r>
        <w:rPr>
          <w:rFonts w:hint="eastAsia" w:ascii="仿宋" w:hAnsi="仿宋" w:eastAsia="仿宋" w:cs="仿宋"/>
          <w:b/>
          <w:bCs/>
          <w:sz w:val="28"/>
          <w:szCs w:val="32"/>
          <w:highlight w:val="none"/>
        </w:rPr>
        <w:t>第一章  竞争性磋商公告</w:t>
      </w:r>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lang w:eastAsia="zh-CN"/>
        </w:rPr>
        <w:t>2024年铁心桥街道尹西社区社会组织服务项目</w:t>
      </w:r>
      <w:r>
        <w:rPr>
          <w:rFonts w:hint="eastAsia" w:ascii="仿宋" w:hAnsi="仿宋" w:eastAsia="仿宋" w:cs="仿宋"/>
          <w:sz w:val="24"/>
          <w:szCs w:val="24"/>
          <w:highlight w:val="none"/>
        </w:rPr>
        <w:t>的潜在供应商应在</w:t>
      </w:r>
      <w:r>
        <w:rPr>
          <w:rFonts w:hint="eastAsia" w:ascii="仿宋" w:hAnsi="仿宋" w:eastAsia="仿宋" w:cs="仿宋"/>
          <w:sz w:val="24"/>
          <w:szCs w:val="24"/>
          <w:highlight w:val="none"/>
          <w:u w:val="single"/>
        </w:rPr>
        <w:t>南京市雨花台区花神大道23号1号楼西4F408室</w:t>
      </w:r>
      <w:r>
        <w:rPr>
          <w:rFonts w:hint="eastAsia" w:ascii="仿宋" w:hAnsi="仿宋" w:eastAsia="仿宋" w:cs="仿宋"/>
          <w:sz w:val="24"/>
          <w:szCs w:val="24"/>
          <w:highlight w:val="none"/>
        </w:rPr>
        <w:t>获取采购文件，并于</w:t>
      </w:r>
      <w:r>
        <w:rPr>
          <w:rFonts w:hint="eastAsia" w:ascii="仿宋" w:hAnsi="仿宋" w:eastAsia="仿宋" w:cs="仿宋"/>
          <w:sz w:val="24"/>
          <w:szCs w:val="24"/>
          <w:highlight w:val="none"/>
          <w:u w:val="single"/>
          <w:lang w:eastAsia="zh-CN"/>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6</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11</w:t>
      </w:r>
      <w:r>
        <w:rPr>
          <w:rFonts w:hint="eastAsia" w:ascii="仿宋" w:hAnsi="仿宋" w:eastAsia="仿宋" w:cs="仿宋"/>
          <w:bCs/>
          <w:sz w:val="24"/>
          <w:szCs w:val="24"/>
          <w:highlight w:val="none"/>
          <w:u w:val="single"/>
        </w:rPr>
        <w:t>日14点30分</w:t>
      </w:r>
      <w:r>
        <w:rPr>
          <w:rFonts w:hint="eastAsia" w:ascii="仿宋" w:hAnsi="仿宋" w:eastAsia="仿宋" w:cs="仿宋"/>
          <w:bCs/>
          <w:sz w:val="24"/>
          <w:szCs w:val="24"/>
          <w:highlight w:val="none"/>
        </w:rPr>
        <w:t>（北京时间）前提交响应文件</w:t>
      </w:r>
      <w:r>
        <w:rPr>
          <w:rFonts w:hint="eastAsia" w:ascii="仿宋" w:hAnsi="仿宋" w:eastAsia="仿宋" w:cs="仿宋"/>
          <w:sz w:val="24"/>
          <w:szCs w:val="24"/>
          <w:highlight w:val="none"/>
        </w:rPr>
        <w:t>。</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p>
    <w:p>
      <w:pPr>
        <w:spacing w:line="360" w:lineRule="auto"/>
        <w:ind w:firstLine="482" w:firstLineChars="20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1.项目编号：</w:t>
      </w:r>
      <w:r>
        <w:rPr>
          <w:rFonts w:hint="eastAsia" w:ascii="仿宋" w:hAnsi="仿宋" w:eastAsia="仿宋" w:cs="仿宋"/>
          <w:sz w:val="24"/>
          <w:szCs w:val="24"/>
          <w:highlight w:val="none"/>
          <w:lang w:eastAsia="zh-CN"/>
        </w:rPr>
        <w:t>YCZX-CS-202401098</w:t>
      </w:r>
    </w:p>
    <w:p>
      <w:pPr>
        <w:spacing w:line="360" w:lineRule="auto"/>
        <w:ind w:firstLine="482" w:firstLineChars="20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2.项目名称：</w:t>
      </w:r>
      <w:r>
        <w:rPr>
          <w:rFonts w:hint="eastAsia" w:ascii="仿宋" w:hAnsi="仿宋" w:eastAsia="仿宋" w:cs="仿宋"/>
          <w:sz w:val="24"/>
          <w:szCs w:val="24"/>
          <w:highlight w:val="none"/>
          <w:lang w:eastAsia="zh-CN"/>
        </w:rPr>
        <w:t>2024年铁心桥街道尹西社区社会组织服务项目</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3.项目所属行业</w:t>
      </w:r>
      <w:r>
        <w:rPr>
          <w:rFonts w:hint="eastAsia" w:ascii="仿宋" w:hAnsi="仿宋" w:eastAsia="仿宋" w:cs="仿宋"/>
          <w:sz w:val="24"/>
          <w:szCs w:val="24"/>
          <w:highlight w:val="none"/>
        </w:rPr>
        <w:t>：根据《关于印发中小企业划型标准规定的通知》（工信部联企业〔2011〕300号）及《国家统计局关于印发&lt;统计上大中小微型企业划分办法（2017）&gt;的通知》（国统字〔2017〕213号）等文件规定，本项目所属行业为其他未列明行业。</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4.采购方式：</w:t>
      </w:r>
      <w:r>
        <w:rPr>
          <w:rFonts w:hint="eastAsia" w:ascii="仿宋" w:hAnsi="仿宋" w:eastAsia="仿宋" w:cs="仿宋"/>
          <w:sz w:val="24"/>
          <w:szCs w:val="24"/>
          <w:highlight w:val="none"/>
        </w:rPr>
        <w:t>竞争性磋商</w:t>
      </w:r>
    </w:p>
    <w:p>
      <w:pPr>
        <w:tabs>
          <w:tab w:val="left" w:pos="4830"/>
        </w:tabs>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5.项目预算：</w:t>
      </w: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42万</w:t>
      </w:r>
      <w:r>
        <w:rPr>
          <w:rFonts w:hint="eastAsia" w:ascii="仿宋" w:hAnsi="仿宋" w:eastAsia="仿宋" w:cs="仿宋"/>
          <w:sz w:val="24"/>
          <w:szCs w:val="24"/>
          <w:highlight w:val="none"/>
        </w:rPr>
        <w:t>元</w:t>
      </w:r>
    </w:p>
    <w:p>
      <w:pPr>
        <w:pStyle w:val="2"/>
        <w:ind w:left="0" w:leftChars="0" w:firstLine="482" w:firstLineChars="200"/>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6.标包划分及最高限价：</w:t>
      </w:r>
    </w:p>
    <w:p>
      <w:pPr>
        <w:pStyle w:val="2"/>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标包1：</w:t>
      </w:r>
    </w:p>
    <w:p>
      <w:pPr>
        <w:pStyle w:val="2"/>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标包1名称：</w:t>
      </w:r>
      <w:r>
        <w:rPr>
          <w:rFonts w:hint="eastAsia" w:ascii="仿宋" w:hAnsi="仿宋" w:eastAsia="仿宋" w:cs="仿宋"/>
          <w:kern w:val="2"/>
          <w:sz w:val="24"/>
          <w:szCs w:val="24"/>
          <w:highlight w:val="none"/>
          <w:lang w:val="en-US" w:eastAsia="zh-CN" w:bidi="ar-SA"/>
        </w:rPr>
        <w:t>尹西社区为少服务项目</w:t>
      </w:r>
    </w:p>
    <w:p>
      <w:pPr>
        <w:pStyle w:val="2"/>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标包1编号：YCZX-CS-202401098-01</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highlight w:val="none"/>
          <w:lang w:val="en-US" w:eastAsia="zh-CN"/>
        </w:rPr>
      </w:pPr>
      <w:r>
        <w:rPr>
          <w:rFonts w:hint="eastAsia" w:ascii="仿宋" w:hAnsi="仿宋" w:eastAsia="仿宋" w:cs="仿宋"/>
          <w:b w:val="0"/>
          <w:bCs w:val="0"/>
          <w:kern w:val="2"/>
          <w:sz w:val="24"/>
          <w:szCs w:val="24"/>
          <w:highlight w:val="none"/>
          <w:lang w:val="en-US" w:eastAsia="zh-CN" w:bidi="ar-SA"/>
        </w:rPr>
        <w:t>标包1最高限价：10万元</w:t>
      </w:r>
    </w:p>
    <w:p>
      <w:pPr>
        <w:pStyle w:val="2"/>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标包2：</w:t>
      </w:r>
    </w:p>
    <w:p>
      <w:pPr>
        <w:pStyle w:val="2"/>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标包2名称：</w:t>
      </w:r>
      <w:r>
        <w:rPr>
          <w:rFonts w:hint="eastAsia" w:ascii="仿宋" w:hAnsi="仿宋" w:eastAsia="仿宋" w:cs="仿宋"/>
          <w:kern w:val="2"/>
          <w:sz w:val="24"/>
          <w:szCs w:val="24"/>
          <w:highlight w:val="none"/>
          <w:lang w:val="en-US" w:eastAsia="zh-CN" w:bidi="ar-SA"/>
        </w:rPr>
        <w:t>尹西社区为老服务项目</w:t>
      </w:r>
    </w:p>
    <w:p>
      <w:pPr>
        <w:pStyle w:val="2"/>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标包2编号：YCZX-CS-202401098-02</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highlight w:val="none"/>
          <w:lang w:val="en-US" w:eastAsia="zh-CN"/>
        </w:rPr>
      </w:pPr>
      <w:r>
        <w:rPr>
          <w:rFonts w:hint="eastAsia" w:ascii="仿宋" w:hAnsi="仿宋" w:eastAsia="仿宋" w:cs="仿宋"/>
          <w:b w:val="0"/>
          <w:bCs w:val="0"/>
          <w:kern w:val="2"/>
          <w:sz w:val="24"/>
          <w:szCs w:val="24"/>
          <w:highlight w:val="none"/>
          <w:lang w:val="en-US" w:eastAsia="zh-CN" w:bidi="ar-SA"/>
        </w:rPr>
        <w:t>标包2最高限价：10万元</w:t>
      </w:r>
    </w:p>
    <w:p>
      <w:pPr>
        <w:pStyle w:val="2"/>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标包3：</w:t>
      </w:r>
    </w:p>
    <w:p>
      <w:pPr>
        <w:pStyle w:val="2"/>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标包3名称：</w:t>
      </w:r>
      <w:r>
        <w:rPr>
          <w:rFonts w:hint="eastAsia" w:ascii="仿宋" w:hAnsi="仿宋" w:eastAsia="仿宋" w:cs="仿宋"/>
          <w:kern w:val="2"/>
          <w:sz w:val="24"/>
          <w:szCs w:val="24"/>
          <w:highlight w:val="none"/>
          <w:lang w:val="en-US" w:eastAsia="zh-CN" w:bidi="ar-SA"/>
        </w:rPr>
        <w:t>尹西社区文化服务项目</w:t>
      </w:r>
    </w:p>
    <w:p>
      <w:pPr>
        <w:pStyle w:val="2"/>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标包3编号：YCZX-CS-202401098-03</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highlight w:val="none"/>
          <w:lang w:val="en-US" w:eastAsia="zh-CN"/>
        </w:rPr>
      </w:pPr>
      <w:r>
        <w:rPr>
          <w:rFonts w:hint="eastAsia" w:ascii="仿宋" w:hAnsi="仿宋" w:eastAsia="仿宋" w:cs="仿宋"/>
          <w:b w:val="0"/>
          <w:bCs w:val="0"/>
          <w:kern w:val="2"/>
          <w:sz w:val="24"/>
          <w:szCs w:val="24"/>
          <w:highlight w:val="none"/>
          <w:lang w:val="en-US" w:eastAsia="zh-CN" w:bidi="ar-SA"/>
        </w:rPr>
        <w:t>标包3最高限价：14万元</w:t>
      </w:r>
    </w:p>
    <w:p>
      <w:pPr>
        <w:pStyle w:val="2"/>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标包4：</w:t>
      </w:r>
    </w:p>
    <w:p>
      <w:pPr>
        <w:pStyle w:val="2"/>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标包4名称：</w:t>
      </w:r>
      <w:r>
        <w:rPr>
          <w:rFonts w:hint="eastAsia" w:ascii="仿宋" w:hAnsi="仿宋" w:eastAsia="仿宋" w:cs="仿宋"/>
          <w:kern w:val="2"/>
          <w:sz w:val="24"/>
          <w:szCs w:val="24"/>
          <w:highlight w:val="none"/>
          <w:lang w:val="en-US" w:eastAsia="zh-CN" w:bidi="ar-SA"/>
        </w:rPr>
        <w:t>尹西社区社区治理项目</w:t>
      </w:r>
    </w:p>
    <w:p>
      <w:pPr>
        <w:pStyle w:val="2"/>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标包4编号：YCZX-CS-202401098-04</w:t>
      </w:r>
    </w:p>
    <w:p>
      <w:pPr>
        <w:ind w:firstLine="480" w:firstLineChars="200"/>
        <w:rPr>
          <w:rFonts w:hint="default"/>
          <w:highlight w:val="none"/>
          <w:lang w:val="en-US" w:eastAsia="zh-CN"/>
        </w:rPr>
      </w:pPr>
      <w:r>
        <w:rPr>
          <w:rFonts w:hint="eastAsia" w:ascii="仿宋" w:hAnsi="仿宋" w:eastAsia="仿宋" w:cs="仿宋"/>
          <w:b w:val="0"/>
          <w:bCs w:val="0"/>
          <w:kern w:val="2"/>
          <w:sz w:val="24"/>
          <w:szCs w:val="24"/>
          <w:highlight w:val="none"/>
          <w:lang w:val="en-US" w:eastAsia="zh-CN" w:bidi="ar-SA"/>
        </w:rPr>
        <w:t>标包4最高限价：8万元</w:t>
      </w:r>
    </w:p>
    <w:p>
      <w:pPr>
        <w:spacing w:line="360" w:lineRule="auto"/>
        <w:ind w:firstLine="482" w:firstLineChars="200"/>
        <w:rPr>
          <w:rFonts w:hint="eastAsia" w:ascii="仿宋" w:hAnsi="仿宋" w:eastAsia="仿宋" w:cs="仿宋"/>
          <w:bCs/>
          <w:sz w:val="24"/>
          <w:szCs w:val="24"/>
          <w:highlight w:val="none"/>
          <w:lang w:val="zh-CN" w:eastAsia="zh-CN"/>
        </w:rPr>
      </w:pPr>
      <w:r>
        <w:rPr>
          <w:rFonts w:hint="eastAsia" w:ascii="仿宋" w:hAnsi="仿宋" w:eastAsia="仿宋" w:cs="仿宋"/>
          <w:b/>
          <w:bCs/>
          <w:sz w:val="24"/>
          <w:szCs w:val="24"/>
          <w:highlight w:val="none"/>
        </w:rPr>
        <w:t>7.采购需求：</w:t>
      </w:r>
      <w:r>
        <w:rPr>
          <w:rFonts w:hint="eastAsia" w:ascii="仿宋" w:hAnsi="仿宋" w:eastAsia="仿宋" w:cs="宋体"/>
          <w:b w:val="0"/>
          <w:bCs/>
          <w:color w:val="auto"/>
          <w:kern w:val="0"/>
          <w:sz w:val="24"/>
          <w:szCs w:val="24"/>
          <w:highlight w:val="none"/>
          <w:lang w:val="en-US" w:eastAsia="zh-CN"/>
        </w:rPr>
        <w:t>本项目共划分为4个标包</w:t>
      </w:r>
      <w:r>
        <w:rPr>
          <w:rFonts w:hint="eastAsia" w:ascii="仿宋" w:hAnsi="仿宋" w:eastAsia="仿宋" w:cs="仿宋"/>
          <w:bCs/>
          <w:color w:val="auto"/>
          <w:sz w:val="24"/>
          <w:szCs w:val="24"/>
          <w:highlight w:val="none"/>
          <w:lang w:val="en-US" w:eastAsia="zh-CN"/>
        </w:rPr>
        <w:t>（具体详见竞争性磋商文件第四章）。</w:t>
      </w:r>
    </w:p>
    <w:tbl>
      <w:tblPr>
        <w:tblStyle w:val="23"/>
        <w:tblW w:w="9517" w:type="dxa"/>
        <w:jc w:val="center"/>
        <w:shd w:val="clear" w:color="auto" w:fill="auto"/>
        <w:tblLayout w:type="fixed"/>
        <w:tblCellMar>
          <w:top w:w="0" w:type="dxa"/>
          <w:left w:w="108" w:type="dxa"/>
          <w:bottom w:w="0" w:type="dxa"/>
          <w:right w:w="108" w:type="dxa"/>
        </w:tblCellMar>
      </w:tblPr>
      <w:tblGrid>
        <w:gridCol w:w="788"/>
        <w:gridCol w:w="1268"/>
        <w:gridCol w:w="2768"/>
        <w:gridCol w:w="4693"/>
      </w:tblGrid>
      <w:tr>
        <w:tblPrEx>
          <w:shd w:val="clear" w:color="auto" w:fill="auto"/>
          <w:tblCellMar>
            <w:top w:w="0" w:type="dxa"/>
            <w:left w:w="108" w:type="dxa"/>
            <w:bottom w:w="0" w:type="dxa"/>
            <w:right w:w="108" w:type="dxa"/>
          </w:tblCellMar>
        </w:tblPrEx>
        <w:trPr>
          <w:trHeight w:val="800" w:hRule="atLeast"/>
          <w:tblHeader/>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仿宋_GB2312" w:hAnsi="仿宋_GB2312" w:eastAsia="仿宋_GB2312" w:cs="仿宋_GB2312"/>
                <w:b/>
                <w:bCs/>
                <w:i w:val="0"/>
                <w:iCs w:val="0"/>
                <w:color w:val="auto"/>
                <w:sz w:val="24"/>
                <w:szCs w:val="24"/>
                <w:highlight w:val="none"/>
                <w:u w:val="none"/>
                <w:lang w:val="en-US"/>
              </w:rPr>
            </w:pPr>
            <w:r>
              <w:rPr>
                <w:rFonts w:hint="eastAsia" w:ascii="仿宋_GB2312" w:hAnsi="仿宋_GB2312" w:eastAsia="仿宋_GB2312" w:cs="仿宋_GB2312"/>
                <w:b/>
                <w:bCs/>
                <w:i w:val="0"/>
                <w:iCs w:val="0"/>
                <w:color w:val="auto"/>
                <w:kern w:val="0"/>
                <w:sz w:val="24"/>
                <w:szCs w:val="24"/>
                <w:highlight w:val="none"/>
                <w:u w:val="none"/>
                <w:lang w:val="en-US" w:eastAsia="zh-CN" w:bidi="ar"/>
              </w:rPr>
              <w:t>标包名称</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标包内容</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仿宋_GB2312" w:hAnsi="仿宋_GB2312" w:eastAsia="仿宋_GB2312" w:cs="仿宋_GB2312"/>
                <w:b/>
                <w:bCs/>
                <w:i w:val="0"/>
                <w:iCs w:val="0"/>
                <w:color w:val="auto"/>
                <w:sz w:val="24"/>
                <w:szCs w:val="24"/>
                <w:highlight w:val="none"/>
                <w:u w:val="none"/>
                <w:lang w:val="en-US" w:eastAsia="zh-CN"/>
              </w:rPr>
            </w:pPr>
            <w:r>
              <w:rPr>
                <w:rFonts w:hint="eastAsia" w:ascii="仿宋_GB2312" w:hAnsi="仿宋_GB2312" w:eastAsia="仿宋_GB2312" w:cs="仿宋_GB2312"/>
                <w:b/>
                <w:bCs/>
                <w:i w:val="0"/>
                <w:iCs w:val="0"/>
                <w:color w:val="auto"/>
                <w:sz w:val="24"/>
                <w:szCs w:val="24"/>
                <w:highlight w:val="none"/>
                <w:u w:val="none"/>
                <w:lang w:val="en-US" w:eastAsia="zh-CN"/>
              </w:rPr>
              <w:t>具体要求</w:t>
            </w:r>
          </w:p>
        </w:tc>
      </w:tr>
      <w:tr>
        <w:tblPrEx>
          <w:shd w:val="clear" w:color="auto" w:fill="auto"/>
          <w:tblCellMar>
            <w:top w:w="0" w:type="dxa"/>
            <w:left w:w="108" w:type="dxa"/>
            <w:bottom w:w="0" w:type="dxa"/>
            <w:right w:w="108" w:type="dxa"/>
          </w:tblCellMar>
        </w:tblPrEx>
        <w:trPr>
          <w:trHeight w:val="95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仿宋_GB2312" w:hAnsi="仿宋_GB2312" w:eastAsia="仿宋_GB2312" w:cs="仿宋_GB2312"/>
                <w:b/>
                <w:bCs/>
                <w:i w:val="0"/>
                <w:iCs w:val="0"/>
                <w:color w:val="auto"/>
                <w:sz w:val="24"/>
                <w:szCs w:val="24"/>
                <w:highlight w:val="none"/>
                <w:u w:val="none"/>
                <w:lang w:eastAsia="zh-CN"/>
              </w:rPr>
            </w:pPr>
            <w:r>
              <w:rPr>
                <w:rFonts w:hint="default" w:ascii="仿宋_GB2312" w:hAnsi="仿宋_GB2312" w:eastAsia="仿宋_GB2312" w:cs="仿宋_GB2312"/>
                <w:b w:val="0"/>
                <w:bCs w:val="0"/>
                <w:i w:val="0"/>
                <w:iCs w:val="0"/>
                <w:color w:val="auto"/>
                <w:sz w:val="24"/>
                <w:szCs w:val="24"/>
                <w:highlight w:val="none"/>
                <w:u w:val="none"/>
                <w:lang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before="54" w:after="54" w:line="24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kern w:val="2"/>
                <w:sz w:val="24"/>
                <w:szCs w:val="24"/>
                <w:highlight w:val="none"/>
                <w:lang w:val="en-US" w:eastAsia="zh-CN" w:bidi="ar-SA"/>
              </w:rPr>
              <w:t>尹西社区为少服务项目</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480" w:firstLineChars="200"/>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为培养辖区青少年对传统文化的兴趣和热爱，激发他们对南京本土传统文化的自豪感和认同感，从而引导辖区青少年树立社区“小主人”意识，积极参与到社区建设发展事务当中。</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一、常規主題活动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根据社区青少年身心发展特点和需求，结合社区新时代文明实践站</w:t>
            </w:r>
            <w:r>
              <w:rPr>
                <w:rFonts w:hint="eastAsia" w:ascii="仿宋" w:hAnsi="仿宋" w:eastAsia="仿宋" w:cs="仿宋"/>
                <w:b w:val="0"/>
                <w:bCs w:val="0"/>
                <w:sz w:val="24"/>
                <w:szCs w:val="24"/>
                <w:highlight w:val="none"/>
                <w:lang w:val="en-US" w:eastAsia="zh-Hans"/>
              </w:rPr>
              <w:t>服务</w:t>
            </w:r>
            <w:r>
              <w:rPr>
                <w:rFonts w:hint="eastAsia" w:ascii="仿宋" w:hAnsi="仿宋" w:eastAsia="仿宋" w:cs="仿宋"/>
                <w:b w:val="0"/>
                <w:bCs w:val="0"/>
                <w:sz w:val="24"/>
                <w:szCs w:val="24"/>
                <w:highlight w:val="none"/>
                <w:lang w:val="en-US" w:eastAsia="zh-CN"/>
              </w:rPr>
              <w:t>要求，以南京民俗为主题，融合社区治理，精心设计活动内容和方式，让社区青少年知行结合开展主题活动，全年共计19场。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二、儿童议事参与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在日常儿童服务基础上，探索儿童参与社区治理的有效渠道，成立尹西社区“小当家”儿童议事会，加速“小当家”理念融入社区治理。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三、特色营期活动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围绕南京老城南文化背景，带领青少年研究性自主探索城南文化及趣事，开展主题夏令营1期，共7天。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四、规范项目管理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严格按照社区社会组织项目管理的要求，规范活动管理、財务管理等，常态做好项目管理，完善活动方案、活动照片、签到表、品牌推广、財务明细等台账资料。</w:t>
            </w:r>
          </w:p>
        </w:tc>
      </w:tr>
      <w:tr>
        <w:tblPrEx>
          <w:shd w:val="clear" w:color="auto" w:fill="auto"/>
          <w:tblCellMar>
            <w:top w:w="0" w:type="dxa"/>
            <w:left w:w="108" w:type="dxa"/>
            <w:bottom w:w="0" w:type="dxa"/>
            <w:right w:w="108" w:type="dxa"/>
          </w:tblCellMar>
        </w:tblPrEx>
        <w:trPr>
          <w:trHeight w:val="953"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sz w:val="24"/>
                <w:szCs w:val="24"/>
                <w:highlight w:val="none"/>
                <w:u w:val="none"/>
                <w:lang w:val="en-US" w:eastAsia="zh-CN"/>
              </w:rPr>
              <w:t>2</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尹西社区为老服务项目</w:t>
            </w:r>
          </w:p>
          <w:p>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center"/>
              <w:rPr>
                <w:rFonts w:hint="eastAsia" w:ascii="仿宋" w:hAnsi="仿宋" w:eastAsia="仿宋" w:cs="仿宋"/>
                <w:b w:val="0"/>
                <w:bCs w:val="0"/>
                <w:kern w:val="2"/>
                <w:sz w:val="24"/>
                <w:szCs w:val="24"/>
                <w:highlight w:val="none"/>
                <w:lang w:val="en-US" w:eastAsia="zh-Hans" w:bidi="ar-SA"/>
              </w:rPr>
            </w:pPr>
          </w:p>
          <w:p>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center"/>
              <w:rPr>
                <w:rFonts w:hint="eastAsia" w:ascii="仿宋" w:hAnsi="仿宋" w:eastAsia="仿宋" w:cs="仿宋"/>
                <w:b w:val="0"/>
                <w:bCs w:val="0"/>
                <w:kern w:val="2"/>
                <w:sz w:val="24"/>
                <w:szCs w:val="24"/>
                <w:highlight w:val="none"/>
                <w:lang w:val="en-US" w:eastAsia="zh-Hans" w:bidi="ar-SA"/>
              </w:rPr>
            </w:pP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bidi w:val="0"/>
              <w:adjustRightInd/>
              <w:snapToGrid/>
              <w:spacing w:line="240" w:lineRule="auto"/>
              <w:ind w:firstLine="240" w:firstLineChars="100"/>
              <w:jc w:val="both"/>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  以社区老年人需求为导向，结合社区特色文化，为社区老人提供各项基本服务及群体性服务，满足社区老年人基本生活及精神服务需求，为其提供健康管理、精神关爱、老年文体等活动。通过开展丰富多彩的便民服务活动，营造社区助老为老的良好氛围。</w:t>
            </w:r>
          </w:p>
          <w:p>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both"/>
              <w:rPr>
                <w:rFonts w:hint="eastAsia" w:ascii="仿宋" w:hAnsi="仿宋" w:eastAsia="仿宋" w:cs="仿宋"/>
                <w:kern w:val="2"/>
                <w:sz w:val="24"/>
                <w:szCs w:val="24"/>
                <w:highlight w:val="none"/>
                <w:lang w:val="en-US" w:eastAsia="zh-Hans" w:bidi="ar-SA"/>
              </w:rPr>
            </w:pPr>
          </w:p>
          <w:p>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both"/>
              <w:rPr>
                <w:rFonts w:hint="eastAsia" w:ascii="仿宋" w:hAnsi="仿宋" w:eastAsia="仿宋" w:cs="仿宋"/>
                <w:kern w:val="2"/>
                <w:sz w:val="24"/>
                <w:szCs w:val="24"/>
                <w:highlight w:val="none"/>
                <w:lang w:val="en-US" w:eastAsia="zh-Hans" w:bidi="ar-SA"/>
              </w:rPr>
            </w:pPr>
          </w:p>
        </w:tc>
        <w:tc>
          <w:tcPr>
            <w:tcW w:w="4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bCs/>
                <w:color w:val="000000"/>
                <w:sz w:val="24"/>
                <w:szCs w:val="24"/>
                <w:highlight w:val="none"/>
                <w:lang w:val="en-US" w:eastAsia="zh-Hans"/>
              </w:rPr>
            </w:pPr>
            <w:r>
              <w:rPr>
                <w:rFonts w:hint="eastAsia" w:ascii="仿宋" w:hAnsi="仿宋" w:eastAsia="仿宋" w:cs="仿宋"/>
                <w:b/>
                <w:bCs/>
                <w:color w:val="000000"/>
                <w:sz w:val="24"/>
                <w:szCs w:val="24"/>
                <w:highlight w:val="none"/>
                <w:lang w:val="en-US" w:eastAsia="zh-Hans"/>
              </w:rPr>
              <w:t>一、常规活动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1.老年健康管理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（1）每周在家门口小屋开展便民服务</w:t>
            </w:r>
            <w:r>
              <w:rPr>
                <w:rFonts w:hint="default" w:ascii="仿宋" w:hAnsi="仿宋" w:eastAsia="仿宋" w:cs="仿宋"/>
                <w:b w:val="0"/>
                <w:bCs w:val="0"/>
                <w:color w:val="000000"/>
                <w:sz w:val="24"/>
                <w:szCs w:val="24"/>
                <w:highlight w:val="none"/>
                <w:lang w:eastAsia="zh-Hans"/>
              </w:rPr>
              <w:t>，</w:t>
            </w:r>
            <w:r>
              <w:rPr>
                <w:rFonts w:hint="eastAsia" w:ascii="仿宋" w:hAnsi="仿宋" w:eastAsia="仿宋" w:cs="仿宋"/>
                <w:b w:val="0"/>
                <w:bCs w:val="0"/>
                <w:color w:val="000000"/>
                <w:sz w:val="24"/>
                <w:szCs w:val="24"/>
                <w:highlight w:val="none"/>
                <w:lang w:val="en-US" w:eastAsia="zh-Hans"/>
              </w:rPr>
              <w:t>全年计48场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（2）每月在辖区小区开展一场便民服务</w:t>
            </w:r>
            <w:r>
              <w:rPr>
                <w:rFonts w:hint="default" w:ascii="仿宋" w:hAnsi="仿宋" w:eastAsia="仿宋" w:cs="仿宋"/>
                <w:b w:val="0"/>
                <w:bCs w:val="0"/>
                <w:color w:val="000000"/>
                <w:sz w:val="24"/>
                <w:szCs w:val="24"/>
                <w:highlight w:val="none"/>
                <w:lang w:eastAsia="zh-Hans"/>
              </w:rPr>
              <w:t>，</w:t>
            </w:r>
            <w:r>
              <w:rPr>
                <w:rFonts w:hint="eastAsia" w:ascii="仿宋" w:hAnsi="仿宋" w:eastAsia="仿宋" w:cs="仿宋"/>
                <w:b w:val="0"/>
                <w:bCs w:val="0"/>
                <w:color w:val="000000"/>
                <w:sz w:val="24"/>
                <w:szCs w:val="24"/>
                <w:highlight w:val="none"/>
                <w:lang w:val="en-US" w:eastAsia="zh-Hans"/>
              </w:rPr>
              <w:t>全年计12场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2.老年精神关爱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（1）重点关注高龄、独居、行动不便等困难老人，每周进行上门关爱探访，与他们交流沟通，倾听他们的心声，给予他们必要的关心和支持。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（2）节日上门探访，为重点人群老人送上关心和祝福。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（3）为重点人群老人建立健康档案，为他们提供更加个性化、专业化的健康管理服务。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bCs/>
                <w:color w:val="000000"/>
                <w:sz w:val="24"/>
                <w:szCs w:val="24"/>
                <w:highlight w:val="none"/>
                <w:lang w:val="en-US" w:eastAsia="zh-Hans"/>
              </w:rPr>
            </w:pPr>
            <w:r>
              <w:rPr>
                <w:rFonts w:hint="eastAsia" w:ascii="仿宋" w:hAnsi="仿宋" w:eastAsia="仿宋" w:cs="仿宋"/>
                <w:b/>
                <w:bCs/>
                <w:color w:val="000000"/>
                <w:sz w:val="24"/>
                <w:szCs w:val="24"/>
                <w:highlight w:val="none"/>
                <w:lang w:val="en-US" w:eastAsia="zh-Hans"/>
              </w:rPr>
              <w:t>二、规范项目管理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严格按照社区社会组织项目管理的要求，规范活动管理、财务管理等，常态做好项目管理，完善活动方案、活动照片、签到表、品牌推广、财务明细等台账资料。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bCs/>
                <w:color w:val="000000"/>
                <w:sz w:val="24"/>
                <w:szCs w:val="24"/>
                <w:highlight w:val="none"/>
                <w:lang w:val="en-US" w:eastAsia="zh-Hans"/>
              </w:rPr>
            </w:pPr>
            <w:r>
              <w:rPr>
                <w:rFonts w:hint="eastAsia" w:ascii="仿宋" w:hAnsi="仿宋" w:eastAsia="仿宋" w:cs="仿宋"/>
                <w:b/>
                <w:bCs/>
                <w:color w:val="000000"/>
                <w:sz w:val="24"/>
                <w:szCs w:val="24"/>
                <w:highlight w:val="none"/>
                <w:lang w:val="en-US" w:eastAsia="zh-Hans"/>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i/>
                <w:color w:val="5B9BD5"/>
                <w:kern w:val="0"/>
                <w:sz w:val="24"/>
                <w:szCs w:val="24"/>
                <w:highlight w:val="none"/>
                <w:lang w:val="en-US" w:eastAsia="zh-Hans" w:bidi="en-US"/>
              </w:rPr>
            </w:pPr>
            <w:r>
              <w:rPr>
                <w:rFonts w:hint="eastAsia" w:ascii="仿宋" w:hAnsi="仿宋" w:eastAsia="仿宋" w:cs="仿宋"/>
                <w:b w:val="0"/>
                <w:bCs w:val="0"/>
                <w:color w:val="000000"/>
                <w:sz w:val="24"/>
                <w:szCs w:val="24"/>
                <w:highlight w:val="none"/>
                <w:lang w:val="en-US" w:eastAsia="zh-Hans"/>
              </w:rPr>
              <w:t>在实际服务过程中，根据社区需求做出相应调整，并及时进行备案。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i/>
                <w:color w:val="5B9BD5"/>
                <w:kern w:val="0"/>
                <w:sz w:val="24"/>
                <w:szCs w:val="24"/>
                <w:highlight w:val="none"/>
                <w:lang w:eastAsia="zh-Hans" w:bidi="en-US"/>
              </w:rPr>
            </w:pPr>
          </w:p>
        </w:tc>
      </w:tr>
      <w:tr>
        <w:tblPrEx>
          <w:shd w:val="clear" w:color="auto" w:fill="auto"/>
          <w:tblCellMar>
            <w:top w:w="0" w:type="dxa"/>
            <w:left w:w="108" w:type="dxa"/>
            <w:bottom w:w="0" w:type="dxa"/>
            <w:right w:w="108" w:type="dxa"/>
          </w:tblCellMar>
        </w:tblPrEx>
        <w:trPr>
          <w:trHeight w:val="575"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center"/>
              <w:rPr>
                <w:rFonts w:hint="eastAsia" w:ascii="仿宋_GB2312" w:hAnsi="仿宋_GB2312" w:eastAsia="仿宋_GB2312" w:cs="仿宋_GB2312"/>
                <w:b/>
                <w:bCs/>
                <w:i w:val="0"/>
                <w:iCs w:val="0"/>
                <w:color w:val="auto"/>
                <w:kern w:val="2"/>
                <w:sz w:val="24"/>
                <w:szCs w:val="24"/>
                <w:highlight w:val="none"/>
                <w:u w:val="none"/>
                <w:lang w:val="en-US" w:eastAsia="zh-CN" w:bidi="ar-SA"/>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b/>
                <w:bCs/>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both"/>
              <w:rPr>
                <w:rFonts w:hint="eastAsia" w:ascii="仿宋" w:hAnsi="仿宋" w:eastAsia="仿宋" w:cs="仿宋"/>
                <w:i w:val="0"/>
                <w:iCs w:val="0"/>
                <w:color w:val="auto"/>
                <w:sz w:val="24"/>
                <w:szCs w:val="24"/>
                <w:highlight w:val="none"/>
                <w:u w:val="none"/>
              </w:rPr>
            </w:pPr>
          </w:p>
        </w:tc>
        <w:tc>
          <w:tcPr>
            <w:tcW w:w="46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b/>
                <w:bCs/>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96"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center"/>
              <w:rPr>
                <w:rFonts w:hint="default" w:ascii="仿宋_GB2312" w:hAnsi="仿宋_GB2312" w:eastAsia="仿宋_GB2312" w:cs="仿宋_GB2312"/>
                <w:b w:val="0"/>
                <w:bCs w:val="0"/>
                <w:i w:val="0"/>
                <w:iCs w:val="0"/>
                <w:color w:val="auto"/>
                <w:kern w:val="2"/>
                <w:sz w:val="24"/>
                <w:szCs w:val="24"/>
                <w:highlight w:val="none"/>
                <w:u w:val="none"/>
                <w:lang w:eastAsia="zh-CN" w:bidi="ar-SA"/>
              </w:rPr>
            </w:pPr>
            <w:r>
              <w:rPr>
                <w:rFonts w:hint="default" w:ascii="仿宋_GB2312" w:hAnsi="仿宋_GB2312" w:eastAsia="仿宋_GB2312" w:cs="仿宋_GB2312"/>
                <w:b w:val="0"/>
                <w:bCs w:val="0"/>
                <w:i w:val="0"/>
                <w:iCs w:val="0"/>
                <w:color w:val="auto"/>
                <w:kern w:val="2"/>
                <w:sz w:val="24"/>
                <w:szCs w:val="24"/>
                <w:highlight w:val="none"/>
                <w:u w:val="none"/>
                <w:lang w:eastAsia="zh-CN" w:bidi="ar-SA"/>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before="54" w:after="54" w:line="240" w:lineRule="auto"/>
              <w:jc w:val="center"/>
              <w:rPr>
                <w:rFonts w:hint="eastAsia" w:ascii="仿宋" w:hAnsi="仿宋" w:eastAsia="仿宋" w:cs="仿宋"/>
                <w:b w:val="0"/>
                <w:bCs w:val="0"/>
                <w:color w:val="auto"/>
                <w:kern w:val="2"/>
                <w:sz w:val="24"/>
                <w:szCs w:val="24"/>
                <w:highlight w:val="none"/>
                <w:vertAlign w:val="baseline"/>
                <w:lang w:val="en-US" w:eastAsia="zh-Hans" w:bidi="ar-SA"/>
              </w:rPr>
            </w:pPr>
            <w:r>
              <w:rPr>
                <w:rFonts w:hint="eastAsia" w:ascii="仿宋" w:hAnsi="仿宋" w:eastAsia="仿宋" w:cs="仿宋"/>
                <w:kern w:val="2"/>
                <w:sz w:val="24"/>
                <w:szCs w:val="24"/>
                <w:highlight w:val="none"/>
                <w:lang w:val="en-US" w:eastAsia="zh-CN" w:bidi="ar-SA"/>
              </w:rPr>
              <w:t>尹西社区文化服务项目</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ind w:firstLine="480" w:firstLineChars="200"/>
              <w:jc w:val="both"/>
              <w:rPr>
                <w:rFonts w:hint="eastAsia" w:ascii="仿宋" w:hAnsi="仿宋" w:eastAsia="仿宋" w:cs="仿宋"/>
                <w:color w:val="000000"/>
                <w:kern w:val="2"/>
                <w:sz w:val="24"/>
                <w:szCs w:val="24"/>
                <w:highlight w:val="none"/>
                <w:lang w:val="en-US" w:eastAsia="zh-Hans" w:bidi="ar-SA"/>
              </w:rPr>
            </w:pPr>
            <w:r>
              <w:rPr>
                <w:rFonts w:hint="eastAsia" w:ascii="仿宋" w:hAnsi="仿宋" w:eastAsia="仿宋" w:cs="仿宋"/>
                <w:color w:val="000000"/>
                <w:kern w:val="2"/>
                <w:sz w:val="24"/>
                <w:szCs w:val="24"/>
                <w:highlight w:val="none"/>
                <w:lang w:val="en-US" w:eastAsia="zh-CN" w:bidi="ar-SA"/>
              </w:rPr>
              <w:t xml:space="preserve"> 围绕“邻聚里”核心服务内涵，对尹西社区文化服务品牌进一步进行凝练，在满足居民多元文化需求的同时，打造家门口的邻里文化服务圈，打通文化服务的最后一公里，推动家门口的文化服务建设，实现为民文化服务“零距离”。</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一、传统课堂</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弘扬中国传统文化、民俗文化，结合端午、中秋、春节等传统节日，开展相关主题服务，全年不少于4次；</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二、美育课程</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围绕社区不同群体的多元化文化需求，引</w:t>
            </w:r>
            <w:r>
              <w:rPr>
                <w:rFonts w:hint="eastAsia" w:ascii="仿宋" w:hAnsi="仿宋" w:eastAsia="仿宋" w:cs="仿宋"/>
                <w:sz w:val="24"/>
                <w:szCs w:val="24"/>
                <w:highlight w:val="none"/>
                <w:lang w:val="en-US" w:eastAsia="zh-Hans"/>
              </w:rPr>
              <w:t>入</w:t>
            </w:r>
            <w:r>
              <w:rPr>
                <w:rFonts w:hint="eastAsia" w:ascii="仿宋" w:hAnsi="仿宋" w:eastAsia="仿宋" w:cs="仿宋"/>
                <w:sz w:val="24"/>
                <w:szCs w:val="24"/>
                <w:highlight w:val="none"/>
                <w:lang w:val="en-US" w:eastAsia="zh-CN"/>
              </w:rPr>
              <w:t>优质的美育资源，通过各类美学载体，</w:t>
            </w:r>
            <w:r>
              <w:rPr>
                <w:rFonts w:hint="eastAsia" w:ascii="仿宋" w:hAnsi="仿宋" w:eastAsia="仿宋" w:cs="仿宋"/>
                <w:sz w:val="24"/>
                <w:szCs w:val="24"/>
                <w:highlight w:val="none"/>
                <w:lang w:val="en-US" w:eastAsia="zh-Hans"/>
              </w:rPr>
              <w:t>积极</w:t>
            </w:r>
            <w:r>
              <w:rPr>
                <w:rFonts w:hint="eastAsia" w:ascii="仿宋" w:hAnsi="仿宋" w:eastAsia="仿宋" w:cs="仿宋"/>
                <w:sz w:val="24"/>
                <w:szCs w:val="24"/>
                <w:highlight w:val="none"/>
                <w:lang w:val="en-US" w:eastAsia="zh-CN"/>
              </w:rPr>
              <w:t>探索社区美育</w:t>
            </w:r>
            <w:r>
              <w:rPr>
                <w:rFonts w:hint="eastAsia" w:ascii="仿宋" w:hAnsi="仿宋" w:eastAsia="仿宋" w:cs="仿宋"/>
                <w:sz w:val="24"/>
                <w:szCs w:val="24"/>
                <w:highlight w:val="none"/>
                <w:lang w:val="en-US" w:eastAsia="zh-Hans"/>
              </w:rPr>
              <w:t>服务</w:t>
            </w:r>
            <w:r>
              <w:rPr>
                <w:rFonts w:hint="eastAsia" w:ascii="仿宋" w:hAnsi="仿宋" w:eastAsia="仿宋" w:cs="仿宋"/>
                <w:sz w:val="24"/>
                <w:szCs w:val="24"/>
                <w:highlight w:val="none"/>
                <w:lang w:val="en-US" w:eastAsia="zh-CN"/>
              </w:rPr>
              <w:t>的新样式，全年不少于4次；</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三、多元市集</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积极回应居民群众美好生活</w:t>
            </w:r>
            <w:r>
              <w:rPr>
                <w:rFonts w:hint="eastAsia" w:ascii="仿宋" w:hAnsi="仿宋" w:eastAsia="仿宋" w:cs="仿宋"/>
                <w:sz w:val="24"/>
                <w:szCs w:val="24"/>
                <w:highlight w:val="none"/>
                <w:lang w:val="en-US" w:eastAsia="zh-Hans"/>
              </w:rPr>
              <w:t>的</w:t>
            </w:r>
            <w:r>
              <w:rPr>
                <w:rFonts w:hint="eastAsia" w:ascii="仿宋" w:hAnsi="仿宋" w:eastAsia="仿宋" w:cs="仿宋"/>
                <w:sz w:val="24"/>
                <w:szCs w:val="24"/>
                <w:highlight w:val="none"/>
                <w:lang w:val="en-US" w:eastAsia="zh-CN"/>
              </w:rPr>
              <w:t>需求，聚焦</w:t>
            </w:r>
            <w:r>
              <w:rPr>
                <w:rFonts w:hint="eastAsia" w:ascii="仿宋" w:hAnsi="仿宋" w:eastAsia="仿宋" w:cs="仿宋"/>
                <w:sz w:val="24"/>
                <w:szCs w:val="24"/>
                <w:highlight w:val="none"/>
                <w:lang w:val="en-US" w:eastAsia="zh-Hans"/>
              </w:rPr>
              <w:t>居民</w:t>
            </w:r>
            <w:r>
              <w:rPr>
                <w:rFonts w:hint="eastAsia" w:ascii="仿宋" w:hAnsi="仿宋" w:eastAsia="仿宋" w:cs="仿宋"/>
                <w:sz w:val="24"/>
                <w:szCs w:val="24"/>
                <w:highlight w:val="none"/>
                <w:lang w:val="en-US" w:eastAsia="zh-CN"/>
              </w:rPr>
              <w:t>生活的不同场景，开展贴近居民群众生活的市集服务，具体根据社区需求开展；</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四、品牌提升</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凝练尹西文化服务的核心内涵，突出项目重点和成效，形成文化展示角，文化展示角根据项目服务</w:t>
            </w:r>
            <w:r>
              <w:rPr>
                <w:rFonts w:hint="eastAsia" w:ascii="仿宋" w:hAnsi="仿宋" w:eastAsia="仿宋" w:cs="仿宋"/>
                <w:sz w:val="24"/>
                <w:szCs w:val="24"/>
                <w:highlight w:val="none"/>
                <w:lang w:val="en-US" w:eastAsia="zh-Hans"/>
              </w:rPr>
              <w:t>内容</w:t>
            </w:r>
            <w:r>
              <w:rPr>
                <w:rFonts w:hint="eastAsia" w:ascii="仿宋" w:hAnsi="仿宋" w:eastAsia="仿宋" w:cs="仿宋"/>
                <w:sz w:val="24"/>
                <w:szCs w:val="24"/>
                <w:highlight w:val="none"/>
                <w:lang w:val="en-US" w:eastAsia="zh-CN"/>
              </w:rPr>
              <w:t>动态更新。</w:t>
            </w:r>
          </w:p>
        </w:tc>
      </w:tr>
      <w:tr>
        <w:tblPrEx>
          <w:shd w:val="clear" w:color="auto" w:fill="auto"/>
          <w:tblCellMar>
            <w:top w:w="0" w:type="dxa"/>
            <w:left w:w="108" w:type="dxa"/>
            <w:bottom w:w="0" w:type="dxa"/>
            <w:right w:w="108" w:type="dxa"/>
          </w:tblCellMar>
        </w:tblPrEx>
        <w:trPr>
          <w:trHeight w:val="356"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center"/>
              <w:rPr>
                <w:rFonts w:hint="default" w:ascii="仿宋_GB2312" w:hAnsi="仿宋_GB2312" w:eastAsia="仿宋_GB2312" w:cs="仿宋_GB2312"/>
                <w:b/>
                <w:bCs/>
                <w:i w:val="0"/>
                <w:iCs w:val="0"/>
                <w:color w:val="auto"/>
                <w:kern w:val="2"/>
                <w:sz w:val="24"/>
                <w:szCs w:val="24"/>
                <w:highlight w:val="none"/>
                <w:u w:val="none"/>
                <w:lang w:eastAsia="zh-CN" w:bidi="ar-SA"/>
              </w:rPr>
            </w:pPr>
            <w:r>
              <w:rPr>
                <w:rFonts w:hint="default" w:ascii="仿宋_GB2312" w:hAnsi="仿宋_GB2312" w:eastAsia="仿宋_GB2312" w:cs="仿宋_GB2312"/>
                <w:b/>
                <w:bCs/>
                <w:i w:val="0"/>
                <w:iCs w:val="0"/>
                <w:color w:val="auto"/>
                <w:kern w:val="2"/>
                <w:sz w:val="24"/>
                <w:szCs w:val="24"/>
                <w:highlight w:val="none"/>
                <w:u w:val="none"/>
                <w:lang w:eastAsia="zh-CN" w:bidi="ar-SA"/>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before="54" w:after="54" w:line="240" w:lineRule="auto"/>
              <w:jc w:val="center"/>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CN" w:bidi="ar-SA"/>
              </w:rPr>
              <w:t>尹西社区社区治理项目</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left"/>
              <w:rPr>
                <w:rFonts w:hint="eastAsia" w:ascii="仿宋" w:hAnsi="仿宋" w:eastAsia="仿宋" w:cs="仿宋"/>
                <w:kern w:val="2"/>
                <w:sz w:val="24"/>
                <w:szCs w:val="24"/>
                <w:highlight w:val="none"/>
                <w:lang w:val="en-US" w:eastAsia="zh-Hans" w:bidi="ar-SA"/>
              </w:rPr>
            </w:pPr>
            <w:r>
              <w:rPr>
                <w:rFonts w:hint="eastAsia" w:ascii="仿宋" w:hAnsi="仿宋" w:eastAsia="仿宋" w:cs="仿宋"/>
                <w:color w:val="auto"/>
                <w:sz w:val="24"/>
                <w:szCs w:val="24"/>
                <w:highlight w:val="none"/>
                <w:lang w:val="en-US" w:eastAsia="zh-Hans"/>
              </w:rPr>
              <w:t xml:space="preserve">    以社区需求为导向，将各方资源紧密的联系起来，引导多元主体参与社会治理，发挥共建单位、新就业群体、党员志愿者在社区治理中的作用，有效提升社区治理效能。</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一、探索社区服务品牌</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综合社区重点工作和特色工作，发掘社区服务亮点，适时开展社区品牌研讨会议，对社区工作提出指导性建议，全年共2次。</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二、推动多元主体参与社区治理</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在社区现有网格化工作基础上，发挥共建单位、新就业群体、党员志愿者、居民骨干等作用，搭建多方参与平台，多层面、多角度、全方位地促进相关主体参与社区治理，全年开展不少于12次。</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三、提升网格服务管理能力</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进一步优化网格化管理队伍，开展相关主题培训，为网格化治理赋能增效，提高网格服务人员综合业务能力和水平，打造高效专业的网格</w:t>
            </w:r>
            <w:r>
              <w:rPr>
                <w:rFonts w:hint="eastAsia" w:ascii="仿宋" w:hAnsi="仿宋" w:eastAsia="仿宋" w:cs="仿宋"/>
                <w:sz w:val="24"/>
                <w:szCs w:val="24"/>
                <w:highlight w:val="none"/>
                <w:lang w:val="en-US" w:eastAsia="zh-Hans"/>
              </w:rPr>
              <w:t>服务</w:t>
            </w:r>
            <w:r>
              <w:rPr>
                <w:rFonts w:hint="eastAsia" w:ascii="仿宋" w:hAnsi="仿宋" w:eastAsia="仿宋" w:cs="仿宋"/>
                <w:sz w:val="24"/>
                <w:szCs w:val="24"/>
                <w:highlight w:val="none"/>
                <w:lang w:val="en-US" w:eastAsia="zh-CN"/>
              </w:rPr>
              <w:t>队伍，让网格化服务有效运转起来，全年开展2次。</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四、规范项目管理</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kern w:val="2"/>
                <w:sz w:val="24"/>
                <w:szCs w:val="24"/>
                <w:highlight w:val="none"/>
                <w:lang w:val="en-US" w:eastAsia="zh-Hans" w:bidi="ar-SA"/>
              </w:rPr>
            </w:pPr>
            <w:r>
              <w:rPr>
                <w:rFonts w:hint="eastAsia" w:ascii="仿宋" w:hAnsi="仿宋" w:eastAsia="仿宋" w:cs="仿宋"/>
                <w:sz w:val="24"/>
                <w:szCs w:val="24"/>
                <w:highlight w:val="none"/>
                <w:lang w:val="en-US" w:eastAsia="zh-CN"/>
              </w:rPr>
              <w:t>严格按照社区社会组织项目管理的要求，规范活动管理、财务管理等，常态做好项目管理，完善活动方案、活动照片、签到表、品牌推广、财务明细等台账资料。</w:t>
            </w:r>
          </w:p>
        </w:tc>
      </w:tr>
    </w:tbl>
    <w:p>
      <w:pPr>
        <w:spacing w:line="360" w:lineRule="auto"/>
        <w:ind w:firstLine="482" w:firstLineChars="200"/>
        <w:rPr>
          <w:rFonts w:hint="eastAsia" w:ascii="仿宋" w:hAnsi="仿宋" w:eastAsia="仿宋" w:cs="仿宋"/>
          <w:b/>
          <w:bCs w:val="0"/>
          <w:color w:val="auto"/>
          <w:sz w:val="24"/>
          <w:szCs w:val="24"/>
          <w:highlight w:val="none"/>
          <w:lang w:val="en-US" w:eastAsia="zh-Hans"/>
        </w:rPr>
      </w:pPr>
      <w:r>
        <w:rPr>
          <w:rFonts w:hint="eastAsia" w:ascii="仿宋" w:hAnsi="仿宋" w:eastAsia="仿宋" w:cs="仿宋"/>
          <w:b/>
          <w:bCs w:val="0"/>
          <w:color w:val="auto"/>
          <w:sz w:val="24"/>
          <w:szCs w:val="24"/>
          <w:highlight w:val="none"/>
          <w:lang w:val="en-US" w:eastAsia="zh-Hans"/>
        </w:rPr>
        <w:t>说明</w:t>
      </w:r>
      <w:r>
        <w:rPr>
          <w:rFonts w:hint="default" w:ascii="仿宋" w:hAnsi="仿宋" w:eastAsia="仿宋" w:cs="仿宋"/>
          <w:b/>
          <w:bCs w:val="0"/>
          <w:color w:val="auto"/>
          <w:sz w:val="24"/>
          <w:szCs w:val="24"/>
          <w:highlight w:val="none"/>
          <w:lang w:eastAsia="zh-Hans"/>
        </w:rPr>
        <w:t>：</w:t>
      </w:r>
      <w:r>
        <w:rPr>
          <w:rFonts w:hint="eastAsia" w:ascii="仿宋" w:hAnsi="仿宋" w:eastAsia="仿宋" w:cs="仿宋"/>
          <w:b/>
          <w:bCs w:val="0"/>
          <w:color w:val="auto"/>
          <w:sz w:val="24"/>
          <w:szCs w:val="24"/>
          <w:highlight w:val="none"/>
          <w:lang w:val="en-US" w:eastAsia="zh-Hans"/>
        </w:rPr>
        <w:t>供应商可参加一个或多个标包投标，但最多只能成交一个标包。评标顺序为标包一至标包</w:t>
      </w:r>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lang w:val="en-US" w:eastAsia="zh-Hans"/>
        </w:rPr>
        <w:t>，如果供应商多个标包排名第一，则只能成交次序排列最前的一个标包，其他标包则由排名第二的供应商成交。如排名第二的供应商已成交则由排名第三的供应商成交，以此类推（标包号次序从标包一至标包</w:t>
      </w:r>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lang w:val="en-US" w:eastAsia="zh-Hans"/>
        </w:rPr>
        <w:t>按顺序排列）。</w:t>
      </w:r>
    </w:p>
    <w:p>
      <w:pPr>
        <w:widowControl/>
        <w:spacing w:line="360" w:lineRule="auto"/>
        <w:ind w:firstLine="482" w:firstLineChars="200"/>
        <w:jc w:val="left"/>
        <w:textAlignment w:val="center"/>
        <w:rPr>
          <w:rFonts w:ascii="仿宋" w:hAnsi="仿宋" w:cs="仿宋"/>
          <w:sz w:val="24"/>
          <w:szCs w:val="24"/>
          <w:highlight w:val="none"/>
        </w:rPr>
      </w:pPr>
      <w:r>
        <w:rPr>
          <w:rFonts w:hint="eastAsia" w:ascii="仿宋" w:hAnsi="仿宋" w:eastAsia="仿宋" w:cs="仿宋"/>
          <w:b/>
          <w:bCs/>
          <w:sz w:val="24"/>
          <w:szCs w:val="24"/>
          <w:highlight w:val="none"/>
        </w:rPr>
        <w:t>8.合同履行期限：</w:t>
      </w:r>
      <w:r>
        <w:rPr>
          <w:rFonts w:hint="eastAsia" w:ascii="仿宋" w:hAnsi="仿宋" w:eastAsia="仿宋" w:cs="仿宋"/>
          <w:sz w:val="24"/>
          <w:szCs w:val="24"/>
          <w:highlight w:val="none"/>
          <w:lang w:val="en-US" w:eastAsia="zh-CN"/>
        </w:rPr>
        <w:t>一年</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具体时间以合同签订为准。</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9.本项目（是/否）接受联合体：</w:t>
      </w:r>
      <w:r>
        <w:rPr>
          <w:rFonts w:hint="eastAsia" w:ascii="仿宋" w:hAnsi="仿宋" w:eastAsia="仿宋" w:cs="仿宋"/>
          <w:sz w:val="24"/>
          <w:szCs w:val="24"/>
          <w:highlight w:val="none"/>
        </w:rPr>
        <w:t>否</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二、申请人的资格要求</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1.满足《中华人民共和国政府采购法》第二十二条规定</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（5）参加政府采购活动前三年内，在经营活动中没有重大违法记录；</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2.落实政府采购政策需满足的资格要求：</w:t>
      </w:r>
      <w:r>
        <w:rPr>
          <w:rFonts w:hint="eastAsia" w:ascii="仿宋" w:hAnsi="仿宋" w:eastAsia="仿宋" w:cs="仿宋"/>
          <w:sz w:val="24"/>
          <w:szCs w:val="24"/>
          <w:highlight w:val="none"/>
        </w:rPr>
        <w:t>（如属于专门面向中小企业采购的项目，供应商应为中小微企业、监狱企业、残疾人福利单位）</w:t>
      </w:r>
    </w:p>
    <w:p>
      <w:pPr>
        <w:pStyle w:val="31"/>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本项目按照以下第（</w:t>
      </w: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rPr>
        <w:t>）种方式落实政府采购促进中小企业发展的要求：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（1）本项目整体专门面向中小企业采购服务。</w:t>
      </w:r>
    </w:p>
    <w:p>
      <w:pPr>
        <w:pStyle w:val="31"/>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（2）本项目整体专门面向小微企业采购服务。</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（3）本项目通过以下第（）种方式预留部分采购份额采购中小企业服务：</w:t>
      </w:r>
    </w:p>
    <w:p>
      <w:pPr>
        <w:pStyle w:val="31"/>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①本项目要求供应商以联合体形式参加，中小企业合同金额应当达到的比例为_%。</w:t>
      </w:r>
    </w:p>
    <w:p>
      <w:pPr>
        <w:pStyle w:val="31"/>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②本项目要求供应商进行合同分包，中小企业合同金额应当达到的比例为_%。</w:t>
      </w:r>
    </w:p>
    <w:p>
      <w:pPr>
        <w:pStyle w:val="31"/>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（4）本项目为非预留份额的采购项目或采购包，执行价格扣除优惠政策，具体详见第三章评标办法与标准。</w:t>
      </w:r>
    </w:p>
    <w:p>
      <w:pPr>
        <w:spacing w:line="360" w:lineRule="auto"/>
        <w:ind w:left="479" w:leftChars="228"/>
        <w:rPr>
          <w:rFonts w:ascii="仿宋" w:hAnsi="仿宋" w:eastAsia="仿宋" w:cs="仿宋"/>
          <w:b/>
          <w:bCs/>
          <w:sz w:val="24"/>
          <w:szCs w:val="24"/>
          <w:highlight w:val="none"/>
        </w:rPr>
      </w:pPr>
      <w:r>
        <w:rPr>
          <w:rFonts w:hint="eastAsia" w:ascii="仿宋" w:hAnsi="仿宋" w:eastAsia="仿宋" w:cs="仿宋"/>
          <w:b/>
          <w:bCs/>
          <w:sz w:val="24"/>
          <w:szCs w:val="24"/>
          <w:highlight w:val="none"/>
        </w:rPr>
        <w:t>3.有下列情形之一的，不得参加本次采购活动：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（2）为本采购项目提供整体设计、规范编制或者项目管理、监理、检测等服务的供应商，不得再参加该采购项目的其他采购活动；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（3）参加本次采购活动不同供应商的负责人为同一人，或不同供应商之间存在直接控股、管理关系的；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（4）如本项目接收联合体投标，联合体成员存在不良信用记录的，视同联合体存在不良信用记录。</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4.供应商需提供“</w:t>
      </w:r>
      <w:r>
        <w:rPr>
          <w:rFonts w:hint="eastAsia" w:ascii="仿宋" w:hAnsi="仿宋" w:eastAsia="仿宋" w:cs="仿宋"/>
          <w:sz w:val="24"/>
          <w:szCs w:val="24"/>
          <w:highlight w:val="none"/>
        </w:rPr>
        <w:t>南京市政府采购供应商信用记录表暨信用承诺书</w:t>
      </w:r>
      <w:r>
        <w:rPr>
          <w:rFonts w:hint="eastAsia" w:ascii="仿宋" w:hAnsi="仿宋" w:eastAsia="仿宋" w:cs="仿宋"/>
          <w:b/>
          <w:bCs/>
          <w:sz w:val="24"/>
          <w:szCs w:val="24"/>
          <w:highlight w:val="none"/>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凡在南京地区参加政府采购活动的供应商，应当事先登录“信用南京”（www.njcredit.gov.cn）或“南京公共采购信息网”（https://njgc.jfh.com/）主页“政府采购供应商诚信档案”栏目进行注册登记。由于特殊原因未及时注册的供应商可先行获取采购文件，但必须在提交响应文件截止日2天前办理登记注册手续。</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南京市政府采购供应商信用记录表暨信用承诺书》”是供应商参加本次政府采购活动的必备材料之一，供应商需每次参加政府采购活动时，应先登录诚信档案管理系统在线打印其“《南京市政府采购供应商信用记录表暨信用承诺书》”，经法定代表人签名和单位盖章后作为响应文件的组成部分提交。“《南京市政府采购供应商信用记录表暨信用承诺书》”在线打印时间要求：必须是在采购文件发布之日起至提交响应文件截止时间前。</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（3）南京市政府采购供应商诚信档案管理系统客服电话：025-52718366；供应商可就用户注册与打印“《南京市政府采购供应商信用记录表暨信用承诺书》”等事宜进行咨询。</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三、获取采购文件</w:t>
      </w:r>
    </w:p>
    <w:p>
      <w:pPr>
        <w:pStyle w:val="58"/>
        <w:spacing w:beforeLines="0" w:afterLines="0" w:line="360" w:lineRule="auto"/>
        <w:ind w:firstLine="482" w:firstLineChars="200"/>
        <w:outlineLvl w:val="9"/>
        <w:rPr>
          <w:rFonts w:ascii="仿宋" w:hAnsi="仿宋" w:eastAsia="仿宋" w:cs="仿宋"/>
          <w:sz w:val="24"/>
          <w:szCs w:val="24"/>
          <w:highlight w:val="none"/>
        </w:rPr>
      </w:pPr>
      <w:bookmarkStart w:id="2" w:name="_Toc32279"/>
      <w:r>
        <w:rPr>
          <w:rFonts w:hint="eastAsia" w:ascii="仿宋" w:hAnsi="仿宋" w:eastAsia="仿宋" w:cs="仿宋"/>
          <w:b/>
          <w:bCs/>
          <w:sz w:val="24"/>
          <w:szCs w:val="24"/>
          <w:highlight w:val="none"/>
        </w:rPr>
        <w:t>1.时间：</w:t>
      </w:r>
      <w:bookmarkEnd w:id="2"/>
      <w:r>
        <w:rPr>
          <w:rFonts w:hint="eastAsia" w:ascii="仿宋" w:hAnsi="仿宋" w:eastAsia="仿宋" w:cs="仿宋"/>
          <w:b/>
          <w:bCs/>
          <w:sz w:val="24"/>
          <w:szCs w:val="24"/>
          <w:highlight w:val="none"/>
        </w:rPr>
        <w:t>自本公告发布之日起5个工作日</w:t>
      </w:r>
    </w:p>
    <w:p>
      <w:pPr>
        <w:autoSpaceDE w:val="0"/>
        <w:autoSpaceDN w:val="0"/>
        <w:adjustRightInd w:val="0"/>
        <w:snapToGrid w:val="0"/>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2.地点：</w:t>
      </w:r>
      <w:r>
        <w:rPr>
          <w:rFonts w:hint="eastAsia" w:ascii="仿宋" w:hAnsi="仿宋" w:eastAsia="仿宋" w:cs="仿宋"/>
          <w:sz w:val="24"/>
          <w:szCs w:val="24"/>
          <w:highlight w:val="none"/>
        </w:rPr>
        <w:t>南京市雨花台区花神大道23号1号楼西4F408室</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3.方式：</w:t>
      </w:r>
    </w:p>
    <w:p>
      <w:pPr>
        <w:spacing w:line="360" w:lineRule="auto"/>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现场报名，应携带</w:t>
      </w:r>
      <w:r>
        <w:rPr>
          <w:rFonts w:hint="eastAsia" w:ascii="仿宋" w:hAnsi="仿宋" w:eastAsia="仿宋" w:cs="仿宋"/>
          <w:color w:val="auto"/>
          <w:sz w:val="24"/>
          <w:szCs w:val="24"/>
          <w:highlight w:val="none"/>
          <w:u w:val="none"/>
        </w:rPr>
        <w:t>营业执照</w:t>
      </w:r>
      <w:r>
        <w:rPr>
          <w:rFonts w:hint="eastAsia" w:ascii="仿宋" w:hAnsi="仿宋" w:eastAsia="仿宋" w:cs="仿宋"/>
          <w:color w:val="auto"/>
          <w:sz w:val="24"/>
          <w:szCs w:val="24"/>
          <w:highlight w:val="none"/>
          <w:u w:val="none"/>
          <w:lang w:val="en-US" w:eastAsia="zh-CN"/>
        </w:rPr>
        <w:t>复印件或</w:t>
      </w:r>
      <w:r>
        <w:rPr>
          <w:rFonts w:hint="eastAsia" w:ascii="仿宋" w:hAnsi="仿宋" w:eastAsia="仿宋" w:cs="仿宋"/>
          <w:color w:val="auto"/>
          <w:sz w:val="24"/>
          <w:szCs w:val="24"/>
          <w:highlight w:val="none"/>
          <w:u w:val="none"/>
        </w:rPr>
        <w:t>社会</w:t>
      </w:r>
      <w:r>
        <w:rPr>
          <w:rFonts w:hint="eastAsia" w:ascii="仿宋" w:hAnsi="仿宋" w:eastAsia="仿宋" w:cs="仿宋"/>
          <w:color w:val="auto"/>
          <w:sz w:val="24"/>
          <w:szCs w:val="24"/>
          <w:highlight w:val="none"/>
          <w:u w:val="none"/>
          <w:lang w:val="en-US" w:eastAsia="zh-CN"/>
        </w:rPr>
        <w:t>团体</w:t>
      </w:r>
      <w:r>
        <w:rPr>
          <w:rFonts w:hint="eastAsia" w:ascii="仿宋" w:hAnsi="仿宋" w:eastAsia="仿宋" w:cs="仿宋"/>
          <w:color w:val="auto"/>
          <w:sz w:val="24"/>
          <w:szCs w:val="24"/>
          <w:highlight w:val="none"/>
          <w:u w:val="none"/>
        </w:rPr>
        <w:t>法人登记证书</w:t>
      </w:r>
      <w:r>
        <w:rPr>
          <w:rFonts w:hint="eastAsia" w:ascii="仿宋" w:hAnsi="仿宋" w:eastAsia="仿宋" w:cs="仿宋"/>
          <w:color w:val="auto"/>
          <w:sz w:val="24"/>
          <w:szCs w:val="24"/>
          <w:highlight w:val="none"/>
          <w:u w:val="none"/>
          <w:lang w:val="en-US" w:eastAsia="zh-CN"/>
        </w:rPr>
        <w:t>复印件</w:t>
      </w:r>
      <w:r>
        <w:rPr>
          <w:rFonts w:hint="eastAsia" w:ascii="仿宋" w:hAnsi="仿宋" w:eastAsia="仿宋" w:cs="仿宋"/>
          <w:color w:val="000000"/>
          <w:sz w:val="24"/>
          <w:szCs w:val="24"/>
          <w:highlight w:val="none"/>
          <w:lang w:val="zh-CN"/>
        </w:rPr>
        <w:t>（加盖单位公章）提供原件备查、法定代表人身份证复印件（加盖单位公章）或法定代表人授权委托书原件（加盖单位公章）、委托代理人身份证原件及复印件（加盖单位公章），</w:t>
      </w:r>
      <w:r>
        <w:rPr>
          <w:rFonts w:hint="eastAsia" w:ascii="仿宋" w:hAnsi="仿宋" w:eastAsia="仿宋" w:cs="仿宋"/>
          <w:color w:val="000000"/>
          <w:sz w:val="24"/>
          <w:szCs w:val="24"/>
          <w:highlight w:val="none"/>
          <w:lang w:val="en-US" w:eastAsia="zh-CN"/>
        </w:rPr>
        <w:t>备注项目名称+标包号，</w:t>
      </w:r>
      <w:r>
        <w:rPr>
          <w:rFonts w:hint="eastAsia" w:ascii="仿宋" w:hAnsi="仿宋" w:eastAsia="仿宋" w:cs="仿宋"/>
          <w:color w:val="000000"/>
          <w:sz w:val="24"/>
          <w:szCs w:val="24"/>
          <w:highlight w:val="none"/>
          <w:lang w:val="zh-CN"/>
        </w:rPr>
        <w:t>到南京市雨花台区花神大道23号1号楼西4F408室，审核通过后获取竞争性</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lang w:val="zh-CN"/>
        </w:rPr>
        <w:t>文件。</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4.</w:t>
      </w:r>
      <w:r>
        <w:rPr>
          <w:rFonts w:hint="eastAsia" w:ascii="仿宋" w:hAnsi="仿宋" w:eastAsia="仿宋" w:cs="仿宋"/>
          <w:sz w:val="24"/>
          <w:szCs w:val="24"/>
          <w:highlight w:val="none"/>
          <w:lang w:val="en-US" w:eastAsia="zh-CN"/>
        </w:rPr>
        <w:t>标书工本</w:t>
      </w:r>
      <w:r>
        <w:rPr>
          <w:rFonts w:hint="eastAsia" w:ascii="仿宋" w:hAnsi="仿宋" w:eastAsia="仿宋" w:cs="仿宋"/>
          <w:sz w:val="24"/>
          <w:szCs w:val="24"/>
          <w:highlight w:val="none"/>
        </w:rPr>
        <w:t>费：100元人民币/</w:t>
      </w:r>
      <w:r>
        <w:rPr>
          <w:rFonts w:hint="eastAsia" w:ascii="仿宋" w:hAnsi="仿宋" w:eastAsia="仿宋" w:cs="仿宋"/>
          <w:sz w:val="24"/>
          <w:szCs w:val="24"/>
          <w:highlight w:val="none"/>
          <w:lang w:val="en-US" w:eastAsia="zh-CN"/>
        </w:rPr>
        <w:t>标包</w:t>
      </w:r>
      <w:r>
        <w:rPr>
          <w:rFonts w:hint="eastAsia" w:ascii="仿宋" w:hAnsi="仿宋" w:eastAsia="仿宋" w:cs="仿宋"/>
          <w:sz w:val="24"/>
          <w:szCs w:val="24"/>
          <w:highlight w:val="none"/>
        </w:rPr>
        <w:t>，售后不退</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四、响应文件提交</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1.线下递交纸质响应文件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提交纸质响应文件开始时间：</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日14时00分；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提交纸质响应文件截止时间：</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日14时30分。</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2.提交响应文件地点（不接受传真、邮寄）：</w:t>
      </w:r>
      <w:r>
        <w:rPr>
          <w:rFonts w:hint="eastAsia" w:ascii="仿宋" w:hAnsi="仿宋" w:eastAsia="仿宋" w:cs="仿宋"/>
          <w:sz w:val="24"/>
          <w:szCs w:val="24"/>
          <w:highlight w:val="none"/>
        </w:rPr>
        <w:t>南京市雨花台区花神大道23号1号楼西4F408室，逾期送达或者未按照竞争性磋商文件编制要求提交的响应文件将被拒收。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3.纸质响应文件一式 叁 份（正本 壹 份、副本 贰 份），电子版响应文件 壹 份</w:t>
      </w:r>
      <w:r>
        <w:rPr>
          <w:rFonts w:hint="eastAsia" w:ascii="仿宋" w:hAnsi="仿宋" w:eastAsia="仿宋" w:cs="仿宋"/>
          <w:sz w:val="24"/>
          <w:szCs w:val="24"/>
          <w:highlight w:val="none"/>
          <w:lang w:eastAsia="zh-CN"/>
        </w:rPr>
        <w:t>（电子文本为可编辑的word版以及加盖公章的正本扫描件）</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U盘</w:t>
      </w:r>
      <w:r>
        <w:rPr>
          <w:rFonts w:hint="eastAsia" w:ascii="仿宋" w:hAnsi="仿宋" w:eastAsia="仿宋" w:cs="仿宋"/>
          <w:sz w:val="24"/>
          <w:szCs w:val="24"/>
          <w:highlight w:val="none"/>
        </w:rPr>
        <w:t>。当电子版文件和纸质正本文件不一致时，以纸质正本文件为准。电子版文件用于辅助评审和存档，供应商需承担前述不一致造成的不利后果。</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五、开启</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1.时间：</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日14点30分（北京时间）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2.地点：</w:t>
      </w:r>
      <w:r>
        <w:rPr>
          <w:rFonts w:hint="eastAsia" w:ascii="仿宋" w:hAnsi="仿宋" w:eastAsia="仿宋" w:cs="仿宋"/>
          <w:b/>
          <w:bCs/>
          <w:sz w:val="24"/>
          <w:szCs w:val="24"/>
          <w:highlight w:val="none"/>
        </w:rPr>
        <w:t>南京市雨花台区花神大道23号1号楼西4F408室</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六、公告期限</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七、其他补充事宜</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1.集中现场考察或答疑</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2.公告媒体</w:t>
      </w:r>
    </w:p>
    <w:p>
      <w:pPr>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（1）本采购公告在江苏政府采购网（http://www.ccgp-jiangsu.gov.cn/）、南京公共采购信息网（https://njgc.jfh.com/）公示发布，敬请各供应商关注；</w:t>
      </w:r>
    </w:p>
    <w:p>
      <w:pPr>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（2）有关本次采购存在变动或修改，敬请各供应商及时关注江苏政府采购网（http://www.ccgp-jiangsu.gov.cn/）、南京公共采购信息网（https://njgc.jfh.com/）发布的关于本项目的信息更正公告；</w:t>
      </w:r>
    </w:p>
    <w:p>
      <w:pPr>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（3）对采购项目的技术及需求问题，请向采购人联系人咨询。</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3.采购项目需要落实的政府采购政策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（1）政府采购促进中小企业发展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（2）政府采购支持监狱企业发展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（3）政府采购促进残疾人就业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（4）政府采购鼓励采购节能环保产品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（5）信息安全产品政策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（6）进口产品政策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（7）投标担保政策</w:t>
      </w:r>
    </w:p>
    <w:p>
      <w:pPr>
        <w:adjustRightInd w:val="0"/>
        <w:snapToGrid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4.响应文件提交时，请供应商</w:t>
      </w:r>
      <w:bookmarkStart w:id="104" w:name="_GoBack"/>
      <w:bookmarkEnd w:id="104"/>
      <w:r>
        <w:rPr>
          <w:rFonts w:hint="eastAsia" w:ascii="仿宋" w:hAnsi="仿宋" w:eastAsia="仿宋" w:cs="仿宋"/>
          <w:b/>
          <w:sz w:val="24"/>
          <w:szCs w:val="24"/>
          <w:highlight w:val="none"/>
        </w:rPr>
        <w:t>法定代表人或其授权委托代表人携带本人有效身份证原件出席。</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5.本项目成交后不允许分包、转包。</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八、凡对本次采购提出询问，请按以下方式联系</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1.采购人信息</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采购单位名称：</w:t>
      </w:r>
      <w:r>
        <w:rPr>
          <w:rFonts w:hint="eastAsia" w:ascii="仿宋" w:hAnsi="仿宋" w:eastAsia="仿宋" w:cs="仿宋"/>
          <w:sz w:val="24"/>
          <w:szCs w:val="24"/>
          <w:highlight w:val="none"/>
          <w:lang w:eastAsia="zh-CN"/>
        </w:rPr>
        <w:t>南京市雨花台区铁心桥街道尹西社区居民委员会</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南京市雨花台区铁心桥春晓路1号</w:t>
      </w:r>
    </w:p>
    <w:p>
      <w:pPr>
        <w:keepNext/>
        <w:keepLines/>
        <w:spacing w:line="360" w:lineRule="auto"/>
        <w:ind w:firstLine="480" w:firstLineChars="200"/>
        <w:rPr>
          <w:rFonts w:hint="eastAsia" w:eastAsia="仿宋"/>
          <w:color w:val="auto"/>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王玉丹</w:t>
      </w:r>
    </w:p>
    <w:p>
      <w:pPr>
        <w:pStyle w:val="31"/>
        <w:spacing w:line="360" w:lineRule="auto"/>
        <w:ind w:firstLine="480"/>
        <w:rPr>
          <w:rFonts w:hint="default" w:eastAsia="仿宋"/>
          <w:color w:val="auto"/>
          <w:highlight w:val="none"/>
          <w:lang w:val="en-US" w:eastAsia="zh-CN"/>
        </w:rPr>
      </w:pPr>
      <w:r>
        <w:rPr>
          <w:rFonts w:hint="eastAsia" w:ascii="仿宋" w:hAnsi="仿宋" w:eastAsia="仿宋" w:cs="仿宋"/>
          <w:color w:val="auto"/>
          <w:sz w:val="24"/>
          <w:szCs w:val="24"/>
          <w:highlight w:val="none"/>
        </w:rPr>
        <w:t>联系方式：15850598360</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2.采购代理机构信息</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名称：源成工程咨询（江苏南京）有限责任公司</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地址：南京市雨花台区花神大道23号1号楼西4F408室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联系电话：025-86803150</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3.项目联系方式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项目联系人：张工</w:t>
      </w:r>
    </w:p>
    <w:p>
      <w:pPr>
        <w:spacing w:line="360" w:lineRule="auto"/>
        <w:ind w:firstLine="480" w:firstLineChars="200"/>
        <w:rPr>
          <w:rFonts w:ascii="仿宋" w:hAnsi="仿宋" w:eastAsia="仿宋" w:cs="仿宋"/>
          <w:b/>
          <w:bCs/>
          <w:sz w:val="28"/>
          <w:szCs w:val="32"/>
          <w:highlight w:val="none"/>
        </w:rPr>
      </w:pPr>
      <w:r>
        <w:rPr>
          <w:rFonts w:hint="eastAsia" w:ascii="仿宋" w:hAnsi="仿宋" w:eastAsia="仿宋" w:cs="仿宋"/>
          <w:sz w:val="24"/>
          <w:szCs w:val="24"/>
          <w:highlight w:val="none"/>
        </w:rPr>
        <w:t>电　　　话：</w:t>
      </w:r>
      <w:bookmarkStart w:id="3" w:name="_Toc32126"/>
      <w:r>
        <w:rPr>
          <w:rFonts w:hint="eastAsia" w:ascii="仿宋" w:hAnsi="仿宋" w:eastAsia="仿宋" w:cs="仿宋"/>
          <w:sz w:val="24"/>
          <w:szCs w:val="24"/>
          <w:highlight w:val="none"/>
          <w:lang w:eastAsia="zh-CN"/>
        </w:rPr>
        <w:t>15205163861</w:t>
      </w:r>
      <w:r>
        <w:rPr>
          <w:rFonts w:hint="eastAsia" w:ascii="仿宋" w:hAnsi="仿宋" w:eastAsia="仿宋" w:cs="仿宋"/>
          <w:b/>
          <w:bCs/>
          <w:sz w:val="28"/>
          <w:szCs w:val="32"/>
          <w:highlight w:val="none"/>
        </w:rPr>
        <w:br w:type="page"/>
      </w:r>
    </w:p>
    <w:p>
      <w:pPr>
        <w:jc w:val="center"/>
        <w:outlineLvl w:val="0"/>
        <w:rPr>
          <w:rFonts w:ascii="仿宋" w:hAnsi="仿宋" w:eastAsia="仿宋" w:cs="仿宋"/>
          <w:b/>
          <w:bCs/>
          <w:sz w:val="28"/>
          <w:szCs w:val="32"/>
          <w:highlight w:val="none"/>
        </w:rPr>
      </w:pPr>
      <w:bookmarkStart w:id="4" w:name="_Toc11720"/>
      <w:r>
        <w:rPr>
          <w:rFonts w:hint="eastAsia" w:ascii="仿宋" w:hAnsi="仿宋" w:eastAsia="仿宋" w:cs="仿宋"/>
          <w:b/>
          <w:bCs/>
          <w:sz w:val="28"/>
          <w:szCs w:val="32"/>
          <w:highlight w:val="none"/>
        </w:rPr>
        <w:t>第二章  供应商须知</w:t>
      </w:r>
      <w:bookmarkEnd w:id="3"/>
      <w:bookmarkEnd w:id="4"/>
    </w:p>
    <w:p>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供应商须知前附表</w:t>
      </w:r>
    </w:p>
    <w:tbl>
      <w:tblPr>
        <w:tblStyle w:val="23"/>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04"/>
        <w:gridCol w:w="63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名  称</w:t>
            </w:r>
          </w:p>
        </w:tc>
        <w:tc>
          <w:tcPr>
            <w:tcW w:w="6330" w:type="dxa"/>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磋商保证金</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本项目不设磋商保证金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响应文件数量</w:t>
            </w:r>
          </w:p>
        </w:tc>
        <w:tc>
          <w:tcPr>
            <w:tcW w:w="6330" w:type="dxa"/>
            <w:tcBorders>
              <w:top w:val="single" w:color="auto" w:sz="4" w:space="0"/>
              <w:left w:val="single" w:color="auto" w:sz="4" w:space="0"/>
              <w:bottom w:val="single" w:color="auto" w:sz="4" w:space="0"/>
            </w:tcBorders>
            <w:vAlign w:val="center"/>
          </w:tcPr>
          <w:p>
            <w:pPr>
              <w:tabs>
                <w:tab w:val="left" w:pos="312"/>
              </w:tabs>
              <w:spacing w:line="360" w:lineRule="auto"/>
              <w:rPr>
                <w:rFonts w:ascii="仿宋" w:hAnsi="仿宋" w:eastAsia="仿宋" w:cs="仿宋"/>
                <w:szCs w:val="21"/>
                <w:highlight w:val="none"/>
              </w:rPr>
            </w:pPr>
            <w:r>
              <w:rPr>
                <w:rFonts w:hint="eastAsia" w:ascii="仿宋" w:hAnsi="仿宋" w:eastAsia="仿宋" w:cs="仿宋"/>
                <w:szCs w:val="21"/>
                <w:highlight w:val="none"/>
              </w:rPr>
              <w:t>（1）纸质正本</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份，纸质副本</w:t>
            </w:r>
            <w:r>
              <w:rPr>
                <w:rFonts w:hint="eastAsia" w:ascii="仿宋" w:hAnsi="仿宋" w:eastAsia="仿宋" w:cs="仿宋"/>
                <w:b/>
                <w:bCs/>
                <w:szCs w:val="21"/>
                <w:highlight w:val="none"/>
                <w:u w:val="single"/>
              </w:rPr>
              <w:t>贰</w:t>
            </w:r>
            <w:r>
              <w:rPr>
                <w:rFonts w:hint="eastAsia" w:ascii="仿宋" w:hAnsi="仿宋" w:eastAsia="仿宋" w:cs="仿宋"/>
                <w:szCs w:val="21"/>
                <w:highlight w:val="none"/>
              </w:rPr>
              <w:t>份。</w:t>
            </w:r>
          </w:p>
          <w:p>
            <w:pPr>
              <w:tabs>
                <w:tab w:val="left" w:pos="312"/>
              </w:tabs>
              <w:spacing w:line="360" w:lineRule="auto"/>
              <w:rPr>
                <w:rFonts w:ascii="仿宋" w:hAnsi="仿宋" w:eastAsia="仿宋" w:cs="仿宋"/>
                <w:szCs w:val="21"/>
                <w:highlight w:val="none"/>
              </w:rPr>
            </w:pPr>
            <w:r>
              <w:rPr>
                <w:rFonts w:hint="eastAsia" w:ascii="仿宋" w:hAnsi="仿宋" w:eastAsia="仿宋" w:cs="仿宋"/>
                <w:szCs w:val="21"/>
                <w:highlight w:val="none"/>
              </w:rPr>
              <w:t>（2）电子版</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（3）当纸质正本文件与副本、电子版文件不一致时，以纸质正本文件为准，供应商须承担前述不一致造成的不利后果。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响应文件的编制、密封、递交</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（1）文件签署：</w:t>
            </w:r>
            <w:r>
              <w:rPr>
                <w:rFonts w:hint="eastAsia" w:ascii="仿宋" w:hAnsi="仿宋" w:eastAsia="仿宋" w:cs="仿宋"/>
                <w:szCs w:val="21"/>
                <w:highlight w:val="none"/>
              </w:rPr>
              <w:t>由供应商法定代表人或经正式授权并对供应商有约束力的委托代理人用不褪色墨水书写签署。</w:t>
            </w:r>
          </w:p>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（2）文件编制：</w:t>
            </w:r>
            <w:r>
              <w:rPr>
                <w:rFonts w:hint="eastAsia" w:ascii="仿宋" w:hAnsi="仿宋" w:eastAsia="仿宋" w:cs="仿宋"/>
                <w:szCs w:val="21"/>
                <w:highlight w:val="none"/>
              </w:rPr>
              <w:t>响应文件的编制应按照磋商文件统一规定的格式</w:t>
            </w:r>
            <w:r>
              <w:rPr>
                <w:rFonts w:hint="eastAsia" w:ascii="仿宋" w:hAnsi="仿宋" w:eastAsia="仿宋" w:cs="仿宋"/>
                <w:b/>
                <w:bCs/>
                <w:szCs w:val="21"/>
                <w:highlight w:val="none"/>
              </w:rPr>
              <w:t>（规定格式中要求盖章或签字的，则必须盖章或签字）</w:t>
            </w:r>
            <w:r>
              <w:rPr>
                <w:rFonts w:hint="eastAsia" w:ascii="仿宋" w:hAnsi="仿宋" w:eastAsia="仿宋" w:cs="仿宋"/>
                <w:szCs w:val="21"/>
                <w:highlight w:val="none"/>
              </w:rPr>
              <w:t>，供应商可根据自身实际情况进行添加调整；供应商应在响应文件中写清相应的项目编号、项目名称、供应商全称、地址、电话等，每份纸质文件须清楚标明“正本”或“副本”字样。</w:t>
            </w:r>
          </w:p>
          <w:p>
            <w:pPr>
              <w:spacing w:line="360" w:lineRule="auto"/>
              <w:rPr>
                <w:rFonts w:ascii="仿宋" w:hAnsi="仿宋" w:eastAsia="仿宋" w:cs="仿宋"/>
                <w:szCs w:val="21"/>
                <w:highlight w:val="none"/>
              </w:rPr>
            </w:pPr>
            <w:r>
              <w:rPr>
                <w:rFonts w:hint="eastAsia" w:ascii="仿宋" w:hAnsi="仿宋" w:eastAsia="仿宋" w:cs="仿宋"/>
                <w:b/>
                <w:bCs/>
                <w:szCs w:val="21"/>
                <w:highlight w:val="none"/>
              </w:rPr>
              <w:t>（3）文件密封：</w:t>
            </w:r>
            <w:r>
              <w:rPr>
                <w:rFonts w:hint="eastAsia" w:ascii="仿宋" w:hAnsi="仿宋" w:eastAsia="仿宋" w:cs="仿宋"/>
                <w:szCs w:val="21"/>
                <w:highlight w:val="none"/>
              </w:rPr>
              <w:t>供应商应将响应文件用档案袋或封套密封，封面并注明项目编号、项目名称、供应商地址、供应商全称等。</w:t>
            </w:r>
          </w:p>
          <w:p>
            <w:pPr>
              <w:spacing w:line="360" w:lineRule="auto"/>
              <w:rPr>
                <w:rFonts w:ascii="仿宋" w:hAnsi="仿宋" w:eastAsia="仿宋" w:cs="仿宋"/>
                <w:szCs w:val="21"/>
                <w:highlight w:val="none"/>
              </w:rPr>
            </w:pPr>
            <w:r>
              <w:rPr>
                <w:rFonts w:hint="eastAsia" w:ascii="仿宋" w:hAnsi="仿宋" w:eastAsia="仿宋" w:cs="仿宋"/>
                <w:b/>
                <w:bCs/>
                <w:szCs w:val="21"/>
                <w:highlight w:val="none"/>
              </w:rPr>
              <w:t>（4）文件修改：</w:t>
            </w:r>
            <w:r>
              <w:rPr>
                <w:rFonts w:hint="eastAsia" w:ascii="仿宋" w:hAnsi="仿宋" w:eastAsia="仿宋" w:cs="仿宋"/>
                <w:szCs w:val="21"/>
                <w:highlight w:val="none"/>
              </w:rPr>
              <w:t>响应文件不应有涂改、增删之处，如必须修改时，修改处必须有供应商公章或供应商法定代表人或授权代表签字。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4</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响应文件拒收情形</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逾期送达或者未按照磋商文件编制要求递交的响应文件：</w:t>
            </w:r>
          </w:p>
          <w:p>
            <w:pPr>
              <w:spacing w:line="360" w:lineRule="auto"/>
              <w:rPr>
                <w:rFonts w:ascii="仿宋" w:hAnsi="仿宋" w:eastAsia="仿宋" w:cs="仿宋"/>
                <w:szCs w:val="21"/>
                <w:highlight w:val="none"/>
              </w:rPr>
            </w:pPr>
            <w:r>
              <w:rPr>
                <w:rFonts w:hint="eastAsia" w:ascii="仿宋" w:hAnsi="仿宋" w:eastAsia="仿宋" w:cs="仿宋"/>
                <w:szCs w:val="21"/>
                <w:highlight w:val="none"/>
              </w:rPr>
              <w:t>（1）线下纸质响应文件逾期送达；</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（2）纸质响应文件未按要求密封。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5</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《中华人民共和国政府采购法》第二十二条规定的证明文件</w:t>
            </w:r>
          </w:p>
        </w:tc>
        <w:tc>
          <w:tcPr>
            <w:tcW w:w="6330" w:type="dxa"/>
            <w:tcBorders>
              <w:top w:val="single" w:color="auto" w:sz="4" w:space="0"/>
              <w:left w:val="single" w:color="auto" w:sz="4" w:space="0"/>
              <w:bottom w:val="single" w:color="auto" w:sz="4" w:space="0"/>
            </w:tcBorders>
            <w:vAlign w:val="center"/>
          </w:tcPr>
          <w:p>
            <w:pPr>
              <w:pStyle w:val="2"/>
              <w:ind w:firstLine="0" w:firstLineChars="0"/>
              <w:rPr>
                <w:rFonts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（1）具有独立承担民事责任的能力的证明材料：</w:t>
            </w:r>
          </w:p>
          <w:p>
            <w:pPr>
              <w:pStyle w:val="2"/>
              <w:ind w:firstLine="0" w:firstLineChars="0"/>
              <w:rPr>
                <w:rFonts w:ascii="仿宋" w:hAnsi="仿宋" w:eastAsia="仿宋" w:cs="仿宋"/>
                <w:sz w:val="21"/>
                <w:szCs w:val="21"/>
                <w:highlight w:val="none"/>
                <w:lang w:val="en-US"/>
              </w:rPr>
            </w:pPr>
            <w:r>
              <w:rPr>
                <w:rFonts w:hint="eastAsia" w:ascii="仿宋" w:hAnsi="仿宋" w:eastAsia="仿宋" w:cs="仿宋"/>
                <w:sz w:val="18"/>
                <w:szCs w:val="18"/>
                <w:highlight w:val="none"/>
                <w:lang w:val="en-US"/>
              </w:rPr>
              <w:t>●</w:t>
            </w:r>
            <w:r>
              <w:rPr>
                <w:rFonts w:hint="eastAsia" w:ascii="仿宋" w:hAnsi="仿宋" w:eastAsia="仿宋" w:cs="仿宋"/>
                <w:sz w:val="21"/>
                <w:szCs w:val="21"/>
                <w:highlight w:val="none"/>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pPr>
              <w:pStyle w:val="2"/>
              <w:ind w:firstLine="0" w:firstLineChars="0"/>
              <w:rPr>
                <w:rFonts w:ascii="仿宋" w:hAnsi="仿宋" w:eastAsia="仿宋" w:cs="仿宋"/>
                <w:sz w:val="21"/>
                <w:szCs w:val="21"/>
                <w:highlight w:val="none"/>
                <w:lang w:val="en-US"/>
              </w:rPr>
            </w:pPr>
            <w:r>
              <w:rPr>
                <w:rFonts w:hint="eastAsia" w:ascii="仿宋" w:hAnsi="仿宋" w:eastAsia="仿宋" w:cs="仿宋"/>
                <w:sz w:val="18"/>
                <w:szCs w:val="18"/>
                <w:highlight w:val="none"/>
                <w:lang w:val="en-US"/>
              </w:rPr>
              <w:t>●</w:t>
            </w:r>
            <w:r>
              <w:rPr>
                <w:rFonts w:hint="eastAsia" w:ascii="仿宋" w:hAnsi="仿宋" w:eastAsia="仿宋" w:cs="仿宋"/>
                <w:sz w:val="21"/>
                <w:szCs w:val="21"/>
                <w:highlight w:val="none"/>
                <w:lang w:val="en-US"/>
              </w:rPr>
              <w:t>如供应商是事业单位的，应提供有效的“事业单位法人证书”；</w:t>
            </w:r>
          </w:p>
          <w:p>
            <w:pPr>
              <w:pStyle w:val="2"/>
              <w:ind w:firstLine="0" w:firstLineChars="0"/>
              <w:rPr>
                <w:rFonts w:ascii="仿宋" w:hAnsi="仿宋" w:eastAsia="仿宋" w:cs="仿宋"/>
                <w:sz w:val="21"/>
                <w:szCs w:val="21"/>
                <w:highlight w:val="none"/>
                <w:lang w:val="en-US"/>
              </w:rPr>
            </w:pPr>
            <w:r>
              <w:rPr>
                <w:rFonts w:hint="eastAsia" w:ascii="仿宋" w:hAnsi="仿宋" w:eastAsia="仿宋" w:cs="仿宋"/>
                <w:sz w:val="18"/>
                <w:szCs w:val="18"/>
                <w:highlight w:val="none"/>
                <w:lang w:val="en-US"/>
              </w:rPr>
              <w:t>●</w:t>
            </w:r>
            <w:r>
              <w:rPr>
                <w:rFonts w:hint="eastAsia" w:ascii="仿宋" w:hAnsi="仿宋" w:eastAsia="仿宋" w:cs="仿宋"/>
                <w:sz w:val="21"/>
                <w:szCs w:val="21"/>
                <w:highlight w:val="none"/>
                <w:lang w:val="en-US"/>
              </w:rPr>
              <w:t>如供应商是非企业专业服务机构的，应提供有效的执业许可证等证明文件；</w:t>
            </w:r>
          </w:p>
          <w:p>
            <w:pPr>
              <w:pStyle w:val="2"/>
              <w:ind w:firstLine="0" w:firstLineChars="0"/>
              <w:rPr>
                <w:rFonts w:ascii="仿宋" w:hAnsi="仿宋" w:eastAsia="仿宋" w:cs="仿宋"/>
                <w:sz w:val="21"/>
                <w:szCs w:val="21"/>
                <w:highlight w:val="none"/>
                <w:lang w:val="en-US"/>
              </w:rPr>
            </w:pPr>
            <w:r>
              <w:rPr>
                <w:rFonts w:hint="eastAsia" w:ascii="仿宋" w:hAnsi="仿宋" w:eastAsia="仿宋" w:cs="仿宋"/>
                <w:sz w:val="18"/>
                <w:szCs w:val="18"/>
                <w:highlight w:val="none"/>
                <w:lang w:val="en-US"/>
              </w:rPr>
              <w:t>●</w:t>
            </w:r>
            <w:r>
              <w:rPr>
                <w:rFonts w:hint="eastAsia" w:ascii="仿宋" w:hAnsi="仿宋" w:eastAsia="仿宋" w:cs="仿宋"/>
                <w:sz w:val="21"/>
                <w:szCs w:val="21"/>
                <w:highlight w:val="none"/>
                <w:lang w:val="en-US"/>
              </w:rPr>
              <w:t>如供应商是个体工商户的，应提供有效的“个体工商户营业执照”；</w:t>
            </w:r>
          </w:p>
          <w:p>
            <w:pPr>
              <w:pStyle w:val="2"/>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●如供应商是自然人的，应提供有效的自然人身份证明。</w:t>
            </w:r>
          </w:p>
          <w:p>
            <w:pPr>
              <w:pStyle w:val="2"/>
              <w:ind w:firstLine="0" w:firstLineChars="0"/>
              <w:rPr>
                <w:rFonts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（2）南京市政府采购供应商信用记录表暨信用承诺书：（具体格式详见附件）</w:t>
            </w:r>
          </w:p>
          <w:p>
            <w:pPr>
              <w:spacing w:line="360" w:lineRule="auto"/>
              <w:rPr>
                <w:rFonts w:ascii="仿宋" w:hAnsi="仿宋" w:eastAsia="仿宋" w:cs="仿宋"/>
                <w:b/>
                <w:bCs/>
                <w:szCs w:val="21"/>
                <w:highlight w:val="none"/>
              </w:rPr>
            </w:pPr>
            <w:r>
              <w:rPr>
                <w:rFonts w:hint="eastAsia" w:ascii="仿宋" w:hAnsi="仿宋" w:eastAsia="仿宋" w:cs="仿宋"/>
                <w:b/>
                <w:bCs/>
                <w:kern w:val="0"/>
                <w:szCs w:val="21"/>
                <w:highlight w:val="none"/>
                <w:lang w:bidi="zh-CN"/>
              </w:rPr>
              <w:t>（3）法律、行政法规规定的其他条件：无</w:t>
            </w:r>
          </w:p>
          <w:p>
            <w:pPr>
              <w:pStyle w:val="2"/>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说明1：供应商在中标（成交）后，应按采购文件要求（详见采购文件第六章响应文件格式），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提交采购人或采购代理机构核验；经核验无误后，由采购人或采购代理机构发出中标（成交）通知书。</w:t>
            </w:r>
          </w:p>
          <w:p>
            <w:pPr>
              <w:pStyle w:val="2"/>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说明2：属于以下情形，须按照竞争性磋商文件第六章要求提供证明材料，不得以信用承诺书替代：</w:t>
            </w:r>
          </w:p>
          <w:p>
            <w:pPr>
              <w:pStyle w:val="2"/>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1.供应商被列入严重失信主体名单；</w:t>
            </w:r>
          </w:p>
          <w:p>
            <w:pPr>
              <w:pStyle w:val="2"/>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2.被相关监管部门作出行政处罚且尚在处罚有效期内；</w:t>
            </w:r>
          </w:p>
          <w:p>
            <w:pPr>
              <w:pStyle w:val="2"/>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3.其他法律、行政法规规定的不适用信用承诺的情形。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6</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响应无效情形</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（1）针对本章“二、响应文件编制”中的“3.2响应文件的商务部分”和“3.3响应文件的技术部分”中加★项要求，响应文件提供的证明材料缺失或无效的；</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（2）响应文件未按照磋商文件规定要求</w:t>
            </w:r>
            <w:r>
              <w:rPr>
                <w:rFonts w:hint="eastAsia" w:ascii="仿宋" w:hAnsi="仿宋" w:eastAsia="仿宋" w:cs="仿宋"/>
                <w:b/>
                <w:bCs/>
                <w:szCs w:val="21"/>
                <w:highlight w:val="none"/>
              </w:rPr>
              <w:t>签署、盖章</w:t>
            </w:r>
            <w:r>
              <w:rPr>
                <w:rFonts w:hint="eastAsia" w:ascii="仿宋" w:hAnsi="仿宋" w:eastAsia="仿宋" w:cs="仿宋"/>
                <w:szCs w:val="21"/>
                <w:highlight w:val="none"/>
              </w:rPr>
              <w:t>的；</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（3）纸质响应文件</w:t>
            </w:r>
            <w:r>
              <w:rPr>
                <w:rFonts w:hint="eastAsia" w:ascii="仿宋" w:hAnsi="仿宋" w:eastAsia="仿宋" w:cs="仿宋"/>
                <w:b/>
                <w:bCs/>
                <w:szCs w:val="21"/>
                <w:highlight w:val="none"/>
              </w:rPr>
              <w:t>未清楚标明</w:t>
            </w:r>
            <w:r>
              <w:rPr>
                <w:rFonts w:hint="eastAsia" w:ascii="仿宋" w:hAnsi="仿宋" w:eastAsia="仿宋" w:cs="仿宋"/>
                <w:szCs w:val="21"/>
                <w:highlight w:val="none"/>
              </w:rPr>
              <w:t>“正本”或“副本”；</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（4）响应文件未响应采购项目需求中规定的实质性要求的；</w:t>
            </w:r>
          </w:p>
          <w:p>
            <w:pPr>
              <w:spacing w:line="360" w:lineRule="auto"/>
              <w:rPr>
                <w:rFonts w:ascii="仿宋" w:hAnsi="仿宋" w:eastAsia="仿宋" w:cs="仿宋"/>
                <w:szCs w:val="21"/>
                <w:highlight w:val="none"/>
              </w:rPr>
            </w:pPr>
            <w:r>
              <w:rPr>
                <w:rFonts w:hint="eastAsia" w:ascii="仿宋" w:hAnsi="仿宋" w:eastAsia="仿宋" w:cs="仿宋"/>
                <w:szCs w:val="21"/>
                <w:highlight w:val="none"/>
              </w:rPr>
              <w:t>（5）响应文件未详细阐述服务内容，而是直接拷贝采购文件技术要求的；</w:t>
            </w:r>
          </w:p>
          <w:p>
            <w:pPr>
              <w:spacing w:line="360" w:lineRule="auto"/>
              <w:rPr>
                <w:rFonts w:ascii="仿宋" w:hAnsi="仿宋" w:eastAsia="仿宋" w:cs="仿宋"/>
                <w:szCs w:val="21"/>
                <w:highlight w:val="none"/>
              </w:rPr>
            </w:pPr>
            <w:r>
              <w:rPr>
                <w:rFonts w:hint="eastAsia" w:ascii="仿宋" w:hAnsi="仿宋" w:eastAsia="仿宋" w:cs="仿宋"/>
                <w:szCs w:val="21"/>
                <w:highlight w:val="none"/>
              </w:rPr>
              <w:t>（6）投标总报价超过项目预算金额或最高限价；</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（7）投标报价存在缺项、漏项；</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（9）响应文件含有采购人不能接受的附加条件的；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（10）不同供应商的响应文件由同一单位或者个人编制；</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（11）不同供应商委托同一单位或者个人办理投标事宜；</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（12）不同供应商的响应文件载明的项目管理成员或联系人员为同一人；</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（13）不同供应商的响应文件异常一致或者投标报价呈规律性差异；</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（14）不同供应商的响应文件相互混装；</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（15）为本采购项目提供整体设计、规范编制或者项目管理、监理、检测等服务的供应商参加该采购项目的其他采购活动的；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（16）不同供应商的负责人为同一人或者存在控股、管理关系的；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（17）被信用中国网站、中国政府采购网站列入失信被执行人名单、重大税收违法案件当事人名单、政府采购严重违法失信行为记录名单及《南京市政府采购供应商信用管理工作暂行办法》宁财规〔2018〕10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pPr>
              <w:pStyle w:val="31"/>
              <w:spacing w:line="360" w:lineRule="auto"/>
              <w:ind w:firstLine="0"/>
              <w:rPr>
                <w:rFonts w:ascii="仿宋" w:hAnsi="仿宋" w:eastAsia="仿宋" w:cs="仿宋"/>
                <w:szCs w:val="21"/>
                <w:highlight w:val="none"/>
              </w:rPr>
            </w:pPr>
            <w:r>
              <w:rPr>
                <w:rFonts w:hint="eastAsia" w:ascii="仿宋" w:hAnsi="仿宋" w:eastAsia="仿宋" w:cs="仿宋"/>
                <w:szCs w:val="21"/>
                <w:highlight w:val="none"/>
              </w:rPr>
              <w:t>（18）未提供《南京市政府采购供应商信用记录表暨信用承诺书》；</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（19）法律、法规和磋商文件规定的其他无效情形。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7</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磋商终止情形</w:t>
            </w:r>
          </w:p>
        </w:tc>
        <w:tc>
          <w:tcPr>
            <w:tcW w:w="6330" w:type="dxa"/>
            <w:tcBorders>
              <w:top w:val="single" w:color="auto" w:sz="4" w:space="0"/>
              <w:left w:val="single" w:color="auto" w:sz="4" w:space="0"/>
              <w:bottom w:val="single" w:color="auto" w:sz="4" w:space="0"/>
            </w:tcBorders>
            <w:vAlign w:val="center"/>
          </w:tcPr>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（1）因情况变化，不再符合规定的竞争性磋商采购方式适用情形的；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（2）所有供应商的响应文件被磋商小组认定为无效的；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（3）出现影响采购公正的违法、违规行为的；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（4）所有供应商的最终报价均超过采购文件中规定的项目预算或者最高限价的；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（5）因重大变故，采购任务取消的。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8</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盖章要求</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供应商响应文件中加盖的公章仅能使用与供应商名称一致的标准公章</w:t>
            </w:r>
            <w:r>
              <w:rPr>
                <w:rFonts w:hint="eastAsia" w:ascii="仿宋" w:hAnsi="仿宋" w:eastAsia="仿宋" w:cs="仿宋"/>
                <w:szCs w:val="21"/>
                <w:highlight w:val="none"/>
              </w:rPr>
              <w:t>，不得使用其他形式（如带有“专用章”、“合同章”、“财务章”、“业务章”等字样）的印章；</w:t>
            </w:r>
            <w:r>
              <w:rPr>
                <w:rFonts w:hint="eastAsia" w:ascii="仿宋" w:hAnsi="仿宋" w:eastAsia="仿宋" w:cs="仿宋"/>
                <w:b/>
                <w:bCs/>
                <w:szCs w:val="21"/>
                <w:highlight w:val="none"/>
              </w:rPr>
              <w:t>否则，按无效投标处理。</w:t>
            </w:r>
          </w:p>
        </w:tc>
      </w:tr>
    </w:tbl>
    <w:p>
      <w:pPr>
        <w:spacing w:before="120" w:beforeLines="50"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注：如有供应商须知正文条款与供应商须知前附表不一致，以供应商须知前附表为准。</w:t>
      </w:r>
    </w:p>
    <w:p>
      <w:pPr>
        <w:spacing w:line="360" w:lineRule="auto"/>
        <w:rPr>
          <w:rFonts w:ascii="仿宋" w:hAnsi="仿宋" w:eastAsia="仿宋" w:cs="仿宋"/>
          <w:b/>
          <w:bCs/>
          <w:sz w:val="22"/>
          <w:highlight w:val="none"/>
        </w:rPr>
      </w:pPr>
    </w:p>
    <w:p>
      <w:pPr>
        <w:rPr>
          <w:rFonts w:ascii="仿宋" w:hAnsi="仿宋" w:eastAsia="仿宋" w:cs="仿宋"/>
          <w:b/>
          <w:bCs/>
          <w:sz w:val="24"/>
          <w:szCs w:val="24"/>
          <w:highlight w:val="none"/>
        </w:rPr>
      </w:pPr>
      <w:bookmarkStart w:id="5" w:name="_Toc27538"/>
      <w:r>
        <w:rPr>
          <w:rFonts w:hint="eastAsia" w:ascii="仿宋" w:hAnsi="仿宋" w:eastAsia="仿宋" w:cs="仿宋"/>
          <w:b/>
          <w:bCs/>
          <w:sz w:val="24"/>
          <w:szCs w:val="24"/>
          <w:highlight w:val="none"/>
        </w:rPr>
        <w:br w:type="page"/>
      </w:r>
    </w:p>
    <w:p>
      <w:pPr>
        <w:spacing w:line="360" w:lineRule="auto"/>
        <w:ind w:firstLine="482" w:firstLineChars="200"/>
        <w:outlineLvl w:val="1"/>
        <w:rPr>
          <w:rFonts w:ascii="仿宋" w:hAnsi="仿宋" w:eastAsia="仿宋" w:cs="仿宋"/>
          <w:b/>
          <w:bCs/>
          <w:sz w:val="24"/>
          <w:szCs w:val="24"/>
          <w:highlight w:val="none"/>
        </w:rPr>
      </w:pPr>
      <w:r>
        <w:rPr>
          <w:rFonts w:hint="eastAsia" w:ascii="仿宋" w:hAnsi="仿宋" w:eastAsia="仿宋" w:cs="仿宋"/>
          <w:b/>
          <w:bCs/>
          <w:sz w:val="24"/>
          <w:szCs w:val="24"/>
          <w:highlight w:val="none"/>
        </w:rPr>
        <w:t>一、总则</w:t>
      </w:r>
      <w:bookmarkEnd w:id="5"/>
    </w:p>
    <w:p>
      <w:pPr>
        <w:spacing w:line="360" w:lineRule="auto"/>
        <w:ind w:firstLine="482" w:firstLineChars="200"/>
        <w:outlineLvl w:val="2"/>
        <w:rPr>
          <w:rFonts w:ascii="仿宋" w:hAnsi="仿宋" w:eastAsia="仿宋" w:cs="仿宋"/>
          <w:b/>
          <w:bCs/>
          <w:sz w:val="24"/>
          <w:szCs w:val="24"/>
          <w:highlight w:val="none"/>
        </w:rPr>
      </w:pPr>
      <w:bookmarkStart w:id="6" w:name="_Toc21866"/>
      <w:r>
        <w:rPr>
          <w:rFonts w:hint="eastAsia" w:ascii="仿宋" w:hAnsi="仿宋" w:eastAsia="仿宋" w:cs="仿宋"/>
          <w:b/>
          <w:bCs/>
          <w:sz w:val="24"/>
          <w:szCs w:val="24"/>
          <w:highlight w:val="none"/>
        </w:rPr>
        <w:t>1.适用法律</w:t>
      </w:r>
      <w:bookmarkEnd w:id="6"/>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 《中华人民共和国政府采购法》、《中华人民共和国政府采购法实施条例》、《政府采购竞争性磋商采购方式管理暂行办法》等有关法律、规章和规定等。</w:t>
      </w:r>
    </w:p>
    <w:p>
      <w:pPr>
        <w:spacing w:line="360" w:lineRule="auto"/>
        <w:ind w:firstLine="482" w:firstLineChars="200"/>
        <w:outlineLvl w:val="2"/>
        <w:rPr>
          <w:rFonts w:hint="eastAsia" w:ascii="仿宋" w:hAnsi="仿宋" w:eastAsia="仿宋" w:cs="仿宋"/>
          <w:b/>
          <w:bCs/>
          <w:sz w:val="24"/>
          <w:szCs w:val="24"/>
          <w:highlight w:val="none"/>
          <w:lang w:val="en-US" w:eastAsia="zh-CN"/>
        </w:rPr>
      </w:pPr>
      <w:bookmarkStart w:id="7" w:name="_Toc20696"/>
      <w:r>
        <w:rPr>
          <w:rFonts w:hint="eastAsia" w:ascii="仿宋" w:hAnsi="仿宋" w:eastAsia="仿宋" w:cs="仿宋"/>
          <w:b/>
          <w:bCs/>
          <w:sz w:val="24"/>
          <w:szCs w:val="24"/>
          <w:highlight w:val="none"/>
        </w:rPr>
        <w:t>2.定义</w:t>
      </w:r>
      <w:bookmarkEnd w:id="7"/>
      <w:r>
        <w:rPr>
          <w:rFonts w:hint="eastAsia" w:ascii="仿宋" w:hAnsi="仿宋" w:eastAsia="仿宋" w:cs="仿宋"/>
          <w:b/>
          <w:bCs/>
          <w:sz w:val="24"/>
          <w:szCs w:val="24"/>
          <w:highlight w:val="none"/>
          <w:lang w:val="en-US" w:eastAsia="zh-CN"/>
        </w:rPr>
        <w:tab/>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 “供应商”是指参加磋商竞争，并符合采购文件规定资格条件的法人、其他组织或者自然人。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 “货物和服务”指本采购文件中所述产品及相关服务。</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2.3 “用户或使用单位”是指本项目采购人。</w:t>
      </w:r>
    </w:p>
    <w:p>
      <w:pPr>
        <w:spacing w:line="360" w:lineRule="auto"/>
        <w:ind w:firstLine="482" w:firstLineChars="200"/>
        <w:outlineLvl w:val="2"/>
        <w:rPr>
          <w:rFonts w:ascii="仿宋" w:hAnsi="仿宋" w:eastAsia="仿宋" w:cs="仿宋"/>
          <w:b/>
          <w:bCs/>
          <w:sz w:val="24"/>
          <w:szCs w:val="24"/>
          <w:highlight w:val="none"/>
        </w:rPr>
      </w:pPr>
      <w:bookmarkStart w:id="8" w:name="_Toc29725"/>
      <w:r>
        <w:rPr>
          <w:rFonts w:hint="eastAsia" w:ascii="仿宋" w:hAnsi="仿宋" w:eastAsia="仿宋" w:cs="仿宋"/>
          <w:b/>
          <w:bCs/>
          <w:sz w:val="24"/>
          <w:szCs w:val="24"/>
          <w:highlight w:val="none"/>
        </w:rPr>
        <w:t>3.政策功能</w:t>
      </w:r>
      <w:bookmarkEnd w:id="8"/>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3.1 中小企业政策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（2）参加政府采购活动的中小企业应当提供《中小企业声明函》、由省级以上监狱管理局戒毒管理局(含新疆生产建设兵团)出具的属于监狱企业的证明文件或《残疾人福利性单位声明函》。</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对于接受供应商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4%的价格扣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（6）本项目行业属性为其他未列明行业。</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3.2 节能产品政策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（1）节能产品是指列入财政部、国家发展和改革委员会制定的节能产品品目政府采购清单，且经过认证的节能产品；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（2）拟采购产品属于节能产品政府采购清单规定必须强制采购的，实行强制采购。</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（3）拟采购产品属于节能产品政府采购清单规定优先采购的，在技术、服务等指标同等条件下，实行优先采购，优先采购的要求详见第三章说明内容。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（4）参加政府采购活动的节能产品供应商应当提供有效的节能产品认证证书复印件。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3.3 环境标志产品政策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（1）环境标志产品是指列入财政部、生态环境部制定的环境标志产品品目政府采购清单，且经过认证的环境标志产品；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（2）拟采购产品属于环境标志产品政府采购清单规定优先采购的，在性能、技术、服务等指标同等条件下，实行优先采购，优先采购的要求详见第三章说明内容。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（3）参加政府采购活动的环境标志产品应当提供有效的环境标志产品认证证书复印件。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未按要求提供相关材料的，不享受相关政策。</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3.4 信息安全产品政策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（1）信息安全产品是指列入国家质检总局、国家认监委《信息安全产品强制性认证目录》，并获得强制性产品认证证书的产品；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（2）提供的产品属于信息安全产品的，供应商应当选择经国家认证的信息安全产品投标，并提供由中国信息安全认证中心按国家标准认证颁发的有效认证证书复印件。</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3.5 进口产品政策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（1）除第一章竞争性磋商公告另有规定外，不允许进口产品参加。进口产品认定依照《财政部关于政府采购进口产品管理有关问题的通知》（财办库〔2008〕2</w:t>
      </w:r>
      <w:r>
        <w:rPr>
          <w:rFonts w:hint="eastAsia" w:ascii="仿宋" w:hAnsi="仿宋" w:eastAsia="仿宋" w:cs="仿宋"/>
          <w:sz w:val="24"/>
          <w:szCs w:val="24"/>
          <w:highlight w:val="none"/>
          <w:lang w:eastAsia="zh-CN"/>
        </w:rPr>
        <w:t>47.594</w:t>
      </w:r>
      <w:r>
        <w:rPr>
          <w:rFonts w:hint="eastAsia" w:ascii="仿宋" w:hAnsi="仿宋" w:eastAsia="仿宋" w:cs="仿宋"/>
          <w:sz w:val="24"/>
          <w:szCs w:val="24"/>
          <w:highlight w:val="none"/>
        </w:rPr>
        <w:t xml:space="preserve"> 号）的规定。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（2）允许进口产品参加的，满足需求的国内产品可以参加。</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（3）允许进口产品参加的，优先采购向我国企业转让技术、与我国企业签订消化吸收再创新方案的供应商的进口产品。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（4）未按要求提供相关材料的，不享受相关政策。</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3.6 投标担保政策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（1）供应商磋商保证金可以用担保形式递交，保函要求详见关于开展政府采购信用担保试点工作的通知(财库〔2011〕124号)。</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3.7 供应商信用信息查询</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（1）采购人或采购代理机构将在“信用中国”（www.creditchina.gov.cn）、“中国政府采购网”（www.ccgp.gov.cn）对供应商进行信用信息查询，并将网站查询有关记录留存（财库〔2016〕125 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（2）查询截止时间：提交响应文件截止时间前。</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（3）供应商信用查询记录不符合要求的，采购人或采购代理机构将依法拒绝供应商参加本次采购活动。</w:t>
      </w:r>
    </w:p>
    <w:p>
      <w:pPr>
        <w:spacing w:line="360" w:lineRule="auto"/>
        <w:ind w:firstLine="482" w:firstLineChars="200"/>
        <w:outlineLvl w:val="2"/>
        <w:rPr>
          <w:rFonts w:ascii="仿宋" w:hAnsi="仿宋" w:eastAsia="仿宋" w:cs="仿宋"/>
          <w:b/>
          <w:bCs/>
          <w:sz w:val="24"/>
          <w:szCs w:val="24"/>
          <w:highlight w:val="none"/>
        </w:rPr>
      </w:pPr>
      <w:bookmarkStart w:id="9" w:name="_Toc18511"/>
      <w:r>
        <w:rPr>
          <w:rFonts w:hint="eastAsia" w:ascii="仿宋" w:hAnsi="仿宋" w:eastAsia="仿宋" w:cs="仿宋"/>
          <w:b/>
          <w:bCs/>
          <w:sz w:val="24"/>
          <w:szCs w:val="24"/>
          <w:highlight w:val="none"/>
        </w:rPr>
        <w:t>4.磋商费用</w:t>
      </w:r>
      <w:bookmarkEnd w:id="9"/>
    </w:p>
    <w:p>
      <w:pPr>
        <w:spacing w:line="360" w:lineRule="auto"/>
        <w:ind w:firstLine="480" w:firstLineChars="200"/>
        <w:outlineLvl w:val="3"/>
        <w:rPr>
          <w:rFonts w:ascii="仿宋" w:hAnsi="仿宋" w:eastAsia="仿宋" w:cs="仿宋"/>
          <w:sz w:val="24"/>
          <w:szCs w:val="24"/>
          <w:highlight w:val="none"/>
        </w:rPr>
      </w:pPr>
      <w:r>
        <w:rPr>
          <w:rFonts w:hint="eastAsia" w:ascii="仿宋" w:hAnsi="仿宋" w:eastAsia="仿宋" w:cs="仿宋"/>
          <w:sz w:val="24"/>
          <w:szCs w:val="24"/>
          <w:highlight w:val="none"/>
        </w:rPr>
        <w:t>4.1 供应商应承担所有与准备和参加磋商有关的费用，无论采购结果如何，采购代理机构和采购人在任何情况下均无义务和责任承担这些费用；</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4.2 本项目采购代理服务费收费标准：</w:t>
      </w:r>
    </w:p>
    <w:p>
      <w:pPr>
        <w:spacing w:line="360" w:lineRule="auto"/>
        <w:ind w:firstLine="482" w:firstLineChars="200"/>
        <w:outlineLvl w:val="3"/>
        <w:rPr>
          <w:rStyle w:val="60"/>
          <w:rFonts w:ascii="仿宋" w:hAnsi="仿宋" w:eastAsia="仿宋" w:cs="仿宋"/>
          <w:b/>
          <w:kern w:val="0"/>
          <w:sz w:val="24"/>
          <w:szCs w:val="24"/>
          <w:highlight w:val="none"/>
        </w:rPr>
      </w:pPr>
      <w:r>
        <w:rPr>
          <w:rStyle w:val="60"/>
          <w:rFonts w:hint="eastAsia" w:ascii="仿宋" w:hAnsi="仿宋" w:eastAsia="仿宋" w:cs="仿宋"/>
          <w:b/>
          <w:kern w:val="0"/>
          <w:sz w:val="24"/>
          <w:szCs w:val="24"/>
          <w:highlight w:val="none"/>
          <w:lang w:val="zh-CN"/>
        </w:rPr>
        <w:t>依据《政府采购代理机构管理暂行办法》（财库〔2018〕2号）第十五条，本项目代理费用由成交供应商支付，支付方式详见本章</w:t>
      </w:r>
      <w:r>
        <w:rPr>
          <w:rStyle w:val="60"/>
          <w:rFonts w:hint="eastAsia" w:ascii="仿宋" w:hAnsi="仿宋" w:eastAsia="仿宋" w:cs="仿宋"/>
          <w:b/>
          <w:kern w:val="0"/>
          <w:sz w:val="24"/>
          <w:szCs w:val="24"/>
          <w:highlight w:val="none"/>
        </w:rPr>
        <w:t>4.3</w:t>
      </w:r>
      <w:r>
        <w:rPr>
          <w:rStyle w:val="60"/>
          <w:rFonts w:hint="eastAsia" w:ascii="仿宋" w:hAnsi="仿宋" w:eastAsia="仿宋" w:cs="仿宋"/>
          <w:b/>
          <w:kern w:val="0"/>
          <w:sz w:val="24"/>
          <w:szCs w:val="24"/>
          <w:highlight w:val="none"/>
          <w:lang w:val="zh-CN"/>
        </w:rPr>
        <w:t>条〔招标代理费参照国家计委关于印发《招标代理服务收费管理暂行办法》的通知计价格〔2002〕1980号文件收取，计费基础为成交价，按差额定率累进法计算：即（1~100）</w:t>
      </w:r>
      <w:r>
        <w:rPr>
          <w:rStyle w:val="60"/>
          <w:rFonts w:hint="eastAsia" w:ascii="仿宋" w:hAnsi="仿宋" w:eastAsia="仿宋" w:cs="仿宋"/>
          <w:b/>
          <w:kern w:val="0"/>
          <w:sz w:val="24"/>
          <w:szCs w:val="24"/>
          <w:highlight w:val="none"/>
          <w:lang w:val="en-US" w:eastAsia="zh-CN"/>
        </w:rPr>
        <w:t>*</w:t>
      </w:r>
      <w:r>
        <w:rPr>
          <w:rStyle w:val="60"/>
          <w:rFonts w:hint="eastAsia" w:ascii="仿宋" w:hAnsi="仿宋" w:eastAsia="仿宋" w:cs="仿宋"/>
          <w:b/>
          <w:kern w:val="0"/>
          <w:sz w:val="24"/>
          <w:szCs w:val="24"/>
          <w:highlight w:val="none"/>
          <w:lang w:val="zh-CN"/>
        </w:rPr>
        <w:t>1.5%（单位万元）〕</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4.3 本次采购代理服务费在成交供应商领取成交通知书时结算。</w:t>
      </w:r>
    </w:p>
    <w:p>
      <w:pPr>
        <w:spacing w:line="360" w:lineRule="auto"/>
        <w:ind w:firstLine="696" w:firstLineChars="3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招标代理服务费交纳方法：</w:t>
      </w:r>
    </w:p>
    <w:p>
      <w:pPr>
        <w:spacing w:line="360" w:lineRule="auto"/>
        <w:ind w:firstLine="720" w:firstLineChars="300"/>
        <w:jc w:val="left"/>
        <w:rPr>
          <w:rFonts w:ascii="仿宋" w:hAnsi="仿宋" w:eastAsia="仿宋" w:cs="仿宋"/>
          <w:sz w:val="24"/>
          <w:highlight w:val="none"/>
          <w:lang w:val="zh-CN"/>
        </w:rPr>
      </w:pPr>
      <w:r>
        <w:rPr>
          <w:rFonts w:hint="eastAsia" w:ascii="仿宋" w:hAnsi="仿宋" w:eastAsia="仿宋" w:cs="仿宋"/>
          <w:sz w:val="24"/>
          <w:highlight w:val="none"/>
          <w:lang w:val="zh-CN"/>
        </w:rPr>
        <w:t>（1）交纳方式：银行网银、电汇等；</w:t>
      </w:r>
    </w:p>
    <w:p>
      <w:pPr>
        <w:spacing w:line="360" w:lineRule="auto"/>
        <w:ind w:firstLine="720" w:firstLineChars="300"/>
        <w:jc w:val="left"/>
        <w:rPr>
          <w:rFonts w:ascii="仿宋" w:hAnsi="仿宋" w:eastAsia="仿宋" w:cs="仿宋"/>
          <w:sz w:val="24"/>
          <w:highlight w:val="none"/>
          <w:lang w:val="zh-CN"/>
        </w:rPr>
      </w:pPr>
      <w:r>
        <w:rPr>
          <w:rFonts w:hint="eastAsia" w:ascii="仿宋" w:hAnsi="仿宋" w:eastAsia="仿宋" w:cs="仿宋"/>
          <w:sz w:val="24"/>
          <w:highlight w:val="none"/>
          <w:lang w:val="zh-CN"/>
        </w:rPr>
        <w:t>（2）收款单位、开户银行及</w:t>
      </w:r>
      <w:r>
        <w:rPr>
          <w:rFonts w:hint="eastAsia" w:ascii="仿宋" w:hAnsi="仿宋" w:eastAsia="仿宋" w:cs="仿宋"/>
          <w:sz w:val="24"/>
          <w:highlight w:val="none"/>
        </w:rPr>
        <w:t>账</w:t>
      </w:r>
      <w:r>
        <w:rPr>
          <w:rFonts w:hint="eastAsia" w:ascii="仿宋" w:hAnsi="仿宋" w:eastAsia="仿宋" w:cs="仿宋"/>
          <w:sz w:val="24"/>
          <w:highlight w:val="none"/>
          <w:lang w:val="zh-CN"/>
        </w:rPr>
        <w:t>号：</w:t>
      </w:r>
    </w:p>
    <w:p>
      <w:pPr>
        <w:spacing w:line="360" w:lineRule="auto"/>
        <w:ind w:firstLine="720" w:firstLineChars="300"/>
        <w:jc w:val="left"/>
        <w:rPr>
          <w:rFonts w:ascii="仿宋" w:hAnsi="仿宋" w:eastAsia="仿宋" w:cs="仿宋"/>
          <w:sz w:val="24"/>
          <w:highlight w:val="none"/>
          <w:lang w:val="zh-CN"/>
        </w:rPr>
      </w:pPr>
      <w:r>
        <w:rPr>
          <w:rFonts w:hint="eastAsia" w:ascii="仿宋" w:hAnsi="仿宋" w:eastAsia="仿宋" w:cs="仿宋"/>
          <w:sz w:val="24"/>
          <w:highlight w:val="none"/>
          <w:lang w:val="zh-CN"/>
        </w:rPr>
        <w:t>收款单位：源成工程咨询（江苏南京）有限责任公司</w:t>
      </w:r>
    </w:p>
    <w:p>
      <w:pPr>
        <w:spacing w:line="360" w:lineRule="auto"/>
        <w:ind w:firstLine="720" w:firstLineChars="300"/>
        <w:jc w:val="left"/>
        <w:rPr>
          <w:rFonts w:ascii="仿宋" w:hAnsi="仿宋" w:eastAsia="仿宋" w:cs="仿宋"/>
          <w:sz w:val="24"/>
          <w:highlight w:val="none"/>
          <w:lang w:val="zh-CN"/>
        </w:rPr>
      </w:pPr>
      <w:r>
        <w:rPr>
          <w:rFonts w:hint="eastAsia" w:ascii="仿宋" w:hAnsi="仿宋" w:eastAsia="仿宋" w:cs="仿宋"/>
          <w:sz w:val="24"/>
          <w:highlight w:val="none"/>
          <w:lang w:val="zh-CN"/>
        </w:rPr>
        <w:t>开户银行：</w:t>
      </w:r>
      <w:r>
        <w:rPr>
          <w:rFonts w:hint="eastAsia" w:ascii="仿宋" w:hAnsi="仿宋" w:eastAsia="仿宋" w:cs="仿宋"/>
          <w:sz w:val="24"/>
          <w:highlight w:val="none"/>
        </w:rPr>
        <w:t>交通银行南京软件大道支行</w:t>
      </w:r>
    </w:p>
    <w:p>
      <w:pPr>
        <w:spacing w:line="360" w:lineRule="auto"/>
        <w:ind w:firstLine="720" w:firstLineChars="300"/>
        <w:jc w:val="left"/>
        <w:rPr>
          <w:rFonts w:ascii="仿宋" w:hAnsi="仿宋" w:eastAsia="仿宋" w:cs="仿宋"/>
          <w:sz w:val="24"/>
          <w:highlight w:val="none"/>
          <w:lang w:val="zh-CN"/>
        </w:rPr>
      </w:pPr>
      <w:r>
        <w:rPr>
          <w:rFonts w:hint="eastAsia" w:ascii="仿宋" w:hAnsi="仿宋" w:eastAsia="仿宋" w:cs="仿宋"/>
          <w:sz w:val="24"/>
          <w:highlight w:val="none"/>
          <w:lang w:val="zh-CN"/>
        </w:rPr>
        <w:t xml:space="preserve">账号： </w:t>
      </w:r>
      <w:r>
        <w:rPr>
          <w:rFonts w:hint="eastAsia" w:ascii="仿宋" w:hAnsi="仿宋" w:eastAsia="仿宋" w:cs="仿宋"/>
          <w:sz w:val="24"/>
          <w:highlight w:val="none"/>
        </w:rPr>
        <w:t>320899991013000593407</w:t>
      </w:r>
    </w:p>
    <w:p>
      <w:pPr>
        <w:spacing w:line="360" w:lineRule="auto"/>
        <w:ind w:firstLine="482" w:firstLineChars="200"/>
        <w:outlineLvl w:val="1"/>
        <w:rPr>
          <w:rFonts w:ascii="仿宋" w:hAnsi="仿宋" w:eastAsia="仿宋" w:cs="仿宋"/>
          <w:b/>
          <w:bCs/>
          <w:sz w:val="24"/>
          <w:szCs w:val="24"/>
          <w:highlight w:val="none"/>
        </w:rPr>
      </w:pPr>
      <w:bookmarkStart w:id="10" w:name="_Toc21928"/>
      <w:r>
        <w:rPr>
          <w:rFonts w:hint="eastAsia" w:ascii="仿宋" w:hAnsi="仿宋" w:eastAsia="仿宋" w:cs="仿宋"/>
          <w:b/>
          <w:bCs/>
          <w:sz w:val="24"/>
          <w:szCs w:val="24"/>
          <w:highlight w:val="none"/>
        </w:rPr>
        <w:t>二、响应文件编制</w:t>
      </w:r>
      <w:bookmarkEnd w:id="10"/>
    </w:p>
    <w:p>
      <w:pPr>
        <w:spacing w:line="360" w:lineRule="auto"/>
        <w:ind w:firstLine="482" w:firstLineChars="200"/>
        <w:outlineLvl w:val="2"/>
        <w:rPr>
          <w:rFonts w:ascii="仿宋" w:hAnsi="仿宋" w:eastAsia="仿宋" w:cs="仿宋"/>
          <w:b/>
          <w:bCs/>
          <w:sz w:val="24"/>
          <w:szCs w:val="24"/>
          <w:highlight w:val="none"/>
        </w:rPr>
      </w:pPr>
      <w:bookmarkStart w:id="11" w:name="_Toc1024"/>
      <w:r>
        <w:rPr>
          <w:rFonts w:hint="eastAsia" w:ascii="仿宋" w:hAnsi="仿宋" w:eastAsia="仿宋" w:cs="仿宋"/>
          <w:b/>
          <w:bCs/>
          <w:sz w:val="24"/>
          <w:szCs w:val="24"/>
          <w:highlight w:val="none"/>
        </w:rPr>
        <w:t>1.供应商应当按照磋商文件的要求编制响应文件，并对其提交的响应文件真实性、合法性承担法律责任。</w:t>
      </w:r>
      <w:bookmarkEnd w:id="11"/>
    </w:p>
    <w:p>
      <w:pPr>
        <w:spacing w:line="360" w:lineRule="auto"/>
        <w:ind w:firstLine="482" w:firstLineChars="200"/>
        <w:outlineLvl w:val="2"/>
        <w:rPr>
          <w:rFonts w:ascii="仿宋" w:hAnsi="仿宋" w:eastAsia="仿宋" w:cs="仿宋"/>
          <w:b/>
          <w:bCs/>
          <w:sz w:val="24"/>
          <w:szCs w:val="24"/>
          <w:highlight w:val="none"/>
        </w:rPr>
      </w:pPr>
      <w:bookmarkStart w:id="12" w:name="_Toc22849"/>
      <w:r>
        <w:rPr>
          <w:rFonts w:hint="eastAsia" w:ascii="仿宋" w:hAnsi="仿宋" w:eastAsia="仿宋" w:cs="仿宋"/>
          <w:b/>
          <w:bCs/>
          <w:sz w:val="24"/>
          <w:szCs w:val="24"/>
          <w:highlight w:val="none"/>
        </w:rPr>
        <w:t>2.响应文件的语言、计量单位、货币和编制</w:t>
      </w:r>
      <w:bookmarkEnd w:id="12"/>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 提交的响应文件、技术文件和资料，包括相关说明，以及供应商与采购代理机构和采购人就有关磋商的所有来往函电均应使用中文。响应文件中若有英文或其他语言文字的资料，应提供相应的中文翻译资料。对不同文本响应文件的解释发生异议的，以中文文本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 供应商所使用的计量单位应为国家法定计量单位。</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2.3 供应商应用人民币报价，响应文件报价出现前后不一致的，按照下列规定修正：</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（1）磋商申请及声明内容与响应文件中相应内容不一致的，以磋商申请及声明为准；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（2）大写金额和小写金额不一致的，以大写金额为准；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（3）单价金额小数点或者百分比有明显错位的，以磋商申请及声明的总价为准，并修改单价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（4）总价金额与按单价汇总金额不一致的，以单价金额计算结果为准。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（5）同时出现两种以上不一致的，按照前款规定的顺序修正。修正后的报价按照2.4 要求的规定进行确认后产生约束力，供应商不确认的，其响应无效。</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2.4 响应文件应字迹清楚、内容齐全，不应有涂改、增删之处，如必须修改时，修改处必须有供应商公章或供应商法定代表人或授权代表签字。</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2.5 响应文件的编制应当按照磋商文件统一规定的格式</w:t>
      </w:r>
      <w:r>
        <w:rPr>
          <w:rFonts w:hint="eastAsia" w:ascii="仿宋" w:hAnsi="仿宋" w:eastAsia="仿宋" w:cs="仿宋"/>
          <w:b/>
          <w:bCs/>
          <w:sz w:val="24"/>
          <w:szCs w:val="24"/>
          <w:highlight w:val="none"/>
        </w:rPr>
        <w:t>（规定格式中要求盖章或签字的，则必须盖章或签字）</w:t>
      </w:r>
      <w:r>
        <w:rPr>
          <w:rFonts w:hint="eastAsia" w:ascii="仿宋" w:hAnsi="仿宋" w:eastAsia="仿宋" w:cs="仿宋"/>
          <w:sz w:val="24"/>
          <w:szCs w:val="24"/>
          <w:highlight w:val="none"/>
        </w:rPr>
        <w:t>，供应商可根据自身实际情况进行添加调整。响应文件统一用A4规格幅面打印、装订成册并编制目录，由于编排混乱导致响应文件被误读或查找不到，责任由供应商承担。</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2.6 供应商应在响应文件中写清相应的项目编号、项目名称、供应商全称、地址、电话等，每份纸质文件须清楚标明“正本”或“副本” 字样。如有必要，可以增加附页，作为响应文件的组成部分。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2.7 供应商应将响应文件用档案袋或封套密封，封面并注明项目编号、项目名称、供应商地址、供应商全称等；</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2.8 纸质响应文件一式 叁 份（正本 壹 份、副本 贰 份），电子版（PDF文件）响应文件 壹 份。当电子版文件和纸质正本文件不一致时，以纸质正本文件为准。电子版文件用于辅助评审和存档，供应商需承担前述不一致造成的不利后果。</w:t>
      </w:r>
    </w:p>
    <w:p>
      <w:pPr>
        <w:spacing w:line="360" w:lineRule="auto"/>
        <w:ind w:firstLine="482" w:firstLineChars="200"/>
        <w:outlineLvl w:val="2"/>
        <w:rPr>
          <w:rFonts w:ascii="仿宋" w:hAnsi="仿宋" w:eastAsia="仿宋" w:cs="仿宋"/>
          <w:b/>
          <w:bCs/>
          <w:sz w:val="24"/>
          <w:szCs w:val="24"/>
          <w:highlight w:val="none"/>
        </w:rPr>
      </w:pPr>
      <w:bookmarkStart w:id="13" w:name="_Toc20050"/>
      <w:r>
        <w:rPr>
          <w:rFonts w:hint="eastAsia" w:ascii="仿宋" w:hAnsi="仿宋" w:eastAsia="仿宋" w:cs="仿宋"/>
          <w:b/>
          <w:bCs/>
          <w:sz w:val="24"/>
          <w:szCs w:val="24"/>
          <w:highlight w:val="none"/>
        </w:rPr>
        <w:t>3.响应文件的组成</w:t>
      </w:r>
      <w:bookmarkEnd w:id="13"/>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3.1 供应商应当根据磋商文件要求编制响应文件，并根据自己的商务能力、技术水平对磋商文件提出的要求和条件逐条标明是否响应。响应文件由商务部分、技术部分、价格部分，以及其他部分组成。</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3.2 响应文件的商务部分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商务部分是证明供应商有资格参加磋商和成交后有能力履行合同的文件，这些文件应能满足竞争性磋商采购文件的要求，包括但不限于下列文件，其中加★项目不得有缺失或无效：</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（1）★磋商申请及声明；</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（2）★法定代表人授权委托书及委托代理人的身份证复印件；</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（3）第一章竞争性磋商公告中“2.落实政府采购政策需满足的资格要求” 的证明文件；</w:t>
      </w:r>
    </w:p>
    <w:p>
      <w:pPr>
        <w:autoSpaceDE w:val="0"/>
        <w:autoSpaceDN w:val="0"/>
        <w:adjustRightInd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（4）★第一章竞争性磋商公告中“3.本项目的特定资格要求”的证明文件；</w:t>
      </w:r>
    </w:p>
    <w:p>
      <w:pPr>
        <w:autoSpaceDE w:val="0"/>
        <w:autoSpaceDN w:val="0"/>
        <w:adjustRightInd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（5）★《南京市政府采购供应商信用记录表暨信用承诺书》</w:t>
      </w:r>
      <w:r>
        <w:rPr>
          <w:rFonts w:hint="eastAsia" w:ascii="仿宋" w:hAnsi="仿宋" w:eastAsia="仿宋" w:cs="仿宋"/>
          <w:b/>
          <w:bCs/>
          <w:sz w:val="24"/>
          <w:highlight w:val="none"/>
        </w:rPr>
        <w:t>及供应商在有效经营期内的营业执照复印件</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不得以信用承诺书替代的供应商须按照磋商文件第六章要求提供证明材料）</w:t>
      </w:r>
      <w:r>
        <w:rPr>
          <w:rFonts w:hint="eastAsia" w:ascii="仿宋" w:hAnsi="仿宋" w:eastAsia="仿宋" w:cs="仿宋"/>
          <w:b/>
          <w:bCs/>
          <w:sz w:val="24"/>
          <w:szCs w:val="24"/>
          <w:highlight w:val="none"/>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）供应商认为需要提供的其他资格证明文件和商务资料；</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《商务条款偏离表》。</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3.3 响应文件的技术部分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3.3.1 技术部分是证明供应商提供的货物和服务是合格的，并符合磋商文件要求的证明文件，以及对货物和服务的详细说明，这些文件可以是文字资料、图纸（表）和数据等；</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3.3.2 若技术性能无特殊说明，则按国家有关部门最新颁布的标准及规范为准；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3.3.3 提供的货物和服务如与磋商文件要求有不符之处，应说明其差别之所在，并在《技术条款偏离表》中逐条予以说明；</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3.3.4 响应文件应按照磋商文件要求提供技术资料、文件和有关证明，包括但不限于下列文件，</w:t>
      </w:r>
      <w:r>
        <w:rPr>
          <w:rFonts w:hint="eastAsia" w:ascii="仿宋" w:hAnsi="仿宋" w:eastAsia="仿宋" w:cs="仿宋"/>
          <w:b/>
          <w:bCs/>
          <w:sz w:val="24"/>
          <w:szCs w:val="24"/>
          <w:highlight w:val="none"/>
        </w:rPr>
        <w:t>其中加“★”项目不得有缺失或无效</w:t>
      </w:r>
      <w:r>
        <w:rPr>
          <w:rFonts w:hint="eastAsia" w:ascii="仿宋" w:hAnsi="仿宋" w:eastAsia="仿宋" w:cs="仿宋"/>
          <w:sz w:val="24"/>
          <w:szCs w:val="24"/>
          <w:highlight w:val="none"/>
        </w:rPr>
        <w:t>：</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（1）★项目的技术说明或实施方案；</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（2）★《技术条款偏离表》；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（3）服务承诺；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（4）验收标准、技术资料；</w:t>
      </w:r>
    </w:p>
    <w:p>
      <w:pPr>
        <w:spacing w:line="360" w:lineRule="auto"/>
        <w:ind w:firstLine="480" w:firstLineChars="200"/>
        <w:rPr>
          <w:rFonts w:ascii="仿宋" w:hAnsi="仿宋" w:eastAsia="仿宋" w:cs="仿宋"/>
          <w:b/>
          <w:bCs/>
          <w:sz w:val="24"/>
          <w:szCs w:val="24"/>
          <w:highlight w:val="none"/>
        </w:rPr>
      </w:pPr>
      <w:r>
        <w:rPr>
          <w:rFonts w:hint="eastAsia" w:ascii="仿宋" w:hAnsi="仿宋" w:eastAsia="仿宋" w:cs="仿宋"/>
          <w:sz w:val="24"/>
          <w:szCs w:val="24"/>
          <w:highlight w:val="none"/>
        </w:rPr>
        <w:t>（5）供应商认为需要提供的其他技术资料等</w:t>
      </w:r>
      <w:r>
        <w:rPr>
          <w:rFonts w:hint="eastAsia" w:ascii="仿宋" w:hAnsi="仿宋" w:eastAsia="仿宋" w:cs="仿宋"/>
          <w:b/>
          <w:bCs/>
          <w:sz w:val="24"/>
          <w:szCs w:val="24"/>
          <w:highlight w:val="none"/>
        </w:rPr>
        <w:t>。</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3.4 响应文件的价格部分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（1）价格部分是对服务价格构成的说明，磋商文件如没有特别说明的话，对每一项服务仅接受一个价格。</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（2）报价应包含完成本服务项目发生的所有含税费用、支付给员工的工资和国家强制缴纳的各种社会保障资金，以及供应商认为需要的其他费用等。</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（3）供应商应充分考虑到市场价格变动，以及项目实施过程中的不可预见因素，一旦成交，总价格不变。如果有漏项，视同让利。</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（4）供应商应在《报价表》、《分项报价表》等标明提供货物或服务的单价、总价以及分项报价。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（5）经磋商后，如果成交价高于或低于供应商在响应文件首次报价的，分项报价同比例调整。</w:t>
      </w:r>
    </w:p>
    <w:p>
      <w:pPr>
        <w:spacing w:line="360" w:lineRule="auto"/>
        <w:ind w:firstLine="482" w:firstLineChars="200"/>
        <w:outlineLvl w:val="3"/>
        <w:rPr>
          <w:rFonts w:ascii="仿宋" w:hAnsi="仿宋" w:eastAsia="仿宋" w:cs="仿宋"/>
          <w:sz w:val="24"/>
          <w:szCs w:val="24"/>
          <w:highlight w:val="none"/>
        </w:rPr>
      </w:pPr>
      <w:r>
        <w:rPr>
          <w:rFonts w:hint="eastAsia" w:ascii="仿宋" w:hAnsi="仿宋" w:eastAsia="仿宋" w:cs="仿宋"/>
          <w:b/>
          <w:bCs/>
          <w:sz w:val="24"/>
          <w:szCs w:val="24"/>
          <w:highlight w:val="none"/>
        </w:rPr>
        <w:t>3.5 响应文件的其他部分。</w:t>
      </w:r>
      <w:r>
        <w:rPr>
          <w:rFonts w:hint="eastAsia" w:ascii="仿宋" w:hAnsi="仿宋" w:eastAsia="仿宋" w:cs="仿宋"/>
          <w:sz w:val="24"/>
          <w:szCs w:val="24"/>
          <w:highlight w:val="none"/>
        </w:rPr>
        <w:t>其他部分由供应商根据编制响应文件需要提供的其他相关文件。</w:t>
      </w:r>
    </w:p>
    <w:p>
      <w:pPr>
        <w:spacing w:line="360" w:lineRule="auto"/>
        <w:ind w:firstLine="480" w:firstLineChars="200"/>
        <w:outlineLvl w:val="3"/>
        <w:rPr>
          <w:rFonts w:ascii="仿宋" w:hAnsi="仿宋" w:eastAsia="仿宋" w:cs="仿宋"/>
          <w:sz w:val="24"/>
          <w:szCs w:val="24"/>
          <w:highlight w:val="none"/>
        </w:rPr>
      </w:pPr>
      <w:r>
        <w:rPr>
          <w:rFonts w:hint="eastAsia" w:ascii="仿宋" w:hAnsi="仿宋" w:eastAsia="仿宋" w:cs="仿宋"/>
          <w:sz w:val="24"/>
          <w:szCs w:val="24"/>
          <w:highlight w:val="none"/>
        </w:rPr>
        <w:t>3.6 磋商保证金：本项目不设磋商保证金。</w:t>
      </w:r>
    </w:p>
    <w:p>
      <w:pPr>
        <w:spacing w:line="360" w:lineRule="auto"/>
        <w:ind w:firstLine="482" w:firstLineChars="200"/>
        <w:outlineLvl w:val="1"/>
        <w:rPr>
          <w:rFonts w:ascii="仿宋" w:hAnsi="仿宋" w:eastAsia="仿宋" w:cs="仿宋"/>
          <w:b/>
          <w:bCs/>
          <w:sz w:val="24"/>
          <w:szCs w:val="24"/>
          <w:highlight w:val="none"/>
        </w:rPr>
      </w:pPr>
      <w:bookmarkStart w:id="14" w:name="_Toc3990"/>
      <w:r>
        <w:rPr>
          <w:rFonts w:hint="eastAsia" w:ascii="仿宋" w:hAnsi="仿宋" w:eastAsia="仿宋" w:cs="仿宋"/>
          <w:b/>
          <w:bCs/>
          <w:sz w:val="24"/>
          <w:szCs w:val="24"/>
          <w:highlight w:val="none"/>
        </w:rPr>
        <w:t>三、响应文件签署与提交</w:t>
      </w:r>
      <w:bookmarkEnd w:id="14"/>
    </w:p>
    <w:p>
      <w:pPr>
        <w:spacing w:line="360" w:lineRule="auto"/>
        <w:ind w:firstLine="482" w:firstLineChars="200"/>
        <w:outlineLvl w:val="2"/>
        <w:rPr>
          <w:rFonts w:ascii="仿宋" w:hAnsi="仿宋" w:eastAsia="仿宋" w:cs="仿宋"/>
          <w:b/>
          <w:bCs/>
          <w:sz w:val="24"/>
          <w:szCs w:val="24"/>
          <w:highlight w:val="none"/>
        </w:rPr>
      </w:pPr>
      <w:bookmarkStart w:id="15" w:name="_Toc11667"/>
      <w:r>
        <w:rPr>
          <w:rFonts w:hint="eastAsia" w:ascii="仿宋" w:hAnsi="仿宋" w:eastAsia="仿宋" w:cs="仿宋"/>
          <w:b/>
          <w:bCs/>
          <w:sz w:val="24"/>
          <w:szCs w:val="24"/>
          <w:highlight w:val="none"/>
        </w:rPr>
        <w:t>1.响应文件的正本和副本均由供应商法定代表人或经正式授权并对供应商有约束力的委托代理人用不褪色墨水书写签署。</w:t>
      </w:r>
      <w:bookmarkEnd w:id="15"/>
    </w:p>
    <w:p>
      <w:pPr>
        <w:spacing w:line="360" w:lineRule="auto"/>
        <w:ind w:firstLine="482" w:firstLineChars="200"/>
        <w:outlineLvl w:val="2"/>
        <w:rPr>
          <w:rFonts w:ascii="仿宋" w:hAnsi="仿宋" w:eastAsia="仿宋" w:cs="仿宋"/>
          <w:b/>
          <w:bCs/>
          <w:sz w:val="24"/>
          <w:szCs w:val="24"/>
          <w:highlight w:val="none"/>
        </w:rPr>
      </w:pPr>
      <w:bookmarkStart w:id="16" w:name="_Toc9389"/>
      <w:r>
        <w:rPr>
          <w:rFonts w:hint="eastAsia" w:ascii="仿宋" w:hAnsi="仿宋" w:eastAsia="仿宋" w:cs="仿宋"/>
          <w:b/>
          <w:bCs/>
          <w:sz w:val="24"/>
          <w:szCs w:val="24"/>
          <w:highlight w:val="none"/>
        </w:rPr>
        <w:t>2.供应商应当在磋商文件要求提交响应文件的截止时间前，将响应文件密封送达指定地点。</w:t>
      </w:r>
      <w:bookmarkEnd w:id="16"/>
    </w:p>
    <w:p>
      <w:pPr>
        <w:spacing w:line="360" w:lineRule="auto"/>
        <w:ind w:firstLine="482" w:firstLineChars="200"/>
        <w:outlineLvl w:val="2"/>
        <w:rPr>
          <w:rFonts w:ascii="仿宋" w:hAnsi="仿宋" w:eastAsia="仿宋" w:cs="仿宋"/>
          <w:sz w:val="24"/>
          <w:szCs w:val="24"/>
          <w:highlight w:val="none"/>
        </w:rPr>
      </w:pPr>
      <w:bookmarkStart w:id="17" w:name="_Toc10463"/>
      <w:r>
        <w:rPr>
          <w:rFonts w:hint="eastAsia" w:ascii="仿宋" w:hAnsi="仿宋" w:eastAsia="仿宋" w:cs="仿宋"/>
          <w:b/>
          <w:bCs/>
          <w:sz w:val="24"/>
          <w:szCs w:val="24"/>
          <w:highlight w:val="none"/>
        </w:rPr>
        <w:t>3.有下列情形之一的响应文件将拒收：</w:t>
      </w:r>
      <w:r>
        <w:rPr>
          <w:rFonts w:hint="eastAsia" w:ascii="仿宋" w:hAnsi="仿宋" w:eastAsia="仿宋" w:cs="仿宋"/>
          <w:sz w:val="24"/>
          <w:szCs w:val="24"/>
          <w:highlight w:val="none"/>
        </w:rPr>
        <w:t>逾期送达或者未按照竞争性磋商文件编制要求提交的响应文件。</w:t>
      </w:r>
      <w:bookmarkEnd w:id="17"/>
    </w:p>
    <w:p>
      <w:pPr>
        <w:spacing w:line="360" w:lineRule="auto"/>
        <w:ind w:firstLine="482" w:firstLineChars="200"/>
        <w:outlineLvl w:val="1"/>
        <w:rPr>
          <w:rFonts w:ascii="仿宋" w:hAnsi="仿宋" w:eastAsia="仿宋" w:cs="仿宋"/>
          <w:b/>
          <w:bCs/>
          <w:sz w:val="24"/>
          <w:szCs w:val="24"/>
          <w:highlight w:val="none"/>
        </w:rPr>
      </w:pPr>
      <w:bookmarkStart w:id="18" w:name="_Toc2484"/>
      <w:r>
        <w:rPr>
          <w:rFonts w:hint="eastAsia" w:ascii="仿宋" w:hAnsi="仿宋" w:eastAsia="仿宋" w:cs="仿宋"/>
          <w:b/>
          <w:bCs/>
          <w:sz w:val="24"/>
          <w:szCs w:val="24"/>
          <w:highlight w:val="none"/>
        </w:rPr>
        <w:t>四、磋商</w:t>
      </w:r>
      <w:bookmarkEnd w:id="18"/>
    </w:p>
    <w:p>
      <w:pPr>
        <w:spacing w:line="360" w:lineRule="auto"/>
        <w:ind w:firstLine="482" w:firstLineChars="200"/>
        <w:outlineLvl w:val="2"/>
        <w:rPr>
          <w:rFonts w:ascii="仿宋" w:hAnsi="仿宋" w:eastAsia="仿宋" w:cs="仿宋"/>
          <w:b/>
          <w:bCs/>
          <w:sz w:val="24"/>
          <w:szCs w:val="24"/>
          <w:highlight w:val="none"/>
        </w:rPr>
      </w:pPr>
      <w:bookmarkStart w:id="19" w:name="_Toc24869"/>
      <w:r>
        <w:rPr>
          <w:rFonts w:hint="eastAsia" w:ascii="仿宋" w:hAnsi="仿宋" w:eastAsia="仿宋" w:cs="仿宋"/>
          <w:b/>
          <w:bCs/>
          <w:sz w:val="24"/>
          <w:szCs w:val="24"/>
          <w:highlight w:val="none"/>
        </w:rPr>
        <w:t>1.联合体（如本项目接受）</w:t>
      </w:r>
      <w:bookmarkEnd w:id="19"/>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（1）两个以上的自然人、法人或者其他组织可以组成一个联合体，以一个供应商的身份共同参加政府采购。</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（2）鼓励大中型企业和其他自然人、法人或者其他组织与小型、微型企业组成联合体共同参加非专门面向中小企业的政府采购活动。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以联合体形式参加采购的，联合体各方均应当符合政府采购法第二十二条第一款规定的条件要求；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（4）联合体各方之间应当签订联合体协议，明确约定联合体各方承担的工作和相应的责任，并将联合体协议连同响应文件一并提交。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（5）以联合体形式参加政府采购活动的，联合体各方不得再单独参加或者与其他供应商另外组成联合体参加同一合同项下的政府采购活动。</w:t>
      </w:r>
    </w:p>
    <w:p>
      <w:pPr>
        <w:spacing w:line="360" w:lineRule="auto"/>
        <w:ind w:firstLine="482" w:firstLineChars="200"/>
        <w:outlineLvl w:val="2"/>
        <w:rPr>
          <w:rFonts w:ascii="仿宋" w:hAnsi="仿宋" w:eastAsia="仿宋" w:cs="仿宋"/>
          <w:b/>
          <w:bCs/>
          <w:sz w:val="24"/>
          <w:szCs w:val="24"/>
          <w:highlight w:val="none"/>
        </w:rPr>
      </w:pPr>
      <w:bookmarkStart w:id="20" w:name="_Toc26229"/>
      <w:r>
        <w:rPr>
          <w:rFonts w:hint="eastAsia" w:ascii="仿宋" w:hAnsi="仿宋" w:eastAsia="仿宋" w:cs="仿宋"/>
          <w:b/>
          <w:bCs/>
          <w:sz w:val="24"/>
          <w:szCs w:val="24"/>
          <w:highlight w:val="none"/>
        </w:rPr>
        <w:t>2.磋商组织</w:t>
      </w:r>
      <w:bookmarkEnd w:id="2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 在提交响应文件时间截止后，采购代理机构在规定的时间和地点组织磋商小组分别与供应商进行磋商。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 磋商工作由采购代理机构负责组织，具体磋商事务由依法组建的磋商小组负责。</w:t>
      </w:r>
    </w:p>
    <w:p>
      <w:pPr>
        <w:spacing w:line="360" w:lineRule="auto"/>
        <w:ind w:firstLine="482" w:firstLineChars="200"/>
        <w:outlineLvl w:val="2"/>
        <w:rPr>
          <w:rFonts w:ascii="仿宋" w:hAnsi="仿宋" w:eastAsia="仿宋" w:cs="仿宋"/>
          <w:b/>
          <w:bCs/>
          <w:sz w:val="24"/>
          <w:szCs w:val="24"/>
          <w:highlight w:val="none"/>
        </w:rPr>
      </w:pPr>
      <w:bookmarkStart w:id="21" w:name="_Toc1872"/>
      <w:r>
        <w:rPr>
          <w:rFonts w:hint="eastAsia" w:ascii="仿宋" w:hAnsi="仿宋" w:eastAsia="仿宋" w:cs="仿宋"/>
          <w:b/>
          <w:bCs/>
          <w:sz w:val="24"/>
          <w:szCs w:val="24"/>
          <w:highlight w:val="none"/>
        </w:rPr>
        <w:t>3.磋商程序</w:t>
      </w:r>
      <w:bookmarkEnd w:id="21"/>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 磋商小组所有成员集中与单一供应商分别进行磋商，所有参加磋商的供应商均有同等的磋商机会。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 磋商过程中，磋商小组根据磋商文件和磋商情况可能实质性变动采购需求中的技术、服务要求以及合同草案条款。实质性变动是磋商文件的有效组成部分，磋商小组将以书面形式通知所有参加磋商的供应商。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3.4 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3.5 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3.6 已提交响应文件的供应商，在提交最后报价之前，可以根据磋商情况退出磋商。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3.7 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号）第三条第四款的规定，市场竞争不充分的科研项目，以及需要扶持的科技成果转化项目，提交最后报价的供应商可以为2家，磋商小组将根据供应商最后得分由高到低的顺序推荐2名及以上成交候选供应商。</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3.8 出现下列情形之一的响应文件按照无效处理：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（1）针对本章 “二、响应文件编制”中的“</w:t>
      </w:r>
      <w:r>
        <w:rPr>
          <w:rFonts w:hint="eastAsia" w:ascii="仿宋" w:hAnsi="仿宋" w:eastAsia="仿宋" w:cs="仿宋"/>
          <w:b/>
          <w:bCs/>
          <w:sz w:val="24"/>
          <w:szCs w:val="24"/>
          <w:highlight w:val="none"/>
        </w:rPr>
        <w:t>3.2响应文件的商务部分</w:t>
      </w:r>
      <w:r>
        <w:rPr>
          <w:rFonts w:hint="eastAsia" w:ascii="仿宋" w:hAnsi="仿宋" w:eastAsia="仿宋" w:cs="仿宋"/>
          <w:sz w:val="24"/>
          <w:szCs w:val="24"/>
          <w:highlight w:val="none"/>
        </w:rPr>
        <w:t>”和“</w:t>
      </w:r>
      <w:r>
        <w:rPr>
          <w:rFonts w:hint="eastAsia" w:ascii="仿宋" w:hAnsi="仿宋" w:eastAsia="仿宋" w:cs="仿宋"/>
          <w:b/>
          <w:bCs/>
          <w:sz w:val="24"/>
          <w:szCs w:val="24"/>
          <w:highlight w:val="none"/>
        </w:rPr>
        <w:t>3.3响应文件的技术部分</w:t>
      </w:r>
      <w:r>
        <w:rPr>
          <w:rFonts w:hint="eastAsia" w:ascii="仿宋" w:hAnsi="仿宋" w:eastAsia="仿宋" w:cs="仿宋"/>
          <w:sz w:val="24"/>
          <w:szCs w:val="24"/>
          <w:highlight w:val="none"/>
        </w:rPr>
        <w:t>”中加★项要求，响应文件提供的证明材料缺失或无效的；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（2）响应文件未按照磋商文件规定要求签署、盖章的；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（3）纸质响应文件未清楚标明“正本”或“副本”；</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（4）响应文件未响应采购项目需求中规定的实质性要求的；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（5）响应文件未详细阐述服务内容，而是直接拷贝采购文件技术要求的；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（6）投标总报价超过项目预算金额或最高限价；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（7）投标报价存在缺项、漏项；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（9）响应文件含有采购人不能接受的附加条件的；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（10）不同供应商的响应文件由同一单位或者个人编制；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（11）不同供应商委托同一单位或者个人办理投标事宜；</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（12）不同供应商的响应文件载明的项目管理成员或联系人员为同一人；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（13）不同供应商的响应文件异常一致或者投标报价呈规律性差异；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（14）不同供应商的响应文件相互混装；</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（15）为本采购项目提供整体设计、规范编制或者项目管理、监理、检测等服务的供应商参加该采购项目的其他采购活动；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（16）不同供应商的负责人为同一人或者存在控股、管理关系的；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（17）被信用中国网站、中国政府采购网站列入失信被执行人名单、重大税收违法案件当事人名单、政府采购严重违法失信行为记录名单及《南京市政府采购供应商信用管理工作暂行办法》宁财规〔2018〕10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pPr>
        <w:pStyle w:val="31"/>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（18）未提供《南京市政府采购供应商信用记录表暨信用承诺书》；</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（19）法律、法规和磋商文件规定的其他无效情形。</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3.9 出现下列情形之一的，磋商终止：</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（1）因情况变化，不再符合规定的竞争性磋商采购方式适用情形的；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（2）所有供应商的响应文件被磋商小组认定为无效的；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（3）出现影响采购公正的违法、违规行为的；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（4）所有供应商的最终报价均超过采购文件中规定的项目预算或者最高限价的；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（5）因重大变故，采购任务取消的。</w:t>
      </w:r>
    </w:p>
    <w:p>
      <w:pPr>
        <w:spacing w:line="360" w:lineRule="auto"/>
        <w:ind w:firstLine="482" w:firstLineChars="200"/>
        <w:outlineLvl w:val="2"/>
        <w:rPr>
          <w:rFonts w:ascii="仿宋" w:hAnsi="仿宋" w:eastAsia="仿宋" w:cs="仿宋"/>
          <w:b/>
          <w:bCs/>
          <w:sz w:val="24"/>
          <w:szCs w:val="24"/>
          <w:highlight w:val="none"/>
        </w:rPr>
      </w:pPr>
      <w:bookmarkStart w:id="22" w:name="_Toc22345"/>
      <w:r>
        <w:rPr>
          <w:rFonts w:hint="eastAsia" w:ascii="仿宋" w:hAnsi="仿宋" w:eastAsia="仿宋" w:cs="仿宋"/>
          <w:b/>
          <w:bCs/>
          <w:sz w:val="24"/>
          <w:szCs w:val="24"/>
          <w:highlight w:val="none"/>
        </w:rPr>
        <w:t>4.评审办法和标准</w:t>
      </w:r>
      <w:bookmarkEnd w:id="22"/>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4.1 采用综合评分法。即在最大限度地满足竞争性磋商文件实质性要求前提下，按照磋商文件中规定的各项因素进行综合评审后，以评审总得分最高的供应商作为成交候选供应商或者成交供应商的评审方法。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 评审办法和标准详见第三章。</w:t>
      </w:r>
    </w:p>
    <w:p>
      <w:pPr>
        <w:spacing w:line="360" w:lineRule="auto"/>
        <w:ind w:firstLine="482" w:firstLineChars="200"/>
        <w:outlineLvl w:val="2"/>
        <w:rPr>
          <w:rFonts w:ascii="仿宋" w:hAnsi="仿宋" w:eastAsia="仿宋" w:cs="仿宋"/>
          <w:b/>
          <w:bCs/>
          <w:sz w:val="24"/>
          <w:szCs w:val="24"/>
          <w:highlight w:val="none"/>
        </w:rPr>
      </w:pPr>
      <w:bookmarkStart w:id="23" w:name="_Toc16622"/>
      <w:r>
        <w:rPr>
          <w:rFonts w:hint="eastAsia" w:ascii="仿宋" w:hAnsi="仿宋" w:eastAsia="仿宋" w:cs="仿宋"/>
          <w:b/>
          <w:bCs/>
          <w:sz w:val="24"/>
          <w:szCs w:val="24"/>
          <w:highlight w:val="none"/>
        </w:rPr>
        <w:t>5.确定成交候选供应商</w:t>
      </w:r>
      <w:bookmarkEnd w:id="23"/>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5.1 在综合比较与评价后按照得分高低顺序对供应商进行排列。得分相同的，按报价由低到高顺序排列。得分且报价相同的，按技术指标优劣顺序排列。磋商小组将综合排名第一的供应商确定为成交候选供应商。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5.2 磋商小组根据磋商过程和结果编写评审报告。</w:t>
      </w:r>
    </w:p>
    <w:p>
      <w:pPr>
        <w:spacing w:line="360" w:lineRule="auto"/>
        <w:ind w:firstLine="482" w:firstLineChars="200"/>
        <w:outlineLvl w:val="2"/>
        <w:rPr>
          <w:rFonts w:ascii="仿宋" w:hAnsi="仿宋" w:eastAsia="仿宋" w:cs="仿宋"/>
          <w:b/>
          <w:bCs/>
          <w:sz w:val="24"/>
          <w:szCs w:val="24"/>
          <w:highlight w:val="none"/>
        </w:rPr>
      </w:pPr>
      <w:bookmarkStart w:id="24" w:name="_Toc25534"/>
      <w:r>
        <w:rPr>
          <w:rFonts w:hint="eastAsia" w:ascii="仿宋" w:hAnsi="仿宋" w:eastAsia="仿宋" w:cs="仿宋"/>
          <w:b/>
          <w:bCs/>
          <w:sz w:val="24"/>
          <w:szCs w:val="24"/>
          <w:highlight w:val="none"/>
        </w:rPr>
        <w:t>6.确定成交供应商</w:t>
      </w:r>
      <w:bookmarkEnd w:id="24"/>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6.1 评审结果确定后，采购人在评审现场可根据成交候选人名单委托授权磋商小组直接确定成交供应商。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6.2 采购人如未授权委托直接确定成交供应商的，采购代理机构将在评审结束后 2 个工作日内将评审报告送采购人确认。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6.3 采购人在收到评审报告后 5 个工作日内，从评审报告提出的成交候选供应商中， 按照排序由高到低的原则确定成交供应商。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6.4 成交供应商确定后，将在原政府采购信息发布媒体上公告，成交供应商应及时到采购代理机构领取成交通知书。</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6.5 成交通知书对采购人和成交供应商具有同等法律效力。</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6.6 采购代理机构对未成交的供应商不作未成交原因的解释。</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6.7 所有响应文件都将作为档案保存，不论成交与否，采购代理机构均不退回。</w:t>
      </w:r>
    </w:p>
    <w:p>
      <w:pPr>
        <w:spacing w:line="360" w:lineRule="auto"/>
        <w:ind w:firstLine="482" w:firstLineChars="200"/>
        <w:outlineLvl w:val="2"/>
        <w:rPr>
          <w:rFonts w:ascii="仿宋" w:hAnsi="仿宋" w:eastAsia="仿宋" w:cs="仿宋"/>
          <w:b/>
          <w:bCs/>
          <w:sz w:val="24"/>
          <w:szCs w:val="24"/>
          <w:highlight w:val="none"/>
        </w:rPr>
      </w:pPr>
      <w:bookmarkStart w:id="25" w:name="_Toc22211"/>
      <w:r>
        <w:rPr>
          <w:rFonts w:hint="eastAsia" w:ascii="仿宋" w:hAnsi="仿宋" w:eastAsia="仿宋" w:cs="仿宋"/>
          <w:b/>
          <w:bCs/>
          <w:sz w:val="24"/>
          <w:szCs w:val="24"/>
          <w:highlight w:val="none"/>
        </w:rPr>
        <w:t>7.签订合同</w:t>
      </w:r>
      <w:bookmarkEnd w:id="25"/>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 成交供应商应当自成交通知书发出之日起三十日内，与采购人签订政府采购合同，所签订的合同不得对磋商文件和响应文件作实质性修改。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7.2 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7.3 除不可抗力等因素外，成交通知书发出后，采购人改变成交结果，或者成交供应商拒绝签订政府采购合同的，应当承担相应的法律责任。</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7.4 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7.5 成交供应商拒绝签订政府采购合同的，或因不可抗力或者自身原因不能履行政府采购合同的，采购人可以视情与排位在成交供应商之后第一位的成交候选供应商签订政府采购合同，也可以重新开展采购活动。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7.6 政府采购合同履行中，采购人需追加与合同标的相同的服务的，在不改变合同其他条款的前提下，可以与供应商协商签订补充合同，但所有补充合同的采购金额不得超过原合同采购金额的百分之十。</w:t>
      </w:r>
    </w:p>
    <w:p>
      <w:pPr>
        <w:spacing w:line="360" w:lineRule="auto"/>
        <w:ind w:firstLine="482" w:firstLineChars="200"/>
        <w:outlineLvl w:val="1"/>
        <w:rPr>
          <w:rFonts w:ascii="仿宋" w:hAnsi="仿宋" w:eastAsia="仿宋" w:cs="仿宋"/>
          <w:b/>
          <w:bCs/>
          <w:sz w:val="24"/>
          <w:szCs w:val="24"/>
          <w:highlight w:val="none"/>
        </w:rPr>
      </w:pPr>
      <w:bookmarkStart w:id="26" w:name="_Toc15178"/>
      <w:r>
        <w:rPr>
          <w:rFonts w:hint="eastAsia" w:ascii="仿宋" w:hAnsi="仿宋" w:eastAsia="仿宋" w:cs="仿宋"/>
          <w:b/>
          <w:bCs/>
          <w:sz w:val="24"/>
          <w:szCs w:val="24"/>
          <w:highlight w:val="none"/>
        </w:rPr>
        <w:t>五、询问、质疑、投诉和诚实信用</w:t>
      </w:r>
      <w:bookmarkEnd w:id="26"/>
    </w:p>
    <w:p>
      <w:pPr>
        <w:spacing w:line="360" w:lineRule="auto"/>
        <w:ind w:firstLine="482" w:firstLineChars="200"/>
        <w:outlineLvl w:val="2"/>
        <w:rPr>
          <w:rFonts w:ascii="仿宋" w:hAnsi="仿宋" w:eastAsia="仿宋" w:cs="仿宋"/>
          <w:b/>
          <w:bCs/>
          <w:sz w:val="24"/>
          <w:szCs w:val="24"/>
          <w:highlight w:val="none"/>
        </w:rPr>
      </w:pPr>
      <w:bookmarkStart w:id="27" w:name="_Toc9505"/>
      <w:r>
        <w:rPr>
          <w:rFonts w:hint="eastAsia" w:ascii="仿宋" w:hAnsi="仿宋" w:eastAsia="仿宋" w:cs="仿宋"/>
          <w:b/>
          <w:bCs/>
          <w:sz w:val="24"/>
          <w:szCs w:val="24"/>
          <w:highlight w:val="none"/>
        </w:rPr>
        <w:t>1.询问</w:t>
      </w:r>
      <w:bookmarkEnd w:id="27"/>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 供应商对采购活动事项有疑问的，可以依法向采购代理机构或采购人提出询问，采购人或者采购代理机构在三个工作日内对供应商依法提出的询问作出答复，但答复的内容不涉及商业秘密。</w:t>
      </w:r>
    </w:p>
    <w:p>
      <w:pPr>
        <w:spacing w:line="360" w:lineRule="auto"/>
        <w:ind w:firstLine="482" w:firstLineChars="200"/>
        <w:outlineLvl w:val="2"/>
        <w:rPr>
          <w:rFonts w:ascii="仿宋" w:hAnsi="仿宋" w:eastAsia="仿宋" w:cs="仿宋"/>
          <w:b/>
          <w:bCs/>
          <w:sz w:val="24"/>
          <w:szCs w:val="24"/>
          <w:highlight w:val="none"/>
        </w:rPr>
      </w:pPr>
      <w:bookmarkStart w:id="28" w:name="_Toc28869"/>
      <w:r>
        <w:rPr>
          <w:rFonts w:hint="eastAsia" w:ascii="仿宋" w:hAnsi="仿宋" w:eastAsia="仿宋" w:cs="仿宋"/>
          <w:b/>
          <w:bCs/>
          <w:sz w:val="24"/>
          <w:szCs w:val="24"/>
          <w:highlight w:val="none"/>
        </w:rPr>
        <w:t>2.质疑</w:t>
      </w:r>
      <w:bookmarkEnd w:id="28"/>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 供应商认为磋商文件、采购过程、成交结果使自己的权益受到损害的，可以在知道或者应知其权益受到损害之日起七个工作日内，以书面形式向采购人、采购代理机构提出质疑。质疑的供应商应是参与所质疑项目采购活动的供应商，并应在法定质疑期内一次性提出针对同一采购程序环节的质疑。</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2.2 上述“知道或者应知其权益受到损害之日起七个工作日内”是指：</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（1）对磋商文件提出质疑的，应当在采购文件公告期限届满之日起7个工作日内提出；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（2）对采购过程提出质疑的，应当在采购程序环节结束之日起7个工作日内提出；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（3）对成交结果提出质疑的，应当在成交结果公告期限届满之日起7个工作日内提出。</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2.3 质疑文件接收信息：</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（1）接收单位：源成工程咨询（江苏南京）有限责任公司</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（2）联系人：张</w:t>
      </w:r>
      <w:r>
        <w:rPr>
          <w:rFonts w:hint="eastAsia" w:ascii="仿宋" w:hAnsi="仿宋" w:eastAsia="仿宋" w:cs="仿宋"/>
          <w:sz w:val="24"/>
          <w:szCs w:val="24"/>
          <w:highlight w:val="none"/>
          <w:lang w:val="en-US" w:eastAsia="zh-CN"/>
        </w:rPr>
        <w:t>林</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（3）联系电话：</w:t>
      </w:r>
      <w:r>
        <w:rPr>
          <w:rFonts w:hint="eastAsia" w:ascii="仿宋" w:hAnsi="仿宋" w:eastAsia="仿宋" w:cs="仿宋"/>
          <w:sz w:val="24"/>
          <w:szCs w:val="24"/>
          <w:highlight w:val="none"/>
          <w:lang w:eastAsia="zh-CN"/>
        </w:rPr>
        <w:t>15205163861</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（4）联系邮箱：263950942@qq.com</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（5）地址：南京市雨花台区花神大道23号1号楼西4F408室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（6）邮编：210000</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2.4 质疑文件应包括以下主要内容：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（1）质疑供应商的姓名或者名称、地址、邮编、联系人及联系电话；</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（2）质疑项目的名称、编号；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（3）具体、明确的质疑事项和与质疑事项相关的请求；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（4）事实依据；</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（5）必要的法律依据；</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（6）提出质疑的日期；</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（7）质疑供应商可以委托代理人进行质疑和投诉。其授权委托书应当载明代理人的姓名或者名称、代理事项、具体权限、期限和相关事项，代理人提出质疑和投诉，应当提交质疑供应商签署的授权委托书；</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（8）质疑供应商为自然人的，应当由本人签字；供应商为法人或者其他组织的，应当由法定代表人、主要负责人，或者其授权代表签字或者盖章，并加盖公章。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2.5 供应商提出的询问或者质疑超出采购人对采购代理机构委托授权范围的，供应商应向采购人提出。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2.6 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2.7 采购代理机构在收到供应商的书面质疑后将及时组织调查核实，在七个工作日内作出答复，并以书面或电子邮件形式通知质疑供应商和其他有关供应商，答复的内容不涉及商业秘密。采购代理机构遵循“谁过错谁负担”的原则，有过错的一方承担调查论证费用。</w:t>
      </w:r>
    </w:p>
    <w:p>
      <w:pPr>
        <w:spacing w:line="360" w:lineRule="auto"/>
        <w:ind w:firstLine="482" w:firstLineChars="200"/>
        <w:outlineLvl w:val="2"/>
        <w:rPr>
          <w:rFonts w:ascii="仿宋" w:hAnsi="仿宋" w:eastAsia="仿宋" w:cs="仿宋"/>
          <w:b/>
          <w:bCs/>
          <w:sz w:val="24"/>
          <w:szCs w:val="24"/>
          <w:highlight w:val="none"/>
        </w:rPr>
      </w:pPr>
      <w:bookmarkStart w:id="29" w:name="_Toc17424"/>
      <w:r>
        <w:rPr>
          <w:rFonts w:hint="eastAsia" w:ascii="仿宋" w:hAnsi="仿宋" w:eastAsia="仿宋" w:cs="仿宋"/>
          <w:b/>
          <w:bCs/>
          <w:sz w:val="24"/>
          <w:szCs w:val="24"/>
          <w:highlight w:val="none"/>
        </w:rPr>
        <w:t>3.投诉</w:t>
      </w:r>
      <w:bookmarkEnd w:id="29"/>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 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2" w:firstLineChars="200"/>
        <w:outlineLvl w:val="2"/>
        <w:rPr>
          <w:rFonts w:ascii="仿宋" w:hAnsi="仿宋" w:eastAsia="仿宋" w:cs="仿宋"/>
          <w:b/>
          <w:bCs/>
          <w:sz w:val="24"/>
          <w:szCs w:val="24"/>
          <w:highlight w:val="none"/>
        </w:rPr>
      </w:pPr>
      <w:bookmarkStart w:id="30" w:name="_Toc29309"/>
      <w:r>
        <w:rPr>
          <w:rFonts w:hint="eastAsia" w:ascii="仿宋" w:hAnsi="仿宋" w:eastAsia="仿宋" w:cs="仿宋"/>
          <w:b/>
          <w:bCs/>
          <w:sz w:val="24"/>
          <w:szCs w:val="24"/>
          <w:highlight w:val="none"/>
        </w:rPr>
        <w:t>4.诚实信用</w:t>
      </w:r>
      <w:bookmarkEnd w:id="3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4.1 供应商之间不得相互串通报价，不得妨碍其他供应商的公平竞争，不得损害采购人和其他供应商的合法权益。</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 供应商不得以向采购代理机构工作人员、磋商小组行贿或者采取其他不正当手段谋取中标。经查实供应商有此行为的，政府采购监督管理部门将供应商列入不良行为记录名单，按照政府采购法有关规定处理。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4.3 供应商不得虚假承诺，否则，按照提供虚假材料谋取中标成交处理。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4.4 供应商应自觉遵守磋商、评审纪律，扰乱磋商、评审现场秩序的，属于失信行为，根据《南京市政府采购供应商信用管理工作暂行办法》，失信行为将被记入供应商诚信档案。</w:t>
      </w:r>
    </w:p>
    <w:p>
      <w:pPr>
        <w:widowControl/>
        <w:jc w:val="left"/>
        <w:rPr>
          <w:rFonts w:ascii="仿宋" w:hAnsi="仿宋" w:eastAsia="仿宋" w:cs="仿宋"/>
          <w:sz w:val="22"/>
          <w:highlight w:val="none"/>
        </w:rPr>
      </w:pPr>
      <w:r>
        <w:rPr>
          <w:rFonts w:hint="eastAsia" w:ascii="仿宋" w:hAnsi="仿宋" w:eastAsia="仿宋" w:cs="仿宋"/>
          <w:sz w:val="22"/>
          <w:highlight w:val="none"/>
        </w:rPr>
        <w:br w:type="page"/>
      </w:r>
    </w:p>
    <w:p>
      <w:pPr>
        <w:jc w:val="center"/>
        <w:outlineLvl w:val="0"/>
        <w:rPr>
          <w:rFonts w:ascii="仿宋" w:hAnsi="仿宋" w:eastAsia="仿宋" w:cs="仿宋"/>
          <w:b/>
          <w:bCs/>
          <w:sz w:val="28"/>
          <w:szCs w:val="32"/>
          <w:highlight w:val="none"/>
        </w:rPr>
      </w:pPr>
      <w:bookmarkStart w:id="31" w:name="_Toc19834"/>
      <w:bookmarkStart w:id="32" w:name="_Toc15704"/>
      <w:r>
        <w:rPr>
          <w:rFonts w:hint="eastAsia" w:ascii="仿宋" w:hAnsi="仿宋" w:eastAsia="仿宋" w:cs="仿宋"/>
          <w:b/>
          <w:bCs/>
          <w:sz w:val="28"/>
          <w:szCs w:val="32"/>
          <w:highlight w:val="none"/>
        </w:rPr>
        <w:t>第三章  评审办法及标准</w:t>
      </w:r>
      <w:bookmarkEnd w:id="31"/>
      <w:bookmarkEnd w:id="32"/>
    </w:p>
    <w:p>
      <w:pPr>
        <w:spacing w:line="360" w:lineRule="auto"/>
        <w:outlineLvl w:val="1"/>
        <w:rPr>
          <w:rFonts w:ascii="仿宋" w:hAnsi="仿宋" w:eastAsia="仿宋" w:cs="仿宋"/>
          <w:b/>
          <w:bCs/>
          <w:sz w:val="24"/>
          <w:szCs w:val="24"/>
          <w:highlight w:val="none"/>
        </w:rPr>
      </w:pPr>
      <w:bookmarkStart w:id="33" w:name="_Toc28919"/>
      <w:bookmarkStart w:id="34" w:name="_Toc25000"/>
      <w:bookmarkStart w:id="35" w:name="_Toc11299"/>
      <w:bookmarkStart w:id="36" w:name="_Toc49171542"/>
      <w:r>
        <w:rPr>
          <w:rFonts w:hint="eastAsia" w:ascii="仿宋" w:hAnsi="仿宋" w:eastAsia="仿宋" w:cs="仿宋"/>
          <w:b/>
          <w:bCs/>
          <w:sz w:val="24"/>
          <w:szCs w:val="24"/>
          <w:highlight w:val="none"/>
        </w:rPr>
        <w:t>一、评审办法</w:t>
      </w:r>
      <w:bookmarkEnd w:id="33"/>
      <w:bookmarkEnd w:id="34"/>
      <w:bookmarkEnd w:id="35"/>
      <w:bookmarkEnd w:id="36"/>
    </w:p>
    <w:p>
      <w:pPr>
        <w:autoSpaceDE w:val="0"/>
        <w:autoSpaceDN w:val="0"/>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次评审采用综合评分法，评分统计方法采用百分制（满分100分），主观分的评委评分进行算术平均，小数点后保留2位。按评审后得分由高到低顺序排列，评审得分相同的，按最后磋商报价由低到高顺序排列，评审得分且磋商报价相同的，按技术指标优劣顺序排列，由评标委员会推荐成交供应商排序。</w:t>
      </w:r>
    </w:p>
    <w:p>
      <w:pPr>
        <w:pStyle w:val="2"/>
        <w:ind w:left="0" w:leftChars="0" w:firstLine="480" w:firstLineChars="200"/>
        <w:rPr>
          <w:highlight w:val="none"/>
        </w:rPr>
      </w:pPr>
      <w:r>
        <w:rPr>
          <w:rFonts w:hint="eastAsia" w:ascii="仿宋" w:hAnsi="仿宋" w:eastAsia="仿宋" w:cs="仿宋"/>
          <w:kern w:val="2"/>
          <w:sz w:val="24"/>
          <w:szCs w:val="24"/>
          <w:highlight w:val="none"/>
          <w:lang w:val="en-US" w:eastAsia="zh-CN" w:bidi="ar-SA"/>
        </w:rPr>
        <w:t>评审时按照分包1、分包2、分包3、分包4的顺序依次评审，投标人投标多个分包的，一旦投标人确定为分包1、分包2综合得分排名第一的拟中标人，仍可参加后续所投分包的评审，但即使该投标人在分包3、分包4评审时总分排名第一，亦不作为拟中标候选人推荐，由排名第二的投标人递补，以此规则和顺序依次类推。</w:t>
      </w:r>
    </w:p>
    <w:p>
      <w:pPr>
        <w:spacing w:line="360" w:lineRule="auto"/>
        <w:outlineLvl w:val="1"/>
        <w:rPr>
          <w:rFonts w:ascii="仿宋" w:hAnsi="仿宋" w:eastAsia="仿宋" w:cs="仿宋"/>
          <w:b/>
          <w:bCs/>
          <w:sz w:val="24"/>
          <w:szCs w:val="24"/>
          <w:highlight w:val="none"/>
        </w:rPr>
      </w:pPr>
      <w:bookmarkStart w:id="37" w:name="_Toc28248"/>
      <w:bookmarkStart w:id="38" w:name="_Toc6654"/>
      <w:bookmarkStart w:id="39" w:name="_Toc49171543"/>
      <w:bookmarkStart w:id="40" w:name="_Toc29145"/>
      <w:r>
        <w:rPr>
          <w:rFonts w:hint="eastAsia" w:ascii="仿宋" w:hAnsi="仿宋" w:eastAsia="仿宋" w:cs="仿宋"/>
          <w:b/>
          <w:bCs/>
          <w:sz w:val="24"/>
          <w:szCs w:val="24"/>
          <w:highlight w:val="none"/>
        </w:rPr>
        <w:t>二、资格性审查方法</w:t>
      </w:r>
      <w:bookmarkEnd w:id="37"/>
      <w:bookmarkEnd w:id="38"/>
      <w:bookmarkEnd w:id="39"/>
      <w:bookmarkEnd w:id="4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竞争性磋商采购项目响应文件开启结束后，采购人或者代理机构依据法律、法规及采购文件的规定，对供应商的资格进行审查，以确定供应商资格是否合格。</w:t>
      </w:r>
    </w:p>
    <w:p>
      <w:pPr>
        <w:spacing w:line="360" w:lineRule="auto"/>
        <w:outlineLvl w:val="1"/>
        <w:rPr>
          <w:rFonts w:ascii="仿宋" w:hAnsi="仿宋" w:eastAsia="仿宋" w:cs="仿宋"/>
          <w:b/>
          <w:bCs/>
          <w:sz w:val="24"/>
          <w:szCs w:val="24"/>
          <w:highlight w:val="none"/>
        </w:rPr>
      </w:pPr>
      <w:bookmarkStart w:id="41" w:name="_Toc32591"/>
      <w:r>
        <w:rPr>
          <w:rFonts w:hint="eastAsia" w:ascii="仿宋" w:hAnsi="仿宋" w:eastAsia="仿宋" w:cs="仿宋"/>
          <w:b/>
          <w:bCs/>
          <w:sz w:val="24"/>
          <w:szCs w:val="24"/>
          <w:highlight w:val="none"/>
        </w:rPr>
        <w:t>三、评分标准</w:t>
      </w:r>
      <w:bookmarkEnd w:id="41"/>
    </w:p>
    <w:tbl>
      <w:tblPr>
        <w:tblStyle w:val="23"/>
        <w:tblW w:w="9557" w:type="dxa"/>
        <w:jc w:val="center"/>
        <w:tblLayout w:type="fixed"/>
        <w:tblCellMar>
          <w:top w:w="0" w:type="dxa"/>
          <w:left w:w="0" w:type="dxa"/>
          <w:bottom w:w="0" w:type="dxa"/>
          <w:right w:w="0" w:type="dxa"/>
        </w:tblCellMar>
      </w:tblPr>
      <w:tblGrid>
        <w:gridCol w:w="478"/>
        <w:gridCol w:w="1279"/>
        <w:gridCol w:w="6345"/>
        <w:gridCol w:w="540"/>
        <w:gridCol w:w="915"/>
      </w:tblGrid>
      <w:tr>
        <w:tblPrEx>
          <w:tblCellMar>
            <w:top w:w="0" w:type="dxa"/>
            <w:left w:w="0" w:type="dxa"/>
            <w:bottom w:w="0" w:type="dxa"/>
            <w:right w:w="0" w:type="dxa"/>
          </w:tblCellMar>
        </w:tblPrEx>
        <w:trPr>
          <w:trHeight w:val="480" w:hRule="atLeast"/>
          <w:jc w:val="center"/>
        </w:trPr>
        <w:tc>
          <w:tcPr>
            <w:tcW w:w="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279"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评审</w:t>
            </w:r>
            <w:r>
              <w:rPr>
                <w:rFonts w:hint="eastAsia" w:ascii="仿宋" w:hAnsi="仿宋" w:eastAsia="仿宋" w:cs="仿宋"/>
                <w:b/>
                <w:color w:val="auto"/>
                <w:highlight w:val="none"/>
              </w:rPr>
              <w:t>因素</w:t>
            </w:r>
          </w:p>
        </w:tc>
        <w:tc>
          <w:tcPr>
            <w:tcW w:w="6345" w:type="dxa"/>
            <w:tcBorders>
              <w:top w:val="single" w:color="auto" w:sz="4" w:space="0"/>
              <w:bottom w:val="single" w:color="auto" w:sz="4" w:space="0"/>
              <w:right w:val="single" w:color="auto" w:sz="8" w:space="0"/>
            </w:tcBorders>
            <w:noWrap w:val="0"/>
            <w:vAlign w:val="center"/>
          </w:tcPr>
          <w:p>
            <w:pPr>
              <w:jc w:val="center"/>
              <w:rPr>
                <w:rFonts w:hint="eastAsia" w:ascii="仿宋" w:hAnsi="仿宋" w:eastAsia="仿宋" w:cs="仿宋"/>
                <w:b/>
                <w:color w:val="auto"/>
                <w:highlight w:val="none"/>
                <w:lang w:eastAsia="zh-CN"/>
              </w:rPr>
            </w:pPr>
            <w:r>
              <w:rPr>
                <w:rFonts w:hint="eastAsia" w:ascii="仿宋" w:hAnsi="仿宋" w:eastAsia="仿宋" w:cs="仿宋"/>
                <w:b/>
                <w:color w:val="auto"/>
                <w:highlight w:val="none"/>
              </w:rPr>
              <w:t>评审</w:t>
            </w:r>
            <w:r>
              <w:rPr>
                <w:rFonts w:hint="eastAsia" w:ascii="仿宋" w:hAnsi="仿宋" w:eastAsia="仿宋" w:cs="仿宋"/>
                <w:b/>
                <w:color w:val="auto"/>
                <w:highlight w:val="none"/>
                <w:lang w:val="en-US" w:eastAsia="zh-CN"/>
              </w:rPr>
              <w:t>细则</w:t>
            </w:r>
          </w:p>
        </w:tc>
        <w:tc>
          <w:tcPr>
            <w:tcW w:w="540"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分值</w:t>
            </w:r>
          </w:p>
        </w:tc>
        <w:tc>
          <w:tcPr>
            <w:tcW w:w="915"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分值</w:t>
            </w:r>
          </w:p>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类型</w:t>
            </w:r>
          </w:p>
        </w:tc>
      </w:tr>
      <w:tr>
        <w:tblPrEx>
          <w:tblCellMar>
            <w:top w:w="0" w:type="dxa"/>
            <w:left w:w="0" w:type="dxa"/>
            <w:bottom w:w="0" w:type="dxa"/>
            <w:right w:w="0" w:type="dxa"/>
          </w:tblCellMar>
        </w:tblPrEx>
        <w:trPr>
          <w:trHeight w:val="394" w:hRule="atLeast"/>
          <w:jc w:val="center"/>
        </w:trPr>
        <w:tc>
          <w:tcPr>
            <w:tcW w:w="478" w:type="dxa"/>
            <w:tcBorders>
              <w:top w:val="single" w:color="auto" w:sz="4" w:space="0"/>
              <w:left w:val="single" w:color="auto" w:sz="4" w:space="0"/>
              <w:right w:val="single" w:color="auto" w:sz="4" w:space="0"/>
            </w:tcBorders>
            <w:noWrap w:val="0"/>
            <w:vAlign w:val="center"/>
          </w:tcPr>
          <w:p>
            <w:pPr>
              <w:jc w:val="center"/>
              <w:rPr>
                <w:rFonts w:hint="default" w:ascii="仿宋" w:hAnsi="仿宋" w:eastAsia="仿宋" w:cs="仿宋"/>
                <w:color w:val="auto"/>
                <w:kern w:val="2"/>
                <w:sz w:val="18"/>
                <w:highlight w:val="none"/>
                <w:lang w:val="en-US" w:eastAsia="zh-CN" w:bidi="ar-SA"/>
              </w:rPr>
            </w:pPr>
            <w:r>
              <w:rPr>
                <w:rFonts w:hint="eastAsia" w:ascii="仿宋" w:hAnsi="仿宋" w:eastAsia="仿宋" w:cs="仿宋"/>
                <w:color w:val="auto"/>
                <w:sz w:val="18"/>
                <w:highlight w:val="none"/>
              </w:rPr>
              <w:t>1</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报价得分</w:t>
            </w:r>
          </w:p>
          <w:p>
            <w:pPr>
              <w:spacing w:line="240" w:lineRule="exact"/>
              <w:jc w:val="center"/>
              <w:rPr>
                <w:rFonts w:hint="eastAsia" w:ascii="仿宋" w:hAnsi="仿宋" w:eastAsia="仿宋" w:cs="仿宋"/>
                <w:color w:val="auto"/>
                <w:kern w:val="2"/>
                <w:sz w:val="19"/>
                <w:highlight w:val="none"/>
                <w:lang w:val="en-US" w:eastAsia="zh-CN" w:bidi="ar-SA"/>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63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0。（小数点后保留两位，第三位四舍五入）</w:t>
            </w:r>
          </w:p>
        </w:tc>
        <w:tc>
          <w:tcPr>
            <w:tcW w:w="540"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仿宋" w:hAnsi="仿宋" w:eastAsia="仿宋" w:cs="仿宋"/>
                <w:color w:val="auto"/>
                <w:kern w:val="2"/>
                <w:sz w:val="21"/>
                <w:highlight w:val="none"/>
                <w:lang w:val="en-US" w:eastAsia="zh-CN" w:bidi="ar-SA"/>
              </w:rPr>
            </w:pPr>
            <w:r>
              <w:rPr>
                <w:rFonts w:hint="eastAsia" w:ascii="仿宋" w:hAnsi="仿宋" w:eastAsia="仿宋" w:cs="仿宋"/>
                <w:color w:val="auto"/>
                <w:highlight w:val="none"/>
                <w:lang w:val="en-US" w:eastAsia="zh-CN"/>
              </w:rPr>
              <w:t>10</w:t>
            </w:r>
          </w:p>
        </w:tc>
        <w:tc>
          <w:tcPr>
            <w:tcW w:w="915"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仿宋" w:hAnsi="仿宋" w:eastAsia="仿宋" w:cs="仿宋"/>
                <w:color w:val="auto"/>
                <w:kern w:val="2"/>
                <w:sz w:val="21"/>
                <w:highlight w:val="none"/>
                <w:lang w:val="en-US" w:eastAsia="zh-CN" w:bidi="ar-SA"/>
              </w:rPr>
            </w:pPr>
            <w:r>
              <w:rPr>
                <w:rFonts w:hint="eastAsia" w:ascii="仿宋" w:hAnsi="仿宋" w:eastAsia="仿宋" w:cs="宋体"/>
                <w:color w:val="auto"/>
                <w:szCs w:val="21"/>
                <w:highlight w:val="none"/>
                <w:lang w:val="en-US" w:eastAsia="zh-CN"/>
              </w:rPr>
              <w:t>计算</w:t>
            </w:r>
          </w:p>
        </w:tc>
      </w:tr>
      <w:tr>
        <w:tblPrEx>
          <w:tblCellMar>
            <w:top w:w="0" w:type="dxa"/>
            <w:left w:w="0" w:type="dxa"/>
            <w:bottom w:w="0" w:type="dxa"/>
            <w:right w:w="0" w:type="dxa"/>
          </w:tblCellMar>
        </w:tblPrEx>
        <w:trPr>
          <w:trHeight w:val="910" w:hRule="atLeast"/>
          <w:jc w:val="center"/>
        </w:trPr>
        <w:tc>
          <w:tcPr>
            <w:tcW w:w="478" w:type="dxa"/>
            <w:vMerge w:val="restart"/>
            <w:tcBorders>
              <w:top w:val="single" w:color="auto" w:sz="4" w:space="0"/>
              <w:left w:val="single" w:color="auto" w:sz="8" w:space="0"/>
              <w:right w:val="single" w:color="auto" w:sz="8" w:space="0"/>
            </w:tcBorders>
            <w:noWrap w:val="0"/>
            <w:vAlign w:val="center"/>
          </w:tcPr>
          <w:p>
            <w:pPr>
              <w:jc w:val="center"/>
              <w:rPr>
                <w:rFonts w:hint="default" w:ascii="仿宋" w:hAnsi="仿宋" w:eastAsia="仿宋" w:cs="仿宋"/>
                <w:color w:val="auto"/>
                <w:sz w:val="19"/>
                <w:highlight w:val="none"/>
                <w:lang w:val="en-US" w:eastAsia="zh-CN"/>
              </w:rPr>
            </w:pPr>
            <w:r>
              <w:rPr>
                <w:rFonts w:hint="eastAsia" w:ascii="仿宋" w:hAnsi="仿宋" w:eastAsia="仿宋" w:cs="仿宋"/>
                <w:color w:val="auto"/>
                <w:sz w:val="19"/>
                <w:highlight w:val="none"/>
              </w:rPr>
              <w:t>2</w:t>
            </w:r>
          </w:p>
        </w:tc>
        <w:tc>
          <w:tcPr>
            <w:tcW w:w="1279"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实施方案</w:t>
            </w:r>
          </w:p>
          <w:p>
            <w:pPr>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70分</w:t>
            </w:r>
            <w:r>
              <w:rPr>
                <w:rFonts w:hint="eastAsia" w:ascii="仿宋" w:hAnsi="仿宋" w:eastAsia="仿宋" w:cs="仿宋"/>
                <w:color w:val="auto"/>
                <w:szCs w:val="21"/>
                <w:highlight w:val="none"/>
              </w:rPr>
              <w:t>）</w:t>
            </w:r>
          </w:p>
        </w:tc>
        <w:tc>
          <w:tcPr>
            <w:tcW w:w="6345" w:type="dxa"/>
            <w:tcBorders>
              <w:top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
                <w:bCs/>
                <w:color w:val="auto"/>
                <w:szCs w:val="21"/>
                <w:highlight w:val="none"/>
                <w:lang w:val="en-US" w:eastAsia="zh-CN"/>
              </w:rPr>
              <w:t>预算编制</w:t>
            </w:r>
            <w:r>
              <w:rPr>
                <w:rFonts w:hint="eastAsia" w:ascii="仿宋" w:hAnsi="仿宋" w:eastAsia="仿宋" w:cs="仿宋"/>
                <w:b/>
                <w:bCs/>
                <w:color w:val="auto"/>
                <w:szCs w:val="21"/>
                <w:highlight w:val="none"/>
              </w:rPr>
              <w:t>：</w:t>
            </w:r>
            <w:r>
              <w:rPr>
                <w:rFonts w:hint="eastAsia" w:ascii="仿宋" w:hAnsi="仿宋" w:eastAsia="仿宋" w:cs="宋体"/>
                <w:color w:val="auto"/>
                <w:highlight w:val="none"/>
              </w:rPr>
              <w:t>根据</w:t>
            </w:r>
            <w:r>
              <w:rPr>
                <w:rFonts w:hint="eastAsia" w:ascii="仿宋" w:hAnsi="仿宋" w:eastAsia="仿宋" w:cs="宋体"/>
                <w:color w:val="auto"/>
                <w:highlight w:val="none"/>
                <w:lang w:val="en-US" w:eastAsia="zh-CN"/>
              </w:rPr>
              <w:t>供应商提供的预算编制方</w:t>
            </w:r>
            <w:r>
              <w:rPr>
                <w:rFonts w:hint="eastAsia" w:ascii="仿宋" w:hAnsi="仿宋" w:eastAsia="仿宋"/>
                <w:color w:val="auto"/>
                <w:highlight w:val="none"/>
                <w:lang w:val="en-US" w:eastAsia="zh-CN"/>
              </w:rPr>
              <w:t>案</w:t>
            </w:r>
            <w:r>
              <w:rPr>
                <w:rFonts w:hint="eastAsia" w:ascii="仿宋" w:hAnsi="仿宋" w:eastAsia="仿宋" w:cs="宋体"/>
                <w:color w:val="auto"/>
                <w:highlight w:val="none"/>
                <w:lang w:val="en-US" w:eastAsia="zh-CN"/>
              </w:rPr>
              <w:t>进行综合评分：</w:t>
            </w:r>
            <w:r>
              <w:rPr>
                <w:rFonts w:hint="eastAsia" w:ascii="仿宋" w:hAnsi="仿宋" w:eastAsia="仿宋" w:cs="仿宋"/>
                <w:color w:val="auto"/>
                <w:szCs w:val="21"/>
                <w:highlight w:val="none"/>
                <w:lang w:val="en-US" w:eastAsia="zh-CN"/>
              </w:rPr>
              <w:t>方案优秀合理可行且具有针对性，</w:t>
            </w:r>
            <w:r>
              <w:rPr>
                <w:rFonts w:hint="eastAsia" w:ascii="仿宋" w:hAnsi="仿宋" w:eastAsia="仿宋" w:cs="宋体"/>
                <w:color w:val="auto"/>
                <w:highlight w:val="none"/>
                <w:lang w:val="en-US" w:eastAsia="zh-CN"/>
              </w:rPr>
              <w:t>无明显瑕疵的得10分；</w:t>
            </w:r>
            <w:r>
              <w:rPr>
                <w:rFonts w:hint="eastAsia" w:ascii="仿宋" w:hAnsi="仿宋" w:eastAsia="仿宋" w:cs="仿宋"/>
                <w:color w:val="auto"/>
                <w:szCs w:val="21"/>
                <w:highlight w:val="none"/>
                <w:lang w:val="en-US" w:eastAsia="zh-CN"/>
              </w:rPr>
              <w:t>有明显瑕疵的（如</w:t>
            </w:r>
            <w:r>
              <w:rPr>
                <w:rFonts w:hint="eastAsia" w:ascii="仿宋" w:hAnsi="仿宋" w:eastAsia="仿宋" w:cs="仿宋"/>
                <w:color w:val="auto"/>
                <w:szCs w:val="21"/>
                <w:highlight w:val="none"/>
              </w:rPr>
              <w:t>预算编制</w:t>
            </w:r>
            <w:r>
              <w:rPr>
                <w:rFonts w:hint="eastAsia" w:ascii="仿宋" w:hAnsi="仿宋" w:eastAsia="仿宋" w:cs="仿宋"/>
                <w:color w:val="auto"/>
                <w:szCs w:val="21"/>
                <w:highlight w:val="none"/>
                <w:lang w:val="en-US" w:eastAsia="zh-CN"/>
              </w:rPr>
              <w:t>不</w:t>
            </w:r>
            <w:r>
              <w:rPr>
                <w:rFonts w:hint="eastAsia" w:ascii="仿宋" w:hAnsi="仿宋" w:eastAsia="仿宋" w:cs="仿宋"/>
                <w:color w:val="auto"/>
                <w:szCs w:val="21"/>
                <w:highlight w:val="none"/>
              </w:rPr>
              <w:t>符合项目经费使用要求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支出</w:t>
            </w:r>
            <w:r>
              <w:rPr>
                <w:rFonts w:hint="eastAsia" w:ascii="仿宋" w:hAnsi="仿宋" w:eastAsia="仿宋" w:cs="仿宋"/>
                <w:color w:val="auto"/>
                <w:szCs w:val="21"/>
                <w:highlight w:val="none"/>
                <w:lang w:val="en-US" w:eastAsia="zh-CN"/>
              </w:rPr>
              <w:t>不</w:t>
            </w:r>
            <w:r>
              <w:rPr>
                <w:rFonts w:hint="eastAsia" w:ascii="仿宋" w:hAnsi="仿宋" w:eastAsia="仿宋" w:cs="仿宋"/>
                <w:color w:val="auto"/>
                <w:szCs w:val="21"/>
                <w:highlight w:val="none"/>
              </w:rPr>
              <w:t>合理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考虑</w:t>
            </w:r>
            <w:r>
              <w:rPr>
                <w:rFonts w:hint="eastAsia" w:ascii="仿宋" w:hAnsi="仿宋" w:eastAsia="仿宋" w:cs="仿宋"/>
                <w:color w:val="auto"/>
                <w:szCs w:val="21"/>
                <w:highlight w:val="none"/>
                <w:lang w:val="en-US" w:eastAsia="zh-CN"/>
              </w:rPr>
              <w:t>不</w:t>
            </w:r>
            <w:r>
              <w:rPr>
                <w:rFonts w:hint="eastAsia" w:ascii="仿宋" w:hAnsi="仿宋" w:eastAsia="仿宋" w:cs="仿宋"/>
                <w:color w:val="auto"/>
                <w:szCs w:val="21"/>
                <w:highlight w:val="none"/>
              </w:rPr>
              <w:t>全面</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明细</w:t>
            </w:r>
            <w:r>
              <w:rPr>
                <w:rFonts w:hint="eastAsia" w:ascii="仿宋" w:hAnsi="仿宋" w:eastAsia="仿宋" w:cs="仿宋"/>
                <w:color w:val="auto"/>
                <w:szCs w:val="21"/>
                <w:highlight w:val="none"/>
                <w:lang w:val="en-US" w:eastAsia="zh-CN"/>
              </w:rPr>
              <w:t>不</w:t>
            </w:r>
            <w:r>
              <w:rPr>
                <w:rFonts w:hint="eastAsia" w:ascii="仿宋" w:hAnsi="仿宋" w:eastAsia="仿宋" w:cs="仿宋"/>
                <w:color w:val="auto"/>
                <w:szCs w:val="21"/>
                <w:highlight w:val="none"/>
              </w:rPr>
              <w:t>清晰</w:t>
            </w:r>
            <w:r>
              <w:rPr>
                <w:rFonts w:hint="eastAsia" w:ascii="仿宋" w:hAnsi="仿宋" w:eastAsia="仿宋" w:cs="仿宋"/>
                <w:color w:val="auto"/>
                <w:szCs w:val="21"/>
                <w:highlight w:val="none"/>
                <w:lang w:val="en-US" w:eastAsia="zh-CN"/>
              </w:rPr>
              <w:t>等），</w:t>
            </w:r>
            <w:r>
              <w:rPr>
                <w:rFonts w:hint="eastAsia" w:ascii="仿宋" w:hAnsi="仿宋" w:eastAsia="仿宋"/>
                <w:color w:val="auto"/>
                <w:szCs w:val="21"/>
                <w:highlight w:val="none"/>
                <w:lang w:val="en-US" w:eastAsia="zh-CN"/>
              </w:rPr>
              <w:t>每处扣2分；</w:t>
            </w:r>
            <w:r>
              <w:rPr>
                <w:rFonts w:hint="eastAsia" w:ascii="仿宋" w:hAnsi="仿宋" w:eastAsia="仿宋" w:cs="宋体"/>
                <w:color w:val="auto"/>
                <w:szCs w:val="21"/>
                <w:highlight w:val="none"/>
              </w:rPr>
              <w:t>有一般瑕疵的，每处扣1分；不提供不得分</w:t>
            </w:r>
            <w:r>
              <w:rPr>
                <w:rFonts w:hint="eastAsia" w:ascii="仿宋" w:hAnsi="仿宋" w:eastAsia="仿宋" w:cs="宋体"/>
                <w:color w:val="auto"/>
                <w:szCs w:val="21"/>
                <w:highlight w:val="none"/>
                <w:lang w:eastAsia="zh-CN"/>
              </w:rPr>
              <w:t>。</w:t>
            </w:r>
          </w:p>
        </w:tc>
        <w:tc>
          <w:tcPr>
            <w:tcW w:w="540" w:type="dxa"/>
            <w:tcBorders>
              <w:left w:val="single" w:color="auto" w:sz="4" w:space="0"/>
              <w:bottom w:val="single" w:color="auto" w:sz="4" w:space="0"/>
              <w:right w:val="single" w:color="auto" w:sz="8" w:space="0"/>
            </w:tcBorders>
            <w:noWrap w:val="0"/>
            <w:vAlign w:val="center"/>
          </w:tcPr>
          <w:p>
            <w:pPr>
              <w:spacing w:line="2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915" w:type="dxa"/>
            <w:vMerge w:val="restart"/>
            <w:tcBorders>
              <w:left w:val="single" w:color="auto" w:sz="4" w:space="0"/>
              <w:right w:val="single" w:color="auto" w:sz="8" w:space="0"/>
            </w:tcBorders>
            <w:noWrap w:val="0"/>
            <w:vAlign w:val="center"/>
          </w:tcPr>
          <w:p>
            <w:pPr>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tblPrEx>
          <w:tblCellMar>
            <w:top w:w="0" w:type="dxa"/>
            <w:left w:w="0" w:type="dxa"/>
            <w:bottom w:w="0" w:type="dxa"/>
            <w:right w:w="0" w:type="dxa"/>
          </w:tblCellMar>
        </w:tblPrEx>
        <w:trPr>
          <w:trHeight w:val="720" w:hRule="atLeast"/>
          <w:jc w:val="center"/>
        </w:trPr>
        <w:tc>
          <w:tcPr>
            <w:tcW w:w="478" w:type="dxa"/>
            <w:vMerge w:val="continue"/>
            <w:tcBorders>
              <w:left w:val="single" w:color="auto" w:sz="8" w:space="0"/>
              <w:right w:val="single" w:color="auto" w:sz="8" w:space="0"/>
            </w:tcBorders>
            <w:noWrap w:val="0"/>
            <w:vAlign w:val="center"/>
          </w:tcPr>
          <w:p>
            <w:pPr>
              <w:spacing w:line="240" w:lineRule="exact"/>
              <w:jc w:val="both"/>
              <w:rPr>
                <w:rFonts w:hint="default" w:ascii="仿宋" w:hAnsi="仿宋" w:eastAsia="仿宋" w:cs="仿宋"/>
                <w:color w:val="auto"/>
                <w:szCs w:val="21"/>
                <w:highlight w:val="none"/>
                <w:lang w:val="en-US" w:eastAsia="zh-CN"/>
              </w:rPr>
            </w:pPr>
          </w:p>
        </w:tc>
        <w:tc>
          <w:tcPr>
            <w:tcW w:w="1279" w:type="dxa"/>
            <w:vMerge w:val="continue"/>
            <w:tcBorders>
              <w:left w:val="single" w:color="auto" w:sz="4" w:space="0"/>
              <w:righ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p>
        </w:tc>
        <w:tc>
          <w:tcPr>
            <w:tcW w:w="6345" w:type="dxa"/>
            <w:tcBorders>
              <w:top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需求分析：</w:t>
            </w:r>
            <w:r>
              <w:rPr>
                <w:rFonts w:hint="eastAsia" w:ascii="仿宋" w:hAnsi="仿宋" w:eastAsia="仿宋" w:cs="宋体"/>
                <w:color w:val="auto"/>
                <w:highlight w:val="none"/>
              </w:rPr>
              <w:t>根据</w:t>
            </w:r>
            <w:r>
              <w:rPr>
                <w:rFonts w:hint="eastAsia" w:ascii="仿宋" w:hAnsi="仿宋" w:eastAsia="仿宋" w:cs="宋体"/>
                <w:color w:val="auto"/>
                <w:highlight w:val="none"/>
                <w:lang w:val="en-US" w:eastAsia="zh-CN"/>
              </w:rPr>
              <w:t>供应商提供的需求分析方</w:t>
            </w:r>
            <w:r>
              <w:rPr>
                <w:rFonts w:hint="eastAsia" w:ascii="仿宋" w:hAnsi="仿宋" w:eastAsia="仿宋"/>
                <w:color w:val="auto"/>
                <w:highlight w:val="none"/>
                <w:lang w:val="en-US" w:eastAsia="zh-CN"/>
              </w:rPr>
              <w:t>案</w:t>
            </w:r>
            <w:r>
              <w:rPr>
                <w:rFonts w:hint="eastAsia" w:ascii="仿宋" w:hAnsi="仿宋" w:eastAsia="仿宋" w:cs="宋体"/>
                <w:color w:val="auto"/>
                <w:highlight w:val="none"/>
                <w:lang w:val="en-US" w:eastAsia="zh-CN"/>
              </w:rPr>
              <w:t>进行综合评分：</w:t>
            </w:r>
            <w:r>
              <w:rPr>
                <w:rFonts w:hint="eastAsia" w:ascii="仿宋" w:hAnsi="仿宋" w:eastAsia="仿宋" w:cs="仿宋"/>
                <w:color w:val="auto"/>
                <w:szCs w:val="21"/>
                <w:highlight w:val="none"/>
                <w:lang w:val="en-US" w:eastAsia="zh-CN"/>
              </w:rPr>
              <w:t>方案优秀合理可行且具有针对性，</w:t>
            </w:r>
            <w:r>
              <w:rPr>
                <w:rFonts w:hint="eastAsia" w:ascii="仿宋" w:hAnsi="仿宋" w:eastAsia="仿宋" w:cs="宋体"/>
                <w:color w:val="auto"/>
                <w:highlight w:val="none"/>
                <w:lang w:val="en-US" w:eastAsia="zh-CN"/>
              </w:rPr>
              <w:t>无明显瑕疵的得12分；</w:t>
            </w:r>
            <w:r>
              <w:rPr>
                <w:rFonts w:hint="eastAsia" w:ascii="仿宋" w:hAnsi="仿宋" w:eastAsia="仿宋" w:cs="仿宋"/>
                <w:color w:val="auto"/>
                <w:szCs w:val="21"/>
                <w:highlight w:val="none"/>
                <w:lang w:val="en-US" w:eastAsia="zh-CN"/>
              </w:rPr>
              <w:t>有明显瑕疵的（如</w:t>
            </w:r>
            <w:r>
              <w:rPr>
                <w:rFonts w:hint="eastAsia" w:ascii="仿宋" w:hAnsi="仿宋" w:eastAsia="仿宋" w:cs="仿宋"/>
                <w:color w:val="auto"/>
                <w:szCs w:val="21"/>
                <w:highlight w:val="none"/>
              </w:rPr>
              <w:t>对现状、需求分析</w:t>
            </w:r>
            <w:r>
              <w:rPr>
                <w:rFonts w:hint="eastAsia" w:ascii="仿宋" w:hAnsi="仿宋" w:eastAsia="仿宋" w:cs="仿宋"/>
                <w:color w:val="auto"/>
                <w:szCs w:val="21"/>
                <w:highlight w:val="none"/>
                <w:lang w:val="en-US" w:eastAsia="zh-CN"/>
              </w:rPr>
              <w:t>不</w:t>
            </w:r>
            <w:r>
              <w:rPr>
                <w:rFonts w:hint="eastAsia" w:ascii="仿宋" w:hAnsi="仿宋" w:eastAsia="仿宋" w:cs="仿宋"/>
                <w:color w:val="auto"/>
                <w:szCs w:val="21"/>
                <w:highlight w:val="none"/>
              </w:rPr>
              <w:t>准确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项目实施计划各阶段</w:t>
            </w:r>
            <w:r>
              <w:rPr>
                <w:rFonts w:hint="eastAsia" w:ascii="仿宋" w:hAnsi="仿宋" w:eastAsia="仿宋" w:cs="仿宋"/>
                <w:color w:val="auto"/>
                <w:szCs w:val="21"/>
                <w:highlight w:val="none"/>
                <w:lang w:val="en-US" w:eastAsia="zh-CN"/>
              </w:rPr>
              <w:t>未</w:t>
            </w:r>
            <w:r>
              <w:rPr>
                <w:rFonts w:hint="eastAsia" w:ascii="仿宋" w:hAnsi="仿宋" w:eastAsia="仿宋" w:cs="仿宋"/>
                <w:color w:val="auto"/>
                <w:szCs w:val="21"/>
                <w:highlight w:val="none"/>
              </w:rPr>
              <w:t>衔接紧密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不能</w:t>
            </w:r>
            <w:r>
              <w:rPr>
                <w:rFonts w:hint="eastAsia" w:ascii="仿宋" w:hAnsi="仿宋" w:eastAsia="仿宋" w:cs="仿宋"/>
                <w:color w:val="auto"/>
                <w:szCs w:val="21"/>
                <w:highlight w:val="none"/>
              </w:rPr>
              <w:t>有效响应预期目标</w:t>
            </w:r>
            <w:r>
              <w:rPr>
                <w:rFonts w:hint="eastAsia" w:ascii="仿宋" w:hAnsi="仿宋" w:eastAsia="仿宋" w:cs="仿宋"/>
                <w:color w:val="auto"/>
                <w:szCs w:val="21"/>
                <w:highlight w:val="none"/>
                <w:lang w:val="en-US" w:eastAsia="zh-CN"/>
              </w:rPr>
              <w:t>等），</w:t>
            </w:r>
            <w:r>
              <w:rPr>
                <w:rFonts w:hint="eastAsia" w:ascii="仿宋" w:hAnsi="仿宋" w:eastAsia="仿宋"/>
                <w:color w:val="auto"/>
                <w:szCs w:val="21"/>
                <w:highlight w:val="none"/>
                <w:lang w:val="en-US" w:eastAsia="zh-CN"/>
              </w:rPr>
              <w:t>每处扣2分；</w:t>
            </w:r>
            <w:r>
              <w:rPr>
                <w:rFonts w:hint="eastAsia" w:ascii="仿宋" w:hAnsi="仿宋" w:eastAsia="仿宋" w:cs="宋体"/>
                <w:color w:val="auto"/>
                <w:szCs w:val="21"/>
                <w:highlight w:val="none"/>
              </w:rPr>
              <w:t>有一般瑕疵的，每处扣1分；不提供不得分</w:t>
            </w:r>
            <w:r>
              <w:rPr>
                <w:rFonts w:hint="eastAsia" w:ascii="仿宋" w:hAnsi="仿宋" w:eastAsia="仿宋" w:cs="宋体"/>
                <w:color w:val="auto"/>
                <w:szCs w:val="21"/>
                <w:highlight w:val="none"/>
                <w:lang w:eastAsia="zh-CN"/>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915" w:type="dxa"/>
            <w:vMerge w:val="continue"/>
            <w:tcBorders>
              <w:left w:val="single" w:color="auto" w:sz="4" w:space="0"/>
              <w:right w:val="single" w:color="auto" w:sz="8" w:space="0"/>
            </w:tcBorders>
            <w:noWrap w:val="0"/>
            <w:vAlign w:val="center"/>
          </w:tcPr>
          <w:p>
            <w:pPr>
              <w:spacing w:line="240" w:lineRule="exact"/>
              <w:jc w:val="center"/>
              <w:rPr>
                <w:rFonts w:hint="eastAsia" w:ascii="仿宋" w:hAnsi="仿宋" w:eastAsia="仿宋" w:cs="仿宋"/>
                <w:color w:val="auto"/>
                <w:szCs w:val="21"/>
                <w:highlight w:val="none"/>
              </w:rPr>
            </w:pPr>
          </w:p>
        </w:tc>
      </w:tr>
      <w:tr>
        <w:tblPrEx>
          <w:tblCellMar>
            <w:top w:w="0" w:type="dxa"/>
            <w:left w:w="0" w:type="dxa"/>
            <w:bottom w:w="0" w:type="dxa"/>
            <w:right w:w="0" w:type="dxa"/>
          </w:tblCellMar>
        </w:tblPrEx>
        <w:trPr>
          <w:trHeight w:val="1061" w:hRule="atLeast"/>
          <w:jc w:val="center"/>
        </w:trPr>
        <w:tc>
          <w:tcPr>
            <w:tcW w:w="478" w:type="dxa"/>
            <w:vMerge w:val="continue"/>
            <w:tcBorders>
              <w:left w:val="single" w:color="auto" w:sz="8" w:space="0"/>
              <w:right w:val="single" w:color="auto" w:sz="8" w:space="0"/>
            </w:tcBorders>
            <w:noWrap w:val="0"/>
            <w:vAlign w:val="center"/>
          </w:tcPr>
          <w:p>
            <w:pPr>
              <w:spacing w:line="240" w:lineRule="exact"/>
              <w:jc w:val="both"/>
              <w:rPr>
                <w:rFonts w:hint="default" w:ascii="仿宋" w:hAnsi="仿宋" w:eastAsia="仿宋" w:cs="仿宋"/>
                <w:color w:val="auto"/>
                <w:szCs w:val="21"/>
                <w:highlight w:val="none"/>
                <w:lang w:val="en-US" w:eastAsia="zh-CN"/>
              </w:rPr>
            </w:pPr>
          </w:p>
        </w:tc>
        <w:tc>
          <w:tcPr>
            <w:tcW w:w="1279" w:type="dxa"/>
            <w:vMerge w:val="continue"/>
            <w:tcBorders>
              <w:left w:val="single" w:color="auto" w:sz="4" w:space="0"/>
              <w:righ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p>
        </w:tc>
        <w:tc>
          <w:tcPr>
            <w:tcW w:w="6345" w:type="dxa"/>
            <w:tcBorders>
              <w:top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创新推广：</w:t>
            </w:r>
            <w:r>
              <w:rPr>
                <w:rFonts w:hint="eastAsia" w:ascii="仿宋" w:hAnsi="仿宋" w:eastAsia="仿宋" w:cs="宋体"/>
                <w:color w:val="auto"/>
                <w:highlight w:val="none"/>
              </w:rPr>
              <w:t>根据</w:t>
            </w:r>
            <w:r>
              <w:rPr>
                <w:rFonts w:hint="eastAsia" w:ascii="仿宋" w:hAnsi="仿宋" w:eastAsia="仿宋" w:cs="宋体"/>
                <w:color w:val="auto"/>
                <w:highlight w:val="none"/>
                <w:lang w:val="en-US" w:eastAsia="zh-CN"/>
              </w:rPr>
              <w:t>供应商提供的创新推广方</w:t>
            </w:r>
            <w:r>
              <w:rPr>
                <w:rFonts w:hint="eastAsia" w:ascii="仿宋" w:hAnsi="仿宋" w:eastAsia="仿宋"/>
                <w:color w:val="auto"/>
                <w:highlight w:val="none"/>
                <w:lang w:val="en-US" w:eastAsia="zh-CN"/>
              </w:rPr>
              <w:t>案</w:t>
            </w:r>
            <w:r>
              <w:rPr>
                <w:rFonts w:hint="eastAsia" w:ascii="仿宋" w:hAnsi="仿宋" w:eastAsia="仿宋" w:cs="宋体"/>
                <w:color w:val="auto"/>
                <w:highlight w:val="none"/>
                <w:lang w:val="en-US" w:eastAsia="zh-CN"/>
              </w:rPr>
              <w:t>进行综合评分：</w:t>
            </w:r>
            <w:r>
              <w:rPr>
                <w:rFonts w:hint="eastAsia" w:ascii="仿宋" w:hAnsi="仿宋" w:eastAsia="仿宋" w:cs="仿宋"/>
                <w:color w:val="auto"/>
                <w:szCs w:val="21"/>
                <w:highlight w:val="none"/>
                <w:lang w:val="en-US" w:eastAsia="zh-CN"/>
              </w:rPr>
              <w:t>方案优秀合理可行且具有针对性，</w:t>
            </w:r>
            <w:r>
              <w:rPr>
                <w:rFonts w:hint="eastAsia" w:ascii="仿宋" w:hAnsi="仿宋" w:eastAsia="仿宋" w:cs="宋体"/>
                <w:color w:val="auto"/>
                <w:highlight w:val="none"/>
                <w:lang w:val="en-US" w:eastAsia="zh-CN"/>
              </w:rPr>
              <w:t>无明显瑕疵的得12分；</w:t>
            </w:r>
            <w:r>
              <w:rPr>
                <w:rFonts w:hint="eastAsia" w:ascii="仿宋" w:hAnsi="仿宋" w:eastAsia="仿宋" w:cs="仿宋"/>
                <w:color w:val="auto"/>
                <w:szCs w:val="21"/>
                <w:highlight w:val="none"/>
                <w:lang w:val="en-US" w:eastAsia="zh-CN"/>
              </w:rPr>
              <w:t>有明显瑕疵的（如</w:t>
            </w:r>
            <w:r>
              <w:rPr>
                <w:rFonts w:hint="eastAsia" w:ascii="仿宋" w:hAnsi="仿宋" w:eastAsia="仿宋" w:cs="仿宋"/>
                <w:color w:val="auto"/>
                <w:szCs w:val="21"/>
                <w:highlight w:val="none"/>
              </w:rPr>
              <w:t>实施方案主题</w:t>
            </w:r>
            <w:r>
              <w:rPr>
                <w:rFonts w:hint="eastAsia" w:ascii="仿宋" w:hAnsi="仿宋" w:eastAsia="仿宋" w:cs="仿宋"/>
                <w:color w:val="auto"/>
                <w:szCs w:val="21"/>
                <w:highlight w:val="none"/>
                <w:lang w:val="en-US" w:eastAsia="zh-CN"/>
              </w:rPr>
              <w:t>不</w:t>
            </w:r>
            <w:r>
              <w:rPr>
                <w:rFonts w:hint="eastAsia" w:ascii="仿宋" w:hAnsi="仿宋" w:eastAsia="仿宋" w:cs="仿宋"/>
                <w:color w:val="auto"/>
                <w:szCs w:val="21"/>
                <w:highlight w:val="none"/>
              </w:rPr>
              <w:t>突出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设计不全面、未</w:t>
            </w:r>
            <w:r>
              <w:rPr>
                <w:rFonts w:hint="eastAsia" w:ascii="仿宋" w:hAnsi="仿宋" w:eastAsia="仿宋" w:cs="仿宋"/>
                <w:color w:val="auto"/>
                <w:szCs w:val="21"/>
                <w:highlight w:val="none"/>
              </w:rPr>
              <w:t>紧扣社区实际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无创新示范性特色等），</w:t>
            </w:r>
            <w:r>
              <w:rPr>
                <w:rFonts w:hint="eastAsia" w:ascii="仿宋" w:hAnsi="仿宋" w:eastAsia="仿宋"/>
                <w:color w:val="auto"/>
                <w:szCs w:val="21"/>
                <w:highlight w:val="none"/>
                <w:lang w:val="en-US" w:eastAsia="zh-CN"/>
              </w:rPr>
              <w:t>每处扣2分；</w:t>
            </w:r>
            <w:r>
              <w:rPr>
                <w:rFonts w:hint="eastAsia" w:ascii="仿宋" w:hAnsi="仿宋" w:eastAsia="仿宋" w:cs="宋体"/>
                <w:color w:val="auto"/>
                <w:szCs w:val="21"/>
                <w:highlight w:val="none"/>
              </w:rPr>
              <w:t>有一般瑕疵的，每处扣1分；不提供不得分。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915" w:type="dxa"/>
            <w:vMerge w:val="continue"/>
            <w:tcBorders>
              <w:left w:val="single" w:color="auto" w:sz="4" w:space="0"/>
              <w:right w:val="single" w:color="auto" w:sz="8" w:space="0"/>
            </w:tcBorders>
            <w:noWrap w:val="0"/>
            <w:vAlign w:val="center"/>
          </w:tcPr>
          <w:p>
            <w:pPr>
              <w:spacing w:line="240" w:lineRule="exact"/>
              <w:jc w:val="center"/>
              <w:rPr>
                <w:rFonts w:hint="eastAsia" w:ascii="仿宋" w:hAnsi="仿宋" w:eastAsia="仿宋" w:cs="仿宋"/>
                <w:color w:val="auto"/>
                <w:szCs w:val="21"/>
                <w:highlight w:val="none"/>
              </w:rPr>
            </w:pPr>
          </w:p>
        </w:tc>
      </w:tr>
      <w:tr>
        <w:tblPrEx>
          <w:tblCellMar>
            <w:top w:w="0" w:type="dxa"/>
            <w:left w:w="0" w:type="dxa"/>
            <w:bottom w:w="0" w:type="dxa"/>
            <w:right w:w="0" w:type="dxa"/>
          </w:tblCellMar>
        </w:tblPrEx>
        <w:trPr>
          <w:trHeight w:val="1025" w:hRule="atLeast"/>
          <w:jc w:val="center"/>
        </w:trPr>
        <w:tc>
          <w:tcPr>
            <w:tcW w:w="478" w:type="dxa"/>
            <w:vMerge w:val="continue"/>
            <w:tcBorders>
              <w:left w:val="single" w:color="auto" w:sz="8" w:space="0"/>
              <w:right w:val="single" w:color="auto" w:sz="8" w:space="0"/>
            </w:tcBorders>
            <w:noWrap w:val="0"/>
            <w:vAlign w:val="center"/>
          </w:tcPr>
          <w:p>
            <w:pPr>
              <w:spacing w:line="240" w:lineRule="exact"/>
              <w:jc w:val="both"/>
              <w:rPr>
                <w:rFonts w:hint="default" w:ascii="仿宋" w:hAnsi="仿宋" w:eastAsia="仿宋" w:cs="仿宋"/>
                <w:color w:val="auto"/>
                <w:szCs w:val="21"/>
                <w:highlight w:val="none"/>
                <w:lang w:val="en-US" w:eastAsia="zh-CN"/>
              </w:rPr>
            </w:pPr>
          </w:p>
        </w:tc>
        <w:tc>
          <w:tcPr>
            <w:tcW w:w="1279" w:type="dxa"/>
            <w:vMerge w:val="continue"/>
            <w:tcBorders>
              <w:left w:val="single" w:color="auto" w:sz="4" w:space="0"/>
              <w:righ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p>
        </w:tc>
        <w:tc>
          <w:tcPr>
            <w:tcW w:w="6345" w:type="dxa"/>
            <w:tcBorders>
              <w:top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lang w:val="en-US" w:eastAsia="zh-CN"/>
              </w:rPr>
              <w:t>专业服务</w:t>
            </w:r>
            <w:r>
              <w:rPr>
                <w:rFonts w:hint="eastAsia" w:ascii="仿宋" w:hAnsi="仿宋" w:eastAsia="仿宋" w:cs="仿宋"/>
                <w:color w:val="auto"/>
                <w:szCs w:val="21"/>
                <w:highlight w:val="none"/>
              </w:rPr>
              <w:t>：</w:t>
            </w:r>
            <w:r>
              <w:rPr>
                <w:rFonts w:hint="eastAsia" w:ascii="仿宋" w:hAnsi="仿宋" w:eastAsia="仿宋" w:cs="宋体"/>
                <w:color w:val="auto"/>
                <w:highlight w:val="none"/>
              </w:rPr>
              <w:t>根据</w:t>
            </w:r>
            <w:r>
              <w:rPr>
                <w:rFonts w:hint="eastAsia" w:ascii="仿宋" w:hAnsi="仿宋" w:eastAsia="仿宋" w:cs="宋体"/>
                <w:color w:val="auto"/>
                <w:highlight w:val="none"/>
                <w:lang w:val="en-US" w:eastAsia="zh-CN"/>
              </w:rPr>
              <w:t>供应商提供的</w:t>
            </w:r>
            <w:r>
              <w:rPr>
                <w:rFonts w:hint="eastAsia" w:ascii="仿宋" w:hAnsi="仿宋" w:eastAsia="仿宋"/>
                <w:color w:val="auto"/>
                <w:highlight w:val="none"/>
                <w:lang w:val="en-US" w:eastAsia="zh-CN"/>
              </w:rPr>
              <w:t>专业服务</w:t>
            </w:r>
            <w:r>
              <w:rPr>
                <w:rFonts w:hint="eastAsia" w:ascii="仿宋" w:hAnsi="仿宋" w:eastAsia="仿宋" w:cs="宋体"/>
                <w:color w:val="auto"/>
                <w:highlight w:val="none"/>
                <w:lang w:val="en-US" w:eastAsia="zh-CN"/>
              </w:rPr>
              <w:t>进行综合评分：</w:t>
            </w:r>
            <w:r>
              <w:rPr>
                <w:rFonts w:hint="eastAsia" w:ascii="仿宋" w:hAnsi="仿宋" w:eastAsia="仿宋"/>
                <w:color w:val="auto"/>
                <w:highlight w:val="none"/>
              </w:rPr>
              <w:t>方案</w:t>
            </w:r>
            <w:r>
              <w:rPr>
                <w:rFonts w:hint="eastAsia" w:ascii="仿宋" w:hAnsi="仿宋" w:eastAsia="仿宋"/>
                <w:color w:val="auto"/>
                <w:highlight w:val="none"/>
                <w:lang w:val="en-US" w:eastAsia="zh-CN"/>
              </w:rPr>
              <w:t>合理可行，针对性强，</w:t>
            </w:r>
            <w:r>
              <w:rPr>
                <w:rFonts w:hint="eastAsia" w:ascii="仿宋" w:hAnsi="仿宋" w:eastAsia="仿宋" w:cs="宋体"/>
                <w:color w:val="auto"/>
                <w:highlight w:val="none"/>
                <w:lang w:val="en-US" w:eastAsia="zh-CN"/>
              </w:rPr>
              <w:t>无明显瑕疵的得14分；</w:t>
            </w:r>
            <w:r>
              <w:rPr>
                <w:rFonts w:hint="eastAsia" w:ascii="仿宋" w:hAnsi="仿宋" w:eastAsia="仿宋"/>
                <w:color w:val="auto"/>
                <w:szCs w:val="21"/>
                <w:highlight w:val="none"/>
                <w:lang w:val="en-US" w:eastAsia="zh-CN"/>
              </w:rPr>
              <w:t>有明显瑕疵的（如</w:t>
            </w:r>
            <w:r>
              <w:rPr>
                <w:rFonts w:hint="eastAsia" w:ascii="仿宋" w:hAnsi="仿宋" w:eastAsia="仿宋" w:cs="仿宋"/>
                <w:color w:val="auto"/>
                <w:szCs w:val="21"/>
                <w:highlight w:val="none"/>
              </w:rPr>
              <w:t>本项目</w:t>
            </w:r>
            <w:r>
              <w:rPr>
                <w:rFonts w:hint="eastAsia" w:ascii="仿宋" w:hAnsi="仿宋" w:eastAsia="仿宋" w:cs="仿宋"/>
                <w:color w:val="auto"/>
                <w:szCs w:val="21"/>
                <w:highlight w:val="none"/>
                <w:lang w:val="en-US" w:eastAsia="zh-CN"/>
              </w:rPr>
              <w:t>未</w:t>
            </w:r>
            <w:r>
              <w:rPr>
                <w:rFonts w:hint="eastAsia" w:ascii="仿宋" w:hAnsi="仿宋" w:eastAsia="仿宋" w:cs="仿宋"/>
                <w:color w:val="auto"/>
                <w:szCs w:val="21"/>
                <w:highlight w:val="none"/>
              </w:rPr>
              <w:t>能够整合专业服务支持性资源</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不能</w:t>
            </w:r>
            <w:r>
              <w:rPr>
                <w:rFonts w:hint="eastAsia" w:ascii="仿宋" w:hAnsi="仿宋" w:eastAsia="仿宋" w:cs="仿宋"/>
                <w:color w:val="auto"/>
                <w:szCs w:val="21"/>
                <w:highlight w:val="none"/>
              </w:rPr>
              <w:t>为项目运作提供相应专业服务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项目关键点设置</w:t>
            </w:r>
            <w:r>
              <w:rPr>
                <w:rFonts w:hint="eastAsia" w:ascii="仿宋" w:hAnsi="仿宋" w:eastAsia="仿宋" w:cs="仿宋"/>
                <w:color w:val="auto"/>
                <w:szCs w:val="21"/>
                <w:highlight w:val="none"/>
                <w:lang w:val="en-US" w:eastAsia="zh-CN"/>
              </w:rPr>
              <w:t>不</w:t>
            </w:r>
            <w:r>
              <w:rPr>
                <w:rFonts w:hint="eastAsia" w:ascii="仿宋" w:hAnsi="仿宋" w:eastAsia="仿宋" w:cs="仿宋"/>
                <w:color w:val="auto"/>
                <w:szCs w:val="21"/>
                <w:highlight w:val="none"/>
              </w:rPr>
              <w:t>合理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提供的专业服务对本项目没有针对性、不符合项目需求等</w:t>
            </w:r>
            <w:r>
              <w:rPr>
                <w:rFonts w:hint="eastAsia" w:ascii="仿宋" w:hAnsi="仿宋" w:eastAsia="仿宋"/>
                <w:color w:val="auto"/>
                <w:szCs w:val="21"/>
                <w:highlight w:val="none"/>
                <w:lang w:val="en-US" w:eastAsia="zh-CN"/>
              </w:rPr>
              <w:t>）</w:t>
            </w:r>
            <w:r>
              <w:rPr>
                <w:rFonts w:hint="eastAsia" w:ascii="仿宋" w:hAnsi="仿宋" w:eastAsia="仿宋" w:cs="宋体"/>
                <w:color w:val="auto"/>
                <w:highlight w:val="none"/>
              </w:rPr>
              <w:t>，</w:t>
            </w:r>
            <w:r>
              <w:rPr>
                <w:rFonts w:hint="eastAsia" w:ascii="仿宋" w:hAnsi="仿宋" w:eastAsia="仿宋"/>
                <w:color w:val="auto"/>
                <w:szCs w:val="21"/>
                <w:highlight w:val="none"/>
                <w:lang w:val="en-US" w:eastAsia="zh-CN"/>
              </w:rPr>
              <w:t>每处扣2分；</w:t>
            </w:r>
            <w:r>
              <w:rPr>
                <w:rFonts w:hint="eastAsia" w:ascii="仿宋" w:hAnsi="仿宋" w:eastAsia="仿宋" w:cs="宋体"/>
                <w:color w:val="auto"/>
                <w:szCs w:val="21"/>
                <w:highlight w:val="none"/>
              </w:rPr>
              <w:t>有一般瑕疵的，每处扣1分；不提供不得分。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915" w:type="dxa"/>
            <w:vMerge w:val="continue"/>
            <w:tcBorders>
              <w:left w:val="single" w:color="auto" w:sz="4" w:space="0"/>
              <w:right w:val="single" w:color="auto" w:sz="8" w:space="0"/>
            </w:tcBorders>
            <w:noWrap w:val="0"/>
            <w:vAlign w:val="center"/>
          </w:tcPr>
          <w:p>
            <w:pPr>
              <w:spacing w:line="240" w:lineRule="exact"/>
              <w:jc w:val="center"/>
              <w:rPr>
                <w:rFonts w:hint="eastAsia" w:ascii="仿宋" w:hAnsi="仿宋" w:eastAsia="仿宋" w:cs="仿宋"/>
                <w:color w:val="auto"/>
                <w:szCs w:val="21"/>
                <w:highlight w:val="none"/>
              </w:rPr>
            </w:pPr>
          </w:p>
        </w:tc>
      </w:tr>
      <w:tr>
        <w:tblPrEx>
          <w:tblCellMar>
            <w:top w:w="0" w:type="dxa"/>
            <w:left w:w="0" w:type="dxa"/>
            <w:bottom w:w="0" w:type="dxa"/>
            <w:right w:w="0" w:type="dxa"/>
          </w:tblCellMar>
        </w:tblPrEx>
        <w:trPr>
          <w:trHeight w:val="1042" w:hRule="atLeast"/>
          <w:jc w:val="center"/>
        </w:trPr>
        <w:tc>
          <w:tcPr>
            <w:tcW w:w="478" w:type="dxa"/>
            <w:vMerge w:val="continue"/>
            <w:tcBorders>
              <w:left w:val="single" w:color="auto" w:sz="8" w:space="0"/>
              <w:right w:val="single" w:color="auto" w:sz="8" w:space="0"/>
            </w:tcBorders>
            <w:noWrap w:val="0"/>
            <w:vAlign w:val="center"/>
          </w:tcPr>
          <w:p>
            <w:pPr>
              <w:spacing w:line="240" w:lineRule="exact"/>
              <w:jc w:val="both"/>
              <w:rPr>
                <w:rFonts w:hint="default" w:ascii="仿宋" w:hAnsi="仿宋" w:eastAsia="仿宋" w:cs="仿宋"/>
                <w:color w:val="auto"/>
                <w:szCs w:val="21"/>
                <w:highlight w:val="none"/>
                <w:lang w:val="en-US" w:eastAsia="zh-CN"/>
              </w:rPr>
            </w:pPr>
          </w:p>
        </w:tc>
        <w:tc>
          <w:tcPr>
            <w:tcW w:w="1279" w:type="dxa"/>
            <w:vMerge w:val="continue"/>
            <w:tcBorders>
              <w:left w:val="single" w:color="auto" w:sz="4" w:space="0"/>
              <w:righ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p>
        </w:tc>
        <w:tc>
          <w:tcPr>
            <w:tcW w:w="6345" w:type="dxa"/>
            <w:tcBorders>
              <w:top w:val="single" w:color="auto" w:sz="4" w:space="0"/>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rPr>
              <w:t>5、</w:t>
            </w:r>
            <w:r>
              <w:rPr>
                <w:rFonts w:hint="eastAsia" w:ascii="仿宋" w:hAnsi="仿宋" w:eastAsia="仿宋" w:cs="仿宋"/>
                <w:b/>
                <w:bCs/>
                <w:szCs w:val="21"/>
                <w:highlight w:val="none"/>
              </w:rPr>
              <w:t>档案管理：</w:t>
            </w:r>
            <w:r>
              <w:rPr>
                <w:rFonts w:hint="eastAsia" w:ascii="仿宋" w:hAnsi="仿宋" w:eastAsia="仿宋" w:cs="仿宋"/>
                <w:szCs w:val="21"/>
                <w:highlight w:val="none"/>
              </w:rPr>
              <w:t>根据供应商提供的档案管理方案，包括但不限于项目服务档案的建立与保存、日常事件与人员管理的记录，保留给采购人的资料清单、档案保密措施等方案进行综合评分；档案管理结合项目特点，全面、合理、具体，切实可行，无明显瑕疵的得12分；有明显瑕疵（如档案管理方案不全面，档案保密措施不严谨等）每处扣2分；一般瑕疵，每处扣1分；扣完为止，不提供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915" w:type="dxa"/>
            <w:vMerge w:val="continue"/>
            <w:tcBorders>
              <w:left w:val="single" w:color="auto" w:sz="4" w:space="0"/>
              <w:right w:val="single" w:color="auto" w:sz="8" w:space="0"/>
            </w:tcBorders>
            <w:noWrap w:val="0"/>
            <w:vAlign w:val="center"/>
          </w:tcPr>
          <w:p>
            <w:pPr>
              <w:spacing w:line="240" w:lineRule="exact"/>
              <w:jc w:val="center"/>
              <w:rPr>
                <w:rFonts w:hint="eastAsia" w:ascii="仿宋" w:hAnsi="仿宋" w:eastAsia="仿宋" w:cs="仿宋"/>
                <w:color w:val="auto"/>
                <w:szCs w:val="21"/>
                <w:highlight w:val="none"/>
                <w:lang w:val="en-US" w:eastAsia="zh-CN"/>
              </w:rPr>
            </w:pPr>
          </w:p>
        </w:tc>
      </w:tr>
      <w:tr>
        <w:tblPrEx>
          <w:tblCellMar>
            <w:top w:w="0" w:type="dxa"/>
            <w:left w:w="0" w:type="dxa"/>
            <w:bottom w:w="0" w:type="dxa"/>
            <w:right w:w="0" w:type="dxa"/>
          </w:tblCellMar>
        </w:tblPrEx>
        <w:trPr>
          <w:trHeight w:val="792" w:hRule="atLeast"/>
          <w:jc w:val="center"/>
        </w:trPr>
        <w:tc>
          <w:tcPr>
            <w:tcW w:w="478" w:type="dxa"/>
            <w:vMerge w:val="continue"/>
            <w:tcBorders>
              <w:left w:val="single" w:color="auto" w:sz="8" w:space="0"/>
              <w:bottom w:val="single" w:color="auto" w:sz="4" w:space="0"/>
              <w:right w:val="single" w:color="auto" w:sz="8" w:space="0"/>
            </w:tcBorders>
            <w:noWrap w:val="0"/>
            <w:vAlign w:val="center"/>
          </w:tcPr>
          <w:p>
            <w:pPr>
              <w:spacing w:line="240" w:lineRule="exact"/>
              <w:jc w:val="both"/>
              <w:rPr>
                <w:rFonts w:hint="default" w:ascii="仿宋" w:hAnsi="仿宋" w:eastAsia="仿宋" w:cs="仿宋"/>
                <w:color w:val="auto"/>
                <w:szCs w:val="21"/>
                <w:highlight w:val="none"/>
                <w:lang w:val="en-US" w:eastAsia="zh-CN"/>
              </w:rPr>
            </w:pPr>
          </w:p>
        </w:tc>
        <w:tc>
          <w:tcPr>
            <w:tcW w:w="1279"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auto"/>
                <w:szCs w:val="21"/>
                <w:highlight w:val="none"/>
              </w:rPr>
            </w:pPr>
          </w:p>
        </w:tc>
        <w:tc>
          <w:tcPr>
            <w:tcW w:w="6345" w:type="dxa"/>
            <w:tcBorders>
              <w:top w:val="single" w:color="auto" w:sz="4" w:space="0"/>
              <w:bottom w:val="single" w:color="auto" w:sz="4" w:space="0"/>
              <w:right w:val="single" w:color="auto" w:sz="4" w:space="0"/>
            </w:tcBorders>
            <w:noWrap w:val="0"/>
            <w:vAlign w:val="center"/>
          </w:tcPr>
          <w:p>
            <w:pPr>
              <w:spacing w:line="240" w:lineRule="exact"/>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lang w:val="en-US" w:eastAsia="zh-CN"/>
              </w:rPr>
              <w:t>定期沟通：</w:t>
            </w:r>
            <w:r>
              <w:rPr>
                <w:rFonts w:hint="eastAsia" w:ascii="仿宋" w:hAnsi="仿宋" w:eastAsia="仿宋" w:cs="宋体"/>
                <w:color w:val="auto"/>
                <w:highlight w:val="none"/>
              </w:rPr>
              <w:t>根据</w:t>
            </w:r>
            <w:r>
              <w:rPr>
                <w:rFonts w:hint="eastAsia" w:ascii="仿宋" w:hAnsi="仿宋" w:eastAsia="仿宋" w:cs="宋体"/>
                <w:color w:val="auto"/>
                <w:highlight w:val="none"/>
                <w:lang w:val="en-US" w:eastAsia="zh-CN"/>
              </w:rPr>
              <w:t>供应商提供的</w:t>
            </w:r>
            <w:r>
              <w:rPr>
                <w:rFonts w:hint="eastAsia" w:ascii="仿宋" w:hAnsi="仿宋" w:eastAsia="仿宋"/>
                <w:color w:val="auto"/>
                <w:highlight w:val="none"/>
                <w:lang w:val="en-US" w:eastAsia="zh-CN"/>
              </w:rPr>
              <w:t>定期沟通方案</w:t>
            </w:r>
            <w:r>
              <w:rPr>
                <w:rFonts w:hint="eastAsia" w:ascii="仿宋" w:hAnsi="仿宋" w:eastAsia="仿宋" w:cs="宋体"/>
                <w:color w:val="auto"/>
                <w:highlight w:val="none"/>
                <w:lang w:val="en-US" w:eastAsia="zh-CN"/>
              </w:rPr>
              <w:t>进行综合评分：</w:t>
            </w:r>
            <w:r>
              <w:rPr>
                <w:rFonts w:hint="eastAsia" w:ascii="仿宋" w:hAnsi="仿宋" w:eastAsia="仿宋" w:cs="仿宋"/>
                <w:color w:val="auto"/>
                <w:szCs w:val="21"/>
                <w:highlight w:val="none"/>
                <w:lang w:val="en-US" w:eastAsia="zh-CN"/>
              </w:rPr>
              <w:t>方案优秀合理可行且具有针对性，</w:t>
            </w:r>
            <w:r>
              <w:rPr>
                <w:rFonts w:hint="eastAsia" w:ascii="仿宋" w:hAnsi="仿宋" w:eastAsia="仿宋" w:cs="宋体"/>
                <w:color w:val="auto"/>
                <w:highlight w:val="none"/>
                <w:lang w:val="en-US" w:eastAsia="zh-CN"/>
              </w:rPr>
              <w:t>无明显瑕疵的得10分；</w:t>
            </w:r>
            <w:r>
              <w:rPr>
                <w:rFonts w:hint="eastAsia" w:ascii="仿宋" w:hAnsi="仿宋" w:eastAsia="仿宋" w:cs="仿宋"/>
                <w:color w:val="auto"/>
                <w:szCs w:val="21"/>
                <w:highlight w:val="none"/>
                <w:lang w:val="en-US" w:eastAsia="zh-CN"/>
              </w:rPr>
              <w:t>有明显瑕疵的（如对本项目没有设置项目定期沟通机制、制度安排不合理、不符合规范、不符合本项目要求等），</w:t>
            </w:r>
            <w:r>
              <w:rPr>
                <w:rFonts w:hint="eastAsia" w:ascii="仿宋" w:hAnsi="仿宋" w:eastAsia="仿宋"/>
                <w:color w:val="auto"/>
                <w:szCs w:val="21"/>
                <w:highlight w:val="none"/>
                <w:lang w:val="en-US" w:eastAsia="zh-CN"/>
              </w:rPr>
              <w:t>每处扣2分；</w:t>
            </w:r>
            <w:r>
              <w:rPr>
                <w:rFonts w:hint="eastAsia" w:ascii="仿宋" w:hAnsi="仿宋" w:eastAsia="仿宋" w:cs="宋体"/>
                <w:color w:val="auto"/>
                <w:szCs w:val="21"/>
                <w:highlight w:val="none"/>
              </w:rPr>
              <w:t>有一般瑕疵的，每处扣1分；不提供不得分。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915" w:type="dxa"/>
            <w:vMerge w:val="continue"/>
            <w:tcBorders>
              <w:left w:val="single" w:color="auto" w:sz="4" w:space="0"/>
              <w:bottom w:val="single" w:color="auto" w:sz="4" w:space="0"/>
              <w:right w:val="single" w:color="auto" w:sz="8" w:space="0"/>
            </w:tcBorders>
            <w:noWrap w:val="0"/>
            <w:vAlign w:val="center"/>
          </w:tcPr>
          <w:p>
            <w:pPr>
              <w:spacing w:line="240" w:lineRule="exact"/>
              <w:jc w:val="center"/>
              <w:rPr>
                <w:rFonts w:hint="eastAsia" w:ascii="仿宋" w:hAnsi="仿宋" w:eastAsia="仿宋" w:cs="仿宋"/>
                <w:color w:val="auto"/>
                <w:szCs w:val="21"/>
                <w:highlight w:val="none"/>
              </w:rPr>
            </w:pPr>
          </w:p>
        </w:tc>
      </w:tr>
      <w:tr>
        <w:tblPrEx>
          <w:tblCellMar>
            <w:top w:w="0" w:type="dxa"/>
            <w:left w:w="0" w:type="dxa"/>
            <w:bottom w:w="0" w:type="dxa"/>
            <w:right w:w="0" w:type="dxa"/>
          </w:tblCellMar>
        </w:tblPrEx>
        <w:trPr>
          <w:trHeight w:val="1071" w:hRule="atLeast"/>
          <w:jc w:val="center"/>
        </w:trPr>
        <w:tc>
          <w:tcPr>
            <w:tcW w:w="478" w:type="dxa"/>
            <w:tcBorders>
              <w:top w:val="single" w:color="auto" w:sz="4" w:space="0"/>
              <w:left w:val="single" w:color="auto" w:sz="8" w:space="0"/>
              <w:right w:val="single" w:color="auto" w:sz="8" w:space="0"/>
            </w:tcBorders>
            <w:noWrap w:val="0"/>
            <w:vAlign w:val="center"/>
          </w:tcPr>
          <w:p>
            <w:pPr>
              <w:spacing w:line="2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79"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企业业绩</w:t>
            </w:r>
          </w:p>
          <w:p>
            <w:pPr>
              <w:spacing w:line="2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lang w:eastAsia="zh-CN"/>
              </w:rPr>
              <w:t>分）</w:t>
            </w:r>
          </w:p>
        </w:tc>
        <w:tc>
          <w:tcPr>
            <w:tcW w:w="6345" w:type="dxa"/>
            <w:tcBorders>
              <w:top w:val="single" w:color="auto" w:sz="4" w:space="0"/>
              <w:right w:val="single" w:color="auto" w:sz="4" w:space="0"/>
            </w:tcBorders>
            <w:noWrap w:val="0"/>
            <w:vAlign w:val="center"/>
          </w:tcPr>
          <w:p>
            <w:pPr>
              <w:spacing w:line="24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企业：20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lang w:eastAsia="zh-CN"/>
              </w:rPr>
              <w:t>年</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月1日以来承接的类似公益项目等业绩，每提供一份合同得</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分，最多得</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lang w:eastAsia="zh-CN"/>
              </w:rPr>
              <w:t>分。</w:t>
            </w:r>
          </w:p>
          <w:p>
            <w:pPr>
              <w:spacing w:line="24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（企业业绩必须是供应商承接的。需提供合同</w:t>
            </w:r>
            <w:r>
              <w:rPr>
                <w:rFonts w:hint="eastAsia" w:ascii="仿宋" w:hAnsi="仿宋" w:eastAsia="仿宋" w:cs="仿宋"/>
                <w:color w:val="auto"/>
                <w:szCs w:val="21"/>
                <w:highlight w:val="none"/>
                <w:lang w:val="en-US" w:eastAsia="zh-CN"/>
              </w:rPr>
              <w:t>或</w:t>
            </w:r>
            <w:r>
              <w:rPr>
                <w:rFonts w:hint="eastAsia" w:ascii="仿宋" w:hAnsi="仿宋" w:eastAsia="仿宋" w:cs="仿宋"/>
                <w:color w:val="auto"/>
                <w:szCs w:val="21"/>
                <w:highlight w:val="none"/>
                <w:lang w:eastAsia="zh-CN"/>
              </w:rPr>
              <w:t>中标通知书复印件</w:t>
            </w:r>
            <w:r>
              <w:rPr>
                <w:rFonts w:hint="eastAsia" w:ascii="仿宋" w:hAnsi="仿宋" w:eastAsia="仿宋" w:cs="仿宋"/>
                <w:color w:val="auto"/>
                <w:szCs w:val="21"/>
                <w:highlight w:val="none"/>
                <w:lang w:val="en-US" w:eastAsia="zh-CN"/>
              </w:rPr>
              <w:t>并加盖公章</w:t>
            </w:r>
            <w:r>
              <w:rPr>
                <w:rFonts w:hint="eastAsia" w:ascii="仿宋" w:hAnsi="仿宋" w:eastAsia="仿宋" w:cs="仿宋"/>
                <w:color w:val="auto"/>
                <w:szCs w:val="21"/>
                <w:highlight w:val="none"/>
                <w:lang w:eastAsia="zh-CN"/>
              </w:rPr>
              <w:t>，原件备查）</w:t>
            </w:r>
          </w:p>
        </w:tc>
        <w:tc>
          <w:tcPr>
            <w:tcW w:w="540" w:type="dxa"/>
            <w:tcBorders>
              <w:top w:val="single" w:color="auto" w:sz="4" w:space="0"/>
              <w:left w:val="single" w:color="auto" w:sz="4" w:space="0"/>
              <w:bottom w:val="single" w:color="auto" w:sz="4" w:space="0"/>
              <w:right w:val="single" w:color="auto" w:sz="8" w:space="0"/>
            </w:tcBorders>
            <w:noWrap w:val="0"/>
            <w:vAlign w:val="center"/>
          </w:tcPr>
          <w:p>
            <w:pPr>
              <w:spacing w:line="2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c>
          <w:tcPr>
            <w:tcW w:w="915" w:type="dxa"/>
            <w:tcBorders>
              <w:left w:val="single" w:color="auto" w:sz="4" w:space="0"/>
              <w:bottom w:val="single" w:color="auto" w:sz="4" w:space="0"/>
              <w:right w:val="single" w:color="auto" w:sz="8" w:space="0"/>
            </w:tcBorders>
            <w:noWrap w:val="0"/>
            <w:vAlign w:val="center"/>
          </w:tcPr>
          <w:p>
            <w:pPr>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客观分</w:t>
            </w:r>
          </w:p>
        </w:tc>
      </w:tr>
      <w:tr>
        <w:tblPrEx>
          <w:tblCellMar>
            <w:top w:w="0" w:type="dxa"/>
            <w:left w:w="0" w:type="dxa"/>
            <w:bottom w:w="0" w:type="dxa"/>
            <w:right w:w="0" w:type="dxa"/>
          </w:tblCellMar>
        </w:tblPrEx>
        <w:trPr>
          <w:trHeight w:val="433" w:hRule="atLeast"/>
          <w:jc w:val="center"/>
        </w:trPr>
        <w:tc>
          <w:tcPr>
            <w:tcW w:w="8102" w:type="dxa"/>
            <w:gridSpan w:val="3"/>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highlight w:val="none"/>
              </w:rPr>
              <w:t>合计</w:t>
            </w:r>
          </w:p>
        </w:tc>
        <w:tc>
          <w:tcPr>
            <w:tcW w:w="540" w:type="dxa"/>
            <w:tcBorders>
              <w:left w:val="single" w:color="auto" w:sz="8"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915" w:type="dxa"/>
            <w:tcBorders>
              <w:left w:val="single" w:color="auto" w:sz="4" w:space="0"/>
              <w:bottom w:val="single" w:color="auto" w:sz="4" w:space="0"/>
              <w:right w:val="single" w:color="auto" w:sz="8" w:space="0"/>
            </w:tcBorders>
            <w:noWrap w:val="0"/>
            <w:vAlign w:val="center"/>
          </w:tcPr>
          <w:p>
            <w:pPr>
              <w:jc w:val="center"/>
              <w:rPr>
                <w:rFonts w:hint="eastAsia" w:ascii="仿宋" w:hAnsi="仿宋" w:eastAsia="仿宋" w:cs="仿宋"/>
                <w:color w:val="auto"/>
                <w:highlight w:val="none"/>
              </w:rPr>
            </w:pPr>
          </w:p>
        </w:tc>
      </w:tr>
    </w:tbl>
    <w:p>
      <w:pPr>
        <w:spacing w:line="360" w:lineRule="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说明：</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2-4项本项目不适用</w:t>
      </w:r>
      <w:r>
        <w:rPr>
          <w:rFonts w:hint="eastAsia" w:ascii="仿宋" w:hAnsi="仿宋" w:eastAsia="仿宋" w:cs="仿宋"/>
          <w:b/>
          <w:bCs/>
          <w:sz w:val="24"/>
          <w:szCs w:val="24"/>
          <w:highlight w:val="none"/>
          <w:lang w:eastAsia="zh-CN"/>
        </w:rPr>
        <w:t>）</w:t>
      </w:r>
    </w:p>
    <w:p>
      <w:pPr>
        <w:pStyle w:val="40"/>
        <w:spacing w:line="360" w:lineRule="auto"/>
        <w:ind w:left="0" w:firstLine="0"/>
        <w:rPr>
          <w:rFonts w:ascii="仿宋" w:hAnsi="仿宋" w:eastAsia="仿宋" w:cs="仿宋"/>
          <w:b/>
          <w:bCs/>
          <w:sz w:val="24"/>
          <w:szCs w:val="24"/>
          <w:highlight w:val="none"/>
        </w:rPr>
      </w:pPr>
      <w:r>
        <w:rPr>
          <w:rFonts w:hint="eastAsia" w:ascii="仿宋" w:hAnsi="仿宋" w:eastAsia="仿宋" w:cs="仿宋"/>
          <w:b/>
          <w:bCs/>
          <w:sz w:val="24"/>
          <w:szCs w:val="24"/>
          <w:highlight w:val="none"/>
        </w:rPr>
        <w:t>1.对国家认定的节能产品和环保产品分别给予投标价的 5%、5%价格扣除，用扣除后的价格参与评审（特别说明：节能、环保产品必须提供有效的节能产品、环境标志产品认证证书复印件）。</w:t>
      </w:r>
    </w:p>
    <w:p>
      <w:pPr>
        <w:pStyle w:val="40"/>
        <w:spacing w:line="360" w:lineRule="auto"/>
        <w:ind w:left="0" w:firstLine="0"/>
        <w:rPr>
          <w:rFonts w:ascii="仿宋" w:hAnsi="仿宋" w:eastAsia="仿宋" w:cs="仿宋"/>
          <w:b/>
          <w:bCs/>
          <w:sz w:val="24"/>
          <w:szCs w:val="24"/>
          <w:highlight w:val="none"/>
        </w:rPr>
      </w:pPr>
      <w:r>
        <w:rPr>
          <w:rFonts w:hint="eastAsia" w:ascii="仿宋" w:hAnsi="仿宋" w:eastAsia="仿宋" w:cs="仿宋"/>
          <w:b/>
          <w:bCs/>
          <w:sz w:val="24"/>
          <w:szCs w:val="24"/>
          <w:highlight w:val="none"/>
        </w:rPr>
        <w:t>2.小微企业的价格扣除</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对小型和微型企业提供的服务给予10%的扣除，用扣除后的价格参与评审。参加投标的中小企业，应当按照《政府采购促进中小企业发展管理办法》（财库〔2020〕46号）的规定提供《中小企业声明函》（服务）（中小企业划型标准详见《关于印发中小企业划型标准规定的通知》工信部联企业〔2011〕300号）。</w:t>
      </w:r>
    </w:p>
    <w:p>
      <w:pPr>
        <w:spacing w:line="360" w:lineRule="auto"/>
        <w:rPr>
          <w:rFonts w:ascii="仿宋" w:hAnsi="仿宋" w:eastAsia="仿宋" w:cs="仿宋"/>
          <w:sz w:val="24"/>
          <w:szCs w:val="24"/>
          <w:highlight w:val="none"/>
        </w:rPr>
      </w:pPr>
      <w:r>
        <w:rPr>
          <w:rFonts w:hint="eastAsia" w:ascii="仿宋" w:hAnsi="仿宋" w:eastAsia="仿宋" w:cs="仿宋"/>
          <w:b/>
          <w:bCs/>
          <w:sz w:val="24"/>
          <w:szCs w:val="24"/>
          <w:highlight w:val="none"/>
        </w:rPr>
        <w:t>3.监狱和戒毒企业的价格扣除</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3.1 本项目对监狱和戒毒企业（简称监狱企业），给予10%的价格扣除，用扣除后的价格参与评审。</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3.2 监狱企业需提供由省级以上监狱管理局、戒毒管理局（含新疆生产建设兵团）出具的属于监狱企业的证明文件。</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3.3 监狱企业标准请参照《关于政府采购支持监狱企业发展有关问题的通知》（财库〔2014〕68号）。</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4.残疾人福利性单位的价格扣除</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4.1 本项目对残疾人福利性单位，给予10%的价格扣除，用扣除后的价格参与评审。</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4.2 残疾人福利单位需按照采购文件的要求提供《残疾人福利性单位声明函》。</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4.3 残疾人福利单位标准请参照《关于促进残疾人就业政府采购政策的通知》（财库〔2017〕141号）。</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5.监狱企业、残疾人福利单位属于小型、微型企业的，不重复享受政策。</w:t>
      </w:r>
    </w:p>
    <w:p>
      <w:pPr>
        <w:spacing w:line="360" w:lineRule="auto"/>
        <w:rPr>
          <w:rFonts w:ascii="仿宋" w:hAnsi="仿宋" w:eastAsia="仿宋" w:cs="仿宋"/>
          <w:b/>
          <w:bCs/>
          <w:sz w:val="24"/>
          <w:szCs w:val="24"/>
          <w:highlight w:val="none"/>
        </w:rPr>
      </w:pPr>
    </w:p>
    <w:p>
      <w:pPr>
        <w:rPr>
          <w:rFonts w:ascii="仿宋" w:hAnsi="仿宋" w:eastAsia="仿宋" w:cs="仿宋"/>
          <w:b/>
          <w:bCs/>
          <w:sz w:val="28"/>
          <w:szCs w:val="32"/>
          <w:highlight w:val="none"/>
        </w:rPr>
      </w:pPr>
      <w:bookmarkStart w:id="42" w:name="_Toc20406"/>
      <w:r>
        <w:rPr>
          <w:rFonts w:hint="eastAsia" w:ascii="仿宋" w:hAnsi="仿宋" w:eastAsia="仿宋" w:cs="仿宋"/>
          <w:b/>
          <w:bCs/>
          <w:sz w:val="28"/>
          <w:szCs w:val="32"/>
          <w:highlight w:val="none"/>
        </w:rPr>
        <w:br w:type="page"/>
      </w:r>
    </w:p>
    <w:p>
      <w:pPr>
        <w:jc w:val="center"/>
        <w:outlineLvl w:val="0"/>
        <w:rPr>
          <w:rFonts w:ascii="仿宋" w:hAnsi="仿宋" w:eastAsia="仿宋" w:cs="仿宋"/>
          <w:b/>
          <w:bCs/>
          <w:sz w:val="28"/>
          <w:szCs w:val="32"/>
          <w:highlight w:val="none"/>
        </w:rPr>
      </w:pPr>
      <w:bookmarkStart w:id="43" w:name="_Toc2428"/>
      <w:r>
        <w:rPr>
          <w:rFonts w:hint="eastAsia" w:ascii="仿宋" w:hAnsi="仿宋" w:eastAsia="仿宋" w:cs="仿宋"/>
          <w:b/>
          <w:bCs/>
          <w:sz w:val="28"/>
          <w:szCs w:val="32"/>
          <w:highlight w:val="none"/>
        </w:rPr>
        <w:t>第四章  竞争性磋商项目需求</w:t>
      </w:r>
      <w:bookmarkEnd w:id="42"/>
      <w:bookmarkEnd w:id="43"/>
    </w:p>
    <w:p>
      <w:pPr>
        <w:spacing w:line="360" w:lineRule="auto"/>
        <w:ind w:firstLine="482" w:firstLineChars="200"/>
        <w:rPr>
          <w:rFonts w:hint="default" w:ascii="仿宋" w:hAnsi="仿宋" w:eastAsia="仿宋" w:cs="仿宋"/>
          <w:b/>
          <w:bCs/>
          <w:sz w:val="24"/>
          <w:szCs w:val="24"/>
          <w:highlight w:val="none"/>
          <w:lang w:val="en-US" w:eastAsia="zh-CN"/>
        </w:rPr>
      </w:pPr>
      <w:bookmarkStart w:id="44" w:name="_Toc1158"/>
      <w:bookmarkStart w:id="45" w:name="_Toc2148"/>
      <w:r>
        <w:rPr>
          <w:rFonts w:hint="eastAsia" w:ascii="仿宋" w:hAnsi="仿宋" w:eastAsia="仿宋" w:cs="仿宋"/>
          <w:b/>
          <w:bCs/>
          <w:sz w:val="24"/>
          <w:szCs w:val="24"/>
          <w:highlight w:val="none"/>
          <w:lang w:val="en-US" w:eastAsia="zh-CN"/>
        </w:rPr>
        <w:t>一、项目概况</w:t>
      </w:r>
    </w:p>
    <w:p>
      <w:pPr>
        <w:spacing w:line="360" w:lineRule="auto"/>
        <w:ind w:firstLine="482" w:firstLineChars="20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1.项目编号：</w:t>
      </w:r>
      <w:r>
        <w:rPr>
          <w:rFonts w:hint="eastAsia" w:ascii="仿宋" w:hAnsi="仿宋" w:eastAsia="仿宋" w:cs="仿宋"/>
          <w:sz w:val="24"/>
          <w:szCs w:val="24"/>
          <w:highlight w:val="none"/>
          <w:lang w:eastAsia="zh-CN"/>
        </w:rPr>
        <w:t>YCZX-CS-202401098</w:t>
      </w:r>
    </w:p>
    <w:p>
      <w:pPr>
        <w:spacing w:line="360" w:lineRule="auto"/>
        <w:ind w:firstLine="482" w:firstLineChars="20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2.项目名称：</w:t>
      </w:r>
      <w:r>
        <w:rPr>
          <w:rFonts w:hint="eastAsia" w:ascii="仿宋" w:hAnsi="仿宋" w:eastAsia="仿宋" w:cs="仿宋"/>
          <w:sz w:val="24"/>
          <w:szCs w:val="24"/>
          <w:highlight w:val="none"/>
          <w:lang w:eastAsia="zh-CN"/>
        </w:rPr>
        <w:t>2024年铁心桥街道尹西社区社会组织服务项目</w:t>
      </w:r>
    </w:p>
    <w:p>
      <w:pPr>
        <w:tabs>
          <w:tab w:val="left" w:pos="4830"/>
        </w:tabs>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项目</w:t>
      </w:r>
      <w:r>
        <w:rPr>
          <w:rFonts w:hint="eastAsia" w:ascii="仿宋" w:hAnsi="仿宋" w:eastAsia="仿宋" w:cs="仿宋"/>
          <w:b/>
          <w:bCs/>
          <w:sz w:val="24"/>
          <w:szCs w:val="24"/>
          <w:highlight w:val="none"/>
          <w:lang w:val="en-US" w:eastAsia="zh-CN"/>
        </w:rPr>
        <w:t>总</w:t>
      </w:r>
      <w:r>
        <w:rPr>
          <w:rFonts w:hint="eastAsia" w:ascii="仿宋" w:hAnsi="仿宋" w:eastAsia="仿宋" w:cs="仿宋"/>
          <w:b/>
          <w:bCs/>
          <w:sz w:val="24"/>
          <w:szCs w:val="24"/>
          <w:highlight w:val="none"/>
        </w:rPr>
        <w:t>预算：</w:t>
      </w: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42万</w:t>
      </w:r>
      <w:r>
        <w:rPr>
          <w:rFonts w:hint="eastAsia" w:ascii="仿宋" w:hAnsi="仿宋" w:eastAsia="仿宋" w:cs="仿宋"/>
          <w:sz w:val="24"/>
          <w:szCs w:val="24"/>
          <w:highlight w:val="none"/>
        </w:rPr>
        <w:t>元</w:t>
      </w:r>
    </w:p>
    <w:p>
      <w:pPr>
        <w:pStyle w:val="2"/>
        <w:ind w:left="0" w:leftChars="0" w:firstLine="0" w:firstLineChars="0"/>
        <w:rPr>
          <w:rFonts w:hint="default" w:eastAsia="仿宋"/>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bCs/>
          <w:kern w:val="2"/>
          <w:sz w:val="24"/>
          <w:szCs w:val="24"/>
          <w:highlight w:val="none"/>
          <w:lang w:val="en-US" w:eastAsia="zh-CN" w:bidi="ar-SA"/>
        </w:rPr>
        <w:t xml:space="preserve">  4.项目实施内容及要求</w:t>
      </w:r>
    </w:p>
    <w:tbl>
      <w:tblPr>
        <w:tblStyle w:val="23"/>
        <w:tblW w:w="9517" w:type="dxa"/>
        <w:jc w:val="center"/>
        <w:shd w:val="clear" w:color="auto" w:fill="auto"/>
        <w:tblLayout w:type="fixed"/>
        <w:tblCellMar>
          <w:top w:w="0" w:type="dxa"/>
          <w:left w:w="108" w:type="dxa"/>
          <w:bottom w:w="0" w:type="dxa"/>
          <w:right w:w="108" w:type="dxa"/>
        </w:tblCellMar>
      </w:tblPr>
      <w:tblGrid>
        <w:gridCol w:w="788"/>
        <w:gridCol w:w="1268"/>
        <w:gridCol w:w="2768"/>
        <w:gridCol w:w="4693"/>
      </w:tblGrid>
      <w:tr>
        <w:tblPrEx>
          <w:shd w:val="clear" w:color="auto" w:fill="auto"/>
          <w:tblCellMar>
            <w:top w:w="0" w:type="dxa"/>
            <w:left w:w="108" w:type="dxa"/>
            <w:bottom w:w="0" w:type="dxa"/>
            <w:right w:w="108" w:type="dxa"/>
          </w:tblCellMar>
        </w:tblPrEx>
        <w:trPr>
          <w:trHeight w:val="800" w:hRule="atLeast"/>
          <w:tblHeader/>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仿宋_GB2312" w:hAnsi="仿宋_GB2312" w:eastAsia="仿宋_GB2312" w:cs="仿宋_GB2312"/>
                <w:b/>
                <w:bCs/>
                <w:i w:val="0"/>
                <w:iCs w:val="0"/>
                <w:color w:val="auto"/>
                <w:sz w:val="24"/>
                <w:szCs w:val="24"/>
                <w:highlight w:val="none"/>
                <w:u w:val="none"/>
                <w:lang w:val="en-US"/>
              </w:rPr>
            </w:pPr>
            <w:r>
              <w:rPr>
                <w:rFonts w:hint="eastAsia" w:ascii="仿宋_GB2312" w:hAnsi="仿宋_GB2312" w:eastAsia="仿宋_GB2312" w:cs="仿宋_GB2312"/>
                <w:b/>
                <w:bCs/>
                <w:i w:val="0"/>
                <w:iCs w:val="0"/>
                <w:color w:val="auto"/>
                <w:kern w:val="0"/>
                <w:sz w:val="24"/>
                <w:szCs w:val="24"/>
                <w:highlight w:val="none"/>
                <w:u w:val="none"/>
                <w:lang w:val="en-US" w:eastAsia="zh-CN" w:bidi="ar"/>
              </w:rPr>
              <w:t>标包名称</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标包内容</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仿宋_GB2312" w:hAnsi="仿宋_GB2312" w:eastAsia="仿宋_GB2312" w:cs="仿宋_GB2312"/>
                <w:b/>
                <w:bCs/>
                <w:i w:val="0"/>
                <w:iCs w:val="0"/>
                <w:color w:val="auto"/>
                <w:sz w:val="24"/>
                <w:szCs w:val="24"/>
                <w:highlight w:val="none"/>
                <w:u w:val="none"/>
                <w:lang w:val="en-US" w:eastAsia="zh-CN"/>
              </w:rPr>
            </w:pPr>
            <w:r>
              <w:rPr>
                <w:rFonts w:hint="eastAsia" w:ascii="仿宋_GB2312" w:hAnsi="仿宋_GB2312" w:eastAsia="仿宋_GB2312" w:cs="仿宋_GB2312"/>
                <w:b/>
                <w:bCs/>
                <w:i w:val="0"/>
                <w:iCs w:val="0"/>
                <w:color w:val="auto"/>
                <w:sz w:val="24"/>
                <w:szCs w:val="24"/>
                <w:highlight w:val="none"/>
                <w:u w:val="none"/>
                <w:lang w:val="en-US" w:eastAsia="zh-CN"/>
              </w:rPr>
              <w:t>具体要求</w:t>
            </w:r>
          </w:p>
        </w:tc>
      </w:tr>
      <w:tr>
        <w:tblPrEx>
          <w:shd w:val="clear" w:color="auto" w:fill="auto"/>
          <w:tblCellMar>
            <w:top w:w="0" w:type="dxa"/>
            <w:left w:w="108" w:type="dxa"/>
            <w:bottom w:w="0" w:type="dxa"/>
            <w:right w:w="108" w:type="dxa"/>
          </w:tblCellMar>
        </w:tblPrEx>
        <w:trPr>
          <w:trHeight w:val="95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仿宋_GB2312" w:hAnsi="仿宋_GB2312" w:eastAsia="仿宋_GB2312" w:cs="仿宋_GB2312"/>
                <w:b/>
                <w:bCs/>
                <w:i w:val="0"/>
                <w:iCs w:val="0"/>
                <w:color w:val="auto"/>
                <w:sz w:val="24"/>
                <w:szCs w:val="24"/>
                <w:highlight w:val="none"/>
                <w:u w:val="none"/>
                <w:lang w:eastAsia="zh-CN"/>
              </w:rPr>
            </w:pPr>
            <w:r>
              <w:rPr>
                <w:rFonts w:hint="default" w:ascii="仿宋_GB2312" w:hAnsi="仿宋_GB2312" w:eastAsia="仿宋_GB2312" w:cs="仿宋_GB2312"/>
                <w:b w:val="0"/>
                <w:bCs w:val="0"/>
                <w:i w:val="0"/>
                <w:iCs w:val="0"/>
                <w:color w:val="auto"/>
                <w:sz w:val="24"/>
                <w:szCs w:val="24"/>
                <w:highlight w:val="none"/>
                <w:u w:val="none"/>
                <w:lang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before="54" w:after="54" w:line="24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kern w:val="2"/>
                <w:sz w:val="24"/>
                <w:szCs w:val="24"/>
                <w:highlight w:val="none"/>
                <w:lang w:val="en-US" w:eastAsia="zh-CN" w:bidi="ar-SA"/>
              </w:rPr>
              <w:t>尹西社区为少服务项目</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480" w:firstLineChars="200"/>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为培养辖区青少年对传统文化的兴趣和热爱，激发他们对南京本土传统文化的自豪感和认同感，从而引导辖区青少年树立社区“小主人”意识，积极参与到社区建设发展事务当中。</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一、常規主題活动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根据社区青少年身心发展特点和需求，结合社区新时代文明实践站</w:t>
            </w:r>
            <w:r>
              <w:rPr>
                <w:rFonts w:hint="eastAsia" w:ascii="仿宋" w:hAnsi="仿宋" w:eastAsia="仿宋" w:cs="仿宋"/>
                <w:b w:val="0"/>
                <w:bCs w:val="0"/>
                <w:sz w:val="24"/>
                <w:szCs w:val="24"/>
                <w:highlight w:val="none"/>
                <w:lang w:val="en-US" w:eastAsia="zh-Hans"/>
              </w:rPr>
              <w:t>服务</w:t>
            </w:r>
            <w:r>
              <w:rPr>
                <w:rFonts w:hint="eastAsia" w:ascii="仿宋" w:hAnsi="仿宋" w:eastAsia="仿宋" w:cs="仿宋"/>
                <w:b w:val="0"/>
                <w:bCs w:val="0"/>
                <w:sz w:val="24"/>
                <w:szCs w:val="24"/>
                <w:highlight w:val="none"/>
                <w:lang w:val="en-US" w:eastAsia="zh-CN"/>
              </w:rPr>
              <w:t>要求，以南京民俗为主题，融合社区治理，精心设计活动内容和方式，让社区青少年知行结合开展主题活动，全年共计19场。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二、儿童议事参与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在日常儿童服务基础上，探索儿童参与社区治理的有效渠道，成立尹西社区“小当家”儿童议事会，加速“小当家”理念融入社区治理。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三、特色营期活动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围绕南京老城南文化背景，带领青少年研究性自主探索城南文化及趣事，开展主题夏令营1期，共7天。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四、规范项目管理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严格按照社区社会组织项目管理的要求，规范活动管理、財务管理等，常态做好项目管理，完善活动方案、活动照片、签到表、品牌推广、財务明细等台账资料。</w:t>
            </w:r>
          </w:p>
        </w:tc>
      </w:tr>
      <w:tr>
        <w:tblPrEx>
          <w:shd w:val="clear" w:color="auto" w:fill="auto"/>
          <w:tblCellMar>
            <w:top w:w="0" w:type="dxa"/>
            <w:left w:w="108" w:type="dxa"/>
            <w:bottom w:w="0" w:type="dxa"/>
            <w:right w:w="108" w:type="dxa"/>
          </w:tblCellMar>
        </w:tblPrEx>
        <w:trPr>
          <w:trHeight w:val="953"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highlight w:val="none"/>
                <w:u w:val="none"/>
              </w:rPr>
            </w:pPr>
            <w:r>
              <w:rPr>
                <w:rFonts w:hint="eastAsia" w:ascii="仿宋_GB2312" w:hAnsi="仿宋_GB2312" w:eastAsia="仿宋_GB2312" w:cs="仿宋_GB2312"/>
                <w:b w:val="0"/>
                <w:bCs w:val="0"/>
                <w:i w:val="0"/>
                <w:iCs w:val="0"/>
                <w:color w:val="auto"/>
                <w:sz w:val="24"/>
                <w:szCs w:val="24"/>
                <w:highlight w:val="none"/>
                <w:u w:val="none"/>
                <w:lang w:val="en-US" w:eastAsia="zh-CN"/>
              </w:rPr>
              <w:t>2</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尹西社区为老服务项目</w:t>
            </w:r>
          </w:p>
          <w:p>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center"/>
              <w:rPr>
                <w:rFonts w:hint="eastAsia" w:ascii="仿宋" w:hAnsi="仿宋" w:eastAsia="仿宋" w:cs="仿宋"/>
                <w:b w:val="0"/>
                <w:bCs w:val="0"/>
                <w:kern w:val="2"/>
                <w:sz w:val="24"/>
                <w:szCs w:val="24"/>
                <w:highlight w:val="none"/>
                <w:lang w:val="en-US" w:eastAsia="zh-Hans" w:bidi="ar-SA"/>
              </w:rPr>
            </w:pPr>
          </w:p>
          <w:p>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center"/>
              <w:rPr>
                <w:rFonts w:hint="eastAsia" w:ascii="仿宋" w:hAnsi="仿宋" w:eastAsia="仿宋" w:cs="仿宋"/>
                <w:b w:val="0"/>
                <w:bCs w:val="0"/>
                <w:kern w:val="2"/>
                <w:sz w:val="24"/>
                <w:szCs w:val="24"/>
                <w:highlight w:val="none"/>
                <w:lang w:val="en-US" w:eastAsia="zh-Hans" w:bidi="ar-SA"/>
              </w:rPr>
            </w:pP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bidi w:val="0"/>
              <w:adjustRightInd/>
              <w:snapToGrid/>
              <w:spacing w:line="240" w:lineRule="auto"/>
              <w:ind w:firstLine="240" w:firstLineChars="100"/>
              <w:jc w:val="both"/>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  以社区老年人需求为导向，结合社区特色文化，为社区老人提供各项基本服务及群体性服务，满足社区老年人基本生活及精神服务需求，为其提供健康管理、精神关爱、老年文体等活动。通过开展丰富多彩的便民服务活动，营造社区助老为老的良好氛围。</w:t>
            </w:r>
          </w:p>
          <w:p>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both"/>
              <w:rPr>
                <w:rFonts w:hint="eastAsia" w:ascii="仿宋" w:hAnsi="仿宋" w:eastAsia="仿宋" w:cs="仿宋"/>
                <w:kern w:val="2"/>
                <w:sz w:val="24"/>
                <w:szCs w:val="24"/>
                <w:highlight w:val="none"/>
                <w:lang w:val="en-US" w:eastAsia="zh-Hans" w:bidi="ar-SA"/>
              </w:rPr>
            </w:pPr>
          </w:p>
          <w:p>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both"/>
              <w:rPr>
                <w:rFonts w:hint="eastAsia" w:ascii="仿宋" w:hAnsi="仿宋" w:eastAsia="仿宋" w:cs="仿宋"/>
                <w:kern w:val="2"/>
                <w:sz w:val="24"/>
                <w:szCs w:val="24"/>
                <w:highlight w:val="none"/>
                <w:lang w:val="en-US" w:eastAsia="zh-Hans" w:bidi="ar-SA"/>
              </w:rPr>
            </w:pPr>
          </w:p>
        </w:tc>
        <w:tc>
          <w:tcPr>
            <w:tcW w:w="4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bCs/>
                <w:color w:val="000000"/>
                <w:sz w:val="24"/>
                <w:szCs w:val="24"/>
                <w:highlight w:val="none"/>
                <w:lang w:val="en-US" w:eastAsia="zh-Hans"/>
              </w:rPr>
            </w:pPr>
            <w:r>
              <w:rPr>
                <w:rFonts w:hint="eastAsia" w:ascii="仿宋" w:hAnsi="仿宋" w:eastAsia="仿宋" w:cs="仿宋"/>
                <w:b/>
                <w:bCs/>
                <w:color w:val="000000"/>
                <w:sz w:val="24"/>
                <w:szCs w:val="24"/>
                <w:highlight w:val="none"/>
                <w:lang w:val="en-US" w:eastAsia="zh-Hans"/>
              </w:rPr>
              <w:t>一、常规活动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1.老年健康管理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（1）每周在家门口小屋开展便民服务</w:t>
            </w:r>
            <w:r>
              <w:rPr>
                <w:rFonts w:hint="default" w:ascii="仿宋" w:hAnsi="仿宋" w:eastAsia="仿宋" w:cs="仿宋"/>
                <w:b w:val="0"/>
                <w:bCs w:val="0"/>
                <w:color w:val="000000"/>
                <w:sz w:val="24"/>
                <w:szCs w:val="24"/>
                <w:highlight w:val="none"/>
                <w:lang w:eastAsia="zh-Hans"/>
              </w:rPr>
              <w:t>，</w:t>
            </w:r>
            <w:r>
              <w:rPr>
                <w:rFonts w:hint="eastAsia" w:ascii="仿宋" w:hAnsi="仿宋" w:eastAsia="仿宋" w:cs="仿宋"/>
                <w:b w:val="0"/>
                <w:bCs w:val="0"/>
                <w:color w:val="000000"/>
                <w:sz w:val="24"/>
                <w:szCs w:val="24"/>
                <w:highlight w:val="none"/>
                <w:lang w:val="en-US" w:eastAsia="zh-Hans"/>
              </w:rPr>
              <w:t>全年计48场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（2）每月在辖区小区开展一场便民服务</w:t>
            </w:r>
            <w:r>
              <w:rPr>
                <w:rFonts w:hint="default" w:ascii="仿宋" w:hAnsi="仿宋" w:eastAsia="仿宋" w:cs="仿宋"/>
                <w:b w:val="0"/>
                <w:bCs w:val="0"/>
                <w:color w:val="000000"/>
                <w:sz w:val="24"/>
                <w:szCs w:val="24"/>
                <w:highlight w:val="none"/>
                <w:lang w:eastAsia="zh-Hans"/>
              </w:rPr>
              <w:t>，</w:t>
            </w:r>
            <w:r>
              <w:rPr>
                <w:rFonts w:hint="eastAsia" w:ascii="仿宋" w:hAnsi="仿宋" w:eastAsia="仿宋" w:cs="仿宋"/>
                <w:b w:val="0"/>
                <w:bCs w:val="0"/>
                <w:color w:val="000000"/>
                <w:sz w:val="24"/>
                <w:szCs w:val="24"/>
                <w:highlight w:val="none"/>
                <w:lang w:val="en-US" w:eastAsia="zh-Hans"/>
              </w:rPr>
              <w:t>全年计12场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2.老年精神关爱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（1）重点关注高龄、独居、行动不便等困难老人，每周进行上门关爱探访，与他们交流沟通，倾听他们的心声，给予他们必要的关心和支持。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（2）节日上门探访，为重点人群老人送上关心和祝福。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（3）为重点人群老人建立健康档案，为他们提供更加个性化、专业化的健康管理服务。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bCs/>
                <w:color w:val="000000"/>
                <w:sz w:val="24"/>
                <w:szCs w:val="24"/>
                <w:highlight w:val="none"/>
                <w:lang w:val="en-US" w:eastAsia="zh-Hans"/>
              </w:rPr>
            </w:pPr>
            <w:r>
              <w:rPr>
                <w:rFonts w:hint="eastAsia" w:ascii="仿宋" w:hAnsi="仿宋" w:eastAsia="仿宋" w:cs="仿宋"/>
                <w:b/>
                <w:bCs/>
                <w:color w:val="000000"/>
                <w:sz w:val="24"/>
                <w:szCs w:val="24"/>
                <w:highlight w:val="none"/>
                <w:lang w:val="en-US" w:eastAsia="zh-Hans"/>
              </w:rPr>
              <w:t>二、规范项目管理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sz w:val="24"/>
                <w:szCs w:val="24"/>
                <w:highlight w:val="none"/>
                <w:lang w:val="en-US" w:eastAsia="zh-Hans"/>
              </w:rPr>
            </w:pPr>
            <w:r>
              <w:rPr>
                <w:rFonts w:hint="eastAsia" w:ascii="仿宋" w:hAnsi="仿宋" w:eastAsia="仿宋" w:cs="仿宋"/>
                <w:b w:val="0"/>
                <w:bCs w:val="0"/>
                <w:color w:val="000000"/>
                <w:sz w:val="24"/>
                <w:szCs w:val="24"/>
                <w:highlight w:val="none"/>
                <w:lang w:val="en-US" w:eastAsia="zh-Hans"/>
              </w:rPr>
              <w:t>严格按照社区社会组织项目管理的要求，规范活动管理、财务管理等，常态做好项目管理，完善活动方案、活动照片、签到表、品牌推广、财务明细等台账资料。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bCs/>
                <w:color w:val="000000"/>
                <w:sz w:val="24"/>
                <w:szCs w:val="24"/>
                <w:highlight w:val="none"/>
                <w:lang w:val="en-US" w:eastAsia="zh-Hans"/>
              </w:rPr>
            </w:pPr>
            <w:r>
              <w:rPr>
                <w:rFonts w:hint="eastAsia" w:ascii="仿宋" w:hAnsi="仿宋" w:eastAsia="仿宋" w:cs="仿宋"/>
                <w:b/>
                <w:bCs/>
                <w:color w:val="000000"/>
                <w:sz w:val="24"/>
                <w:szCs w:val="24"/>
                <w:highlight w:val="none"/>
                <w:lang w:val="en-US" w:eastAsia="zh-Hans"/>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i/>
                <w:color w:val="5B9BD5"/>
                <w:kern w:val="0"/>
                <w:sz w:val="24"/>
                <w:szCs w:val="24"/>
                <w:highlight w:val="none"/>
                <w:lang w:val="en-US" w:eastAsia="zh-Hans" w:bidi="en-US"/>
              </w:rPr>
            </w:pPr>
            <w:r>
              <w:rPr>
                <w:rFonts w:hint="eastAsia" w:ascii="仿宋" w:hAnsi="仿宋" w:eastAsia="仿宋" w:cs="仿宋"/>
                <w:b w:val="0"/>
                <w:bCs w:val="0"/>
                <w:color w:val="000000"/>
                <w:sz w:val="24"/>
                <w:szCs w:val="24"/>
                <w:highlight w:val="none"/>
                <w:lang w:val="en-US" w:eastAsia="zh-Hans"/>
              </w:rPr>
              <w:t>在实际服务过程中，根据社区需求做出相应调整，并及时进行备案。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i/>
                <w:color w:val="5B9BD5"/>
                <w:kern w:val="0"/>
                <w:sz w:val="24"/>
                <w:szCs w:val="24"/>
                <w:highlight w:val="none"/>
                <w:lang w:eastAsia="zh-Hans" w:bidi="en-US"/>
              </w:rPr>
            </w:pPr>
          </w:p>
        </w:tc>
      </w:tr>
      <w:tr>
        <w:tblPrEx>
          <w:shd w:val="clear" w:color="auto" w:fill="auto"/>
          <w:tblCellMar>
            <w:top w:w="0" w:type="dxa"/>
            <w:left w:w="108" w:type="dxa"/>
            <w:bottom w:w="0" w:type="dxa"/>
            <w:right w:w="108" w:type="dxa"/>
          </w:tblCellMar>
        </w:tblPrEx>
        <w:trPr>
          <w:trHeight w:val="575"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center"/>
              <w:rPr>
                <w:rFonts w:hint="eastAsia" w:ascii="仿宋_GB2312" w:hAnsi="仿宋_GB2312" w:eastAsia="仿宋_GB2312" w:cs="仿宋_GB2312"/>
                <w:b/>
                <w:bCs/>
                <w:i w:val="0"/>
                <w:iCs w:val="0"/>
                <w:color w:val="auto"/>
                <w:kern w:val="2"/>
                <w:sz w:val="24"/>
                <w:szCs w:val="24"/>
                <w:highlight w:val="none"/>
                <w:u w:val="none"/>
                <w:lang w:val="en-US" w:eastAsia="zh-CN" w:bidi="ar-SA"/>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b/>
                <w:bCs/>
                <w:i w:val="0"/>
                <w:iCs w:val="0"/>
                <w:color w:val="auto"/>
                <w:sz w:val="24"/>
                <w:szCs w:val="24"/>
                <w:highlight w:val="none"/>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both"/>
              <w:rPr>
                <w:rFonts w:hint="eastAsia" w:ascii="仿宋" w:hAnsi="仿宋" w:eastAsia="仿宋" w:cs="仿宋"/>
                <w:i w:val="0"/>
                <w:iCs w:val="0"/>
                <w:color w:val="auto"/>
                <w:sz w:val="24"/>
                <w:szCs w:val="24"/>
                <w:highlight w:val="none"/>
                <w:u w:val="none"/>
              </w:rPr>
            </w:pPr>
          </w:p>
        </w:tc>
        <w:tc>
          <w:tcPr>
            <w:tcW w:w="46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b/>
                <w:bCs/>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596"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center"/>
              <w:rPr>
                <w:rFonts w:hint="default" w:ascii="仿宋_GB2312" w:hAnsi="仿宋_GB2312" w:eastAsia="仿宋_GB2312" w:cs="仿宋_GB2312"/>
                <w:b w:val="0"/>
                <w:bCs w:val="0"/>
                <w:i w:val="0"/>
                <w:iCs w:val="0"/>
                <w:color w:val="auto"/>
                <w:kern w:val="2"/>
                <w:sz w:val="24"/>
                <w:szCs w:val="24"/>
                <w:highlight w:val="none"/>
                <w:u w:val="none"/>
                <w:lang w:eastAsia="zh-CN" w:bidi="ar-SA"/>
              </w:rPr>
            </w:pPr>
            <w:r>
              <w:rPr>
                <w:rFonts w:hint="default" w:ascii="仿宋_GB2312" w:hAnsi="仿宋_GB2312" w:eastAsia="仿宋_GB2312" w:cs="仿宋_GB2312"/>
                <w:b w:val="0"/>
                <w:bCs w:val="0"/>
                <w:i w:val="0"/>
                <w:iCs w:val="0"/>
                <w:color w:val="auto"/>
                <w:kern w:val="2"/>
                <w:sz w:val="24"/>
                <w:szCs w:val="24"/>
                <w:highlight w:val="none"/>
                <w:u w:val="none"/>
                <w:lang w:eastAsia="zh-CN" w:bidi="ar-SA"/>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before="54" w:after="54" w:line="240" w:lineRule="auto"/>
              <w:jc w:val="center"/>
              <w:rPr>
                <w:rFonts w:hint="eastAsia" w:ascii="仿宋" w:hAnsi="仿宋" w:eastAsia="仿宋" w:cs="仿宋"/>
                <w:b w:val="0"/>
                <w:bCs w:val="0"/>
                <w:color w:val="auto"/>
                <w:kern w:val="2"/>
                <w:sz w:val="24"/>
                <w:szCs w:val="24"/>
                <w:highlight w:val="none"/>
                <w:vertAlign w:val="baseline"/>
                <w:lang w:val="en-US" w:eastAsia="zh-Hans" w:bidi="ar-SA"/>
              </w:rPr>
            </w:pPr>
            <w:r>
              <w:rPr>
                <w:rFonts w:hint="eastAsia" w:ascii="仿宋" w:hAnsi="仿宋" w:eastAsia="仿宋" w:cs="仿宋"/>
                <w:kern w:val="2"/>
                <w:sz w:val="24"/>
                <w:szCs w:val="24"/>
                <w:highlight w:val="none"/>
                <w:lang w:val="en-US" w:eastAsia="zh-CN" w:bidi="ar-SA"/>
              </w:rPr>
              <w:t>尹西社区文化服务项目</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ind w:firstLine="480" w:firstLineChars="200"/>
              <w:jc w:val="both"/>
              <w:rPr>
                <w:rFonts w:hint="eastAsia" w:ascii="仿宋" w:hAnsi="仿宋" w:eastAsia="仿宋" w:cs="仿宋"/>
                <w:color w:val="000000"/>
                <w:kern w:val="2"/>
                <w:sz w:val="24"/>
                <w:szCs w:val="24"/>
                <w:highlight w:val="none"/>
                <w:lang w:val="en-US" w:eastAsia="zh-Hans" w:bidi="ar-SA"/>
              </w:rPr>
            </w:pPr>
            <w:r>
              <w:rPr>
                <w:rFonts w:hint="eastAsia" w:ascii="仿宋" w:hAnsi="仿宋" w:eastAsia="仿宋" w:cs="仿宋"/>
                <w:color w:val="000000"/>
                <w:kern w:val="2"/>
                <w:sz w:val="24"/>
                <w:szCs w:val="24"/>
                <w:highlight w:val="none"/>
                <w:lang w:val="en-US" w:eastAsia="zh-CN" w:bidi="ar-SA"/>
              </w:rPr>
              <w:t xml:space="preserve"> 围绕“邻聚里”核心服务内涵，对尹西社区文化服务品牌进一步进行凝练，在满足居民多元文化需求的同时，打造家门口的邻里文化服务圈，打通文化服务的最后一公里，推动家门口的文化服务建设，实现为民文化服务“零距离”。</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一、传统课堂</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弘扬中国传统文化、民俗文化，结合端午、中秋、春节等传统节日，开展相关主题服务，全年不少于4次；</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二、美育课程</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围绕社区不同群体的多元化文化需求，引</w:t>
            </w:r>
            <w:r>
              <w:rPr>
                <w:rFonts w:hint="eastAsia" w:ascii="仿宋" w:hAnsi="仿宋" w:eastAsia="仿宋" w:cs="仿宋"/>
                <w:sz w:val="24"/>
                <w:szCs w:val="24"/>
                <w:highlight w:val="none"/>
                <w:lang w:val="en-US" w:eastAsia="zh-Hans"/>
              </w:rPr>
              <w:t>入</w:t>
            </w:r>
            <w:r>
              <w:rPr>
                <w:rFonts w:hint="eastAsia" w:ascii="仿宋" w:hAnsi="仿宋" w:eastAsia="仿宋" w:cs="仿宋"/>
                <w:sz w:val="24"/>
                <w:szCs w:val="24"/>
                <w:highlight w:val="none"/>
                <w:lang w:val="en-US" w:eastAsia="zh-CN"/>
              </w:rPr>
              <w:t>优质的美育资源，通过各类美学载体，</w:t>
            </w:r>
            <w:r>
              <w:rPr>
                <w:rFonts w:hint="eastAsia" w:ascii="仿宋" w:hAnsi="仿宋" w:eastAsia="仿宋" w:cs="仿宋"/>
                <w:sz w:val="24"/>
                <w:szCs w:val="24"/>
                <w:highlight w:val="none"/>
                <w:lang w:val="en-US" w:eastAsia="zh-Hans"/>
              </w:rPr>
              <w:t>积极</w:t>
            </w:r>
            <w:r>
              <w:rPr>
                <w:rFonts w:hint="eastAsia" w:ascii="仿宋" w:hAnsi="仿宋" w:eastAsia="仿宋" w:cs="仿宋"/>
                <w:sz w:val="24"/>
                <w:szCs w:val="24"/>
                <w:highlight w:val="none"/>
                <w:lang w:val="en-US" w:eastAsia="zh-CN"/>
              </w:rPr>
              <w:t>探索社区美育</w:t>
            </w:r>
            <w:r>
              <w:rPr>
                <w:rFonts w:hint="eastAsia" w:ascii="仿宋" w:hAnsi="仿宋" w:eastAsia="仿宋" w:cs="仿宋"/>
                <w:sz w:val="24"/>
                <w:szCs w:val="24"/>
                <w:highlight w:val="none"/>
                <w:lang w:val="en-US" w:eastAsia="zh-Hans"/>
              </w:rPr>
              <w:t>服务</w:t>
            </w:r>
            <w:r>
              <w:rPr>
                <w:rFonts w:hint="eastAsia" w:ascii="仿宋" w:hAnsi="仿宋" w:eastAsia="仿宋" w:cs="仿宋"/>
                <w:sz w:val="24"/>
                <w:szCs w:val="24"/>
                <w:highlight w:val="none"/>
                <w:lang w:val="en-US" w:eastAsia="zh-CN"/>
              </w:rPr>
              <w:t>的新样式，全年不少于4次；</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三、多元市集</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积极回应居民群众美好生活</w:t>
            </w:r>
            <w:r>
              <w:rPr>
                <w:rFonts w:hint="eastAsia" w:ascii="仿宋" w:hAnsi="仿宋" w:eastAsia="仿宋" w:cs="仿宋"/>
                <w:sz w:val="24"/>
                <w:szCs w:val="24"/>
                <w:highlight w:val="none"/>
                <w:lang w:val="en-US" w:eastAsia="zh-Hans"/>
              </w:rPr>
              <w:t>的</w:t>
            </w:r>
            <w:r>
              <w:rPr>
                <w:rFonts w:hint="eastAsia" w:ascii="仿宋" w:hAnsi="仿宋" w:eastAsia="仿宋" w:cs="仿宋"/>
                <w:sz w:val="24"/>
                <w:szCs w:val="24"/>
                <w:highlight w:val="none"/>
                <w:lang w:val="en-US" w:eastAsia="zh-CN"/>
              </w:rPr>
              <w:t>需求，聚焦</w:t>
            </w:r>
            <w:r>
              <w:rPr>
                <w:rFonts w:hint="eastAsia" w:ascii="仿宋" w:hAnsi="仿宋" w:eastAsia="仿宋" w:cs="仿宋"/>
                <w:sz w:val="24"/>
                <w:szCs w:val="24"/>
                <w:highlight w:val="none"/>
                <w:lang w:val="en-US" w:eastAsia="zh-Hans"/>
              </w:rPr>
              <w:t>居民</w:t>
            </w:r>
            <w:r>
              <w:rPr>
                <w:rFonts w:hint="eastAsia" w:ascii="仿宋" w:hAnsi="仿宋" w:eastAsia="仿宋" w:cs="仿宋"/>
                <w:sz w:val="24"/>
                <w:szCs w:val="24"/>
                <w:highlight w:val="none"/>
                <w:lang w:val="en-US" w:eastAsia="zh-CN"/>
              </w:rPr>
              <w:t>生活的不同场景，开展贴近居民群众生活的市集服务，具体根据社区需求开展；</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四、品牌提升</w:t>
            </w:r>
          </w:p>
          <w:p>
            <w:pPr>
              <w:keepNext w:val="0"/>
              <w:keepLines w:val="0"/>
              <w:pageBreakBefore w:val="0"/>
              <w:kinsoku/>
              <w:wordWrap/>
              <w:overflowPunct/>
              <w:topLinePunct w:val="0"/>
              <w:bidi w:val="0"/>
              <w:adjustRightInd/>
              <w:snapToGrid/>
              <w:spacing w:line="24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凝练尹西文化服务的核心内涵，突出项目重点和成效，形成文化展示角，文化展示角根据项目服务</w:t>
            </w:r>
            <w:r>
              <w:rPr>
                <w:rFonts w:hint="eastAsia" w:ascii="仿宋" w:hAnsi="仿宋" w:eastAsia="仿宋" w:cs="仿宋"/>
                <w:sz w:val="24"/>
                <w:szCs w:val="24"/>
                <w:highlight w:val="none"/>
                <w:lang w:val="en-US" w:eastAsia="zh-Hans"/>
              </w:rPr>
              <w:t>内容</w:t>
            </w:r>
            <w:r>
              <w:rPr>
                <w:rFonts w:hint="eastAsia" w:ascii="仿宋" w:hAnsi="仿宋" w:eastAsia="仿宋" w:cs="仿宋"/>
                <w:sz w:val="24"/>
                <w:szCs w:val="24"/>
                <w:highlight w:val="none"/>
                <w:lang w:val="en-US" w:eastAsia="zh-CN"/>
              </w:rPr>
              <w:t>动态更新。</w:t>
            </w:r>
          </w:p>
        </w:tc>
      </w:tr>
      <w:tr>
        <w:tblPrEx>
          <w:shd w:val="clear" w:color="auto" w:fill="auto"/>
          <w:tblCellMar>
            <w:top w:w="0" w:type="dxa"/>
            <w:left w:w="108" w:type="dxa"/>
            <w:bottom w:w="0" w:type="dxa"/>
            <w:right w:w="108" w:type="dxa"/>
          </w:tblCellMar>
        </w:tblPrEx>
        <w:trPr>
          <w:trHeight w:val="356"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240" w:lineRule="auto"/>
              <w:jc w:val="center"/>
              <w:rPr>
                <w:rFonts w:hint="default" w:ascii="仿宋_GB2312" w:hAnsi="仿宋_GB2312" w:eastAsia="仿宋_GB2312" w:cs="仿宋_GB2312"/>
                <w:b/>
                <w:bCs/>
                <w:i w:val="0"/>
                <w:iCs w:val="0"/>
                <w:color w:val="auto"/>
                <w:kern w:val="2"/>
                <w:sz w:val="24"/>
                <w:szCs w:val="24"/>
                <w:highlight w:val="none"/>
                <w:u w:val="none"/>
                <w:lang w:eastAsia="zh-CN" w:bidi="ar-SA"/>
              </w:rPr>
            </w:pPr>
            <w:r>
              <w:rPr>
                <w:rFonts w:hint="default" w:ascii="仿宋_GB2312" w:hAnsi="仿宋_GB2312" w:eastAsia="仿宋_GB2312" w:cs="仿宋_GB2312"/>
                <w:b/>
                <w:bCs/>
                <w:i w:val="0"/>
                <w:iCs w:val="0"/>
                <w:color w:val="auto"/>
                <w:kern w:val="2"/>
                <w:sz w:val="24"/>
                <w:szCs w:val="24"/>
                <w:highlight w:val="none"/>
                <w:u w:val="none"/>
                <w:lang w:eastAsia="zh-CN" w:bidi="ar-SA"/>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before="54" w:after="54" w:line="240" w:lineRule="auto"/>
              <w:jc w:val="center"/>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CN" w:bidi="ar-SA"/>
              </w:rPr>
              <w:t>尹西社区社区治理项目</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numPr>
                <w:ilvl w:val="0"/>
                <w:numId w:val="0"/>
              </w:numPr>
              <w:kinsoku/>
              <w:wordWrap/>
              <w:overflowPunct/>
              <w:topLinePunct w:val="0"/>
              <w:bidi w:val="0"/>
              <w:adjustRightInd/>
              <w:snapToGrid/>
              <w:spacing w:line="240" w:lineRule="auto"/>
              <w:ind w:left="0" w:leftChars="0" w:firstLine="0" w:firstLineChars="0"/>
              <w:jc w:val="left"/>
              <w:rPr>
                <w:rFonts w:hint="eastAsia" w:ascii="仿宋" w:hAnsi="仿宋" w:eastAsia="仿宋" w:cs="仿宋"/>
                <w:kern w:val="2"/>
                <w:sz w:val="24"/>
                <w:szCs w:val="24"/>
                <w:highlight w:val="none"/>
                <w:lang w:val="en-US" w:eastAsia="zh-Hans" w:bidi="ar-SA"/>
              </w:rPr>
            </w:pPr>
            <w:r>
              <w:rPr>
                <w:rFonts w:hint="eastAsia" w:ascii="仿宋" w:hAnsi="仿宋" w:eastAsia="仿宋" w:cs="仿宋"/>
                <w:color w:val="auto"/>
                <w:sz w:val="24"/>
                <w:szCs w:val="24"/>
                <w:highlight w:val="none"/>
                <w:lang w:val="en-US" w:eastAsia="zh-Hans"/>
              </w:rPr>
              <w:t xml:space="preserve">    以社区需求为导向，将各方资源紧密的联系起来，引导多元主体参与社会治理，发挥共建单位、新就业群体、党员志愿者在社区治理中的作用，有效提升社区治理效能。</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一、探索社区服务品牌</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综合社区重点工作和特色工作，发掘社区服务亮点，适时开展社区品牌研讨会议，对社区工作提出指导性建议，全年共2次。</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二、推动多元主体参与社区治理</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在社区现有网格化工作基础上，发挥共建单位、新就业群体、党员志愿者、居民骨干等作用，搭建多方参与平台，多层面、多角度、全方位地促进相关主体参与社区治理，全年开展不少于12次。</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三、提升网格服务管理能力</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进一步优化网格化管理队伍，开展相关主题培训，为网格化治理赋能增效，提高网格服务人员综合业务能力和水平，打造高效专业的网格</w:t>
            </w:r>
            <w:r>
              <w:rPr>
                <w:rFonts w:hint="eastAsia" w:ascii="仿宋" w:hAnsi="仿宋" w:eastAsia="仿宋" w:cs="仿宋"/>
                <w:sz w:val="24"/>
                <w:szCs w:val="24"/>
                <w:highlight w:val="none"/>
                <w:lang w:val="en-US" w:eastAsia="zh-Hans"/>
              </w:rPr>
              <w:t>服务</w:t>
            </w:r>
            <w:r>
              <w:rPr>
                <w:rFonts w:hint="eastAsia" w:ascii="仿宋" w:hAnsi="仿宋" w:eastAsia="仿宋" w:cs="仿宋"/>
                <w:sz w:val="24"/>
                <w:szCs w:val="24"/>
                <w:highlight w:val="none"/>
                <w:lang w:val="en-US" w:eastAsia="zh-CN"/>
              </w:rPr>
              <w:t>队伍，让网格化服务有效运转起来，全年开展2次。</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四、规范项目管理</w:t>
            </w:r>
          </w:p>
          <w:p>
            <w:pPr>
              <w:pStyle w:val="2"/>
              <w:keepNext w:val="0"/>
              <w:keepLines w:val="0"/>
              <w:pageBreakBefore w:val="0"/>
              <w:kinsoku/>
              <w:wordWrap/>
              <w:overflowPunct/>
              <w:topLinePunct w:val="0"/>
              <w:bidi w:val="0"/>
              <w:adjustRightInd/>
              <w:snapToGrid/>
              <w:spacing w:line="240" w:lineRule="auto"/>
              <w:ind w:left="0" w:leftChars="0" w:firstLine="0" w:firstLineChars="0"/>
              <w:rPr>
                <w:rFonts w:hint="eastAsia" w:ascii="仿宋" w:hAnsi="仿宋" w:eastAsia="仿宋" w:cs="仿宋"/>
                <w:kern w:val="2"/>
                <w:sz w:val="24"/>
                <w:szCs w:val="24"/>
                <w:highlight w:val="none"/>
                <w:lang w:val="en-US" w:eastAsia="zh-Hans" w:bidi="ar-SA"/>
              </w:rPr>
            </w:pPr>
            <w:r>
              <w:rPr>
                <w:rFonts w:hint="eastAsia" w:ascii="仿宋" w:hAnsi="仿宋" w:eastAsia="仿宋" w:cs="仿宋"/>
                <w:sz w:val="24"/>
                <w:szCs w:val="24"/>
                <w:highlight w:val="none"/>
                <w:lang w:val="en-US" w:eastAsia="zh-CN"/>
              </w:rPr>
              <w:t>严格按照社区社会组织项目管理的要求，规范活动管理、财务管理等，常态做好项目管理，完善活动方案、活动照片、签到表、品牌推广、财务明细等台账资料。</w:t>
            </w:r>
          </w:p>
        </w:tc>
      </w:tr>
    </w:tbl>
    <w:p>
      <w:pPr>
        <w:pStyle w:val="2"/>
        <w:rPr>
          <w:rFonts w:hint="eastAsia"/>
          <w:highlight w:val="none"/>
          <w:lang w:eastAsia="zh-CN"/>
        </w:rPr>
      </w:pPr>
    </w:p>
    <w:p>
      <w:pPr>
        <w:spacing w:line="360" w:lineRule="auto"/>
        <w:ind w:firstLine="482" w:firstLineChars="200"/>
        <w:rPr>
          <w:rFonts w:ascii="仿宋" w:hAnsi="仿宋" w:eastAsia="仿宋"/>
          <w:b/>
          <w:bCs/>
          <w:color w:val="auto"/>
          <w:kern w:val="0"/>
          <w:sz w:val="24"/>
          <w:szCs w:val="24"/>
          <w:highlight w:val="none"/>
        </w:rPr>
      </w:pPr>
      <w:r>
        <w:rPr>
          <w:rFonts w:hint="eastAsia" w:ascii="仿宋" w:hAnsi="仿宋" w:eastAsia="仿宋" w:cs="宋体"/>
          <w:b/>
          <w:bCs/>
          <w:color w:val="auto"/>
          <w:kern w:val="0"/>
          <w:sz w:val="24"/>
          <w:szCs w:val="24"/>
          <w:highlight w:val="none"/>
        </w:rPr>
        <w:t>二、执行要求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项目设计须以个案服务为主，实施过程中不得有商业营销行为。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项目服务满意率在85%以上，满意率测评由成交方自行组织并存档，采购方或采购方委托的第三方机构将进行抽查。</w:t>
      </w:r>
    </w:p>
    <w:p>
      <w:pPr>
        <w:widowControl/>
        <w:spacing w:line="360" w:lineRule="auto"/>
        <w:ind w:firstLine="480" w:firstLineChars="200"/>
        <w:jc w:val="left"/>
        <w:rPr>
          <w:color w:val="auto"/>
          <w:highlight w:val="none"/>
        </w:rPr>
      </w:pPr>
      <w:r>
        <w:rPr>
          <w:rFonts w:hint="eastAsia" w:ascii="仿宋" w:hAnsi="仿宋" w:eastAsia="仿宋"/>
          <w:color w:val="auto"/>
          <w:sz w:val="24"/>
          <w:szCs w:val="24"/>
          <w:highlight w:val="none"/>
        </w:rPr>
        <w:t>不得以相同项目重复套取财政性资金。</w:t>
      </w:r>
      <w:r>
        <w:rPr>
          <w:rFonts w:ascii="仿宋" w:hAnsi="仿宋" w:eastAsia="仿宋" w:cs="Times New Roman"/>
          <w:color w:val="auto"/>
          <w:sz w:val="24"/>
          <w:szCs w:val="24"/>
          <w:highlight w:val="none"/>
          <w:lang w:val="zh-CN"/>
        </w:rPr>
        <w:br w:type="page"/>
      </w:r>
    </w:p>
    <w:p>
      <w:pPr>
        <w:pageBreakBefore/>
        <w:jc w:val="center"/>
        <w:outlineLvl w:val="0"/>
        <w:rPr>
          <w:rFonts w:ascii="仿宋" w:hAnsi="仿宋" w:eastAsia="仿宋" w:cs="仿宋"/>
          <w:b/>
          <w:bCs/>
          <w:sz w:val="28"/>
          <w:szCs w:val="32"/>
          <w:highlight w:val="none"/>
        </w:rPr>
      </w:pPr>
      <w:r>
        <w:rPr>
          <w:rFonts w:hint="eastAsia" w:ascii="仿宋" w:hAnsi="仿宋" w:eastAsia="仿宋" w:cs="仿宋"/>
          <w:b/>
          <w:bCs/>
          <w:sz w:val="28"/>
          <w:szCs w:val="32"/>
          <w:highlight w:val="none"/>
        </w:rPr>
        <w:t>第五章  合同草案条款及格式</w:t>
      </w:r>
      <w:bookmarkEnd w:id="44"/>
      <w:bookmarkEnd w:id="45"/>
    </w:p>
    <w:p>
      <w:pPr>
        <w:spacing w:line="360" w:lineRule="auto"/>
        <w:jc w:val="center"/>
        <w:rPr>
          <w:rFonts w:ascii="仿宋" w:hAnsi="仿宋" w:eastAsia="仿宋" w:cs="仿宋"/>
          <w:b/>
          <w:sz w:val="44"/>
          <w:szCs w:val="44"/>
          <w:highlight w:val="none"/>
        </w:rPr>
      </w:pPr>
    </w:p>
    <w:p>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注：本合同仅为合同的参考文本，若与项目需求书内容有冲突，以项目需求书为准，合同签订双方可根据项目的具体要求进行修订。</w:t>
      </w:r>
    </w:p>
    <w:p>
      <w:pPr>
        <w:spacing w:line="300" w:lineRule="auto"/>
        <w:jc w:val="center"/>
        <w:rPr>
          <w:rStyle w:val="60"/>
          <w:rFonts w:ascii="仿宋" w:hAnsi="仿宋" w:eastAsia="仿宋"/>
          <w:sz w:val="32"/>
          <w:szCs w:val="32"/>
          <w:highlight w:val="none"/>
        </w:rPr>
      </w:pPr>
    </w:p>
    <w:p>
      <w:pPr>
        <w:spacing w:line="300" w:lineRule="auto"/>
        <w:jc w:val="center"/>
        <w:rPr>
          <w:rStyle w:val="60"/>
          <w:rFonts w:ascii="仿宋" w:hAnsi="仿宋" w:eastAsia="仿宋"/>
          <w:sz w:val="32"/>
          <w:szCs w:val="32"/>
          <w:highlight w:val="none"/>
        </w:rPr>
      </w:pPr>
    </w:p>
    <w:p>
      <w:pPr>
        <w:pStyle w:val="31"/>
        <w:ind w:firstLine="640"/>
        <w:rPr>
          <w:rStyle w:val="60"/>
          <w:rFonts w:ascii="仿宋" w:hAnsi="仿宋" w:eastAsia="仿宋"/>
          <w:sz w:val="32"/>
          <w:szCs w:val="32"/>
          <w:highlight w:val="none"/>
        </w:rPr>
      </w:pPr>
    </w:p>
    <w:p>
      <w:pPr>
        <w:pStyle w:val="31"/>
        <w:ind w:firstLine="640"/>
        <w:rPr>
          <w:rStyle w:val="60"/>
          <w:rFonts w:ascii="仿宋" w:hAnsi="仿宋" w:eastAsia="仿宋"/>
          <w:sz w:val="32"/>
          <w:szCs w:val="32"/>
          <w:highlight w:val="none"/>
        </w:rPr>
      </w:pPr>
    </w:p>
    <w:p>
      <w:pPr>
        <w:pStyle w:val="31"/>
        <w:ind w:firstLine="640"/>
        <w:rPr>
          <w:rStyle w:val="60"/>
          <w:rFonts w:ascii="仿宋" w:hAnsi="仿宋" w:eastAsia="仿宋"/>
          <w:sz w:val="32"/>
          <w:szCs w:val="32"/>
          <w:highlight w:val="none"/>
        </w:rPr>
      </w:pPr>
    </w:p>
    <w:p>
      <w:pPr>
        <w:pStyle w:val="31"/>
        <w:ind w:firstLine="640"/>
        <w:rPr>
          <w:rStyle w:val="60"/>
          <w:rFonts w:ascii="仿宋" w:hAnsi="仿宋" w:eastAsia="仿宋"/>
          <w:sz w:val="32"/>
          <w:szCs w:val="32"/>
          <w:highlight w:val="none"/>
        </w:rPr>
      </w:pPr>
    </w:p>
    <w:p>
      <w:pPr>
        <w:keepNext w:val="0"/>
        <w:keepLines w:val="0"/>
        <w:pageBreakBefore/>
        <w:widowControl w:val="0"/>
        <w:kinsoku/>
        <w:wordWrap/>
        <w:overflowPunct/>
        <w:topLinePunct w:val="0"/>
        <w:autoSpaceDE/>
        <w:autoSpaceDN/>
        <w:bidi w:val="0"/>
        <w:adjustRightInd/>
        <w:snapToGrid/>
        <w:jc w:val="center"/>
        <w:textAlignment w:val="auto"/>
        <w:rPr>
          <w:rStyle w:val="60"/>
          <w:rFonts w:ascii="仿宋" w:hAnsi="仿宋" w:eastAsia="仿宋"/>
          <w:sz w:val="52"/>
          <w:highlight w:val="none"/>
        </w:rPr>
      </w:pPr>
      <w:r>
        <w:rPr>
          <w:rStyle w:val="60"/>
          <w:rFonts w:ascii="仿宋" w:hAnsi="仿宋" w:eastAsia="仿宋"/>
          <w:sz w:val="52"/>
          <w:highlight w:val="none"/>
        </w:rPr>
        <w:t>南京市政府采购合同</w:t>
      </w:r>
    </w:p>
    <w:p>
      <w:pPr>
        <w:ind w:firstLine="1807" w:firstLineChars="500"/>
        <w:rPr>
          <w:rStyle w:val="60"/>
          <w:rFonts w:ascii="仿宋" w:hAnsi="仿宋" w:eastAsia="仿宋"/>
          <w:b/>
          <w:sz w:val="36"/>
          <w:highlight w:val="none"/>
        </w:rPr>
      </w:pPr>
    </w:p>
    <w:p>
      <w:pPr>
        <w:rPr>
          <w:rStyle w:val="60"/>
          <w:rFonts w:ascii="仿宋" w:hAnsi="仿宋" w:eastAsia="仿宋"/>
          <w:b/>
          <w:sz w:val="36"/>
          <w:highlight w:val="none"/>
        </w:rPr>
      </w:pPr>
    </w:p>
    <w:p>
      <w:pPr>
        <w:ind w:firstLine="1807" w:firstLineChars="500"/>
        <w:rPr>
          <w:rStyle w:val="60"/>
          <w:rFonts w:ascii="仿宋" w:hAnsi="仿宋" w:eastAsia="仿宋"/>
          <w:b/>
          <w:sz w:val="36"/>
          <w:highlight w:val="none"/>
        </w:rPr>
      </w:pPr>
    </w:p>
    <w:p>
      <w:pPr>
        <w:ind w:firstLine="1807" w:firstLineChars="500"/>
        <w:rPr>
          <w:rStyle w:val="60"/>
          <w:rFonts w:ascii="仿宋" w:hAnsi="仿宋" w:eastAsia="仿宋"/>
          <w:b/>
          <w:sz w:val="36"/>
          <w:highlight w:val="none"/>
        </w:rPr>
      </w:pPr>
    </w:p>
    <w:p>
      <w:pPr>
        <w:pStyle w:val="2"/>
        <w:rPr>
          <w:rStyle w:val="60"/>
          <w:rFonts w:ascii="仿宋" w:hAnsi="仿宋" w:eastAsia="仿宋"/>
          <w:b/>
          <w:sz w:val="36"/>
          <w:highlight w:val="none"/>
        </w:rPr>
      </w:pPr>
    </w:p>
    <w:p>
      <w:pPr>
        <w:rPr>
          <w:highlight w:val="none"/>
        </w:rPr>
      </w:pPr>
    </w:p>
    <w:p>
      <w:pPr>
        <w:ind w:firstLine="1807" w:firstLineChars="500"/>
        <w:rPr>
          <w:rStyle w:val="60"/>
          <w:rFonts w:ascii="仿宋" w:hAnsi="仿宋" w:eastAsia="仿宋"/>
          <w:b/>
          <w:sz w:val="36"/>
          <w:highlight w:val="none"/>
        </w:rPr>
      </w:pPr>
    </w:p>
    <w:p>
      <w:pPr>
        <w:ind w:firstLine="1918"/>
        <w:rPr>
          <w:rStyle w:val="60"/>
          <w:rFonts w:ascii="仿宋" w:hAnsi="仿宋" w:eastAsia="仿宋"/>
          <w:b/>
          <w:sz w:val="36"/>
          <w:highlight w:val="none"/>
        </w:rPr>
      </w:pPr>
      <w:r>
        <w:rPr>
          <w:rStyle w:val="60"/>
          <w:rFonts w:ascii="仿宋" w:hAnsi="仿宋" w:eastAsia="仿宋"/>
          <w:b/>
          <w:sz w:val="36"/>
          <w:highlight w:val="none"/>
        </w:rPr>
        <w:t>合同编号 ：</w:t>
      </w:r>
      <w:r>
        <w:rPr>
          <w:rStyle w:val="60"/>
          <w:rFonts w:ascii="仿宋" w:hAnsi="仿宋" w:eastAsia="仿宋"/>
          <w:b/>
          <w:sz w:val="36"/>
          <w:highlight w:val="none"/>
          <w:u w:val="single"/>
        </w:rPr>
        <w:t xml:space="preserve">                    </w:t>
      </w:r>
    </w:p>
    <w:p>
      <w:pPr>
        <w:ind w:firstLine="1918"/>
        <w:rPr>
          <w:rStyle w:val="60"/>
          <w:rFonts w:ascii="仿宋" w:hAnsi="仿宋" w:eastAsia="仿宋"/>
          <w:b/>
          <w:sz w:val="36"/>
          <w:highlight w:val="none"/>
          <w:u w:val="single"/>
        </w:rPr>
      </w:pPr>
      <w:r>
        <w:rPr>
          <w:rStyle w:val="60"/>
          <w:rFonts w:ascii="仿宋" w:hAnsi="仿宋" w:eastAsia="仿宋"/>
          <w:b/>
          <w:sz w:val="36"/>
          <w:highlight w:val="none"/>
        </w:rPr>
        <w:t>项目名称 ：</w:t>
      </w:r>
      <w:r>
        <w:rPr>
          <w:rStyle w:val="60"/>
          <w:rFonts w:ascii="仿宋" w:hAnsi="仿宋" w:eastAsia="仿宋"/>
          <w:b/>
          <w:sz w:val="36"/>
          <w:highlight w:val="none"/>
          <w:u w:val="single"/>
        </w:rPr>
        <w:t xml:space="preserve">                    </w:t>
      </w:r>
    </w:p>
    <w:p>
      <w:pPr>
        <w:ind w:firstLine="1918"/>
        <w:rPr>
          <w:rStyle w:val="60"/>
          <w:rFonts w:ascii="仿宋" w:hAnsi="仿宋" w:eastAsia="仿宋"/>
          <w:b/>
          <w:sz w:val="36"/>
          <w:highlight w:val="none"/>
          <w:u w:val="single"/>
        </w:rPr>
      </w:pPr>
      <w:r>
        <w:rPr>
          <w:rStyle w:val="60"/>
          <w:rFonts w:ascii="仿宋" w:hAnsi="仿宋" w:eastAsia="仿宋"/>
          <w:b/>
          <w:sz w:val="36"/>
          <w:highlight w:val="none"/>
        </w:rPr>
        <w:t>使用单位 ：</w:t>
      </w:r>
      <w:r>
        <w:rPr>
          <w:rStyle w:val="60"/>
          <w:rFonts w:ascii="仿宋" w:hAnsi="仿宋" w:eastAsia="仿宋"/>
          <w:b/>
          <w:sz w:val="36"/>
          <w:highlight w:val="none"/>
          <w:u w:val="single"/>
        </w:rPr>
        <w:t xml:space="preserve">                    </w:t>
      </w:r>
    </w:p>
    <w:p>
      <w:pPr>
        <w:ind w:firstLine="1916"/>
        <w:rPr>
          <w:rStyle w:val="60"/>
          <w:rFonts w:ascii="仿宋" w:hAnsi="仿宋" w:eastAsia="仿宋"/>
          <w:b/>
          <w:sz w:val="36"/>
          <w:highlight w:val="none"/>
        </w:rPr>
      </w:pPr>
      <w:r>
        <w:rPr>
          <w:rStyle w:val="60"/>
          <w:rFonts w:ascii="仿宋" w:hAnsi="仿宋" w:eastAsia="仿宋"/>
          <w:b/>
          <w:sz w:val="36"/>
          <w:highlight w:val="none"/>
        </w:rPr>
        <w:t>供货单位 ：</w:t>
      </w:r>
      <w:r>
        <w:rPr>
          <w:rStyle w:val="60"/>
          <w:rFonts w:ascii="仿宋" w:hAnsi="仿宋" w:eastAsia="仿宋"/>
          <w:b/>
          <w:sz w:val="36"/>
          <w:highlight w:val="none"/>
          <w:u w:val="single"/>
        </w:rPr>
        <w:t xml:space="preserve">                    </w:t>
      </w:r>
    </w:p>
    <w:p>
      <w:pPr>
        <w:ind w:firstLine="1916"/>
        <w:rPr>
          <w:rStyle w:val="60"/>
          <w:rFonts w:ascii="仿宋" w:hAnsi="仿宋" w:eastAsia="仿宋"/>
          <w:b/>
          <w:sz w:val="36"/>
          <w:highlight w:val="none"/>
        </w:rPr>
      </w:pPr>
      <w:r>
        <w:rPr>
          <w:rStyle w:val="60"/>
          <w:rFonts w:ascii="仿宋" w:hAnsi="仿宋" w:eastAsia="仿宋"/>
          <w:b/>
          <w:sz w:val="36"/>
          <w:highlight w:val="none"/>
        </w:rPr>
        <w:t>签订日期 ：</w:t>
      </w:r>
      <w:r>
        <w:rPr>
          <w:rStyle w:val="60"/>
          <w:rFonts w:ascii="仿宋" w:hAnsi="仿宋" w:eastAsia="仿宋"/>
          <w:b/>
          <w:sz w:val="36"/>
          <w:highlight w:val="none"/>
          <w:u w:val="single"/>
        </w:rPr>
        <w:t xml:space="preserve">                    </w:t>
      </w:r>
    </w:p>
    <w:p>
      <w:pPr>
        <w:ind w:firstLine="1807" w:firstLineChars="500"/>
        <w:rPr>
          <w:rStyle w:val="60"/>
          <w:rFonts w:ascii="仿宋" w:hAnsi="仿宋" w:eastAsia="仿宋"/>
          <w:b/>
          <w:sz w:val="36"/>
          <w:highlight w:val="none"/>
        </w:rPr>
      </w:pPr>
    </w:p>
    <w:p>
      <w:pPr>
        <w:ind w:firstLine="1807" w:firstLineChars="500"/>
        <w:rPr>
          <w:rStyle w:val="60"/>
          <w:rFonts w:ascii="仿宋" w:hAnsi="仿宋" w:eastAsia="仿宋"/>
          <w:b/>
          <w:sz w:val="36"/>
          <w:highlight w:val="none"/>
        </w:rPr>
      </w:pPr>
    </w:p>
    <w:p>
      <w:pPr>
        <w:pStyle w:val="75"/>
        <w:ind w:firstLine="723"/>
        <w:rPr>
          <w:rStyle w:val="60"/>
          <w:rFonts w:ascii="仿宋" w:hAnsi="仿宋" w:eastAsia="仿宋"/>
          <w:b/>
          <w:sz w:val="36"/>
          <w:highlight w:val="none"/>
        </w:rPr>
      </w:pPr>
    </w:p>
    <w:p>
      <w:pPr>
        <w:pStyle w:val="75"/>
        <w:ind w:firstLine="723"/>
        <w:rPr>
          <w:rStyle w:val="60"/>
          <w:rFonts w:ascii="仿宋" w:hAnsi="仿宋" w:eastAsia="仿宋"/>
          <w:b/>
          <w:sz w:val="36"/>
          <w:highlight w:val="none"/>
        </w:rPr>
      </w:pPr>
    </w:p>
    <w:p>
      <w:pPr>
        <w:ind w:firstLine="1807" w:firstLineChars="500"/>
        <w:rPr>
          <w:rStyle w:val="60"/>
          <w:rFonts w:ascii="仿宋" w:hAnsi="仿宋" w:eastAsia="仿宋"/>
          <w:b/>
          <w:sz w:val="36"/>
          <w:highlight w:val="none"/>
        </w:rPr>
      </w:pPr>
    </w:p>
    <w:p>
      <w:pPr>
        <w:pStyle w:val="2"/>
        <w:rPr>
          <w:rStyle w:val="60"/>
          <w:rFonts w:ascii="仿宋" w:hAnsi="仿宋" w:eastAsia="仿宋"/>
          <w:b/>
          <w:sz w:val="36"/>
          <w:highlight w:val="none"/>
        </w:rPr>
      </w:pPr>
    </w:p>
    <w:p>
      <w:pPr>
        <w:rPr>
          <w:rStyle w:val="60"/>
          <w:rFonts w:ascii="仿宋" w:hAnsi="仿宋" w:eastAsia="仿宋"/>
          <w:b/>
          <w:sz w:val="36"/>
          <w:highlight w:val="none"/>
        </w:rPr>
      </w:pPr>
    </w:p>
    <w:p>
      <w:pPr>
        <w:pStyle w:val="2"/>
        <w:rPr>
          <w:highlight w:val="none"/>
        </w:rPr>
      </w:pPr>
    </w:p>
    <w:p>
      <w:pPr>
        <w:spacing w:line="360" w:lineRule="auto"/>
        <w:jc w:val="center"/>
        <w:rPr>
          <w:rStyle w:val="60"/>
          <w:rFonts w:ascii="仿宋" w:hAnsi="仿宋" w:eastAsia="仿宋"/>
          <w:b/>
          <w:sz w:val="36"/>
          <w:highlight w:val="none"/>
        </w:rPr>
      </w:pPr>
      <w:r>
        <w:rPr>
          <w:rStyle w:val="60"/>
          <w:rFonts w:ascii="仿宋" w:hAnsi="仿宋" w:eastAsia="仿宋"/>
          <w:b/>
          <w:sz w:val="36"/>
          <w:highlight w:val="none"/>
        </w:rPr>
        <w:t>南京市工商行政管理局</w:t>
      </w:r>
    </w:p>
    <w:p>
      <w:pPr>
        <w:spacing w:line="360" w:lineRule="auto"/>
        <w:jc w:val="center"/>
        <w:rPr>
          <w:rStyle w:val="60"/>
          <w:rFonts w:ascii="仿宋" w:hAnsi="仿宋" w:eastAsia="仿宋"/>
          <w:sz w:val="24"/>
          <w:szCs w:val="20"/>
          <w:highlight w:val="none"/>
        </w:rPr>
      </w:pPr>
      <w:r>
        <w:rPr>
          <w:rStyle w:val="60"/>
          <w:rFonts w:ascii="仿宋" w:hAnsi="仿宋" w:eastAsia="仿宋"/>
          <w:b/>
          <w:sz w:val="36"/>
          <w:highlight w:val="none"/>
        </w:rPr>
        <w:t>南 京 市 财 政 局  监制</w:t>
      </w:r>
    </w:p>
    <w:p>
      <w:pPr>
        <w:spacing w:line="560" w:lineRule="exact"/>
        <w:ind w:firstLine="420" w:firstLineChars="200"/>
        <w:rPr>
          <w:rFonts w:hint="eastAsia" w:ascii="仿宋" w:hAnsi="仿宋" w:eastAsia="仿宋" w:cs="仿宋"/>
          <w:color w:val="auto"/>
          <w:sz w:val="24"/>
          <w:szCs w:val="24"/>
          <w:highlight w:val="none"/>
          <w:lang w:val="zh-CN"/>
        </w:rPr>
      </w:pPr>
      <w:r>
        <w:rPr>
          <w:rStyle w:val="60"/>
          <w:rFonts w:ascii="仿宋" w:hAnsi="仿宋" w:eastAsia="仿宋"/>
          <w:szCs w:val="21"/>
          <w:highlight w:val="none"/>
        </w:rPr>
        <w:br w:type="page"/>
      </w:r>
      <w:r>
        <w:rPr>
          <w:rFonts w:hint="eastAsia" w:ascii="仿宋" w:hAnsi="仿宋" w:eastAsia="仿宋" w:cs="仿宋"/>
          <w:color w:val="auto"/>
          <w:sz w:val="24"/>
          <w:szCs w:val="24"/>
          <w:highlight w:val="none"/>
          <w:lang w:val="zh-CN"/>
        </w:rPr>
        <w:t>（以下为成交后签订本项目合同的通用条款，成交供应商不得提出实质性修改，关于专用条款将由采购人与成交供应商结合本项目具体情况协商后签订）</w:t>
      </w:r>
    </w:p>
    <w:p>
      <w:pPr>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合同编号：</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b/>
          <w:color w:val="auto"/>
          <w:sz w:val="24"/>
          <w:szCs w:val="24"/>
          <w:highlight w:val="none"/>
          <w:lang w:val="zh-CN"/>
        </w:rPr>
        <w:t xml:space="preserve"> </w:t>
      </w:r>
    </w:p>
    <w:tbl>
      <w:tblPr>
        <w:tblStyle w:val="23"/>
        <w:tblW w:w="0" w:type="auto"/>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noWrap w:val="0"/>
            <w:vAlign w:val="top"/>
          </w:tcPr>
          <w:p>
            <w:pPr>
              <w:autoSpaceDE w:val="0"/>
              <w:autoSpaceDN w:val="0"/>
              <w:adjustRightInd w:val="0"/>
              <w:spacing w:line="5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采购人：（以下称甲方）</w:t>
            </w:r>
          </w:p>
        </w:tc>
        <w:tc>
          <w:tcPr>
            <w:tcW w:w="4643" w:type="dxa"/>
            <w:tcBorders>
              <w:top w:val="nil"/>
              <w:left w:val="nil"/>
              <w:bottom w:val="nil"/>
              <w:right w:val="nil"/>
            </w:tcBorders>
            <w:noWrap w:val="0"/>
            <w:vAlign w:val="top"/>
          </w:tcPr>
          <w:p>
            <w:pPr>
              <w:autoSpaceDE w:val="0"/>
              <w:autoSpaceDN w:val="0"/>
              <w:adjustRightInd w:val="0"/>
              <w:spacing w:line="5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供应商：（以下称乙方）</w:t>
            </w:r>
          </w:p>
        </w:tc>
      </w:tr>
      <w:tr>
        <w:tblPrEx>
          <w:tblCellMar>
            <w:top w:w="0" w:type="dxa"/>
            <w:left w:w="0" w:type="dxa"/>
            <w:bottom w:w="0" w:type="dxa"/>
            <w:right w:w="0" w:type="dxa"/>
          </w:tblCellMar>
        </w:tblPrEx>
        <w:tc>
          <w:tcPr>
            <w:tcW w:w="4643" w:type="dxa"/>
            <w:tcBorders>
              <w:top w:val="nil"/>
              <w:left w:val="nil"/>
              <w:bottom w:val="nil"/>
              <w:right w:val="nil"/>
            </w:tcBorders>
            <w:noWrap w:val="0"/>
            <w:vAlign w:val="top"/>
          </w:tcPr>
          <w:p>
            <w:pPr>
              <w:autoSpaceDE w:val="0"/>
              <w:autoSpaceDN w:val="0"/>
              <w:adjustRightInd w:val="0"/>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住所地：</w:t>
            </w:r>
          </w:p>
        </w:tc>
        <w:tc>
          <w:tcPr>
            <w:tcW w:w="4643" w:type="dxa"/>
            <w:tcBorders>
              <w:top w:val="nil"/>
              <w:left w:val="nil"/>
              <w:bottom w:val="nil"/>
              <w:right w:val="nil"/>
            </w:tcBorders>
            <w:noWrap w:val="0"/>
            <w:vAlign w:val="top"/>
          </w:tcPr>
          <w:p>
            <w:pPr>
              <w:autoSpaceDE w:val="0"/>
              <w:autoSpaceDN w:val="0"/>
              <w:adjustRightInd w:val="0"/>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住所地：</w:t>
            </w:r>
          </w:p>
        </w:tc>
      </w:tr>
    </w:tbl>
    <w:p>
      <w:pPr>
        <w:autoSpaceDE w:val="0"/>
        <w:autoSpaceDN w:val="0"/>
        <w:adjustRightInd w:val="0"/>
        <w:spacing w:line="56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zh-CN"/>
        </w:rPr>
        <w:t xml:space="preserve">   </w:t>
      </w:r>
      <w:r>
        <w:rPr>
          <w:rFonts w:hint="eastAsia" w:ascii="仿宋" w:hAnsi="仿宋" w:eastAsia="仿宋" w:cs="仿宋"/>
          <w:color w:val="auto"/>
          <w:sz w:val="24"/>
          <w:szCs w:val="24"/>
          <w:highlight w:val="none"/>
          <w:lang w:val="zh-CN"/>
        </w:rPr>
        <w:t xml:space="preserve"> 根据《中华人民共和国政府采购法》《中华人民共和国民法典》等法律法规的规定，甲乙双方按照源成工程咨询（江苏南京）有限责任公司的竞争性磋商结果签订本合同。</w:t>
      </w:r>
    </w:p>
    <w:p>
      <w:pPr>
        <w:autoSpaceDE w:val="0"/>
        <w:autoSpaceDN w:val="0"/>
        <w:adjustRightInd w:val="0"/>
        <w:spacing w:line="560" w:lineRule="exact"/>
        <w:ind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第一条 合同标的</w:t>
      </w:r>
      <w:r>
        <w:rPr>
          <w:rFonts w:hint="eastAsia" w:ascii="仿宋" w:hAnsi="仿宋" w:eastAsia="仿宋" w:cs="仿宋"/>
          <w:color w:val="auto"/>
          <w:sz w:val="24"/>
          <w:szCs w:val="24"/>
          <w:highlight w:val="none"/>
          <w:lang w:val="zh-CN"/>
        </w:rPr>
        <w:t xml:space="preserve">  乙方根据甲方需求提供下列服务：</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，详见乙方响应文件。</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第二条 合同总价款</w:t>
      </w:r>
      <w:r>
        <w:rPr>
          <w:rFonts w:hint="eastAsia" w:ascii="仿宋" w:hAnsi="仿宋" w:eastAsia="仿宋" w:cs="仿宋"/>
          <w:color w:val="auto"/>
          <w:sz w:val="24"/>
          <w:szCs w:val="24"/>
          <w:highlight w:val="none"/>
          <w:lang w:val="zh-CN"/>
        </w:rPr>
        <w:t xml:space="preserve">  本合同项下服务总价款为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（大写）人民币，分项价款在“</w:t>
      </w:r>
      <w:r>
        <w:rPr>
          <w:rFonts w:hint="eastAsia" w:ascii="仿宋" w:hAnsi="仿宋" w:eastAsia="仿宋" w:cs="仿宋"/>
          <w:color w:val="auto"/>
          <w:sz w:val="24"/>
          <w:szCs w:val="24"/>
          <w:highlight w:val="none"/>
          <w:lang w:val="en-US" w:eastAsia="zh-CN"/>
        </w:rPr>
        <w:t>分项</w:t>
      </w:r>
      <w:r>
        <w:rPr>
          <w:rFonts w:hint="eastAsia" w:ascii="仿宋" w:hAnsi="仿宋" w:eastAsia="仿宋" w:cs="仿宋"/>
          <w:color w:val="auto"/>
          <w:sz w:val="24"/>
          <w:szCs w:val="24"/>
          <w:highlight w:val="none"/>
          <w:lang w:val="zh-CN"/>
        </w:rPr>
        <w:t>报价表”中有明确规定。</w:t>
      </w:r>
    </w:p>
    <w:p>
      <w:pPr>
        <w:spacing w:line="56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本合同总价款是</w:t>
      </w:r>
      <w:r>
        <w:rPr>
          <w:rFonts w:hint="eastAsia" w:ascii="仿宋" w:hAnsi="仿宋" w:eastAsia="仿宋" w:cs="仿宋"/>
          <w:color w:val="auto"/>
          <w:kern w:val="0"/>
          <w:sz w:val="24"/>
          <w:szCs w:val="24"/>
          <w:highlight w:val="none"/>
          <w:lang w:val="zh-CN"/>
        </w:rPr>
        <w:t>完成本项目所发生的所有含税费用、支付给员工的工资和国家强制缴纳的各种社会保障资金</w:t>
      </w:r>
      <w:r>
        <w:rPr>
          <w:rFonts w:hint="eastAsia" w:ascii="仿宋" w:hAnsi="仿宋" w:eastAsia="仿宋" w:cs="仿宋"/>
          <w:bCs/>
          <w:color w:val="auto"/>
          <w:sz w:val="24"/>
          <w:szCs w:val="24"/>
          <w:highlight w:val="none"/>
        </w:rPr>
        <w:t>，以</w:t>
      </w:r>
      <w:r>
        <w:rPr>
          <w:rFonts w:hint="eastAsia" w:ascii="仿宋" w:hAnsi="仿宋" w:eastAsia="仿宋" w:cs="仿宋"/>
          <w:color w:val="auto"/>
          <w:sz w:val="24"/>
          <w:szCs w:val="24"/>
          <w:highlight w:val="none"/>
        </w:rPr>
        <w:t>及供应商认为需要的其他费用等</w:t>
      </w:r>
      <w:r>
        <w:rPr>
          <w:rFonts w:hint="eastAsia" w:ascii="仿宋" w:hAnsi="仿宋" w:eastAsia="仿宋" w:cs="仿宋"/>
          <w:color w:val="auto"/>
          <w:sz w:val="24"/>
          <w:szCs w:val="24"/>
          <w:highlight w:val="none"/>
          <w:lang w:val="zh-CN"/>
        </w:rPr>
        <w:t>。</w:t>
      </w:r>
    </w:p>
    <w:p>
      <w:pPr>
        <w:widowControl/>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本合同总价款还包含乙方应当提供的伴随服务/售后服务费用。</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本合同执行期间合同总价款不变。</w:t>
      </w:r>
    </w:p>
    <w:p>
      <w:pPr>
        <w:autoSpaceDE w:val="0"/>
        <w:autoSpaceDN w:val="0"/>
        <w:adjustRightInd w:val="0"/>
        <w:spacing w:line="560" w:lineRule="exact"/>
        <w:ind w:firstLine="472" w:firstLineChars="196"/>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第三条 组成本合同的有关文件</w:t>
      </w:r>
      <w:r>
        <w:rPr>
          <w:rFonts w:hint="eastAsia" w:ascii="仿宋" w:hAnsi="仿宋" w:eastAsia="仿宋" w:cs="仿宋"/>
          <w:color w:val="auto"/>
          <w:sz w:val="24"/>
          <w:szCs w:val="24"/>
          <w:highlight w:val="none"/>
          <w:lang w:val="zh-CN"/>
        </w:rPr>
        <w:t xml:space="preserve">  下列关于</w:t>
      </w:r>
      <w:r>
        <w:rPr>
          <w:rFonts w:hint="eastAsia" w:ascii="仿宋" w:hAnsi="仿宋" w:eastAsia="仿宋" w:cs="仿宋"/>
          <w:color w:val="auto"/>
          <w:sz w:val="24"/>
          <w:szCs w:val="24"/>
          <w:highlight w:val="none"/>
          <w:u w:val="single"/>
        </w:rPr>
        <w:t>YCZX-CS-202401098</w:t>
      </w:r>
      <w:r>
        <w:rPr>
          <w:rFonts w:hint="eastAsia" w:ascii="仿宋" w:hAnsi="仿宋" w:eastAsia="仿宋" w:cs="仿宋"/>
          <w:color w:val="auto"/>
          <w:sz w:val="24"/>
          <w:szCs w:val="24"/>
          <w:highlight w:val="none"/>
          <w:lang w:val="zh-CN"/>
        </w:rPr>
        <w:t>号的竞争性磋商文件、供应商响应文件，或与本次采购活动方式相适应的文件，以及有关附件是本合同不可分割的组成部分，与本合同具有同等法律效力，这些文件包括但不限于：</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（1）乙方提供的响应文件和报价表；</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（2）技术规格响应表；</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（3）磋商承诺/服务承诺；</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（4）成交通知书；</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（5）甲乙双方商定的其他文件等；</w:t>
      </w:r>
    </w:p>
    <w:p>
      <w:pPr>
        <w:autoSpaceDE w:val="0"/>
        <w:autoSpaceDN w:val="0"/>
        <w:adjustRightInd w:val="0"/>
        <w:spacing w:line="560" w:lineRule="exact"/>
        <w:ind w:firstLine="420"/>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第四条 权利保证</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560" w:lineRule="exact"/>
        <w:ind w:firstLine="420"/>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第五条 质量保证</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乙方所提供的服务的技术规格应与磋商文件规定的技术规格及所附的“技术条款偏离表”相一致；若技术性能无特殊说明，则按国家有关部门最新颁布的标准及规范为准。</w:t>
      </w:r>
    </w:p>
    <w:p>
      <w:pPr>
        <w:autoSpaceDE w:val="0"/>
        <w:autoSpaceDN w:val="0"/>
        <w:adjustRightInd w:val="0"/>
        <w:spacing w:line="560" w:lineRule="exact"/>
        <w:ind w:firstLine="420"/>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第六条 交付和验收</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1.乙方应当在服务期内完成既定的服务事项。</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2.验收标准：按行业通行标准和乙方响应文件的承诺（详见合同附件载明的标准，并不低于国家相关标准）。</w:t>
      </w:r>
    </w:p>
    <w:p>
      <w:pPr>
        <w:autoSpaceDE w:val="0"/>
        <w:autoSpaceDN w:val="0"/>
        <w:adjustRightInd w:val="0"/>
        <w:spacing w:line="560" w:lineRule="exact"/>
        <w:ind w:firstLine="420"/>
        <w:jc w:val="left"/>
        <w:rPr>
          <w:rFonts w:hint="eastAsia" w:ascii="仿宋" w:hAnsi="仿宋" w:eastAsia="仿宋" w:cs="仿宋"/>
          <w:b/>
          <w:bCs/>
          <w:i/>
          <w:iCs/>
          <w:color w:val="auto"/>
          <w:sz w:val="24"/>
          <w:szCs w:val="24"/>
          <w:highlight w:val="none"/>
          <w:lang w:val="zh-CN"/>
        </w:rPr>
      </w:pPr>
      <w:r>
        <w:rPr>
          <w:rFonts w:hint="eastAsia" w:ascii="仿宋" w:hAnsi="仿宋" w:eastAsia="仿宋" w:cs="仿宋"/>
          <w:b/>
          <w:bCs/>
          <w:color w:val="auto"/>
          <w:sz w:val="24"/>
          <w:szCs w:val="24"/>
          <w:highlight w:val="none"/>
          <w:lang w:val="zh-CN"/>
        </w:rPr>
        <w:t>第七条 合同款支付</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1.本合同项下所有款项均以人民币支付。</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2.本合同项下的采购资金由甲方自行支付，乙方向甲方开具发票。</w:t>
      </w:r>
    </w:p>
    <w:p>
      <w:pPr>
        <w:autoSpaceDE w:val="0"/>
        <w:autoSpaceDN w:val="0"/>
        <w:adjustRightInd w:val="0"/>
        <w:spacing w:line="560" w:lineRule="exact"/>
        <w:ind w:firstLine="42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3.付款条件：(1)签署项目协议生效后拨付总金额 50%，项目中期评估合格后拨付总金额 30%，项目结束并经评估验收合格后拨付总金额的 20%。</w:t>
      </w:r>
    </w:p>
    <w:p>
      <w:pPr>
        <w:autoSpaceDE w:val="0"/>
        <w:autoSpaceDN w:val="0"/>
        <w:adjustRightInd w:val="0"/>
        <w:spacing w:line="560" w:lineRule="exact"/>
        <w:ind w:firstLine="420"/>
        <w:jc w:val="left"/>
        <w:rPr>
          <w:rFonts w:hint="eastAsia"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lang w:val="zh-CN"/>
        </w:rPr>
        <w:t>(2)每次付款前五日，成交供应商须提供等额发票，否则采购人有权拒绝付款。</w:t>
      </w:r>
      <w:r>
        <w:rPr>
          <w:rFonts w:hint="eastAsia" w:ascii="仿宋" w:hAnsi="仿宋" w:eastAsia="仿宋" w:cs="仿宋"/>
          <w:b/>
          <w:bCs/>
          <w:color w:val="auto"/>
          <w:sz w:val="24"/>
          <w:szCs w:val="24"/>
          <w:highlight w:val="none"/>
          <w:lang w:val="zh-CN"/>
        </w:rPr>
        <w:t>第八条 违约责任</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1.甲方无正当理由拒绝接受服务、拒付服务款的，甲方向乙方偿付合同总价的5%违约金。</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2.甲方未按合同规定的期限向乙方支付服务款的，每逾期1天甲方向乙方偿付欠款总额的5‰滞纳金，但累计滞纳金总额不超过欠款总额的5% 。</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3.如乙方不能交付服务的，甲方有权扣留全部履约保证金；同时乙方应向甲方支付合同总价5%的违约金。</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４.乙方逾期交付的，每逾期1天，乙方向甲方偿付合同总额的5‰的滞纳金。如乙方逾期交付达10天，甲方有权解除合同，解除合同的通知自到达乙方时生效。</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５.乙方所交付的服务不符合合同规定的，甲方有权拒绝接受。甲方拒绝接受的，乙方应向甲方支付合同总额5%的违约金。</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６.在乙方承诺的或国家规定的质量保证期内（取两者中最长的期限），如经乙方两次整改仍不能达到合同约定的质量标准，乙方应退回全部合同价款，并按第3款处理，同时，乙方还须赔偿甲方因此遭受的损失。</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7.乙方未按本合同第七条的规定向甲方缴纳履约保证金的，应按应缴纳履约保证金的100%向甲方支付违约金，该违约金的支付不影响乙方应承担的其他违约责任。</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8.乙方未按本合同的规定和“服务承诺”提供伴随服务/售后服务的，应按合同总价款的5 %向甲方承担违约责任。</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9.乙方在承担上述4-7款一项或多项违约责任后，仍应继续履行合同规定的义务（甲方解除合同的除外）。甲方未能及时追究乙方的任何一项违约责任并不表明甲方放弃追究乙方该项或其他违约责任。</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10.乙方响应属虚假承诺，或经权威部门</w:t>
      </w:r>
      <w:r>
        <w:rPr>
          <w:rFonts w:hint="eastAsia" w:ascii="仿宋" w:hAnsi="仿宋" w:eastAsia="仿宋" w:cs="仿宋"/>
          <w:color w:val="auto"/>
          <w:kern w:val="0"/>
          <w:sz w:val="24"/>
          <w:szCs w:val="24"/>
          <w:highlight w:val="none"/>
        </w:rPr>
        <w:t>检</w:t>
      </w:r>
      <w:r>
        <w:rPr>
          <w:rFonts w:hint="eastAsia" w:ascii="仿宋" w:hAnsi="仿宋" w:eastAsia="仿宋" w:cs="仿宋"/>
          <w:color w:val="auto"/>
          <w:kern w:val="0"/>
          <w:sz w:val="24"/>
          <w:szCs w:val="24"/>
          <w:highlight w:val="none"/>
          <w:lang w:val="zh-CN"/>
        </w:rPr>
        <w:t>测提供的服务不能满足竞争性磋商</w:t>
      </w:r>
      <w:r>
        <w:rPr>
          <w:rFonts w:hint="eastAsia" w:ascii="仿宋" w:hAnsi="仿宋" w:eastAsia="仿宋" w:cs="仿宋"/>
          <w:color w:val="auto"/>
          <w:kern w:val="0"/>
          <w:sz w:val="24"/>
          <w:szCs w:val="24"/>
          <w:highlight w:val="none"/>
        </w:rPr>
        <w:t>响应</w:t>
      </w:r>
      <w:r>
        <w:rPr>
          <w:rFonts w:hint="eastAsia" w:ascii="仿宋" w:hAnsi="仿宋" w:eastAsia="仿宋" w:cs="仿宋"/>
          <w:color w:val="auto"/>
          <w:kern w:val="0"/>
          <w:sz w:val="24"/>
          <w:szCs w:val="24"/>
          <w:highlight w:val="none"/>
          <w:lang w:val="zh-CN"/>
        </w:rPr>
        <w:t>文件要求，或是由于乙方的过错造成合同无法继续履行的，乙方履约保证金不予退还外，还应向甲方支付不少于合同总价30%赔偿金。</w:t>
      </w:r>
    </w:p>
    <w:p>
      <w:pPr>
        <w:autoSpaceDE w:val="0"/>
        <w:autoSpaceDN w:val="0"/>
        <w:adjustRightInd w:val="0"/>
        <w:spacing w:line="560" w:lineRule="exact"/>
        <w:ind w:firstLine="42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第九条 合同的变更和终止</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1.除《政府采购法》第50条第二款规定的情形外，本合同一经签订，甲乙双方不得擅自变更、中止或终止合同。</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2.除发生法律规定的不能预见、不能避免并不能克服的客观情况外，甲乙双方不得放弃或拒绝履行合同。乙方放弃或拒绝履行合同，保证金不予退还。</w:t>
      </w:r>
    </w:p>
    <w:p>
      <w:pPr>
        <w:autoSpaceDE w:val="0"/>
        <w:autoSpaceDN w:val="0"/>
        <w:adjustRightInd w:val="0"/>
        <w:spacing w:line="560" w:lineRule="exact"/>
        <w:ind w:firstLine="42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第十条 合同的转让</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乙方不得擅自部分或全部转让其应履行的合同义务。</w:t>
      </w:r>
    </w:p>
    <w:p>
      <w:pPr>
        <w:autoSpaceDE w:val="0"/>
        <w:autoSpaceDN w:val="0"/>
        <w:adjustRightInd w:val="0"/>
        <w:spacing w:line="560" w:lineRule="exact"/>
        <w:ind w:firstLine="42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第十一条 争议的解决</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1.因服务的质量问题发生争议的，应当邀请国家认可的质量检测机构对服务质量进行鉴定。符合标准的，鉴定费由甲方承担；不符合质量标准的，鉴定费由乙方承担。</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2.因履行本合同引起的或与本合同有关的争议，甲、乙双方应首先通过友好协商解决，如果协商不能解决争议，则采取以下第（</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）种方式解决争议：</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（1）向甲方所在地有管辖权的人民法院提起诉讼；</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（2）向南京仲裁委员会按其仲裁规则申请仲裁。</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如没有约定，默认采取第</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种方式解决争议。</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en-US" w:eastAsia="zh-CN"/>
        </w:rPr>
        <w:t>仲裁或诉讼</w:t>
      </w:r>
      <w:r>
        <w:rPr>
          <w:rFonts w:hint="eastAsia" w:ascii="仿宋" w:hAnsi="仿宋" w:eastAsia="仿宋" w:cs="仿宋"/>
          <w:color w:val="auto"/>
          <w:kern w:val="0"/>
          <w:sz w:val="24"/>
          <w:szCs w:val="24"/>
          <w:highlight w:val="none"/>
          <w:lang w:val="zh-CN"/>
        </w:rPr>
        <w:t>期间本合同应继续履行。</w:t>
      </w:r>
    </w:p>
    <w:p>
      <w:pPr>
        <w:autoSpaceDE w:val="0"/>
        <w:autoSpaceDN w:val="0"/>
        <w:adjustRightInd w:val="0"/>
        <w:spacing w:line="560" w:lineRule="exact"/>
        <w:ind w:firstLine="42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 xml:space="preserve">第十二条 诚实信用 </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乙方应诚实信用，严格按照竞争性磋商文件要求和响应承诺履行合同，不向甲方进行商业贿赂或者提供不正当利益。</w:t>
      </w:r>
    </w:p>
    <w:p>
      <w:pPr>
        <w:autoSpaceDE w:val="0"/>
        <w:autoSpaceDN w:val="0"/>
        <w:adjustRightInd w:val="0"/>
        <w:spacing w:line="560" w:lineRule="exact"/>
        <w:ind w:firstLine="42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第十三条 合同生效及其他</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1.本合同自签订之日起生效。</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2.本合同一式四份，甲乙双方各执</w:t>
      </w:r>
      <w:r>
        <w:rPr>
          <w:rFonts w:hint="eastAsia" w:ascii="仿宋" w:hAnsi="仿宋" w:eastAsia="仿宋" w:cs="仿宋"/>
          <w:color w:val="auto"/>
          <w:kern w:val="0"/>
          <w:sz w:val="24"/>
          <w:szCs w:val="24"/>
          <w:highlight w:val="none"/>
          <w:lang w:val="en-US" w:eastAsia="zh-CN"/>
        </w:rPr>
        <w:t>贰</w:t>
      </w:r>
      <w:r>
        <w:rPr>
          <w:rFonts w:hint="eastAsia" w:ascii="仿宋" w:hAnsi="仿宋" w:eastAsia="仿宋" w:cs="仿宋"/>
          <w:color w:val="auto"/>
          <w:kern w:val="0"/>
          <w:sz w:val="24"/>
          <w:szCs w:val="24"/>
          <w:highlight w:val="none"/>
          <w:lang w:val="zh-CN"/>
        </w:rPr>
        <w:t>份。</w:t>
      </w:r>
    </w:p>
    <w:p>
      <w:pPr>
        <w:autoSpaceDE w:val="0"/>
        <w:autoSpaceDN w:val="0"/>
        <w:adjustRightInd w:val="0"/>
        <w:spacing w:line="560" w:lineRule="exact"/>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3.本合同应按照中华人民共和国的现行法律进行解释。</w:t>
      </w:r>
    </w:p>
    <w:tbl>
      <w:tblPr>
        <w:tblStyle w:val="23"/>
        <w:tblW w:w="9196" w:type="dxa"/>
        <w:tblInd w:w="-108" w:type="dxa"/>
        <w:tblLayout w:type="fixed"/>
        <w:tblCellMar>
          <w:top w:w="0" w:type="dxa"/>
          <w:left w:w="0" w:type="dxa"/>
          <w:bottom w:w="0" w:type="dxa"/>
          <w:right w:w="0" w:type="dxa"/>
        </w:tblCellMar>
      </w:tblPr>
      <w:tblGrid>
        <w:gridCol w:w="4599"/>
        <w:gridCol w:w="4597"/>
      </w:tblGrid>
      <w:tr>
        <w:tblPrEx>
          <w:tblCellMar>
            <w:top w:w="0" w:type="dxa"/>
            <w:left w:w="0" w:type="dxa"/>
            <w:bottom w:w="0" w:type="dxa"/>
            <w:right w:w="0" w:type="dxa"/>
          </w:tblCellMar>
        </w:tblPrEx>
        <w:trPr>
          <w:trHeight w:val="564" w:hRule="atLeast"/>
        </w:trPr>
        <w:tc>
          <w:tcPr>
            <w:tcW w:w="4599" w:type="dxa"/>
            <w:tcBorders>
              <w:top w:val="nil"/>
              <w:left w:val="nil"/>
              <w:bottom w:val="nil"/>
              <w:right w:val="nil"/>
            </w:tcBorders>
            <w:noWrap w:val="0"/>
            <w:vAlign w:val="top"/>
          </w:tcPr>
          <w:p>
            <w:pPr>
              <w:widowControl/>
              <w:adjustRightInd w:val="0"/>
              <w:spacing w:line="560" w:lineRule="exact"/>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甲  方（采购人）：（盖章）</w:t>
            </w:r>
          </w:p>
        </w:tc>
        <w:tc>
          <w:tcPr>
            <w:tcW w:w="4597" w:type="dxa"/>
            <w:tcBorders>
              <w:top w:val="nil"/>
              <w:left w:val="nil"/>
              <w:bottom w:val="nil"/>
              <w:right w:val="nil"/>
            </w:tcBorders>
            <w:noWrap w:val="0"/>
            <w:vAlign w:val="top"/>
          </w:tcPr>
          <w:p>
            <w:pPr>
              <w:widowControl/>
              <w:adjustRightInd w:val="0"/>
              <w:spacing w:line="560" w:lineRule="exact"/>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乙  方（供应商）：（盖章）</w:t>
            </w:r>
          </w:p>
        </w:tc>
      </w:tr>
      <w:tr>
        <w:tblPrEx>
          <w:tblCellMar>
            <w:top w:w="0" w:type="dxa"/>
            <w:left w:w="0" w:type="dxa"/>
            <w:bottom w:w="0" w:type="dxa"/>
            <w:right w:w="0" w:type="dxa"/>
          </w:tblCellMar>
        </w:tblPrEx>
        <w:trPr>
          <w:trHeight w:val="564" w:hRule="atLeast"/>
        </w:trPr>
        <w:tc>
          <w:tcPr>
            <w:tcW w:w="4599" w:type="dxa"/>
            <w:tcBorders>
              <w:top w:val="nil"/>
              <w:left w:val="nil"/>
              <w:bottom w:val="nil"/>
              <w:right w:val="nil"/>
            </w:tcBorders>
            <w:noWrap w:val="0"/>
            <w:vAlign w:val="top"/>
          </w:tcPr>
          <w:p>
            <w:pPr>
              <w:widowControl/>
              <w:adjustRightInd w:val="0"/>
              <w:spacing w:line="5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代表人：</w:t>
            </w:r>
          </w:p>
        </w:tc>
        <w:tc>
          <w:tcPr>
            <w:tcW w:w="4597" w:type="dxa"/>
            <w:tcBorders>
              <w:top w:val="nil"/>
              <w:left w:val="nil"/>
              <w:bottom w:val="nil"/>
              <w:right w:val="nil"/>
            </w:tcBorders>
            <w:noWrap w:val="0"/>
            <w:vAlign w:val="top"/>
          </w:tcPr>
          <w:p>
            <w:pPr>
              <w:widowControl/>
              <w:adjustRightInd w:val="0"/>
              <w:spacing w:line="5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代表人</w:t>
            </w:r>
            <w:r>
              <w:rPr>
                <w:rFonts w:hint="eastAsia" w:ascii="仿宋" w:hAnsi="仿宋" w:eastAsia="仿宋" w:cs="仿宋"/>
                <w:color w:val="auto"/>
                <w:kern w:val="0"/>
                <w:sz w:val="24"/>
                <w:szCs w:val="24"/>
                <w:highlight w:val="none"/>
              </w:rPr>
              <w:t>：</w:t>
            </w:r>
          </w:p>
        </w:tc>
      </w:tr>
      <w:tr>
        <w:tblPrEx>
          <w:tblCellMar>
            <w:top w:w="0" w:type="dxa"/>
            <w:left w:w="0" w:type="dxa"/>
            <w:bottom w:w="0" w:type="dxa"/>
            <w:right w:w="0" w:type="dxa"/>
          </w:tblCellMar>
        </w:tblPrEx>
        <w:trPr>
          <w:trHeight w:val="580" w:hRule="atLeast"/>
        </w:trPr>
        <w:tc>
          <w:tcPr>
            <w:tcW w:w="4599" w:type="dxa"/>
            <w:tcBorders>
              <w:top w:val="nil"/>
              <w:left w:val="nil"/>
              <w:bottom w:val="nil"/>
              <w:right w:val="nil"/>
            </w:tcBorders>
            <w:noWrap w:val="0"/>
            <w:vAlign w:val="top"/>
          </w:tcPr>
          <w:p>
            <w:pPr>
              <w:widowControl/>
              <w:adjustRightInd w:val="0"/>
              <w:spacing w:line="5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电</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话：</w:t>
            </w:r>
          </w:p>
        </w:tc>
        <w:tc>
          <w:tcPr>
            <w:tcW w:w="4597" w:type="dxa"/>
            <w:tcBorders>
              <w:top w:val="nil"/>
              <w:left w:val="nil"/>
              <w:bottom w:val="nil"/>
              <w:right w:val="nil"/>
            </w:tcBorders>
            <w:noWrap w:val="0"/>
            <w:vAlign w:val="top"/>
          </w:tcPr>
          <w:p>
            <w:pPr>
              <w:widowControl/>
              <w:adjustRightInd w:val="0"/>
              <w:spacing w:line="5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电</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话：</w:t>
            </w:r>
          </w:p>
        </w:tc>
      </w:tr>
      <w:tr>
        <w:tblPrEx>
          <w:tblCellMar>
            <w:top w:w="0" w:type="dxa"/>
            <w:left w:w="0" w:type="dxa"/>
            <w:bottom w:w="0" w:type="dxa"/>
            <w:right w:w="0" w:type="dxa"/>
          </w:tblCellMar>
        </w:tblPrEx>
        <w:trPr>
          <w:trHeight w:val="564" w:hRule="atLeast"/>
        </w:trPr>
        <w:tc>
          <w:tcPr>
            <w:tcW w:w="4599" w:type="dxa"/>
            <w:tcBorders>
              <w:top w:val="nil"/>
              <w:left w:val="nil"/>
              <w:bottom w:val="nil"/>
              <w:right w:val="nil"/>
            </w:tcBorders>
            <w:noWrap w:val="0"/>
            <w:vAlign w:val="top"/>
          </w:tcPr>
          <w:p>
            <w:pPr>
              <w:widowControl/>
              <w:adjustRightInd w:val="0"/>
              <w:spacing w:line="5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开户银行：</w:t>
            </w:r>
          </w:p>
        </w:tc>
        <w:tc>
          <w:tcPr>
            <w:tcW w:w="4597" w:type="dxa"/>
            <w:tcBorders>
              <w:top w:val="nil"/>
              <w:left w:val="nil"/>
              <w:bottom w:val="nil"/>
              <w:right w:val="nil"/>
            </w:tcBorders>
            <w:noWrap w:val="0"/>
            <w:vAlign w:val="top"/>
          </w:tcPr>
          <w:p>
            <w:pPr>
              <w:widowControl/>
              <w:adjustRightInd w:val="0"/>
              <w:spacing w:line="5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开户银行：</w:t>
            </w:r>
          </w:p>
        </w:tc>
      </w:tr>
      <w:tr>
        <w:tblPrEx>
          <w:tblCellMar>
            <w:top w:w="0" w:type="dxa"/>
            <w:left w:w="0" w:type="dxa"/>
            <w:bottom w:w="0" w:type="dxa"/>
            <w:right w:w="0" w:type="dxa"/>
          </w:tblCellMar>
        </w:tblPrEx>
        <w:trPr>
          <w:trHeight w:val="1129" w:hRule="atLeast"/>
        </w:trPr>
        <w:tc>
          <w:tcPr>
            <w:tcW w:w="4599" w:type="dxa"/>
            <w:tcBorders>
              <w:top w:val="nil"/>
              <w:left w:val="nil"/>
              <w:bottom w:val="nil"/>
              <w:right w:val="nil"/>
            </w:tcBorders>
            <w:noWrap w:val="0"/>
            <w:vAlign w:val="top"/>
          </w:tcPr>
          <w:p>
            <w:pPr>
              <w:widowControl/>
              <w:adjustRightInd w:val="0"/>
              <w:spacing w:line="5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帐</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号：</w:t>
            </w:r>
          </w:p>
        </w:tc>
        <w:tc>
          <w:tcPr>
            <w:tcW w:w="4597" w:type="dxa"/>
            <w:tcBorders>
              <w:top w:val="nil"/>
              <w:left w:val="nil"/>
              <w:bottom w:val="nil"/>
              <w:right w:val="nil"/>
            </w:tcBorders>
            <w:noWrap w:val="0"/>
            <w:vAlign w:val="top"/>
          </w:tcPr>
          <w:p>
            <w:pPr>
              <w:widowControl/>
              <w:adjustRightInd w:val="0"/>
              <w:spacing w:line="560" w:lineRule="exact"/>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帐</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号：</w:t>
            </w:r>
          </w:p>
          <w:p>
            <w:pPr>
              <w:widowControl/>
              <w:adjustRightInd w:val="0"/>
              <w:spacing w:line="560" w:lineRule="exact"/>
              <w:jc w:val="left"/>
              <w:rPr>
                <w:rFonts w:hint="eastAsia" w:ascii="仿宋" w:hAnsi="仿宋" w:eastAsia="仿宋" w:cs="仿宋"/>
                <w:color w:val="auto"/>
                <w:kern w:val="0"/>
                <w:sz w:val="24"/>
                <w:szCs w:val="24"/>
                <w:highlight w:val="none"/>
                <w:lang w:val="zh-CN"/>
              </w:rPr>
            </w:pPr>
          </w:p>
        </w:tc>
      </w:tr>
    </w:tbl>
    <w:p>
      <w:pPr>
        <w:rPr>
          <w:rFonts w:hint="eastAsia" w:ascii="仿宋" w:hAnsi="仿宋" w:eastAsia="仿宋" w:cs="仿宋"/>
          <w:sz w:val="24"/>
          <w:highlight w:val="none"/>
        </w:rPr>
      </w:pPr>
    </w:p>
    <w:p>
      <w:pPr>
        <w:keepNext w:val="0"/>
        <w:keepLines w:val="0"/>
        <w:pageBreakBefore/>
        <w:widowControl w:val="0"/>
        <w:kinsoku/>
        <w:wordWrap/>
        <w:overflowPunct/>
        <w:topLinePunct w:val="0"/>
        <w:autoSpaceDE/>
        <w:autoSpaceDN/>
        <w:bidi w:val="0"/>
        <w:adjustRightInd/>
        <w:snapToGrid/>
        <w:jc w:val="center"/>
        <w:textAlignment w:val="auto"/>
        <w:rPr>
          <w:rFonts w:ascii="仿宋" w:hAnsi="仿宋" w:eastAsia="仿宋" w:cs="仿宋"/>
          <w:b/>
          <w:bCs/>
          <w:sz w:val="28"/>
          <w:szCs w:val="32"/>
          <w:highlight w:val="none"/>
        </w:rPr>
      </w:pPr>
      <w:bookmarkStart w:id="46" w:name="_Toc17716"/>
      <w:bookmarkStart w:id="47" w:name="_Toc23415"/>
      <w:r>
        <w:rPr>
          <w:rFonts w:hint="eastAsia" w:ascii="仿宋" w:hAnsi="仿宋" w:eastAsia="仿宋" w:cs="仿宋"/>
          <w:b/>
          <w:bCs/>
          <w:sz w:val="28"/>
          <w:szCs w:val="32"/>
          <w:highlight w:val="none"/>
        </w:rPr>
        <w:t>第六章  响应文件格式</w:t>
      </w:r>
      <w:bookmarkEnd w:id="46"/>
      <w:bookmarkEnd w:id="47"/>
    </w:p>
    <w:p>
      <w:pPr>
        <w:spacing w:line="360" w:lineRule="auto"/>
        <w:rPr>
          <w:rFonts w:ascii="仿宋" w:hAnsi="仿宋" w:eastAsia="仿宋" w:cs="仿宋"/>
          <w:sz w:val="24"/>
          <w:szCs w:val="28"/>
          <w:highlight w:val="none"/>
        </w:rPr>
      </w:pPr>
    </w:p>
    <w:p>
      <w:pPr>
        <w:spacing w:line="360" w:lineRule="auto"/>
        <w:rPr>
          <w:rFonts w:ascii="仿宋" w:hAnsi="仿宋" w:eastAsia="仿宋" w:cs="仿宋"/>
          <w:sz w:val="24"/>
          <w:szCs w:val="28"/>
          <w:highlight w:val="none"/>
        </w:rPr>
      </w:pPr>
      <w:r>
        <w:rPr>
          <w:rFonts w:hint="eastAsia" w:ascii="仿宋" w:hAnsi="仿宋" w:eastAsia="仿宋" w:cs="仿宋"/>
          <w:sz w:val="24"/>
          <w:szCs w:val="28"/>
          <w:highlight w:val="none"/>
        </w:rPr>
        <w:t>封面样式：</w:t>
      </w:r>
    </w:p>
    <w:p>
      <w:pPr>
        <w:spacing w:before="55"/>
        <w:ind w:right="616"/>
        <w:jc w:val="right"/>
        <w:rPr>
          <w:rFonts w:ascii="仿宋" w:hAnsi="仿宋" w:eastAsia="仿宋" w:cs="仿宋"/>
          <w:w w:val="95"/>
          <w:sz w:val="32"/>
          <w:highlight w:val="none"/>
        </w:rPr>
      </w:pPr>
    </w:p>
    <w:p>
      <w:pPr>
        <w:spacing w:before="55"/>
        <w:ind w:right="616"/>
        <w:jc w:val="right"/>
        <w:rPr>
          <w:rFonts w:ascii="仿宋" w:hAnsi="仿宋" w:eastAsia="仿宋" w:cs="仿宋"/>
          <w:sz w:val="32"/>
          <w:highlight w:val="none"/>
        </w:rPr>
      </w:pPr>
      <w:r>
        <w:rPr>
          <w:rFonts w:hint="eastAsia" w:ascii="仿宋" w:hAnsi="仿宋" w:eastAsia="仿宋" w:cs="仿宋"/>
          <w:w w:val="95"/>
          <w:sz w:val="32"/>
          <w:highlight w:val="none"/>
        </w:rPr>
        <w:t>正本（副本）</w:t>
      </w:r>
    </w:p>
    <w:p>
      <w:pPr>
        <w:pStyle w:val="11"/>
        <w:rPr>
          <w:rFonts w:ascii="仿宋" w:hAnsi="仿宋" w:eastAsia="仿宋" w:cs="仿宋"/>
          <w:sz w:val="32"/>
          <w:highlight w:val="none"/>
        </w:rPr>
      </w:pPr>
    </w:p>
    <w:p>
      <w:pPr>
        <w:pStyle w:val="11"/>
        <w:rPr>
          <w:rFonts w:ascii="仿宋" w:hAnsi="仿宋" w:eastAsia="仿宋" w:cs="仿宋"/>
          <w:sz w:val="33"/>
          <w:highlight w:val="none"/>
        </w:rPr>
      </w:pPr>
    </w:p>
    <w:p>
      <w:pPr>
        <w:spacing w:line="480" w:lineRule="auto"/>
        <w:jc w:val="center"/>
        <w:rPr>
          <w:rFonts w:ascii="仿宋" w:hAnsi="仿宋" w:eastAsia="仿宋" w:cs="仿宋"/>
          <w:b/>
          <w:bCs/>
          <w:sz w:val="52"/>
          <w:szCs w:val="52"/>
          <w:highlight w:val="none"/>
        </w:rPr>
      </w:pPr>
      <w:r>
        <w:rPr>
          <w:rFonts w:hint="eastAsia" w:ascii="仿宋" w:hAnsi="仿宋" w:eastAsia="仿宋" w:cs="仿宋"/>
          <w:b/>
          <w:bCs/>
          <w:sz w:val="52"/>
          <w:szCs w:val="52"/>
          <w:highlight w:val="none"/>
        </w:rPr>
        <w:t>竞争性磋商响应文件</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项目名称：2024年铁心桥街道尹西社区社会组织服务项目</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项目编号：YCZX-CS-202401098</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标包名称：                   </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标包编号：</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供 应 商：                  （单位公章）</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 系 人：                  </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联系方式：                  </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联系地址：                  </w:t>
      </w:r>
    </w:p>
    <w:p>
      <w:pPr>
        <w:spacing w:line="48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年    月    日</w:t>
      </w:r>
    </w:p>
    <w:p>
      <w:pPr>
        <w:widowControl/>
        <w:jc w:val="left"/>
        <w:rPr>
          <w:rFonts w:ascii="仿宋" w:hAnsi="仿宋" w:eastAsia="仿宋" w:cs="仿宋"/>
          <w:b/>
          <w:bCs/>
          <w:szCs w:val="21"/>
          <w:highlight w:val="none"/>
        </w:rPr>
      </w:pPr>
      <w:r>
        <w:rPr>
          <w:rFonts w:hint="eastAsia" w:ascii="仿宋" w:hAnsi="仿宋" w:eastAsia="仿宋" w:cs="仿宋"/>
          <w:b/>
          <w:bCs/>
          <w:szCs w:val="21"/>
          <w:highlight w:val="none"/>
        </w:rPr>
        <w:br w:type="page"/>
      </w:r>
    </w:p>
    <w:p>
      <w:pPr>
        <w:widowControl/>
        <w:jc w:val="left"/>
        <w:rPr>
          <w:rFonts w:ascii="仿宋" w:hAnsi="仿宋" w:eastAsia="仿宋" w:cs="仿宋"/>
          <w:b/>
          <w:bCs/>
          <w:szCs w:val="21"/>
          <w:highlight w:val="none"/>
        </w:rPr>
      </w:pPr>
    </w:p>
    <w:p>
      <w:pPr>
        <w:rPr>
          <w:rFonts w:ascii="仿宋" w:hAnsi="仿宋" w:eastAsia="仿宋" w:cs="仿宋"/>
          <w:b/>
          <w:bCs/>
          <w:sz w:val="22"/>
          <w:highlight w:val="none"/>
        </w:rPr>
      </w:pPr>
      <w:r>
        <w:rPr>
          <w:rFonts w:hint="eastAsia" w:ascii="仿宋" w:hAnsi="仿宋" w:eastAsia="仿宋" w:cs="仿宋"/>
          <w:b/>
          <w:bCs/>
          <w:sz w:val="22"/>
          <w:highlight w:val="none"/>
        </w:rPr>
        <w:t>目录样式（请根据实际情况定制目录）：</w:t>
      </w:r>
    </w:p>
    <w:p>
      <w:pPr>
        <w:rPr>
          <w:rFonts w:ascii="仿宋" w:hAnsi="仿宋" w:eastAsia="仿宋" w:cs="仿宋"/>
          <w:sz w:val="22"/>
          <w:highlight w:val="none"/>
        </w:rPr>
      </w:pPr>
    </w:p>
    <w:p>
      <w:pPr>
        <w:tabs>
          <w:tab w:val="left" w:pos="640"/>
        </w:tabs>
        <w:spacing w:before="55"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目  录</w:t>
      </w:r>
    </w:p>
    <w:p>
      <w:pPr>
        <w:pStyle w:val="22"/>
        <w:ind w:left="0" w:leftChars="0" w:firstLine="0" w:firstLineChars="0"/>
        <w:jc w:val="center"/>
        <w:rPr>
          <w:rStyle w:val="60"/>
          <w:rFonts w:ascii="仿宋" w:hAnsi="仿宋" w:eastAsia="仿宋" w:cs="仿宋"/>
          <w:sz w:val="24"/>
          <w:szCs w:val="24"/>
          <w:highlight w:val="none"/>
        </w:rPr>
      </w:pPr>
    </w:p>
    <w:p>
      <w:pPr>
        <w:pStyle w:val="22"/>
        <w:ind w:left="0" w:leftChars="0" w:firstLine="0" w:firstLineChars="0"/>
        <w:jc w:val="center"/>
        <w:rPr>
          <w:rStyle w:val="60"/>
          <w:rFonts w:ascii="仿宋" w:hAnsi="仿宋" w:eastAsia="仿宋" w:cs="仿宋"/>
          <w:sz w:val="24"/>
          <w:szCs w:val="24"/>
          <w:highlight w:val="none"/>
        </w:rPr>
        <w:sectPr>
          <w:headerReference r:id="rId3" w:type="default"/>
          <w:footerReference r:id="rId4" w:type="default"/>
          <w:endnotePr>
            <w:numFmt w:val="decimal"/>
          </w:endnotePr>
          <w:pgSz w:w="11906" w:h="16838"/>
          <w:pgMar w:top="1417" w:right="1757" w:bottom="1417" w:left="1757" w:header="850" w:footer="1020" w:gutter="0"/>
          <w:pgBorders>
            <w:top w:val="none" w:sz="0" w:space="0"/>
            <w:left w:val="none" w:sz="0" w:space="0"/>
            <w:bottom w:val="none" w:sz="0" w:space="0"/>
            <w:right w:val="none" w:sz="0" w:space="0"/>
          </w:pgBorders>
          <w:cols w:space="720" w:num="1"/>
          <w:docGrid w:linePitch="286" w:charSpace="0"/>
        </w:sectPr>
      </w:pPr>
      <w:r>
        <w:rPr>
          <w:rStyle w:val="60"/>
          <w:rFonts w:hint="eastAsia" w:ascii="仿宋" w:hAnsi="仿宋" w:eastAsia="仿宋" w:cs="仿宋"/>
          <w:sz w:val="24"/>
          <w:szCs w:val="24"/>
          <w:highlight w:val="none"/>
        </w:rPr>
        <w:t>（注：供应商根据目录顺序编制响应文件并制作目录（须生成页码））</w:t>
      </w:r>
    </w:p>
    <w:p>
      <w:pPr>
        <w:spacing w:line="480" w:lineRule="auto"/>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评分索引表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07"/>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vAlign w:val="center"/>
          </w:tcPr>
          <w:p>
            <w:pPr>
              <w:jc w:val="center"/>
              <w:rPr>
                <w:rFonts w:ascii="仿宋" w:hAnsi="仿宋" w:eastAsia="仿宋" w:cs="仿宋"/>
                <w:b/>
                <w:bCs/>
                <w:kern w:val="0"/>
                <w:highlight w:val="none"/>
              </w:rPr>
            </w:pPr>
            <w:r>
              <w:rPr>
                <w:rFonts w:hint="eastAsia" w:ascii="仿宋" w:hAnsi="仿宋" w:eastAsia="仿宋" w:cs="仿宋"/>
                <w:b/>
                <w:bCs/>
                <w:kern w:val="0"/>
                <w:highlight w:val="none"/>
              </w:rPr>
              <w:t>评分项目</w:t>
            </w:r>
          </w:p>
        </w:tc>
        <w:tc>
          <w:tcPr>
            <w:tcW w:w="1407" w:type="dxa"/>
            <w:vAlign w:val="center"/>
          </w:tcPr>
          <w:p>
            <w:pPr>
              <w:jc w:val="center"/>
              <w:rPr>
                <w:rFonts w:ascii="仿宋" w:hAnsi="仿宋" w:eastAsia="仿宋" w:cs="仿宋"/>
                <w:b/>
                <w:bCs/>
                <w:kern w:val="0"/>
                <w:highlight w:val="none"/>
              </w:rPr>
            </w:pPr>
            <w:r>
              <w:rPr>
                <w:rFonts w:hint="eastAsia" w:ascii="仿宋" w:hAnsi="仿宋" w:eastAsia="仿宋" w:cs="仿宋"/>
                <w:b/>
                <w:bCs/>
                <w:kern w:val="0"/>
                <w:highlight w:val="none"/>
              </w:rPr>
              <w:t>自评得分</w:t>
            </w:r>
          </w:p>
        </w:tc>
        <w:tc>
          <w:tcPr>
            <w:tcW w:w="3616" w:type="dxa"/>
            <w:vAlign w:val="center"/>
          </w:tcPr>
          <w:p>
            <w:pPr>
              <w:jc w:val="center"/>
              <w:rPr>
                <w:rFonts w:ascii="仿宋" w:hAnsi="仿宋" w:eastAsia="仿宋" w:cs="仿宋"/>
                <w:b/>
                <w:bCs/>
                <w:kern w:val="0"/>
                <w:highlight w:val="none"/>
              </w:rPr>
            </w:pPr>
            <w:r>
              <w:rPr>
                <w:rFonts w:hint="eastAsia" w:ascii="仿宋" w:hAnsi="仿宋" w:eastAsia="仿宋" w:cs="仿宋"/>
                <w:b/>
                <w:bCs/>
                <w:kern w:val="0"/>
                <w:highlight w:val="none"/>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bl>
    <w:p>
      <w:pPr>
        <w:rPr>
          <w:rFonts w:ascii="仿宋" w:hAnsi="仿宋" w:eastAsia="仿宋" w:cs="仿宋"/>
          <w:highlight w:val="none"/>
        </w:rPr>
      </w:pPr>
    </w:p>
    <w:p>
      <w:pPr>
        <w:pStyle w:val="18"/>
        <w:tabs>
          <w:tab w:val="right" w:leader="dot" w:pos="8302"/>
        </w:tabs>
        <w:rPr>
          <w:rFonts w:ascii="仿宋" w:hAnsi="仿宋" w:eastAsia="仿宋" w:cs="仿宋"/>
          <w:highlight w:val="none"/>
        </w:rPr>
      </w:pPr>
      <w:bookmarkStart w:id="48" w:name="_Toc489655320"/>
    </w:p>
    <w:p>
      <w:pPr>
        <w:rPr>
          <w:rFonts w:ascii="仿宋" w:hAnsi="仿宋" w:eastAsia="仿宋" w:cs="仿宋"/>
          <w:highlight w:val="none"/>
        </w:rPr>
      </w:pPr>
    </w:p>
    <w:p>
      <w:pPr>
        <w:pStyle w:val="31"/>
        <w:rPr>
          <w:rFonts w:ascii="仿宋" w:hAnsi="仿宋" w:eastAsia="仿宋" w:cs="仿宋"/>
          <w:highlight w:val="none"/>
        </w:rPr>
      </w:pPr>
    </w:p>
    <w:p>
      <w:pPr>
        <w:pStyle w:val="31"/>
        <w:rPr>
          <w:rFonts w:ascii="仿宋" w:hAnsi="仿宋" w:eastAsia="仿宋" w:cs="仿宋"/>
          <w:highlight w:val="none"/>
        </w:rPr>
      </w:pPr>
    </w:p>
    <w:p>
      <w:pPr>
        <w:pStyle w:val="31"/>
        <w:rPr>
          <w:rFonts w:ascii="仿宋" w:hAnsi="仿宋" w:eastAsia="仿宋" w:cs="仿宋"/>
          <w:highlight w:val="none"/>
        </w:rPr>
      </w:pPr>
    </w:p>
    <w:p>
      <w:pPr>
        <w:pStyle w:val="31"/>
        <w:rPr>
          <w:rFonts w:ascii="仿宋" w:hAnsi="仿宋" w:eastAsia="仿宋" w:cs="仿宋"/>
          <w:highlight w:val="none"/>
        </w:rPr>
      </w:pPr>
    </w:p>
    <w:p>
      <w:pPr>
        <w:pStyle w:val="31"/>
        <w:rPr>
          <w:rFonts w:ascii="仿宋" w:hAnsi="仿宋" w:eastAsia="仿宋" w:cs="仿宋"/>
          <w:highlight w:val="none"/>
        </w:rPr>
      </w:pPr>
    </w:p>
    <w:p>
      <w:pPr>
        <w:pStyle w:val="31"/>
        <w:rPr>
          <w:rFonts w:ascii="仿宋" w:hAnsi="仿宋" w:eastAsia="仿宋" w:cs="仿宋"/>
          <w:highlight w:val="none"/>
        </w:rPr>
      </w:pPr>
    </w:p>
    <w:p>
      <w:pPr>
        <w:pStyle w:val="31"/>
        <w:rPr>
          <w:rFonts w:ascii="仿宋" w:hAnsi="仿宋" w:eastAsia="仿宋" w:cs="仿宋"/>
          <w:highlight w:val="none"/>
        </w:rPr>
      </w:pPr>
    </w:p>
    <w:p>
      <w:pPr>
        <w:pStyle w:val="31"/>
        <w:rPr>
          <w:rFonts w:ascii="仿宋" w:hAnsi="仿宋" w:eastAsia="仿宋" w:cs="仿宋"/>
          <w:highlight w:val="none"/>
        </w:rPr>
      </w:pPr>
    </w:p>
    <w:p>
      <w:pPr>
        <w:spacing w:line="480" w:lineRule="auto"/>
        <w:jc w:val="center"/>
        <w:rPr>
          <w:rFonts w:ascii="仿宋" w:hAnsi="仿宋" w:eastAsia="仿宋" w:cs="仿宋"/>
          <w:highlight w:val="none"/>
        </w:rPr>
      </w:pPr>
      <w:r>
        <w:rPr>
          <w:rFonts w:hint="eastAsia" w:ascii="仿宋" w:hAnsi="仿宋" w:eastAsia="仿宋" w:cs="仿宋"/>
          <w:b/>
          <w:bCs/>
          <w:sz w:val="32"/>
          <w:szCs w:val="32"/>
          <w:highlight w:val="none"/>
        </w:rPr>
        <w:t>响应文件主要目录及相关证明材料格式、附件</w:t>
      </w:r>
      <w:r>
        <w:rPr>
          <w:rFonts w:hint="eastAsia" w:ascii="仿宋" w:hAnsi="仿宋" w:eastAsia="仿宋" w:cs="仿宋"/>
          <w:highlight w:val="none"/>
        </w:rPr>
        <w:fldChar w:fldCharType="begin"/>
      </w:r>
      <w:r>
        <w:rPr>
          <w:rFonts w:hint="eastAsia" w:ascii="仿宋" w:hAnsi="仿宋" w:eastAsia="仿宋" w:cs="仿宋"/>
          <w:highlight w:val="none"/>
        </w:rPr>
        <w:instrText xml:space="preserve"> TOC \o "1-3" \h \z \u </w:instrText>
      </w:r>
      <w:r>
        <w:rPr>
          <w:rFonts w:hint="eastAsia" w:ascii="仿宋" w:hAnsi="仿宋" w:eastAsia="仿宋" w:cs="仿宋"/>
          <w:highlight w:val="none"/>
        </w:rPr>
        <w:fldChar w:fldCharType="separate"/>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"_Toc15930" </w:instrText>
      </w:r>
      <w:r>
        <w:rPr>
          <w:highlight w:val="none"/>
        </w:rPr>
        <w:fldChar w:fldCharType="separate"/>
      </w:r>
      <w:r>
        <w:rPr>
          <w:rFonts w:hint="eastAsia" w:ascii="仿宋" w:hAnsi="仿宋" w:eastAsia="仿宋" w:cs="仿宋"/>
          <w:bCs/>
          <w:sz w:val="24"/>
          <w:szCs w:val="24"/>
          <w:highlight w:val="none"/>
        </w:rPr>
        <w:t>目录一、磋商申请及声明格式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_Toc15930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hint="eastAsia" w:ascii="仿宋" w:hAnsi="仿宋" w:eastAsia="仿宋" w:cs="仿宋"/>
          <w:sz w:val="24"/>
          <w:szCs w:val="24"/>
          <w:highlight w:val="none"/>
          <w:lang w:val="en-US" w:eastAsia="zh-CN"/>
        </w:rPr>
      </w:pPr>
      <w:r>
        <w:rPr>
          <w:highlight w:val="none"/>
        </w:rPr>
        <w:fldChar w:fldCharType="begin"/>
      </w:r>
      <w:r>
        <w:rPr>
          <w:highlight w:val="none"/>
        </w:rPr>
        <w:instrText xml:space="preserve"> HYPERLINK \l "_Toc11817" </w:instrText>
      </w:r>
      <w:r>
        <w:rPr>
          <w:highlight w:val="none"/>
        </w:rPr>
        <w:fldChar w:fldCharType="separate"/>
      </w:r>
      <w:r>
        <w:rPr>
          <w:rFonts w:hint="eastAsia" w:ascii="仿宋" w:hAnsi="仿宋" w:eastAsia="仿宋" w:cs="仿宋"/>
          <w:bCs/>
          <w:sz w:val="24"/>
          <w:szCs w:val="24"/>
          <w:highlight w:val="none"/>
        </w:rPr>
        <w:t>目录二、法定代表人授权委托书格式</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8</w:t>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"_Toc20772" </w:instrText>
      </w:r>
      <w:r>
        <w:rPr>
          <w:highlight w:val="none"/>
        </w:rPr>
        <w:fldChar w:fldCharType="separate"/>
      </w:r>
      <w:r>
        <w:rPr>
          <w:rFonts w:hint="eastAsia" w:ascii="仿宋" w:hAnsi="仿宋" w:eastAsia="仿宋" w:cs="仿宋"/>
          <w:bCs/>
          <w:sz w:val="24"/>
          <w:szCs w:val="24"/>
          <w:highlight w:val="none"/>
        </w:rPr>
        <w:t>目录三、报价表格式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_Toc20772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"_Toc12090" </w:instrText>
      </w:r>
      <w:r>
        <w:rPr>
          <w:highlight w:val="none"/>
        </w:rPr>
        <w:fldChar w:fldCharType="separate"/>
      </w:r>
      <w:r>
        <w:rPr>
          <w:rFonts w:hint="eastAsia" w:ascii="仿宋" w:hAnsi="仿宋" w:eastAsia="仿宋" w:cs="仿宋"/>
          <w:bCs/>
          <w:sz w:val="24"/>
          <w:szCs w:val="24"/>
          <w:highlight w:val="none"/>
        </w:rPr>
        <w:t>目录四、资格性和符合性审查响应对照表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_Toc12090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"_Toc4271" </w:instrText>
      </w:r>
      <w:r>
        <w:rPr>
          <w:highlight w:val="none"/>
        </w:rPr>
        <w:fldChar w:fldCharType="separate"/>
      </w:r>
      <w:r>
        <w:rPr>
          <w:rFonts w:hint="eastAsia" w:ascii="仿宋" w:hAnsi="仿宋" w:eastAsia="仿宋" w:cs="仿宋"/>
          <w:bCs/>
          <w:sz w:val="24"/>
          <w:szCs w:val="24"/>
          <w:highlight w:val="none"/>
        </w:rPr>
        <w:t>目录五、资格证明文件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_Toc4271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"_Toc30525" </w:instrText>
      </w:r>
      <w:r>
        <w:rPr>
          <w:highlight w:val="none"/>
        </w:rPr>
        <w:fldChar w:fldCharType="separate"/>
      </w:r>
      <w:r>
        <w:rPr>
          <w:rFonts w:hint="eastAsia" w:ascii="仿宋" w:hAnsi="仿宋" w:eastAsia="仿宋" w:cs="仿宋"/>
          <w:bCs/>
          <w:sz w:val="24"/>
          <w:szCs w:val="24"/>
          <w:highlight w:val="none"/>
        </w:rPr>
        <w:t>目录六、技术条款偏离表格式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_Toc30525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"_Toc30587" </w:instrText>
      </w:r>
      <w:r>
        <w:rPr>
          <w:highlight w:val="none"/>
        </w:rPr>
        <w:fldChar w:fldCharType="separate"/>
      </w:r>
      <w:r>
        <w:rPr>
          <w:rFonts w:hint="eastAsia" w:ascii="仿宋" w:hAnsi="仿宋" w:eastAsia="仿宋" w:cs="仿宋"/>
          <w:bCs/>
          <w:sz w:val="24"/>
          <w:szCs w:val="24"/>
          <w:highlight w:val="none"/>
        </w:rPr>
        <w:t>目录七、商务条款偏离表格式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_Toc30587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"_Toc7419" </w:instrText>
      </w:r>
      <w:r>
        <w:rPr>
          <w:highlight w:val="none"/>
        </w:rPr>
        <w:fldChar w:fldCharType="separate"/>
      </w:r>
      <w:r>
        <w:rPr>
          <w:rFonts w:hint="eastAsia" w:ascii="仿宋" w:hAnsi="仿宋" w:eastAsia="仿宋" w:cs="仿宋"/>
          <w:bCs/>
          <w:sz w:val="24"/>
          <w:szCs w:val="24"/>
          <w:highlight w:val="none"/>
        </w:rPr>
        <w:t>目录八、实施方案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_Toc7419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"_Toc13314" </w:instrText>
      </w:r>
      <w:r>
        <w:rPr>
          <w:highlight w:val="none"/>
        </w:rPr>
        <w:fldChar w:fldCharType="separate"/>
      </w:r>
      <w:r>
        <w:rPr>
          <w:rFonts w:hint="eastAsia" w:ascii="仿宋" w:hAnsi="仿宋" w:eastAsia="仿宋" w:cs="仿宋"/>
          <w:bCs/>
          <w:sz w:val="24"/>
          <w:szCs w:val="24"/>
          <w:highlight w:val="none"/>
        </w:rPr>
        <w:t>目录九、服务与承诺</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_Toc13314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"_Toc10700" </w:instrText>
      </w:r>
      <w:r>
        <w:rPr>
          <w:highlight w:val="none"/>
        </w:rPr>
        <w:fldChar w:fldCharType="separate"/>
      </w:r>
      <w:r>
        <w:rPr>
          <w:rFonts w:hint="eastAsia" w:ascii="仿宋" w:hAnsi="仿宋" w:eastAsia="仿宋" w:cs="仿宋"/>
          <w:bCs/>
          <w:sz w:val="24"/>
          <w:szCs w:val="24"/>
          <w:highlight w:val="none"/>
        </w:rPr>
        <w:t>目录十、供应商拟投入本项目团队人员一览表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_Toc10700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"_Toc25472" </w:instrText>
      </w:r>
      <w:r>
        <w:rPr>
          <w:highlight w:val="none"/>
        </w:rPr>
        <w:fldChar w:fldCharType="separate"/>
      </w:r>
      <w:r>
        <w:rPr>
          <w:rFonts w:hint="eastAsia" w:ascii="仿宋" w:hAnsi="仿宋" w:eastAsia="仿宋" w:cs="仿宋"/>
          <w:bCs/>
          <w:sz w:val="24"/>
          <w:szCs w:val="24"/>
          <w:highlight w:val="none"/>
        </w:rPr>
        <w:t>目录十一、供应商类似业绩情况表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_Toc25472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"_Toc16925" </w:instrText>
      </w:r>
      <w:r>
        <w:rPr>
          <w:highlight w:val="none"/>
        </w:rPr>
        <w:fldChar w:fldCharType="separate"/>
      </w:r>
      <w:r>
        <w:rPr>
          <w:rFonts w:hint="eastAsia" w:ascii="仿宋" w:hAnsi="仿宋" w:eastAsia="仿宋" w:cs="仿宋"/>
          <w:bCs/>
          <w:sz w:val="24"/>
          <w:szCs w:val="24"/>
          <w:highlight w:val="none"/>
        </w:rPr>
        <w:t>目录十二、投标需要的其他证明文件及材料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_Toc16925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"_Toc11339" </w:instrText>
      </w:r>
      <w:r>
        <w:rPr>
          <w:highlight w:val="none"/>
        </w:rPr>
        <w:fldChar w:fldCharType="separate"/>
      </w:r>
      <w:r>
        <w:rPr>
          <w:rFonts w:hint="eastAsia" w:ascii="仿宋" w:hAnsi="仿宋" w:eastAsia="仿宋" w:cs="仿宋"/>
          <w:bCs/>
          <w:sz w:val="24"/>
          <w:szCs w:val="24"/>
          <w:highlight w:val="none"/>
        </w:rPr>
        <w:t>附件一、政府采购政策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_Toc11339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"_Toc8224" </w:instrText>
      </w:r>
      <w:r>
        <w:rPr>
          <w:highlight w:val="none"/>
        </w:rPr>
        <w:fldChar w:fldCharType="separate"/>
      </w:r>
      <w:r>
        <w:rPr>
          <w:rFonts w:hint="eastAsia" w:ascii="仿宋" w:hAnsi="仿宋" w:eastAsia="仿宋" w:cs="仿宋"/>
          <w:bCs/>
          <w:sz w:val="24"/>
          <w:szCs w:val="24"/>
          <w:highlight w:val="none"/>
        </w:rPr>
        <w:t>附件二、无重大违法记录声明格式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_Toc8224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tabs>
          <w:tab w:val="right" w:leader="dot" w:pos="8392"/>
        </w:tabs>
        <w:spacing w:line="480" w:lineRule="auto"/>
        <w:ind w:left="0" w:leftChars="0"/>
        <w:rPr>
          <w:rFonts w:ascii="仿宋" w:hAnsi="仿宋" w:eastAsia="仿宋" w:cs="仿宋"/>
          <w:highlight w:val="none"/>
        </w:rPr>
      </w:pPr>
      <w:r>
        <w:rPr>
          <w:highlight w:val="none"/>
        </w:rPr>
        <w:fldChar w:fldCharType="begin"/>
      </w:r>
      <w:r>
        <w:rPr>
          <w:highlight w:val="none"/>
        </w:rPr>
        <w:instrText xml:space="preserve"> HYPERLINK \l "_Toc8249" </w:instrText>
      </w:r>
      <w:r>
        <w:rPr>
          <w:highlight w:val="none"/>
        </w:rPr>
        <w:fldChar w:fldCharType="separate"/>
      </w:r>
      <w:r>
        <w:rPr>
          <w:rFonts w:hint="eastAsia" w:ascii="仿宋" w:hAnsi="仿宋" w:eastAsia="仿宋" w:cs="仿宋"/>
          <w:kern w:val="0"/>
          <w:sz w:val="24"/>
          <w:szCs w:val="24"/>
          <w:highlight w:val="none"/>
          <w:lang w:val="zh-CN"/>
        </w:rPr>
        <w:t>附件</w:t>
      </w:r>
      <w:r>
        <w:rPr>
          <w:rFonts w:hint="eastAsia" w:ascii="仿宋" w:hAnsi="仿宋" w:eastAsia="仿宋" w:cs="仿宋"/>
          <w:kern w:val="0"/>
          <w:sz w:val="24"/>
          <w:szCs w:val="24"/>
          <w:highlight w:val="none"/>
        </w:rPr>
        <w:t>三</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南京市政府采购供应商信用记录表暨信用承诺书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_Toc8249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spacing w:line="480" w:lineRule="auto"/>
        <w:jc w:val="center"/>
        <w:rPr>
          <w:rFonts w:ascii="仿宋" w:hAnsi="仿宋" w:eastAsia="仿宋" w:cs="仿宋"/>
          <w:sz w:val="32"/>
          <w:szCs w:val="32"/>
          <w:highlight w:val="none"/>
        </w:rPr>
      </w:pPr>
      <w:r>
        <w:rPr>
          <w:rFonts w:hint="eastAsia" w:ascii="仿宋" w:hAnsi="仿宋" w:eastAsia="仿宋" w:cs="仿宋"/>
          <w:highlight w:val="none"/>
        </w:rPr>
        <w:fldChar w:fldCharType="end"/>
      </w:r>
      <w:bookmarkEnd w:id="48"/>
    </w:p>
    <w:p>
      <w:pPr>
        <w:rPr>
          <w:rFonts w:ascii="仿宋" w:hAnsi="仿宋" w:eastAsia="仿宋" w:cs="仿宋"/>
          <w:b/>
          <w:bCs/>
          <w:sz w:val="22"/>
          <w:szCs w:val="24"/>
          <w:highlight w:val="none"/>
        </w:rPr>
      </w:pPr>
      <w:r>
        <w:rPr>
          <w:rFonts w:hint="eastAsia" w:ascii="仿宋" w:hAnsi="仿宋" w:eastAsia="仿宋" w:cs="仿宋"/>
          <w:b/>
          <w:bCs/>
          <w:sz w:val="22"/>
          <w:szCs w:val="24"/>
          <w:highlight w:val="none"/>
        </w:rPr>
        <w:br w:type="page"/>
      </w:r>
    </w:p>
    <w:p>
      <w:pPr>
        <w:spacing w:line="360" w:lineRule="auto"/>
        <w:outlineLvl w:val="2"/>
        <w:rPr>
          <w:rFonts w:ascii="仿宋" w:hAnsi="仿宋" w:eastAsia="仿宋" w:cs="仿宋"/>
          <w:b/>
          <w:bCs/>
          <w:sz w:val="22"/>
          <w:highlight w:val="none"/>
        </w:rPr>
      </w:pPr>
      <w:bookmarkStart w:id="49" w:name="_Toc15930"/>
      <w:r>
        <w:rPr>
          <w:rFonts w:hint="eastAsia" w:ascii="仿宋" w:hAnsi="仿宋" w:eastAsia="仿宋" w:cs="仿宋"/>
          <w:b/>
          <w:bCs/>
          <w:sz w:val="22"/>
          <w:highlight w:val="none"/>
        </w:rPr>
        <w:t>目录一、磋商申请及声明格式</w:t>
      </w:r>
      <w:bookmarkEnd w:id="49"/>
    </w:p>
    <w:p>
      <w:pPr>
        <w:pStyle w:val="11"/>
        <w:spacing w:line="360" w:lineRule="auto"/>
        <w:ind w:left="0"/>
        <w:jc w:val="center"/>
        <w:rPr>
          <w:rFonts w:ascii="仿宋" w:hAnsi="仿宋" w:eastAsia="仿宋" w:cs="仿宋"/>
          <w:b/>
          <w:sz w:val="32"/>
          <w:szCs w:val="32"/>
          <w:highlight w:val="none"/>
        </w:rPr>
      </w:pPr>
      <w:r>
        <w:rPr>
          <w:rFonts w:hint="eastAsia" w:ascii="仿宋" w:hAnsi="仿宋" w:eastAsia="仿宋" w:cs="仿宋"/>
          <w:b/>
          <w:sz w:val="32"/>
          <w:szCs w:val="32"/>
          <w:highlight w:val="none"/>
        </w:rPr>
        <w:t>磋商申请及声明</w:t>
      </w:r>
    </w:p>
    <w:p>
      <w:pPr>
        <w:widowControl/>
        <w:shd w:val="clear" w:color="auto" w:fill="FFFFFF"/>
        <w:spacing w:line="360" w:lineRule="auto"/>
        <w:ind w:firstLine="480" w:firstLineChars="200"/>
        <w:rPr>
          <w:rFonts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致：南京市雨花台区铁心桥街道尹西社区居民委员会(采购人)</w:t>
      </w:r>
    </w:p>
    <w:p>
      <w:pPr>
        <w:pStyle w:val="2"/>
        <w:ind w:firstLine="960" w:firstLineChars="400"/>
        <w:rPr>
          <w:rFonts w:hint="eastAsia" w:ascii="仿宋" w:hAnsi="仿宋" w:eastAsia="仿宋" w:cs="仿宋"/>
          <w:kern w:val="0"/>
          <w:sz w:val="24"/>
          <w:szCs w:val="24"/>
          <w:highlight w:val="none"/>
          <w:lang w:val="zh-CN" w:eastAsia="zh-CN" w:bidi="zh-CN"/>
        </w:rPr>
      </w:pPr>
      <w:r>
        <w:rPr>
          <w:rFonts w:hint="eastAsia" w:ascii="仿宋" w:hAnsi="仿宋" w:eastAsia="仿宋" w:cs="仿宋"/>
          <w:kern w:val="0"/>
          <w:sz w:val="24"/>
          <w:szCs w:val="24"/>
          <w:highlight w:val="none"/>
          <w:lang w:val="zh-CN" w:eastAsia="zh-CN" w:bidi="zh-CN"/>
        </w:rPr>
        <w:t>源成工程咨询（江苏南京）有限责任公司</w:t>
      </w:r>
    </w:p>
    <w:p>
      <w:pPr>
        <w:rPr>
          <w:rFonts w:hint="eastAsia"/>
          <w:highlight w:val="none"/>
        </w:rPr>
      </w:pPr>
    </w:p>
    <w:p>
      <w:pPr>
        <w:pStyle w:val="11"/>
        <w:tabs>
          <w:tab w:val="left" w:pos="5401"/>
          <w:tab w:val="left" w:pos="7458"/>
          <w:tab w:val="left" w:pos="8727"/>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根据贵方</w:t>
      </w:r>
      <w:r>
        <w:rPr>
          <w:rFonts w:hint="eastAsia" w:ascii="仿宋" w:hAnsi="仿宋" w:eastAsia="仿宋" w:cs="仿宋"/>
          <w:strike w:val="0"/>
          <w:dstrike w:val="0"/>
          <w:highlight w:val="none"/>
          <w:u w:val="single"/>
        </w:rPr>
        <w:t>2024年铁心桥街道尹西社区社会组织服务项目</w:t>
      </w:r>
      <w:r>
        <w:rPr>
          <w:rFonts w:hint="eastAsia" w:ascii="仿宋" w:hAnsi="仿宋" w:eastAsia="仿宋" w:cs="仿宋"/>
          <w:highlight w:val="none"/>
          <w:u w:val="none"/>
        </w:rPr>
        <w:t>（</w:t>
      </w:r>
      <w:r>
        <w:rPr>
          <w:rFonts w:hint="eastAsia" w:ascii="仿宋" w:hAnsi="仿宋" w:eastAsia="仿宋" w:cs="仿宋"/>
          <w:highlight w:val="none"/>
          <w:u w:val="none"/>
          <w:lang w:val="en-US"/>
        </w:rPr>
        <w:t>项目</w:t>
      </w:r>
      <w:r>
        <w:rPr>
          <w:rFonts w:hint="eastAsia" w:ascii="仿宋" w:hAnsi="仿宋" w:eastAsia="仿宋" w:cs="仿宋"/>
          <w:highlight w:val="none"/>
          <w:u w:val="none"/>
        </w:rPr>
        <w:t>名称）</w:t>
      </w:r>
      <w:r>
        <w:rPr>
          <w:rFonts w:hint="eastAsia" w:ascii="仿宋" w:hAnsi="仿宋" w:eastAsia="仿宋" w:cs="仿宋"/>
          <w:highlight w:val="none"/>
          <w:u w:val="single"/>
        </w:rPr>
        <w:t>YCZX-CS-202401098</w:t>
      </w:r>
      <w:r>
        <w:rPr>
          <w:rFonts w:hint="eastAsia" w:ascii="仿宋" w:hAnsi="仿宋" w:eastAsia="仿宋" w:cs="仿宋"/>
          <w:highlight w:val="none"/>
          <w:u w:val="none"/>
        </w:rPr>
        <w:t>（</w:t>
      </w:r>
      <w:r>
        <w:rPr>
          <w:rFonts w:hint="eastAsia" w:ascii="仿宋" w:hAnsi="仿宋" w:eastAsia="仿宋" w:cs="仿宋"/>
          <w:highlight w:val="none"/>
          <w:u w:val="none"/>
          <w:lang w:val="en-US"/>
        </w:rPr>
        <w:t>项目</w:t>
      </w:r>
      <w:r>
        <w:rPr>
          <w:rFonts w:hint="eastAsia" w:ascii="仿宋" w:hAnsi="仿宋" w:eastAsia="仿宋" w:cs="仿宋"/>
          <w:highlight w:val="none"/>
          <w:u w:val="none"/>
        </w:rPr>
        <w:t>编号）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rPr>
        <w:t>（</w:t>
      </w:r>
      <w:r>
        <w:rPr>
          <w:rFonts w:hint="eastAsia" w:ascii="仿宋" w:hAnsi="仿宋" w:eastAsia="仿宋" w:cs="仿宋"/>
          <w:highlight w:val="none"/>
          <w:u w:val="none"/>
          <w:lang w:val="en-US"/>
        </w:rPr>
        <w:t>标包</w:t>
      </w:r>
      <w:r>
        <w:rPr>
          <w:rFonts w:hint="eastAsia" w:ascii="仿宋" w:hAnsi="仿宋" w:eastAsia="仿宋" w:cs="仿宋"/>
          <w:highlight w:val="none"/>
          <w:u w:val="none"/>
        </w:rPr>
        <w:t>名称）</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rPr>
        <w:t>（</w:t>
      </w:r>
      <w:r>
        <w:rPr>
          <w:rFonts w:hint="eastAsia" w:ascii="仿宋" w:hAnsi="仿宋" w:eastAsia="仿宋" w:cs="仿宋"/>
          <w:highlight w:val="none"/>
          <w:u w:val="none"/>
          <w:lang w:val="en-US"/>
        </w:rPr>
        <w:t>标包</w:t>
      </w:r>
      <w:r>
        <w:rPr>
          <w:rFonts w:hint="eastAsia" w:ascii="仿宋" w:hAnsi="仿宋" w:eastAsia="仿宋" w:cs="仿宋"/>
          <w:highlight w:val="none"/>
          <w:u w:val="none"/>
        </w:rPr>
        <w:t>编号）</w:t>
      </w:r>
      <w:r>
        <w:rPr>
          <w:rFonts w:hint="eastAsia" w:ascii="仿宋" w:hAnsi="仿宋" w:eastAsia="仿宋" w:cs="仿宋"/>
          <w:highlight w:val="none"/>
        </w:rPr>
        <w:t>磋商公告，我方</w:t>
      </w:r>
      <w:r>
        <w:rPr>
          <w:rFonts w:hint="eastAsia" w:ascii="仿宋" w:hAnsi="仿宋" w:eastAsia="仿宋" w:cs="仿宋"/>
          <w:highlight w:val="none"/>
          <w:u w:val="single"/>
          <w:lang w:val="en-US"/>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lang w:val="en-US"/>
        </w:rPr>
        <w:t>(供应商名称)</w:t>
      </w:r>
      <w:r>
        <w:rPr>
          <w:rFonts w:hint="eastAsia" w:ascii="仿宋" w:hAnsi="仿宋" w:eastAsia="仿宋" w:cs="仿宋"/>
          <w:highlight w:val="none"/>
        </w:rPr>
        <w:t>决定参与本次采购活动，提交响应文件并参加磋商。</w:t>
      </w:r>
    </w:p>
    <w:p>
      <w:pPr>
        <w:pStyle w:val="11"/>
        <w:tabs>
          <w:tab w:val="left" w:pos="5401"/>
          <w:tab w:val="left" w:pos="7458"/>
          <w:tab w:val="left" w:pos="8727"/>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据此函，</w:t>
      </w:r>
      <w:r>
        <w:rPr>
          <w:rFonts w:hint="eastAsia" w:ascii="仿宋" w:hAnsi="仿宋" w:eastAsia="仿宋" w:cs="仿宋"/>
          <w:highlight w:val="none"/>
          <w:lang w:val="en-US"/>
        </w:rPr>
        <w:t>声明</w:t>
      </w:r>
      <w:r>
        <w:rPr>
          <w:rFonts w:hint="eastAsia" w:ascii="仿宋" w:hAnsi="仿宋" w:eastAsia="仿宋" w:cs="仿宋"/>
          <w:highlight w:val="none"/>
        </w:rPr>
        <w:t>如下：</w:t>
      </w:r>
    </w:p>
    <w:p>
      <w:pPr>
        <w:pStyle w:val="11"/>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1.我方的资格条件符合政府采购法和本次采购要求。</w:t>
      </w:r>
    </w:p>
    <w:p>
      <w:pPr>
        <w:pStyle w:val="11"/>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2.我方参加政府采购活动前三年内，在经营活动中没有重大违法记录。</w:t>
      </w:r>
    </w:p>
    <w:p>
      <w:pPr>
        <w:pStyle w:val="11"/>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3.参加本次采购活动前，我方没有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pPr>
        <w:pStyle w:val="11"/>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 xml:space="preserve">4.我方在全国范围内未受过财政部门禁止参加政府采购活动的处罚期限，或在全国范围内受过财政部门禁止参加政府采购活动的处罚期限已满。 </w:t>
      </w:r>
    </w:p>
    <w:p>
      <w:pPr>
        <w:pStyle w:val="11"/>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5.我方与参与本次采购活动的其他供应商的负责人不是同一人，也不存在直接控股、管理关系。</w:t>
      </w:r>
    </w:p>
    <w:p>
      <w:pPr>
        <w:pStyle w:val="11"/>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6.我方同意并向贵方提供了与磋商有关的所有证据和资料。</w:t>
      </w:r>
    </w:p>
    <w:p>
      <w:pPr>
        <w:pStyle w:val="11"/>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7.</w:t>
      </w:r>
      <w:r>
        <w:rPr>
          <w:rFonts w:hint="eastAsia" w:ascii="仿宋" w:hAnsi="仿宋" w:eastAsia="仿宋" w:cs="仿宋"/>
          <w:highlight w:val="none"/>
        </w:rPr>
        <w:t>我们的首次磋商报价为（大写）</w:t>
      </w:r>
      <w:r>
        <w:rPr>
          <w:rFonts w:hint="eastAsia" w:ascii="仿宋" w:hAnsi="仿宋" w:eastAsia="仿宋" w:cs="仿宋"/>
          <w:highlight w:val="none"/>
          <w:u w:val="single"/>
          <w:lang w:val="en-US"/>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元。</w:t>
      </w:r>
    </w:p>
    <w:p>
      <w:pPr>
        <w:pStyle w:val="11"/>
        <w:tabs>
          <w:tab w:val="left" w:pos="6623"/>
        </w:tabs>
        <w:spacing w:line="360" w:lineRule="auto"/>
        <w:ind w:left="0" w:firstLine="480" w:firstLineChars="200"/>
        <w:rPr>
          <w:rFonts w:ascii="仿宋" w:hAnsi="仿宋" w:eastAsia="仿宋" w:cs="仿宋"/>
          <w:highlight w:val="none"/>
          <w:u w:val="single"/>
          <w:lang w:val="en-US"/>
        </w:rPr>
      </w:pPr>
      <w:r>
        <w:rPr>
          <w:rFonts w:hint="eastAsia" w:ascii="仿宋" w:hAnsi="仿宋" w:eastAsia="仿宋" w:cs="仿宋"/>
          <w:highlight w:val="none"/>
          <w:lang w:val="en-US"/>
        </w:rPr>
        <w:t>8.项目负责人（姓名）</w:t>
      </w:r>
      <w:r>
        <w:rPr>
          <w:rFonts w:hint="eastAsia" w:ascii="仿宋" w:hAnsi="仿宋" w:eastAsia="仿宋" w:cs="仿宋"/>
          <w:highlight w:val="none"/>
          <w:u w:val="single"/>
          <w:lang w:val="en-US"/>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lang w:val="en-US"/>
        </w:rPr>
        <w:t>。移动电话</w:t>
      </w:r>
      <w:r>
        <w:rPr>
          <w:rFonts w:hint="eastAsia" w:ascii="仿宋" w:hAnsi="仿宋" w:eastAsia="仿宋" w:cs="仿宋"/>
          <w:highlight w:val="none"/>
          <w:u w:val="single"/>
          <w:lang w:val="en-US"/>
        </w:rPr>
        <w:t xml:space="preserve">                .</w:t>
      </w:r>
    </w:p>
    <w:p>
      <w:pPr>
        <w:pStyle w:val="11"/>
        <w:spacing w:line="360" w:lineRule="auto"/>
        <w:ind w:left="0" w:firstLine="480" w:firstLineChars="200"/>
        <w:jc w:val="both"/>
        <w:rPr>
          <w:rFonts w:ascii="仿宋" w:hAnsi="仿宋" w:eastAsia="仿宋" w:cs="仿宋"/>
          <w:highlight w:val="none"/>
        </w:rPr>
      </w:pPr>
      <w:r>
        <w:rPr>
          <w:rFonts w:hint="eastAsia" w:ascii="仿宋" w:hAnsi="仿宋" w:eastAsia="仿宋" w:cs="仿宋"/>
          <w:highlight w:val="none"/>
          <w:lang w:val="en-US"/>
        </w:rPr>
        <w:t>9.</w:t>
      </w:r>
      <w:r>
        <w:rPr>
          <w:rFonts w:hint="eastAsia" w:ascii="仿宋" w:hAnsi="仿宋" w:eastAsia="仿宋" w:cs="仿宋"/>
          <w:highlight w:val="none"/>
        </w:rPr>
        <w:t>我们已详细审核全部磋商文件及其有效补充文件，我们放弃对磋商文件任何误解的权利，提交响应文件后，不对磋商文件本身提出质疑。否则，属于不诚信和故意扰乱政府采购活动行为，我们将无条件接受处罚。</w:t>
      </w:r>
    </w:p>
    <w:p>
      <w:pPr>
        <w:pStyle w:val="11"/>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10.</w:t>
      </w:r>
      <w:r>
        <w:rPr>
          <w:rFonts w:hint="eastAsia" w:ascii="仿宋" w:hAnsi="仿宋" w:eastAsia="仿宋" w:cs="仿宋"/>
          <w:highlight w:val="none"/>
        </w:rPr>
        <w:t>一旦我方成交，我方将根据磋商文件的规定，严格履行合同，并保证于承诺的时间完成货物的安装/集成、调试等工作，交付采购人验收、使用。</w:t>
      </w:r>
    </w:p>
    <w:p>
      <w:pPr>
        <w:pStyle w:val="11"/>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11.</w:t>
      </w:r>
      <w:r>
        <w:rPr>
          <w:rFonts w:hint="eastAsia" w:ascii="仿宋" w:hAnsi="仿宋" w:eastAsia="仿宋" w:cs="仿宋"/>
          <w:highlight w:val="none"/>
        </w:rPr>
        <w:t>我方决不提供虚假材料谋取成交、决不采取不正当手段诋毁、排挤其他供应商、决不与采购人、其它供应商或者</w:t>
      </w:r>
      <w:r>
        <w:rPr>
          <w:rFonts w:hint="eastAsia" w:ascii="仿宋" w:hAnsi="仿宋" w:eastAsia="仿宋" w:cs="仿宋"/>
          <w:highlight w:val="none"/>
          <w:lang w:val="en-US"/>
        </w:rPr>
        <w:t>采购代理机构</w:t>
      </w:r>
      <w:r>
        <w:rPr>
          <w:rFonts w:hint="eastAsia" w:ascii="仿宋" w:hAnsi="仿宋" w:eastAsia="仿宋" w:cs="仿宋"/>
          <w:highlight w:val="none"/>
        </w:rPr>
        <w:t>恶意串通、决不向采购人、</w:t>
      </w:r>
      <w:r>
        <w:rPr>
          <w:rFonts w:hint="eastAsia" w:ascii="仿宋" w:hAnsi="仿宋" w:eastAsia="仿宋" w:cs="仿宋"/>
          <w:highlight w:val="none"/>
          <w:lang w:val="en-US"/>
        </w:rPr>
        <w:t>采购代理机构</w:t>
      </w:r>
      <w:r>
        <w:rPr>
          <w:rFonts w:hint="eastAsia" w:ascii="仿宋" w:hAnsi="仿宋" w:eastAsia="仿宋" w:cs="仿宋"/>
          <w:highlight w:val="none"/>
        </w:rPr>
        <w:t>工作人员和磋商小组进行商业贿赂、决不拒绝有关部门监督检查或提供虚假情况，如有违反，无条件接受贵方及相关管理部门的处罚。</w:t>
      </w:r>
    </w:p>
    <w:p>
      <w:pPr>
        <w:pStyle w:val="11"/>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12.</w:t>
      </w:r>
      <w:r>
        <w:rPr>
          <w:rFonts w:hint="eastAsia" w:ascii="仿宋" w:hAnsi="仿宋" w:eastAsia="仿宋" w:cs="仿宋"/>
          <w:highlight w:val="none"/>
        </w:rPr>
        <w:t>我方正式通讯方式为：</w:t>
      </w:r>
    </w:p>
    <w:p>
      <w:pPr>
        <w:pStyle w:val="11"/>
        <w:tabs>
          <w:tab w:val="left" w:pos="5077"/>
        </w:tabs>
        <w:spacing w:line="360" w:lineRule="auto"/>
        <w:ind w:left="0" w:firstLine="480" w:firstLineChars="200"/>
        <w:jc w:val="both"/>
        <w:rPr>
          <w:rFonts w:ascii="仿宋" w:hAnsi="仿宋" w:eastAsia="仿宋" w:cs="仿宋"/>
          <w:highlight w:val="none"/>
          <w:u w:val="single"/>
        </w:rPr>
      </w:pPr>
      <w:r>
        <w:rPr>
          <w:rFonts w:hint="eastAsia" w:ascii="仿宋" w:hAnsi="仿宋" w:eastAsia="仿宋" w:cs="仿宋"/>
          <w:highlight w:val="none"/>
        </w:rPr>
        <w:t>地 址：</w:t>
      </w:r>
      <w:r>
        <w:rPr>
          <w:rFonts w:hint="eastAsia" w:ascii="仿宋" w:hAnsi="仿宋" w:eastAsia="仿宋" w:cs="仿宋"/>
          <w:highlight w:val="none"/>
          <w:u w:val="single"/>
        </w:rPr>
        <w:tab/>
      </w:r>
    </w:p>
    <w:p>
      <w:pPr>
        <w:pStyle w:val="11"/>
        <w:tabs>
          <w:tab w:val="left" w:pos="5077"/>
        </w:tabs>
        <w:spacing w:line="360" w:lineRule="auto"/>
        <w:ind w:left="0" w:firstLine="480" w:firstLineChars="200"/>
        <w:jc w:val="both"/>
        <w:rPr>
          <w:rFonts w:ascii="仿宋" w:hAnsi="仿宋" w:eastAsia="仿宋" w:cs="仿宋"/>
          <w:highlight w:val="none"/>
          <w:u w:val="single"/>
        </w:rPr>
      </w:pPr>
      <w:r>
        <w:rPr>
          <w:rFonts w:hint="eastAsia" w:ascii="仿宋" w:hAnsi="仿宋" w:eastAsia="仿宋" w:cs="仿宋"/>
          <w:highlight w:val="none"/>
        </w:rPr>
        <w:t>电 话：</w:t>
      </w:r>
      <w:r>
        <w:rPr>
          <w:rFonts w:hint="eastAsia" w:ascii="仿宋" w:hAnsi="仿宋" w:eastAsia="仿宋" w:cs="仿宋"/>
          <w:highlight w:val="none"/>
          <w:u w:val="single"/>
        </w:rPr>
        <w:tab/>
      </w:r>
    </w:p>
    <w:p>
      <w:pPr>
        <w:pStyle w:val="11"/>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13</w:t>
      </w:r>
      <w:r>
        <w:rPr>
          <w:rFonts w:hint="eastAsia" w:ascii="仿宋" w:hAnsi="仿宋" w:eastAsia="仿宋" w:cs="仿宋"/>
          <w:highlight w:val="none"/>
        </w:rPr>
        <w:t>.我方正式开户银行和帐号为：</w:t>
      </w:r>
    </w:p>
    <w:p>
      <w:pPr>
        <w:pStyle w:val="11"/>
        <w:tabs>
          <w:tab w:val="left" w:pos="5198"/>
        </w:tabs>
        <w:spacing w:line="360" w:lineRule="auto"/>
        <w:ind w:left="0" w:firstLine="476" w:firstLineChars="200"/>
        <w:rPr>
          <w:rFonts w:ascii="仿宋" w:hAnsi="仿宋" w:eastAsia="仿宋" w:cs="仿宋"/>
          <w:highlight w:val="none"/>
        </w:rPr>
      </w:pPr>
      <w:r>
        <w:rPr>
          <w:rFonts w:hint="eastAsia" w:ascii="仿宋" w:hAnsi="仿宋" w:eastAsia="仿宋" w:cs="仿宋"/>
          <w:spacing w:val="-1"/>
          <w:highlight w:val="none"/>
        </w:rPr>
        <w:t>开</w:t>
      </w:r>
      <w:r>
        <w:rPr>
          <w:rFonts w:hint="eastAsia" w:ascii="仿宋" w:hAnsi="仿宋" w:eastAsia="仿宋" w:cs="仿宋"/>
          <w:highlight w:val="none"/>
        </w:rPr>
        <w:t>户银行：</w:t>
      </w:r>
      <w:r>
        <w:rPr>
          <w:rFonts w:hint="eastAsia" w:ascii="仿宋" w:hAnsi="仿宋" w:eastAsia="仿宋" w:cs="仿宋"/>
          <w:highlight w:val="none"/>
          <w:u w:val="single"/>
        </w:rPr>
        <w:tab/>
      </w:r>
    </w:p>
    <w:p>
      <w:pPr>
        <w:pStyle w:val="11"/>
        <w:tabs>
          <w:tab w:val="left" w:pos="1270"/>
          <w:tab w:val="left" w:pos="5197"/>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帐</w:t>
      </w:r>
      <w:r>
        <w:rPr>
          <w:rFonts w:hint="eastAsia" w:ascii="仿宋" w:hAnsi="仿宋" w:eastAsia="仿宋" w:cs="仿宋"/>
          <w:highlight w:val="none"/>
        </w:rPr>
        <w:tab/>
      </w:r>
      <w:r>
        <w:rPr>
          <w:rFonts w:hint="eastAsia" w:ascii="仿宋" w:hAnsi="仿宋" w:eastAsia="仿宋" w:cs="仿宋"/>
          <w:spacing w:val="-1"/>
          <w:highlight w:val="none"/>
        </w:rPr>
        <w:t>号</w:t>
      </w:r>
      <w:r>
        <w:rPr>
          <w:rFonts w:hint="eastAsia" w:ascii="仿宋" w:hAnsi="仿宋" w:eastAsia="仿宋" w:cs="仿宋"/>
          <w:highlight w:val="none"/>
        </w:rPr>
        <w:t>：</w:t>
      </w:r>
      <w:r>
        <w:rPr>
          <w:rFonts w:hint="eastAsia" w:ascii="仿宋" w:hAnsi="仿宋" w:eastAsia="仿宋" w:cs="仿宋"/>
          <w:highlight w:val="none"/>
          <w:u w:val="single"/>
        </w:rPr>
        <w:tab/>
      </w:r>
    </w:p>
    <w:p>
      <w:pPr>
        <w:pStyle w:val="11"/>
        <w:tabs>
          <w:tab w:val="left" w:pos="5112"/>
          <w:tab w:val="left" w:pos="5677"/>
        </w:tabs>
        <w:spacing w:line="360" w:lineRule="auto"/>
        <w:ind w:left="0" w:firstLine="476" w:firstLineChars="200"/>
        <w:jc w:val="both"/>
        <w:rPr>
          <w:rFonts w:ascii="仿宋" w:hAnsi="仿宋" w:eastAsia="仿宋" w:cs="仿宋"/>
          <w:highlight w:val="none"/>
          <w:u w:val="single"/>
          <w:lang w:val="en-US"/>
        </w:rPr>
      </w:pPr>
      <w:r>
        <w:rPr>
          <w:rFonts w:hint="eastAsia" w:ascii="仿宋" w:hAnsi="仿宋" w:eastAsia="仿宋" w:cs="仿宋"/>
          <w:spacing w:val="-1"/>
          <w:highlight w:val="none"/>
        </w:rPr>
        <w:t>供</w:t>
      </w:r>
      <w:r>
        <w:rPr>
          <w:rFonts w:hint="eastAsia" w:ascii="仿宋" w:hAnsi="仿宋" w:eastAsia="仿宋" w:cs="仿宋"/>
          <w:highlight w:val="none"/>
        </w:rPr>
        <w:t>应商名称（公章）：</w:t>
      </w:r>
      <w:r>
        <w:rPr>
          <w:rFonts w:hint="eastAsia" w:ascii="仿宋" w:hAnsi="仿宋" w:eastAsia="仿宋" w:cs="仿宋"/>
          <w:highlight w:val="none"/>
          <w:u w:val="single"/>
        </w:rPr>
        <w:tab/>
      </w:r>
    </w:p>
    <w:p>
      <w:pPr>
        <w:pStyle w:val="11"/>
        <w:tabs>
          <w:tab w:val="left" w:pos="1330"/>
          <w:tab w:val="left" w:pos="5677"/>
        </w:tabs>
        <w:spacing w:line="360" w:lineRule="auto"/>
        <w:ind w:left="0" w:firstLine="480" w:firstLineChars="200"/>
        <w:jc w:val="both"/>
        <w:rPr>
          <w:rFonts w:ascii="仿宋" w:hAnsi="仿宋" w:eastAsia="仿宋" w:cs="仿宋"/>
          <w:highlight w:val="none"/>
        </w:rPr>
      </w:pPr>
      <w:r>
        <w:rPr>
          <w:rFonts w:hint="eastAsia" w:ascii="仿宋" w:hAnsi="仿宋" w:eastAsia="仿宋" w:cs="仿宋"/>
          <w:highlight w:val="none"/>
        </w:rPr>
        <w:t>日</w:t>
      </w:r>
      <w:r>
        <w:rPr>
          <w:rFonts w:hint="eastAsia" w:ascii="仿宋" w:hAnsi="仿宋" w:eastAsia="仿宋" w:cs="仿宋"/>
          <w:highlight w:val="none"/>
        </w:rPr>
        <w:tab/>
      </w:r>
      <w:r>
        <w:rPr>
          <w:rFonts w:hint="eastAsia" w:ascii="仿宋" w:hAnsi="仿宋" w:eastAsia="仿宋" w:cs="仿宋"/>
          <w:highlight w:val="none"/>
        </w:rPr>
        <w:t>期：</w:t>
      </w:r>
      <w:r>
        <w:rPr>
          <w:rFonts w:hint="eastAsia" w:ascii="仿宋" w:hAnsi="仿宋" w:eastAsia="仿宋" w:cs="仿宋"/>
          <w:highlight w:val="non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pPr>
        <w:pStyle w:val="11"/>
        <w:spacing w:before="11" w:line="360" w:lineRule="auto"/>
        <w:ind w:left="0"/>
        <w:rPr>
          <w:rFonts w:ascii="仿宋" w:hAnsi="仿宋" w:eastAsia="仿宋" w:cs="仿宋"/>
          <w:highlight w:val="none"/>
          <w:lang w:val="en-US"/>
        </w:rPr>
      </w:pPr>
    </w:p>
    <w:p>
      <w:pPr>
        <w:rPr>
          <w:rFonts w:ascii="仿宋" w:hAnsi="仿宋" w:eastAsia="仿宋" w:cs="仿宋"/>
          <w:b/>
          <w:bCs/>
          <w:sz w:val="22"/>
          <w:highlight w:val="none"/>
        </w:rPr>
      </w:pPr>
      <w:r>
        <w:rPr>
          <w:rFonts w:hint="eastAsia" w:ascii="仿宋" w:hAnsi="仿宋" w:eastAsia="仿宋" w:cs="仿宋"/>
          <w:b/>
          <w:bCs/>
          <w:sz w:val="22"/>
          <w:highlight w:val="none"/>
        </w:rPr>
        <w:br w:type="page"/>
      </w:r>
    </w:p>
    <w:p>
      <w:pPr>
        <w:rPr>
          <w:rFonts w:ascii="仿宋" w:hAnsi="仿宋" w:eastAsia="仿宋" w:cs="仿宋"/>
          <w:b/>
          <w:bCs/>
          <w:sz w:val="22"/>
          <w:highlight w:val="none"/>
        </w:rPr>
      </w:pPr>
      <w:bookmarkStart w:id="50" w:name="_Toc11817"/>
      <w:r>
        <w:rPr>
          <w:rFonts w:hint="eastAsia" w:ascii="仿宋" w:hAnsi="仿宋" w:eastAsia="仿宋" w:cs="仿宋"/>
          <w:b/>
          <w:bCs/>
          <w:sz w:val="22"/>
          <w:highlight w:val="none"/>
        </w:rPr>
        <w:t>目录二、法定代表人授权委托书格式</w:t>
      </w:r>
      <w:bookmarkEnd w:id="50"/>
    </w:p>
    <w:p>
      <w:pPr>
        <w:pStyle w:val="11"/>
        <w:spacing w:line="360" w:lineRule="auto"/>
        <w:ind w:left="0"/>
        <w:jc w:val="center"/>
        <w:rPr>
          <w:rFonts w:hint="eastAsia" w:ascii="仿宋" w:hAnsi="仿宋" w:eastAsia="仿宋" w:cs="仿宋"/>
          <w:b/>
          <w:sz w:val="32"/>
          <w:szCs w:val="32"/>
          <w:highlight w:val="none"/>
        </w:rPr>
      </w:pPr>
    </w:p>
    <w:p>
      <w:pPr>
        <w:pStyle w:val="11"/>
        <w:spacing w:line="360" w:lineRule="auto"/>
        <w:ind w:left="0"/>
        <w:jc w:val="center"/>
        <w:rPr>
          <w:rFonts w:ascii="仿宋" w:hAnsi="仿宋" w:eastAsia="仿宋" w:cs="仿宋"/>
          <w:b/>
          <w:sz w:val="32"/>
          <w:szCs w:val="32"/>
          <w:highlight w:val="none"/>
        </w:rPr>
      </w:pPr>
      <w:r>
        <w:rPr>
          <w:rFonts w:hint="eastAsia" w:ascii="仿宋" w:hAnsi="仿宋" w:eastAsia="仿宋" w:cs="仿宋"/>
          <w:b/>
          <w:sz w:val="32"/>
          <w:szCs w:val="32"/>
          <w:highlight w:val="none"/>
        </w:rPr>
        <w:t>法定代表人授权委托书</w:t>
      </w:r>
    </w:p>
    <w:p>
      <w:pPr>
        <w:pStyle w:val="11"/>
        <w:spacing w:before="11" w:line="360" w:lineRule="auto"/>
        <w:ind w:left="0"/>
        <w:rPr>
          <w:rFonts w:ascii="仿宋" w:hAnsi="仿宋" w:eastAsia="仿宋" w:cs="仿宋"/>
          <w:b/>
          <w:sz w:val="22"/>
          <w:szCs w:val="22"/>
          <w:highlight w:val="none"/>
        </w:rPr>
      </w:pPr>
    </w:p>
    <w:p>
      <w:pPr>
        <w:widowControl/>
        <w:shd w:val="clear" w:color="auto" w:fill="FFFFFF"/>
        <w:spacing w:line="360" w:lineRule="auto"/>
        <w:ind w:firstLine="480" w:firstLineChars="200"/>
        <w:rPr>
          <w:rFonts w:ascii="仿宋" w:hAnsi="仿宋" w:eastAsia="仿宋" w:cs="仿宋"/>
          <w:bCs/>
          <w:sz w:val="24"/>
          <w:szCs w:val="24"/>
          <w:highlight w:val="none"/>
        </w:rPr>
      </w:pPr>
      <w:r>
        <w:rPr>
          <w:rFonts w:hint="eastAsia" w:ascii="仿宋" w:hAnsi="仿宋" w:eastAsia="仿宋" w:cs="仿宋"/>
          <w:sz w:val="24"/>
          <w:szCs w:val="24"/>
          <w:highlight w:val="none"/>
        </w:rPr>
        <w:t>致：南京市雨花台区铁心桥街道尹西社区居民委员会(采购人)</w:t>
      </w:r>
    </w:p>
    <w:p>
      <w:pPr>
        <w:pStyle w:val="2"/>
        <w:ind w:firstLine="960"/>
        <w:rPr>
          <w:rFonts w:ascii="仿宋" w:hAnsi="仿宋" w:eastAsia="仿宋" w:cs="仿宋"/>
          <w:sz w:val="24"/>
          <w:szCs w:val="24"/>
          <w:highlight w:val="none"/>
        </w:rPr>
      </w:pPr>
      <w:r>
        <w:rPr>
          <w:rFonts w:hint="eastAsia" w:ascii="仿宋" w:hAnsi="仿宋" w:eastAsia="仿宋" w:cs="仿宋"/>
          <w:sz w:val="24"/>
          <w:szCs w:val="24"/>
          <w:highlight w:val="none"/>
          <w:lang w:val="en-US"/>
        </w:rPr>
        <w:t>源成工程咨询（江苏南京）有限责任公司</w:t>
      </w:r>
    </w:p>
    <w:p>
      <w:pPr>
        <w:rPr>
          <w:rFonts w:ascii="仿宋" w:hAnsi="仿宋" w:eastAsia="仿宋" w:cs="仿宋"/>
          <w:sz w:val="24"/>
          <w:szCs w:val="24"/>
          <w:highlight w:val="none"/>
        </w:rPr>
      </w:pPr>
    </w:p>
    <w:p>
      <w:pPr>
        <w:pStyle w:val="11"/>
        <w:tabs>
          <w:tab w:val="left" w:pos="2987"/>
          <w:tab w:val="left" w:pos="3618"/>
          <w:tab w:val="left" w:pos="7647"/>
          <w:tab w:val="left" w:pos="8670"/>
          <w:tab w:val="left" w:pos="8898"/>
        </w:tabs>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本授权书声明：注册于</w:t>
      </w:r>
      <w:r>
        <w:rPr>
          <w:rFonts w:hint="eastAsia" w:ascii="仿宋" w:hAnsi="仿宋" w:eastAsia="仿宋" w:cs="仿宋"/>
          <w:highlight w:val="none"/>
          <w:u w:val="single"/>
        </w:rPr>
        <w:t xml:space="preserve">              </w:t>
      </w:r>
      <w:r>
        <w:rPr>
          <w:rFonts w:hint="eastAsia" w:ascii="仿宋" w:hAnsi="仿宋" w:eastAsia="仿宋" w:cs="仿宋"/>
          <w:highlight w:val="none"/>
          <w:lang w:val="en-US"/>
        </w:rPr>
        <w:t>(</w:t>
      </w:r>
      <w:r>
        <w:rPr>
          <w:rFonts w:hint="eastAsia" w:ascii="仿宋" w:hAnsi="仿宋" w:eastAsia="仿宋" w:cs="仿宋"/>
          <w:highlight w:val="none"/>
        </w:rPr>
        <w:t>供应商住址</w:t>
      </w:r>
      <w:r>
        <w:rPr>
          <w:rFonts w:hint="eastAsia" w:ascii="仿宋" w:hAnsi="仿宋" w:eastAsia="仿宋" w:cs="仿宋"/>
          <w:highlight w:val="none"/>
          <w:lang w:val="en-US"/>
        </w:rPr>
        <w:t>)</w:t>
      </w:r>
      <w:r>
        <w:rPr>
          <w:rFonts w:hint="eastAsia" w:ascii="仿宋" w:hAnsi="仿宋" w:eastAsia="仿宋" w:cs="仿宋"/>
          <w:highlight w:val="none"/>
        </w:rPr>
        <w:t>的</w:t>
      </w:r>
      <w:r>
        <w:rPr>
          <w:rFonts w:hint="eastAsia" w:ascii="仿宋" w:hAnsi="仿宋" w:eastAsia="仿宋" w:cs="仿宋"/>
          <w:highlight w:val="none"/>
          <w:u w:val="single"/>
        </w:rPr>
        <w:t xml:space="preserve">            </w:t>
      </w:r>
      <w:r>
        <w:rPr>
          <w:rFonts w:hint="eastAsia" w:ascii="仿宋" w:hAnsi="仿宋" w:eastAsia="仿宋" w:cs="仿宋"/>
          <w:highlight w:val="none"/>
          <w:lang w:val="en-US"/>
        </w:rPr>
        <w:t>(</w:t>
      </w:r>
      <w:r>
        <w:rPr>
          <w:rFonts w:hint="eastAsia" w:ascii="仿宋" w:hAnsi="仿宋" w:eastAsia="仿宋" w:cs="仿宋"/>
          <w:highlight w:val="none"/>
        </w:rPr>
        <w:t>供应商名称</w:t>
      </w:r>
      <w:r>
        <w:rPr>
          <w:rFonts w:hint="eastAsia" w:ascii="仿宋" w:hAnsi="仿宋" w:eastAsia="仿宋" w:cs="仿宋"/>
          <w:highlight w:val="none"/>
          <w:lang w:val="en-US"/>
        </w:rPr>
        <w:t>)</w:t>
      </w:r>
      <w:r>
        <w:rPr>
          <w:rFonts w:hint="eastAsia" w:ascii="仿宋" w:hAnsi="仿宋" w:eastAsia="仿宋" w:cs="仿宋"/>
          <w:highlight w:val="none"/>
        </w:rPr>
        <w:t>法定代表人</w:t>
      </w:r>
      <w:r>
        <w:rPr>
          <w:rFonts w:hint="eastAsia" w:ascii="仿宋" w:hAnsi="仿宋" w:eastAsia="仿宋" w:cs="仿宋"/>
          <w:highlight w:val="none"/>
          <w:u w:val="single"/>
        </w:rPr>
        <w:t xml:space="preserve">              </w:t>
      </w:r>
      <w:r>
        <w:rPr>
          <w:rFonts w:hint="eastAsia" w:ascii="仿宋" w:hAnsi="仿宋" w:eastAsia="仿宋" w:cs="仿宋"/>
          <w:highlight w:val="none"/>
          <w:lang w:val="en-US"/>
        </w:rPr>
        <w:t>(</w:t>
      </w:r>
      <w:r>
        <w:rPr>
          <w:rFonts w:hint="eastAsia" w:ascii="仿宋" w:hAnsi="仿宋" w:eastAsia="仿宋" w:cs="仿宋"/>
          <w:highlight w:val="none"/>
        </w:rPr>
        <w:t>法定代表人姓名、职务</w:t>
      </w:r>
      <w:r>
        <w:rPr>
          <w:rFonts w:hint="eastAsia" w:ascii="仿宋" w:hAnsi="仿宋" w:eastAsia="仿宋" w:cs="仿宋"/>
          <w:highlight w:val="none"/>
          <w:lang w:val="en-US"/>
        </w:rPr>
        <w:t>)</w:t>
      </w:r>
      <w:r>
        <w:rPr>
          <w:rFonts w:hint="eastAsia" w:ascii="仿宋" w:hAnsi="仿宋" w:eastAsia="仿宋" w:cs="仿宋"/>
          <w:highlight w:val="none"/>
        </w:rPr>
        <w:t>代表本公司授权</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lang w:val="en-US"/>
        </w:rPr>
        <w:t>(</w:t>
      </w:r>
      <w:r>
        <w:rPr>
          <w:rFonts w:hint="eastAsia" w:ascii="仿宋" w:hAnsi="仿宋" w:eastAsia="仿宋" w:cs="仿宋"/>
          <w:highlight w:val="none"/>
        </w:rPr>
        <w:t>供应商代表姓名、职务</w:t>
      </w:r>
      <w:r>
        <w:rPr>
          <w:rFonts w:hint="eastAsia" w:ascii="仿宋" w:hAnsi="仿宋" w:eastAsia="仿宋" w:cs="仿宋"/>
          <w:highlight w:val="none"/>
          <w:lang w:val="en-US"/>
        </w:rPr>
        <w:t>)</w:t>
      </w:r>
      <w:r>
        <w:rPr>
          <w:rFonts w:hint="eastAsia" w:ascii="仿宋" w:hAnsi="仿宋" w:eastAsia="仿宋" w:cs="仿宋"/>
          <w:highlight w:val="none"/>
        </w:rPr>
        <w:t>为本公司的合法代理人，就贵方组织的</w:t>
      </w:r>
      <w:r>
        <w:rPr>
          <w:rFonts w:hint="eastAsia" w:ascii="仿宋" w:hAnsi="仿宋" w:eastAsia="仿宋" w:cs="仿宋"/>
          <w:strike w:val="0"/>
          <w:dstrike w:val="0"/>
          <w:highlight w:val="none"/>
          <w:u w:val="single"/>
        </w:rPr>
        <w:t>2024年铁心桥街道尹西社区社会组织服务项目</w:t>
      </w:r>
      <w:r>
        <w:rPr>
          <w:rFonts w:hint="eastAsia" w:ascii="仿宋" w:hAnsi="仿宋" w:eastAsia="仿宋" w:cs="仿宋"/>
          <w:highlight w:val="none"/>
          <w:u w:val="none"/>
        </w:rPr>
        <w:t>（</w:t>
      </w:r>
      <w:r>
        <w:rPr>
          <w:rFonts w:hint="eastAsia" w:ascii="仿宋" w:hAnsi="仿宋" w:eastAsia="仿宋" w:cs="仿宋"/>
          <w:highlight w:val="none"/>
          <w:u w:val="none"/>
          <w:lang w:val="en-US"/>
        </w:rPr>
        <w:t>项目</w:t>
      </w:r>
      <w:r>
        <w:rPr>
          <w:rFonts w:hint="eastAsia" w:ascii="仿宋" w:hAnsi="仿宋" w:eastAsia="仿宋" w:cs="仿宋"/>
          <w:highlight w:val="none"/>
          <w:u w:val="none"/>
        </w:rPr>
        <w:t>名称）</w:t>
      </w:r>
      <w:r>
        <w:rPr>
          <w:rFonts w:hint="eastAsia" w:ascii="仿宋" w:hAnsi="仿宋" w:eastAsia="仿宋" w:cs="仿宋"/>
          <w:b/>
          <w:bCs/>
          <w:highlight w:val="none"/>
          <w:u w:val="single"/>
          <w:lang w:val="en-US"/>
        </w:rPr>
        <w:t xml:space="preserve"> </w:t>
      </w:r>
      <w:r>
        <w:rPr>
          <w:rFonts w:hint="eastAsia" w:ascii="仿宋" w:hAnsi="仿宋" w:eastAsia="仿宋" w:cs="仿宋"/>
          <w:b/>
          <w:bCs/>
          <w:highlight w:val="none"/>
          <w:u w:val="single"/>
          <w:lang w:val="en-US" w:eastAsia="zh-CN"/>
        </w:rPr>
        <w:t xml:space="preserve">  </w:t>
      </w:r>
      <w:r>
        <w:rPr>
          <w:rFonts w:hint="eastAsia" w:ascii="仿宋" w:hAnsi="仿宋" w:eastAsia="仿宋" w:cs="仿宋"/>
          <w:b/>
          <w:bCs/>
          <w:highlight w:val="none"/>
          <w:u w:val="single"/>
          <w:lang w:val="en-US"/>
        </w:rPr>
        <w:t xml:space="preserve"> </w:t>
      </w:r>
      <w:r>
        <w:rPr>
          <w:rFonts w:hint="eastAsia" w:ascii="仿宋" w:hAnsi="仿宋" w:eastAsia="仿宋" w:cs="仿宋"/>
          <w:b/>
          <w:bCs/>
          <w:highlight w:val="none"/>
          <w:u w:val="single"/>
          <w:lang w:val="en-US" w:eastAsia="zh-CN"/>
        </w:rPr>
        <w:t xml:space="preserve"> </w:t>
      </w:r>
      <w:r>
        <w:rPr>
          <w:rFonts w:hint="eastAsia" w:ascii="仿宋" w:hAnsi="仿宋" w:eastAsia="仿宋" w:cs="仿宋"/>
          <w:b/>
          <w:bCs/>
          <w:highlight w:val="none"/>
          <w:u w:val="single"/>
          <w:lang w:val="en-US"/>
        </w:rPr>
        <w:t xml:space="preserve">  </w:t>
      </w:r>
      <w:r>
        <w:rPr>
          <w:rFonts w:hint="eastAsia" w:ascii="仿宋" w:hAnsi="仿宋" w:eastAsia="仿宋" w:cs="仿宋"/>
          <w:highlight w:val="none"/>
          <w:lang w:val="en-US"/>
        </w:rPr>
        <w:t>(</w:t>
      </w:r>
      <w:r>
        <w:rPr>
          <w:rFonts w:hint="eastAsia" w:ascii="仿宋" w:hAnsi="仿宋" w:eastAsia="仿宋" w:cs="仿宋"/>
          <w:highlight w:val="none"/>
          <w:lang w:val="en-US" w:eastAsia="zh-CN"/>
        </w:rPr>
        <w:t>标包</w:t>
      </w:r>
      <w:r>
        <w:rPr>
          <w:rFonts w:hint="eastAsia" w:ascii="仿宋" w:hAnsi="仿宋" w:eastAsia="仿宋" w:cs="仿宋"/>
          <w:highlight w:val="none"/>
        </w:rPr>
        <w:t>名称</w:t>
      </w:r>
      <w:r>
        <w:rPr>
          <w:rFonts w:hint="eastAsia" w:ascii="仿宋" w:hAnsi="仿宋" w:eastAsia="仿宋" w:cs="仿宋"/>
          <w:highlight w:val="none"/>
          <w:lang w:val="en-US"/>
        </w:rPr>
        <w:t>)</w:t>
      </w:r>
      <w:r>
        <w:rPr>
          <w:rFonts w:hint="eastAsia" w:ascii="仿宋" w:hAnsi="仿宋" w:eastAsia="仿宋" w:cs="仿宋"/>
          <w:highlight w:val="none"/>
          <w:u w:val="single"/>
          <w:lang w:val="en-US"/>
        </w:rPr>
        <w:t xml:space="preserve">        </w:t>
      </w:r>
      <w:r>
        <w:rPr>
          <w:rFonts w:hint="eastAsia" w:ascii="仿宋" w:hAnsi="仿宋" w:eastAsia="仿宋" w:cs="仿宋"/>
          <w:highlight w:val="none"/>
        </w:rPr>
        <w:t>（</w:t>
      </w:r>
      <w:r>
        <w:rPr>
          <w:rFonts w:hint="eastAsia" w:ascii="仿宋" w:hAnsi="仿宋" w:eastAsia="仿宋" w:cs="仿宋"/>
          <w:highlight w:val="none"/>
          <w:lang w:val="en-US" w:eastAsia="zh-CN"/>
        </w:rPr>
        <w:t>标包</w:t>
      </w:r>
      <w:r>
        <w:rPr>
          <w:rFonts w:hint="eastAsia" w:ascii="仿宋" w:hAnsi="仿宋" w:eastAsia="仿宋" w:cs="仿宋"/>
          <w:highlight w:val="none"/>
        </w:rPr>
        <w:t>编号）进行磋商报价</w:t>
      </w:r>
      <w:r>
        <w:rPr>
          <w:rFonts w:hint="eastAsia" w:ascii="仿宋" w:hAnsi="仿宋" w:eastAsia="仿宋" w:cs="仿宋"/>
          <w:spacing w:val="-10"/>
          <w:highlight w:val="none"/>
        </w:rPr>
        <w:t>，</w:t>
      </w:r>
      <w:r>
        <w:rPr>
          <w:rFonts w:hint="eastAsia" w:ascii="仿宋" w:hAnsi="仿宋" w:eastAsia="仿宋" w:cs="仿宋"/>
          <w:highlight w:val="none"/>
        </w:rPr>
        <w:t>以本公司名义处理一切与之有关的事务。</w:t>
      </w:r>
    </w:p>
    <w:p>
      <w:pPr>
        <w:widowControl/>
        <w:adjustRightInd w:val="0"/>
        <w:spacing w:line="360" w:lineRule="auto"/>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特此声明！</w:t>
      </w:r>
    </w:p>
    <w:p>
      <w:pPr>
        <w:widowControl/>
        <w:adjustRightInd w:val="0"/>
        <w:snapToGrid w:val="0"/>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r>
        <w:rPr>
          <w:rFonts w:hint="eastAsia" w:ascii="仿宋" w:hAnsi="仿宋" w:eastAsia="仿宋" w:cs="仿宋"/>
          <w:sz w:val="24"/>
          <w:szCs w:val="24"/>
          <w:highlight w:val="none"/>
          <w:u w:val="single"/>
        </w:rPr>
        <w:t xml:space="preserve">                </w:t>
      </w:r>
    </w:p>
    <w:p>
      <w:pPr>
        <w:widowControl/>
        <w:adjustRightInd w:val="0"/>
        <w:snapToGrid w:val="0"/>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供应商名称（公章）：</w:t>
      </w:r>
      <w:r>
        <w:rPr>
          <w:rFonts w:hint="eastAsia" w:ascii="仿宋" w:hAnsi="仿宋" w:eastAsia="仿宋" w:cs="仿宋"/>
          <w:sz w:val="24"/>
          <w:szCs w:val="24"/>
          <w:highlight w:val="none"/>
          <w:u w:val="single"/>
        </w:rPr>
        <w:t xml:space="preserve">                 </w:t>
      </w:r>
    </w:p>
    <w:p>
      <w:pPr>
        <w:pStyle w:val="11"/>
        <w:tabs>
          <w:tab w:val="left" w:pos="2538"/>
          <w:tab w:val="left" w:pos="3978"/>
          <w:tab w:val="left" w:pos="4698"/>
          <w:tab w:val="left" w:pos="5418"/>
        </w:tabs>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 xml:space="preserve">日   </w:t>
      </w:r>
      <w:r>
        <w:rPr>
          <w:rFonts w:hint="eastAsia" w:ascii="仿宋" w:hAnsi="仿宋" w:eastAsia="仿宋" w:cs="仿宋"/>
          <w:highlight w:val="none"/>
          <w:lang w:val="en-US"/>
        </w:rPr>
        <w:t xml:space="preserve"> </w:t>
      </w:r>
      <w:r>
        <w:rPr>
          <w:rFonts w:hint="eastAsia" w:ascii="仿宋" w:hAnsi="仿宋" w:eastAsia="仿宋" w:cs="仿宋"/>
          <w:highlight w:val="none"/>
        </w:rPr>
        <w:t xml:space="preserve">   期：   年    月    日</w:t>
      </w:r>
    </w:p>
    <w:p>
      <w:pPr>
        <w:pStyle w:val="11"/>
        <w:tabs>
          <w:tab w:val="left" w:pos="2538"/>
          <w:tab w:val="left" w:pos="3978"/>
          <w:tab w:val="left" w:pos="4698"/>
          <w:tab w:val="left" w:pos="5418"/>
        </w:tabs>
        <w:adjustRightInd w:val="0"/>
        <w:snapToGrid w:val="0"/>
        <w:spacing w:line="360" w:lineRule="auto"/>
        <w:ind w:left="0" w:firstLine="480" w:firstLineChars="200"/>
        <w:rPr>
          <w:rFonts w:ascii="仿宋" w:hAnsi="仿宋" w:eastAsia="仿宋" w:cs="仿宋"/>
          <w:highlight w:val="none"/>
        </w:rPr>
      </w:pPr>
    </w:p>
    <w:tbl>
      <w:tblPr>
        <w:tblStyle w:val="2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pPr>
              <w:spacing w:line="300" w:lineRule="auto"/>
              <w:jc w:val="left"/>
              <w:rPr>
                <w:rFonts w:ascii="仿宋" w:hAnsi="仿宋" w:eastAsia="仿宋" w:cs="仿宋"/>
                <w:sz w:val="22"/>
                <w:highlight w:val="none"/>
              </w:rPr>
            </w:pPr>
            <w:r>
              <w:rPr>
                <w:rFonts w:hint="eastAsia" w:ascii="仿宋" w:hAnsi="仿宋" w:eastAsia="仿宋" w:cs="仿宋"/>
                <w:sz w:val="22"/>
                <w:highlight w:val="none"/>
              </w:rPr>
              <w:t>法定代表人身份证正反面复印件</w:t>
            </w:r>
          </w:p>
        </w:tc>
      </w:tr>
    </w:tbl>
    <w:p>
      <w:pPr>
        <w:rPr>
          <w:rFonts w:ascii="仿宋" w:hAnsi="仿宋" w:eastAsia="仿宋" w:cs="仿宋"/>
          <w:highlight w:val="none"/>
        </w:rPr>
      </w:pPr>
    </w:p>
    <w:p>
      <w:pPr>
        <w:rPr>
          <w:rFonts w:ascii="仿宋" w:hAnsi="仿宋" w:eastAsia="仿宋" w:cs="仿宋"/>
          <w:highlight w:val="none"/>
        </w:rPr>
      </w:pPr>
    </w:p>
    <w:tbl>
      <w:tblPr>
        <w:tblStyle w:val="2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pPr>
              <w:spacing w:line="300" w:lineRule="auto"/>
              <w:rPr>
                <w:rFonts w:ascii="仿宋" w:hAnsi="仿宋" w:eastAsia="仿宋" w:cs="仿宋"/>
                <w:sz w:val="22"/>
                <w:highlight w:val="none"/>
              </w:rPr>
            </w:pPr>
            <w:r>
              <w:rPr>
                <w:rFonts w:hint="eastAsia" w:ascii="仿宋" w:hAnsi="仿宋" w:eastAsia="仿宋" w:cs="仿宋"/>
                <w:sz w:val="22"/>
                <w:highlight w:val="none"/>
              </w:rPr>
              <w:t>委托代理人身份证正反面复印件</w:t>
            </w:r>
          </w:p>
        </w:tc>
      </w:tr>
    </w:tbl>
    <w:p>
      <w:pPr>
        <w:rPr>
          <w:rFonts w:ascii="仿宋" w:hAnsi="仿宋" w:eastAsia="仿宋" w:cs="仿宋"/>
          <w:b/>
          <w:bCs/>
          <w:sz w:val="22"/>
          <w:szCs w:val="24"/>
          <w:highlight w:val="none"/>
        </w:rPr>
      </w:pPr>
    </w:p>
    <w:p>
      <w:pPr>
        <w:rPr>
          <w:rFonts w:ascii="仿宋" w:hAnsi="仿宋" w:eastAsia="仿宋" w:cs="仿宋"/>
          <w:b/>
          <w:bCs/>
          <w:sz w:val="22"/>
          <w:highlight w:val="none"/>
        </w:rPr>
      </w:pPr>
      <w:bookmarkStart w:id="51" w:name="_Toc20772"/>
      <w:bookmarkStart w:id="52" w:name="_Toc19933"/>
      <w:bookmarkStart w:id="53" w:name="_Toc25958"/>
      <w:bookmarkStart w:id="54" w:name="_Toc12931"/>
      <w:r>
        <w:rPr>
          <w:rFonts w:hint="eastAsia" w:ascii="仿宋" w:hAnsi="仿宋" w:eastAsia="仿宋" w:cs="仿宋"/>
          <w:b/>
          <w:bCs/>
          <w:sz w:val="22"/>
          <w:highlight w:val="none"/>
        </w:rPr>
        <w:br w:type="page"/>
      </w:r>
    </w:p>
    <w:p>
      <w:pPr>
        <w:spacing w:line="360" w:lineRule="auto"/>
        <w:outlineLvl w:val="2"/>
        <w:rPr>
          <w:rFonts w:ascii="仿宋" w:hAnsi="仿宋" w:eastAsia="仿宋" w:cs="仿宋"/>
          <w:b/>
          <w:bCs/>
          <w:sz w:val="22"/>
          <w:highlight w:val="none"/>
        </w:rPr>
      </w:pPr>
      <w:r>
        <w:rPr>
          <w:rFonts w:hint="eastAsia" w:ascii="仿宋" w:hAnsi="仿宋" w:eastAsia="仿宋" w:cs="仿宋"/>
          <w:b/>
          <w:bCs/>
          <w:sz w:val="22"/>
          <w:highlight w:val="none"/>
        </w:rPr>
        <w:t>目录三、报价表格式</w:t>
      </w:r>
      <w:bookmarkEnd w:id="51"/>
      <w:bookmarkEnd w:id="52"/>
      <w:bookmarkEnd w:id="53"/>
      <w:bookmarkEnd w:id="54"/>
    </w:p>
    <w:p>
      <w:pPr>
        <w:keepNext/>
        <w:keepLines/>
        <w:spacing w:line="416"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报价汇总表</w:t>
      </w:r>
    </w:p>
    <w:tbl>
      <w:tblPr>
        <w:tblStyle w:val="23"/>
        <w:tblW w:w="97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3119"/>
        <w:gridCol w:w="2058"/>
        <w:gridCol w:w="3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jc w:val="center"/>
        </w:trPr>
        <w:tc>
          <w:tcPr>
            <w:tcW w:w="6026" w:type="dxa"/>
            <w:gridSpan w:val="3"/>
            <w:tcBorders>
              <w:top w:val="nil"/>
              <w:left w:val="nil"/>
              <w:bottom w:val="single" w:color="auto" w:sz="4" w:space="0"/>
              <w:right w:val="nil"/>
            </w:tcBorders>
            <w:noWrap/>
            <w:vAlign w:val="center"/>
          </w:tcPr>
          <w:p>
            <w:pPr>
              <w:rPr>
                <w:rStyle w:val="60"/>
                <w:rFonts w:ascii="仿宋" w:hAnsi="仿宋" w:eastAsia="仿宋" w:cs="仿宋"/>
                <w:sz w:val="24"/>
                <w:highlight w:val="none"/>
                <w:lang w:val="zh-CN"/>
              </w:rPr>
            </w:pPr>
            <w:r>
              <w:rPr>
                <w:rStyle w:val="60"/>
                <w:rFonts w:hint="eastAsia" w:ascii="仿宋" w:hAnsi="仿宋" w:eastAsia="仿宋" w:cs="仿宋"/>
                <w:sz w:val="24"/>
                <w:highlight w:val="none"/>
              </w:rPr>
              <w:t>标包</w:t>
            </w:r>
            <w:r>
              <w:rPr>
                <w:rStyle w:val="60"/>
                <w:rFonts w:hint="eastAsia" w:ascii="仿宋" w:hAnsi="仿宋" w:eastAsia="仿宋" w:cs="仿宋"/>
                <w:sz w:val="24"/>
                <w:highlight w:val="none"/>
                <w:lang w:val="zh-CN"/>
              </w:rPr>
              <w:t>名称：</w:t>
            </w:r>
          </w:p>
        </w:tc>
        <w:tc>
          <w:tcPr>
            <w:tcW w:w="3691" w:type="dxa"/>
            <w:tcBorders>
              <w:top w:val="nil"/>
              <w:left w:val="nil"/>
              <w:bottom w:val="single" w:color="auto" w:sz="4" w:space="0"/>
              <w:right w:val="nil"/>
            </w:tcBorders>
            <w:noWrap/>
            <w:vAlign w:val="center"/>
          </w:tcPr>
          <w:p>
            <w:pPr>
              <w:jc w:val="left"/>
              <w:rPr>
                <w:rStyle w:val="60"/>
                <w:rFonts w:ascii="仿宋" w:hAnsi="仿宋" w:eastAsia="仿宋" w:cs="仿宋"/>
                <w:sz w:val="24"/>
                <w:highlight w:val="none"/>
                <w:lang w:val="zh-CN"/>
              </w:rPr>
            </w:pPr>
            <w:r>
              <w:rPr>
                <w:rStyle w:val="60"/>
                <w:rFonts w:hint="eastAsia" w:ascii="仿宋" w:hAnsi="仿宋" w:eastAsia="仿宋" w:cs="仿宋"/>
                <w:sz w:val="24"/>
                <w:highlight w:val="none"/>
              </w:rPr>
              <w:t>标包</w:t>
            </w:r>
            <w:r>
              <w:rPr>
                <w:rStyle w:val="60"/>
                <w:rFonts w:hint="eastAsia" w:ascii="仿宋" w:hAnsi="仿宋" w:eastAsia="仿宋" w:cs="仿宋"/>
                <w:sz w:val="24"/>
                <w:highlight w:val="none"/>
                <w:lang w:val="zh-CN"/>
              </w:rPr>
              <w:t>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highlight w:val="none"/>
                <w:lang w:val="zh-CN"/>
              </w:rPr>
            </w:pPr>
            <w:r>
              <w:rPr>
                <w:rStyle w:val="60"/>
                <w:rFonts w:hint="eastAsia" w:ascii="仿宋" w:hAnsi="仿宋" w:eastAsia="仿宋" w:cs="仿宋"/>
                <w:sz w:val="24"/>
                <w:highlight w:val="none"/>
                <w:lang w:val="zh-CN"/>
              </w:rPr>
              <w:t>序号</w:t>
            </w:r>
          </w:p>
        </w:tc>
        <w:tc>
          <w:tcPr>
            <w:tcW w:w="3119"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highlight w:val="none"/>
                <w:lang w:val="zh-CN"/>
              </w:rPr>
            </w:pPr>
            <w:r>
              <w:rPr>
                <w:rStyle w:val="60"/>
                <w:rFonts w:hint="eastAsia" w:ascii="仿宋" w:hAnsi="仿宋" w:eastAsia="仿宋" w:cs="仿宋"/>
                <w:sz w:val="24"/>
                <w:highlight w:val="none"/>
                <w:lang w:val="zh-CN"/>
              </w:rPr>
              <w:t>名称</w:t>
            </w:r>
          </w:p>
        </w:tc>
        <w:tc>
          <w:tcPr>
            <w:tcW w:w="2058"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highlight w:val="none"/>
                <w:lang w:val="zh-CN"/>
              </w:rPr>
            </w:pPr>
            <w:r>
              <w:rPr>
                <w:rStyle w:val="60"/>
                <w:rFonts w:hint="eastAsia" w:ascii="仿宋" w:hAnsi="仿宋" w:eastAsia="仿宋" w:cs="仿宋"/>
                <w:sz w:val="24"/>
                <w:highlight w:val="none"/>
                <w:lang w:val="zh-CN"/>
              </w:rPr>
              <w:t>报价（元）</w:t>
            </w:r>
          </w:p>
        </w:tc>
        <w:tc>
          <w:tcPr>
            <w:tcW w:w="3691"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highlight w:val="none"/>
              </w:rPr>
            </w:pPr>
            <w:r>
              <w:rPr>
                <w:rStyle w:val="60"/>
                <w:rFonts w:hint="eastAsia" w:ascii="仿宋" w:hAnsi="仿宋" w:eastAsia="仿宋" w:cs="仿宋"/>
                <w:b/>
                <w:bCs/>
                <w:kern w:val="0"/>
                <w:sz w:val="24"/>
                <w:highlight w:val="none"/>
              </w:rPr>
              <w:t>小、微型企业报价（元）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pacing w:val="-2"/>
                <w:sz w:val="24"/>
                <w:highlight w:val="none"/>
              </w:rPr>
            </w:pPr>
            <w:r>
              <w:rPr>
                <w:rStyle w:val="60"/>
                <w:rFonts w:hint="eastAsia" w:ascii="仿宋" w:hAnsi="仿宋" w:eastAsia="仿宋" w:cs="仿宋"/>
                <w:spacing w:val="-2"/>
                <w:szCs w:val="21"/>
                <w:highlight w:val="none"/>
              </w:rPr>
              <w:t>1</w:t>
            </w:r>
          </w:p>
        </w:tc>
        <w:tc>
          <w:tcPr>
            <w:tcW w:w="3119" w:type="dxa"/>
            <w:tcBorders>
              <w:top w:val="single" w:color="auto" w:sz="4" w:space="0"/>
              <w:left w:val="single" w:color="auto" w:sz="4" w:space="0"/>
              <w:bottom w:val="single" w:color="auto" w:sz="4" w:space="0"/>
              <w:right w:val="single" w:color="auto" w:sz="4" w:space="0"/>
            </w:tcBorders>
            <w:noWrap/>
            <w:vAlign w:val="center"/>
          </w:tcPr>
          <w:p>
            <w:pPr>
              <w:widowControl/>
              <w:jc w:val="left"/>
              <w:rPr>
                <w:rStyle w:val="60"/>
                <w:rFonts w:ascii="仿宋" w:hAnsi="仿宋" w:eastAsia="仿宋" w:cs="仿宋"/>
                <w:spacing w:val="-2"/>
                <w:sz w:val="24"/>
                <w:highlight w:val="none"/>
              </w:rPr>
            </w:pPr>
          </w:p>
        </w:tc>
        <w:tc>
          <w:tcPr>
            <w:tcW w:w="2058"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highlight w:val="none"/>
                <w:lang w:val="zh-CN"/>
              </w:rPr>
            </w:pPr>
          </w:p>
        </w:tc>
        <w:tc>
          <w:tcPr>
            <w:tcW w:w="3691"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pPr>
              <w:widowControl/>
              <w:jc w:val="left"/>
              <w:rPr>
                <w:rStyle w:val="60"/>
                <w:rFonts w:ascii="仿宋" w:hAnsi="仿宋" w:eastAsia="仿宋" w:cs="仿宋"/>
                <w:spacing w:val="-2"/>
                <w:sz w:val="24"/>
                <w:highlight w:val="none"/>
              </w:rPr>
            </w:pPr>
          </w:p>
        </w:tc>
        <w:tc>
          <w:tcPr>
            <w:tcW w:w="2058"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highlight w:val="none"/>
              </w:rPr>
            </w:pPr>
          </w:p>
        </w:tc>
        <w:tc>
          <w:tcPr>
            <w:tcW w:w="3691"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pPr>
              <w:widowControl/>
              <w:jc w:val="left"/>
              <w:rPr>
                <w:rStyle w:val="60"/>
                <w:rFonts w:ascii="仿宋" w:hAnsi="仿宋" w:eastAsia="仿宋" w:cs="仿宋"/>
                <w:spacing w:val="-2"/>
                <w:sz w:val="24"/>
                <w:highlight w:val="none"/>
              </w:rPr>
            </w:pPr>
          </w:p>
        </w:tc>
        <w:tc>
          <w:tcPr>
            <w:tcW w:w="2058"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highlight w:val="none"/>
                <w:lang w:val="zh-CN"/>
              </w:rPr>
            </w:pPr>
          </w:p>
        </w:tc>
        <w:tc>
          <w:tcPr>
            <w:tcW w:w="3691" w:type="dxa"/>
            <w:tcBorders>
              <w:top w:val="single" w:color="auto" w:sz="4" w:space="0"/>
              <w:left w:val="single" w:color="auto" w:sz="4" w:space="0"/>
              <w:bottom w:val="single" w:color="auto" w:sz="4" w:space="0"/>
              <w:right w:val="single" w:color="auto" w:sz="4" w:space="0"/>
            </w:tcBorders>
            <w:noWrap/>
            <w:vAlign w:val="center"/>
          </w:tcPr>
          <w:p>
            <w:pPr>
              <w:jc w:val="center"/>
              <w:rPr>
                <w:rStyle w:val="60"/>
                <w:rFonts w:ascii="仿宋" w:hAnsi="仿宋" w:eastAsia="仿宋" w:cs="仿宋"/>
                <w:sz w:val="24"/>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tcBorders>
            <w:noWrap/>
            <w:vAlign w:val="center"/>
          </w:tcPr>
          <w:p>
            <w:pPr>
              <w:jc w:val="center"/>
              <w:rPr>
                <w:rStyle w:val="60"/>
                <w:rFonts w:ascii="仿宋" w:hAnsi="仿宋" w:eastAsia="仿宋" w:cs="仿宋"/>
                <w:spacing w:val="-2"/>
                <w:sz w:val="24"/>
                <w:highlight w:val="none"/>
              </w:rPr>
            </w:pPr>
          </w:p>
        </w:tc>
        <w:tc>
          <w:tcPr>
            <w:tcW w:w="3119" w:type="dxa"/>
            <w:tcBorders>
              <w:top w:val="single" w:color="auto" w:sz="4" w:space="0"/>
            </w:tcBorders>
            <w:noWrap/>
            <w:vAlign w:val="center"/>
          </w:tcPr>
          <w:p>
            <w:pPr>
              <w:widowControl/>
              <w:jc w:val="left"/>
              <w:rPr>
                <w:rStyle w:val="60"/>
                <w:rFonts w:ascii="仿宋" w:hAnsi="仿宋" w:eastAsia="仿宋" w:cs="仿宋"/>
                <w:spacing w:val="-2"/>
                <w:sz w:val="24"/>
                <w:highlight w:val="none"/>
              </w:rPr>
            </w:pPr>
          </w:p>
        </w:tc>
        <w:tc>
          <w:tcPr>
            <w:tcW w:w="2058" w:type="dxa"/>
            <w:tcBorders>
              <w:top w:val="single" w:color="auto" w:sz="4" w:space="0"/>
            </w:tcBorders>
            <w:noWrap/>
            <w:vAlign w:val="center"/>
          </w:tcPr>
          <w:p>
            <w:pPr>
              <w:jc w:val="center"/>
              <w:rPr>
                <w:rStyle w:val="60"/>
                <w:rFonts w:ascii="仿宋" w:hAnsi="仿宋" w:eastAsia="仿宋" w:cs="仿宋"/>
                <w:sz w:val="24"/>
                <w:highlight w:val="none"/>
                <w:lang w:val="zh-CN"/>
              </w:rPr>
            </w:pPr>
          </w:p>
        </w:tc>
        <w:tc>
          <w:tcPr>
            <w:tcW w:w="3691" w:type="dxa"/>
            <w:tcBorders>
              <w:top w:val="single" w:color="auto" w:sz="4" w:space="0"/>
            </w:tcBorders>
            <w:noWrap/>
            <w:vAlign w:val="center"/>
          </w:tcPr>
          <w:p>
            <w:pPr>
              <w:jc w:val="center"/>
              <w:rPr>
                <w:rStyle w:val="60"/>
                <w:rFonts w:ascii="仿宋" w:hAnsi="仿宋" w:eastAsia="仿宋" w:cs="仿宋"/>
                <w:sz w:val="24"/>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noWrap/>
            <w:vAlign w:val="center"/>
          </w:tcPr>
          <w:p>
            <w:pPr>
              <w:jc w:val="center"/>
              <w:rPr>
                <w:rStyle w:val="60"/>
                <w:rFonts w:ascii="仿宋" w:hAnsi="仿宋" w:eastAsia="仿宋" w:cs="仿宋"/>
                <w:spacing w:val="-2"/>
                <w:sz w:val="24"/>
                <w:highlight w:val="none"/>
              </w:rPr>
            </w:pPr>
          </w:p>
        </w:tc>
        <w:tc>
          <w:tcPr>
            <w:tcW w:w="3119" w:type="dxa"/>
            <w:noWrap/>
            <w:vAlign w:val="center"/>
          </w:tcPr>
          <w:p>
            <w:pPr>
              <w:widowControl/>
              <w:jc w:val="left"/>
              <w:rPr>
                <w:rStyle w:val="60"/>
                <w:rFonts w:ascii="仿宋" w:hAnsi="仿宋" w:eastAsia="仿宋" w:cs="仿宋"/>
                <w:spacing w:val="-2"/>
                <w:sz w:val="24"/>
                <w:highlight w:val="none"/>
              </w:rPr>
            </w:pPr>
          </w:p>
        </w:tc>
        <w:tc>
          <w:tcPr>
            <w:tcW w:w="2058" w:type="dxa"/>
            <w:noWrap/>
            <w:vAlign w:val="center"/>
          </w:tcPr>
          <w:p>
            <w:pPr>
              <w:jc w:val="center"/>
              <w:rPr>
                <w:rStyle w:val="60"/>
                <w:rFonts w:ascii="仿宋" w:hAnsi="仿宋" w:eastAsia="仿宋" w:cs="仿宋"/>
                <w:sz w:val="24"/>
                <w:highlight w:val="none"/>
                <w:lang w:val="zh-CN"/>
              </w:rPr>
            </w:pPr>
          </w:p>
        </w:tc>
        <w:tc>
          <w:tcPr>
            <w:tcW w:w="3691" w:type="dxa"/>
            <w:noWrap/>
            <w:vAlign w:val="center"/>
          </w:tcPr>
          <w:p>
            <w:pPr>
              <w:jc w:val="center"/>
              <w:rPr>
                <w:rStyle w:val="60"/>
                <w:rFonts w:ascii="仿宋" w:hAnsi="仿宋" w:eastAsia="仿宋" w:cs="仿宋"/>
                <w:sz w:val="24"/>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noWrap/>
            <w:vAlign w:val="center"/>
          </w:tcPr>
          <w:p>
            <w:pPr>
              <w:jc w:val="center"/>
              <w:rPr>
                <w:rStyle w:val="60"/>
                <w:rFonts w:ascii="仿宋" w:hAnsi="仿宋" w:eastAsia="仿宋" w:cs="仿宋"/>
                <w:spacing w:val="-2"/>
                <w:sz w:val="24"/>
                <w:highlight w:val="none"/>
              </w:rPr>
            </w:pPr>
          </w:p>
        </w:tc>
        <w:tc>
          <w:tcPr>
            <w:tcW w:w="3119" w:type="dxa"/>
            <w:noWrap/>
            <w:vAlign w:val="center"/>
          </w:tcPr>
          <w:p>
            <w:pPr>
              <w:widowControl/>
              <w:jc w:val="left"/>
              <w:rPr>
                <w:rFonts w:hint="eastAsia" w:ascii="仿宋" w:hAnsi="仿宋" w:eastAsia="仿宋" w:cs="仿宋"/>
                <w:highlight w:val="none"/>
              </w:rPr>
            </w:pPr>
          </w:p>
        </w:tc>
        <w:tc>
          <w:tcPr>
            <w:tcW w:w="2058" w:type="dxa"/>
            <w:noWrap/>
            <w:vAlign w:val="center"/>
          </w:tcPr>
          <w:p>
            <w:pPr>
              <w:jc w:val="center"/>
              <w:rPr>
                <w:rStyle w:val="60"/>
                <w:rFonts w:ascii="仿宋" w:hAnsi="仿宋" w:eastAsia="仿宋" w:cs="仿宋"/>
                <w:sz w:val="24"/>
                <w:highlight w:val="none"/>
                <w:lang w:val="zh-CN"/>
              </w:rPr>
            </w:pPr>
          </w:p>
        </w:tc>
        <w:tc>
          <w:tcPr>
            <w:tcW w:w="3691" w:type="dxa"/>
            <w:noWrap/>
            <w:vAlign w:val="center"/>
          </w:tcPr>
          <w:p>
            <w:pPr>
              <w:jc w:val="center"/>
              <w:rPr>
                <w:rFonts w:hint="eastAsia" w:ascii="仿宋" w:hAnsi="仿宋" w:eastAsia="仿宋" w:cs="仿宋"/>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noWrap/>
            <w:vAlign w:val="center"/>
          </w:tcPr>
          <w:p>
            <w:pPr>
              <w:jc w:val="center"/>
              <w:rPr>
                <w:rFonts w:hint="default" w:ascii="仿宋" w:hAnsi="仿宋" w:eastAsia="仿宋" w:cs="仿宋"/>
                <w:highlight w:val="none"/>
                <w:lang w:val="en-US" w:eastAsia="zh-CN"/>
              </w:rPr>
            </w:pPr>
            <w:r>
              <w:rPr>
                <w:rFonts w:hint="eastAsia" w:ascii="仿宋" w:hAnsi="仿宋" w:eastAsia="仿宋" w:cs="仿宋"/>
                <w:kern w:val="0"/>
                <w:sz w:val="24"/>
                <w:highlight w:val="none"/>
                <w:lang w:val="zh-CN"/>
              </w:rPr>
              <w:t>是否属于小和微型企业</w:t>
            </w:r>
          </w:p>
        </w:tc>
        <w:tc>
          <w:tcPr>
            <w:tcW w:w="5749" w:type="dxa"/>
            <w:gridSpan w:val="2"/>
            <w:noWrap/>
            <w:vAlign w:val="center"/>
          </w:tcPr>
          <w:p>
            <w:pPr>
              <w:jc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是      否</w:t>
            </w:r>
          </w:p>
        </w:tc>
      </w:tr>
    </w:tbl>
    <w:p>
      <w:pPr>
        <w:widowControl/>
        <w:adjustRightInd w:val="0"/>
        <w:snapToGrid w:val="0"/>
        <w:spacing w:line="36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pPr>
        <w:widowControl/>
        <w:adjustRightInd w:val="0"/>
        <w:snapToGrid w:val="0"/>
        <w:spacing w:line="360" w:lineRule="auto"/>
        <w:ind w:firstLine="480" w:firstLineChars="200"/>
        <w:jc w:val="center"/>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供应商名称（</w:t>
      </w:r>
      <w:r>
        <w:rPr>
          <w:rFonts w:hint="eastAsia" w:ascii="仿宋" w:hAnsi="仿宋" w:eastAsia="仿宋" w:cs="仿宋"/>
          <w:kern w:val="0"/>
          <w:sz w:val="24"/>
          <w:szCs w:val="24"/>
          <w:highlight w:val="none"/>
        </w:rPr>
        <w:t>公章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pStyle w:val="11"/>
        <w:tabs>
          <w:tab w:val="left" w:pos="2538"/>
          <w:tab w:val="left" w:pos="3978"/>
          <w:tab w:val="left" w:pos="4698"/>
          <w:tab w:val="left" w:pos="5418"/>
        </w:tabs>
        <w:adjustRightInd w:val="0"/>
        <w:snapToGrid w:val="0"/>
        <w:spacing w:line="360" w:lineRule="auto"/>
        <w:ind w:left="0" w:firstLine="480" w:firstLineChars="200"/>
        <w:jc w:val="right"/>
        <w:rPr>
          <w:rFonts w:ascii="仿宋" w:hAnsi="仿宋" w:eastAsia="仿宋" w:cs="仿宋"/>
          <w:highlight w:val="none"/>
        </w:rPr>
      </w:pPr>
      <w:r>
        <w:rPr>
          <w:rFonts w:hint="eastAsia" w:ascii="仿宋" w:hAnsi="仿宋" w:eastAsia="仿宋" w:cs="仿宋"/>
          <w:highlight w:val="none"/>
        </w:rPr>
        <w:t xml:space="preserve">日   </w:t>
      </w:r>
      <w:r>
        <w:rPr>
          <w:rFonts w:hint="eastAsia" w:ascii="仿宋" w:hAnsi="仿宋" w:eastAsia="仿宋" w:cs="仿宋"/>
          <w:highlight w:val="none"/>
          <w:lang w:val="en-US"/>
        </w:rPr>
        <w:t xml:space="preserve"> </w:t>
      </w:r>
      <w:r>
        <w:rPr>
          <w:rFonts w:hint="eastAsia" w:ascii="仿宋" w:hAnsi="仿宋" w:eastAsia="仿宋" w:cs="仿宋"/>
          <w:highlight w:val="none"/>
        </w:rPr>
        <w:t xml:space="preserve">   期：   年    月    日</w:t>
      </w:r>
    </w:p>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说明：</w:t>
      </w:r>
    </w:p>
    <w:p>
      <w:pPr>
        <w:numPr>
          <w:ilvl w:val="0"/>
          <w:numId w:val="2"/>
        </w:numPr>
        <w:spacing w:line="360" w:lineRule="auto"/>
        <w:rPr>
          <w:rFonts w:ascii="仿宋" w:hAnsi="仿宋" w:eastAsia="仿宋" w:cs="仿宋"/>
          <w:sz w:val="24"/>
          <w:highlight w:val="none"/>
        </w:rPr>
      </w:pPr>
      <w:r>
        <w:rPr>
          <w:rFonts w:hint="eastAsia" w:ascii="仿宋" w:hAnsi="仿宋" w:eastAsia="仿宋" w:cs="仿宋"/>
          <w:kern w:val="0"/>
          <w:sz w:val="24"/>
          <w:highlight w:val="none"/>
          <w:lang w:val="zh-CN"/>
        </w:rPr>
        <w:t>在“供应商是否属于小和微型企业”栏后</w:t>
      </w:r>
      <w:r>
        <w:rPr>
          <w:rFonts w:hint="eastAsia" w:ascii="仿宋" w:hAnsi="仿宋" w:eastAsia="仿宋" w:cs="仿宋"/>
          <w:kern w:val="0"/>
          <w:sz w:val="24"/>
          <w:highlight w:val="none"/>
        </w:rPr>
        <w:t>填写</w:t>
      </w:r>
      <w:r>
        <w:rPr>
          <w:rFonts w:hint="eastAsia" w:ascii="仿宋" w:hAnsi="仿宋" w:eastAsia="仿宋" w:cs="仿宋"/>
          <w:kern w:val="0"/>
          <w:sz w:val="24"/>
          <w:highlight w:val="none"/>
          <w:lang w:val="zh-CN"/>
        </w:rPr>
        <w:t>“是”或“否”。</w:t>
      </w:r>
      <w:r>
        <w:rPr>
          <w:rFonts w:hint="eastAsia" w:ascii="仿宋" w:hAnsi="仿宋" w:eastAsia="仿宋" w:cs="仿宋"/>
          <w:sz w:val="24"/>
          <w:highlight w:val="none"/>
        </w:rPr>
        <w:t>如填写“是”，供应商需提供《中小企业声明函》、《残疾人福利性单位声明函》、《属于监狱企业的证明文件》；如为代理商投标，还需提供</w:t>
      </w:r>
      <w:r>
        <w:rPr>
          <w:rFonts w:hint="eastAsia" w:ascii="仿宋" w:hAnsi="仿宋" w:eastAsia="仿宋" w:cs="仿宋"/>
          <w:b/>
          <w:bCs/>
          <w:sz w:val="24"/>
          <w:highlight w:val="none"/>
        </w:rPr>
        <w:t>投标产品制造商出具的上述文件</w:t>
      </w:r>
      <w:r>
        <w:rPr>
          <w:rFonts w:hint="eastAsia" w:ascii="仿宋" w:hAnsi="仿宋" w:eastAsia="仿宋" w:cs="仿宋"/>
          <w:sz w:val="24"/>
          <w:highlight w:val="none"/>
        </w:rPr>
        <w:t>。非小微企业产品不享受价格扣除。如未按要求提供、填写，或相关内容表述不清前后矛盾的，不享受价格扣除。</w:t>
      </w:r>
    </w:p>
    <w:p>
      <w:pPr>
        <w:pStyle w:val="31"/>
        <w:jc w:val="center"/>
        <w:rPr>
          <w:rFonts w:hint="eastAsia" w:ascii="仿宋" w:hAnsi="仿宋" w:eastAsia="仿宋" w:cs="仿宋"/>
          <w:b/>
          <w:bCs/>
          <w:color w:val="auto"/>
          <w:sz w:val="32"/>
          <w:szCs w:val="32"/>
          <w:highlight w:val="none"/>
        </w:rPr>
      </w:pPr>
    </w:p>
    <w:p>
      <w:pPr>
        <w:pStyle w:val="31"/>
        <w:jc w:val="center"/>
        <w:rPr>
          <w:rFonts w:hint="eastAsia" w:ascii="仿宋" w:hAnsi="仿宋" w:eastAsia="仿宋" w:cs="仿宋"/>
          <w:b/>
          <w:bCs/>
          <w:color w:val="auto"/>
          <w:sz w:val="32"/>
          <w:szCs w:val="32"/>
          <w:highlight w:val="none"/>
        </w:rPr>
      </w:pPr>
    </w:p>
    <w:p>
      <w:pPr>
        <w:pStyle w:val="31"/>
        <w:jc w:val="center"/>
        <w:rPr>
          <w:rFonts w:hint="eastAsia" w:ascii="仿宋" w:hAnsi="仿宋" w:eastAsia="仿宋" w:cs="仿宋"/>
          <w:b/>
          <w:bCs/>
          <w:color w:val="auto"/>
          <w:sz w:val="32"/>
          <w:szCs w:val="32"/>
          <w:highlight w:val="none"/>
        </w:rPr>
      </w:pPr>
    </w:p>
    <w:p>
      <w:pPr>
        <w:pStyle w:val="31"/>
        <w:jc w:val="center"/>
        <w:rPr>
          <w:rFonts w:hint="eastAsia" w:ascii="仿宋" w:hAnsi="仿宋" w:eastAsia="仿宋" w:cs="仿宋"/>
          <w:b/>
          <w:bCs/>
          <w:color w:val="auto"/>
          <w:sz w:val="32"/>
          <w:szCs w:val="32"/>
          <w:highlight w:val="none"/>
        </w:rPr>
      </w:pPr>
    </w:p>
    <w:p>
      <w:pPr>
        <w:pStyle w:val="31"/>
        <w:jc w:val="center"/>
        <w:rPr>
          <w:rFonts w:hint="eastAsia" w:ascii="仿宋" w:hAnsi="仿宋" w:eastAsia="仿宋" w:cs="仿宋"/>
          <w:b/>
          <w:bCs/>
          <w:color w:val="auto"/>
          <w:sz w:val="32"/>
          <w:szCs w:val="32"/>
          <w:highlight w:val="none"/>
        </w:rPr>
      </w:pPr>
    </w:p>
    <w:p>
      <w:pPr>
        <w:pStyle w:val="31"/>
        <w:jc w:val="center"/>
        <w:rPr>
          <w:rFonts w:hint="eastAsia" w:ascii="仿宋" w:hAnsi="仿宋" w:eastAsia="仿宋" w:cs="仿宋"/>
          <w:b/>
          <w:bCs/>
          <w:color w:val="auto"/>
          <w:sz w:val="32"/>
          <w:szCs w:val="32"/>
          <w:highlight w:val="none"/>
        </w:rPr>
      </w:pPr>
    </w:p>
    <w:p>
      <w:pPr>
        <w:pStyle w:val="31"/>
        <w:jc w:val="center"/>
        <w:rPr>
          <w:rFonts w:hint="eastAsia" w:ascii="仿宋" w:hAnsi="仿宋" w:eastAsia="仿宋" w:cs="仿宋"/>
          <w:b/>
          <w:bCs/>
          <w:color w:val="auto"/>
          <w:sz w:val="32"/>
          <w:szCs w:val="32"/>
          <w:highlight w:val="none"/>
        </w:rPr>
      </w:pPr>
    </w:p>
    <w:p>
      <w:pPr>
        <w:pStyle w:val="31"/>
        <w:jc w:val="center"/>
        <w:rPr>
          <w:rFonts w:hint="eastAsia" w:ascii="仿宋" w:hAnsi="仿宋" w:eastAsia="仿宋" w:cs="仿宋"/>
          <w:b/>
          <w:bCs/>
          <w:color w:val="auto"/>
          <w:sz w:val="32"/>
          <w:szCs w:val="32"/>
          <w:highlight w:val="none"/>
        </w:rPr>
      </w:pPr>
    </w:p>
    <w:p>
      <w:pPr>
        <w:pStyle w:val="31"/>
        <w:jc w:val="center"/>
        <w:rPr>
          <w:rFonts w:hint="eastAsia" w:ascii="仿宋" w:hAnsi="仿宋" w:eastAsia="仿宋" w:cs="仿宋"/>
          <w:b/>
          <w:bCs/>
          <w:color w:val="auto"/>
          <w:sz w:val="32"/>
          <w:szCs w:val="32"/>
          <w:highlight w:val="none"/>
        </w:rPr>
      </w:pPr>
    </w:p>
    <w:p>
      <w:pPr>
        <w:pStyle w:val="31"/>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分项报价表（</w:t>
      </w:r>
      <w:r>
        <w:rPr>
          <w:rFonts w:hint="eastAsia" w:ascii="仿宋" w:hAnsi="仿宋" w:eastAsia="仿宋" w:cs="仿宋"/>
          <w:b/>
          <w:bCs/>
          <w:color w:val="auto"/>
          <w:sz w:val="32"/>
          <w:szCs w:val="32"/>
          <w:highlight w:val="none"/>
          <w:lang w:val="en-US" w:eastAsia="zh-CN"/>
        </w:rPr>
        <w:t>若有</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格式自拟</w:t>
      </w:r>
      <w:r>
        <w:rPr>
          <w:rFonts w:hint="eastAsia" w:ascii="仿宋" w:hAnsi="仿宋" w:eastAsia="仿宋" w:cs="仿宋"/>
          <w:b/>
          <w:bCs/>
          <w:color w:val="auto"/>
          <w:sz w:val="32"/>
          <w:szCs w:val="32"/>
          <w:highlight w:val="none"/>
        </w:rPr>
        <w:t>）</w:t>
      </w:r>
    </w:p>
    <w:p>
      <w:pPr>
        <w:pStyle w:val="31"/>
        <w:jc w:val="center"/>
        <w:rPr>
          <w:rFonts w:ascii="仿宋" w:hAnsi="仿宋" w:eastAsia="仿宋" w:cs="仿宋"/>
          <w:b/>
          <w:bCs/>
          <w:color w:val="auto"/>
          <w:sz w:val="32"/>
          <w:szCs w:val="32"/>
          <w:highlight w:val="none"/>
        </w:rPr>
      </w:pPr>
    </w:p>
    <w:p>
      <w:pP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标包名称：                                      标包编号：</w:t>
      </w:r>
    </w:p>
    <w:tbl>
      <w:tblPr>
        <w:tblStyle w:val="23"/>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193"/>
        <w:gridCol w:w="1217"/>
        <w:gridCol w:w="850"/>
        <w:gridCol w:w="993"/>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709" w:type="dxa"/>
            <w:vAlign w:val="center"/>
          </w:tcPr>
          <w:p>
            <w:pPr>
              <w:jc w:val="center"/>
              <w:rPr>
                <w:rStyle w:val="60"/>
                <w:rFonts w:ascii="仿宋" w:hAnsi="仿宋" w:eastAsia="仿宋" w:cs="仿宋"/>
                <w:kern w:val="0"/>
                <w:highlight w:val="none"/>
                <w:lang w:val="zh-CN"/>
              </w:rPr>
            </w:pPr>
            <w:r>
              <w:rPr>
                <w:rStyle w:val="60"/>
                <w:rFonts w:hint="eastAsia" w:ascii="仿宋" w:hAnsi="仿宋" w:eastAsia="仿宋" w:cs="仿宋"/>
                <w:kern w:val="0"/>
                <w:highlight w:val="none"/>
                <w:lang w:val="zh-CN"/>
              </w:rPr>
              <w:t>序号</w:t>
            </w:r>
          </w:p>
        </w:tc>
        <w:tc>
          <w:tcPr>
            <w:tcW w:w="1193" w:type="dxa"/>
            <w:vAlign w:val="center"/>
          </w:tcPr>
          <w:p>
            <w:pPr>
              <w:jc w:val="center"/>
              <w:rPr>
                <w:rStyle w:val="60"/>
                <w:rFonts w:ascii="仿宋" w:hAnsi="仿宋" w:eastAsia="仿宋" w:cs="仿宋"/>
                <w:kern w:val="0"/>
                <w:highlight w:val="none"/>
                <w:lang w:val="zh-CN"/>
              </w:rPr>
            </w:pPr>
            <w:r>
              <w:rPr>
                <w:rStyle w:val="60"/>
                <w:rFonts w:hint="eastAsia" w:ascii="仿宋" w:hAnsi="仿宋" w:eastAsia="仿宋" w:cs="仿宋"/>
                <w:kern w:val="0"/>
                <w:highlight w:val="none"/>
                <w:lang w:val="zh-CN"/>
              </w:rPr>
              <w:t>名称</w:t>
            </w:r>
          </w:p>
        </w:tc>
        <w:tc>
          <w:tcPr>
            <w:tcW w:w="1217" w:type="dxa"/>
            <w:vAlign w:val="center"/>
          </w:tcPr>
          <w:p>
            <w:pPr>
              <w:jc w:val="center"/>
              <w:rPr>
                <w:rStyle w:val="60"/>
                <w:rFonts w:ascii="仿宋" w:hAnsi="仿宋" w:eastAsia="仿宋" w:cs="仿宋"/>
                <w:kern w:val="0"/>
                <w:highlight w:val="none"/>
                <w:lang w:val="zh-CN"/>
              </w:rPr>
            </w:pPr>
            <w:r>
              <w:rPr>
                <w:rStyle w:val="60"/>
                <w:rFonts w:hint="eastAsia" w:ascii="仿宋" w:hAnsi="仿宋" w:eastAsia="仿宋" w:cs="仿宋"/>
                <w:kern w:val="0"/>
                <w:highlight w:val="none"/>
                <w:lang w:val="zh-CN"/>
              </w:rPr>
              <w:t>数量</w:t>
            </w:r>
          </w:p>
        </w:tc>
        <w:tc>
          <w:tcPr>
            <w:tcW w:w="850" w:type="dxa"/>
            <w:vAlign w:val="center"/>
          </w:tcPr>
          <w:p>
            <w:pPr>
              <w:jc w:val="center"/>
              <w:rPr>
                <w:rStyle w:val="60"/>
                <w:rFonts w:ascii="仿宋" w:hAnsi="仿宋" w:eastAsia="仿宋" w:cs="仿宋"/>
                <w:kern w:val="0"/>
                <w:highlight w:val="none"/>
                <w:lang w:val="zh-CN"/>
              </w:rPr>
            </w:pPr>
            <w:r>
              <w:rPr>
                <w:rStyle w:val="60"/>
                <w:rFonts w:hint="eastAsia" w:ascii="仿宋" w:hAnsi="仿宋" w:eastAsia="仿宋" w:cs="仿宋"/>
                <w:kern w:val="0"/>
                <w:highlight w:val="none"/>
                <w:lang w:val="zh-CN"/>
              </w:rPr>
              <w:t>单位</w:t>
            </w:r>
          </w:p>
        </w:tc>
        <w:tc>
          <w:tcPr>
            <w:tcW w:w="993" w:type="dxa"/>
            <w:vAlign w:val="center"/>
          </w:tcPr>
          <w:p>
            <w:pPr>
              <w:jc w:val="center"/>
              <w:rPr>
                <w:rStyle w:val="60"/>
                <w:rFonts w:ascii="仿宋" w:hAnsi="仿宋" w:eastAsia="仿宋" w:cs="仿宋"/>
                <w:kern w:val="0"/>
                <w:highlight w:val="none"/>
                <w:lang w:val="zh-CN"/>
              </w:rPr>
            </w:pPr>
            <w:r>
              <w:rPr>
                <w:rStyle w:val="60"/>
                <w:rFonts w:hint="eastAsia" w:ascii="仿宋" w:hAnsi="仿宋" w:eastAsia="仿宋" w:cs="仿宋"/>
                <w:kern w:val="0"/>
                <w:highlight w:val="none"/>
                <w:lang w:val="zh-CN"/>
              </w:rPr>
              <w:t>单价</w:t>
            </w:r>
          </w:p>
          <w:p>
            <w:pPr>
              <w:jc w:val="center"/>
              <w:rPr>
                <w:rStyle w:val="60"/>
                <w:rFonts w:ascii="仿宋" w:hAnsi="仿宋" w:eastAsia="仿宋" w:cs="仿宋"/>
                <w:kern w:val="0"/>
                <w:highlight w:val="none"/>
                <w:lang w:val="zh-CN"/>
              </w:rPr>
            </w:pPr>
            <w:r>
              <w:rPr>
                <w:rStyle w:val="60"/>
                <w:rFonts w:hint="eastAsia" w:ascii="仿宋" w:hAnsi="仿宋" w:eastAsia="仿宋" w:cs="仿宋"/>
                <w:kern w:val="0"/>
                <w:highlight w:val="none"/>
              </w:rPr>
              <w:t>（元）</w:t>
            </w:r>
          </w:p>
        </w:tc>
        <w:tc>
          <w:tcPr>
            <w:tcW w:w="1984" w:type="dxa"/>
            <w:vAlign w:val="center"/>
          </w:tcPr>
          <w:p>
            <w:pPr>
              <w:jc w:val="center"/>
              <w:rPr>
                <w:rStyle w:val="60"/>
                <w:rFonts w:ascii="仿宋" w:hAnsi="仿宋" w:eastAsia="仿宋" w:cs="仿宋"/>
                <w:kern w:val="0"/>
                <w:highlight w:val="none"/>
                <w:lang w:val="zh-CN"/>
              </w:rPr>
            </w:pPr>
            <w:r>
              <w:rPr>
                <w:rStyle w:val="60"/>
                <w:rFonts w:hint="eastAsia" w:ascii="仿宋" w:hAnsi="仿宋" w:eastAsia="仿宋" w:cs="仿宋"/>
                <w:kern w:val="0"/>
                <w:highlight w:val="none"/>
              </w:rPr>
              <w:t>合</w:t>
            </w:r>
            <w:r>
              <w:rPr>
                <w:rStyle w:val="60"/>
                <w:rFonts w:hint="eastAsia" w:ascii="仿宋" w:hAnsi="仿宋" w:eastAsia="仿宋" w:cs="仿宋"/>
                <w:kern w:val="0"/>
                <w:highlight w:val="none"/>
                <w:lang w:val="zh-CN"/>
              </w:rPr>
              <w:t>价</w:t>
            </w:r>
          </w:p>
          <w:p>
            <w:pPr>
              <w:jc w:val="center"/>
              <w:rPr>
                <w:rStyle w:val="60"/>
                <w:rFonts w:ascii="仿宋" w:hAnsi="仿宋" w:eastAsia="仿宋" w:cs="仿宋"/>
                <w:kern w:val="0"/>
                <w:highlight w:val="none"/>
                <w:lang w:val="zh-CN"/>
              </w:rPr>
            </w:pPr>
            <w:r>
              <w:rPr>
                <w:rStyle w:val="60"/>
                <w:rFonts w:hint="eastAsia" w:ascii="仿宋" w:hAnsi="仿宋" w:eastAsia="仿宋" w:cs="仿宋"/>
                <w:kern w:val="0"/>
                <w:highlight w:val="none"/>
                <w:lang w:val="zh-CN"/>
              </w:rPr>
              <w:t>（元）</w:t>
            </w:r>
          </w:p>
        </w:tc>
        <w:tc>
          <w:tcPr>
            <w:tcW w:w="1701" w:type="dxa"/>
            <w:vAlign w:val="center"/>
          </w:tcPr>
          <w:p>
            <w:pPr>
              <w:jc w:val="center"/>
              <w:rPr>
                <w:rStyle w:val="60"/>
                <w:rFonts w:ascii="仿宋" w:hAnsi="仿宋" w:eastAsia="仿宋" w:cs="仿宋"/>
                <w:kern w:val="0"/>
                <w:highlight w:val="none"/>
              </w:rPr>
            </w:pPr>
            <w:r>
              <w:rPr>
                <w:rStyle w:val="60"/>
                <w:rFonts w:hint="eastAsia" w:ascii="仿宋" w:hAnsi="仿宋" w:eastAsia="仿宋" w:cs="仿宋"/>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highlight w:val="none"/>
                <w:lang w:val="zh-CN"/>
              </w:rPr>
            </w:pPr>
          </w:p>
        </w:tc>
        <w:tc>
          <w:tcPr>
            <w:tcW w:w="1193" w:type="dxa"/>
          </w:tcPr>
          <w:p>
            <w:pPr>
              <w:rPr>
                <w:rStyle w:val="60"/>
                <w:rFonts w:ascii="仿宋" w:hAnsi="仿宋" w:eastAsia="仿宋" w:cs="仿宋"/>
                <w:kern w:val="0"/>
                <w:highlight w:val="none"/>
                <w:lang w:val="zh-CN"/>
              </w:rPr>
            </w:pPr>
          </w:p>
        </w:tc>
        <w:tc>
          <w:tcPr>
            <w:tcW w:w="1217" w:type="dxa"/>
          </w:tcPr>
          <w:p>
            <w:pPr>
              <w:rPr>
                <w:rStyle w:val="60"/>
                <w:rFonts w:ascii="仿宋" w:hAnsi="仿宋" w:eastAsia="仿宋" w:cs="仿宋"/>
                <w:kern w:val="0"/>
                <w:highlight w:val="none"/>
                <w:lang w:val="zh-CN"/>
              </w:rPr>
            </w:pPr>
          </w:p>
        </w:tc>
        <w:tc>
          <w:tcPr>
            <w:tcW w:w="850" w:type="dxa"/>
          </w:tcPr>
          <w:p>
            <w:pPr>
              <w:rPr>
                <w:rStyle w:val="60"/>
                <w:rFonts w:ascii="仿宋" w:hAnsi="仿宋" w:eastAsia="仿宋" w:cs="仿宋"/>
                <w:kern w:val="0"/>
                <w:highlight w:val="none"/>
                <w:lang w:val="zh-CN"/>
              </w:rPr>
            </w:pPr>
          </w:p>
        </w:tc>
        <w:tc>
          <w:tcPr>
            <w:tcW w:w="993" w:type="dxa"/>
          </w:tcPr>
          <w:p>
            <w:pPr>
              <w:rPr>
                <w:rStyle w:val="60"/>
                <w:rFonts w:ascii="仿宋" w:hAnsi="仿宋" w:eastAsia="仿宋" w:cs="仿宋"/>
                <w:kern w:val="0"/>
                <w:highlight w:val="none"/>
                <w:lang w:val="zh-CN"/>
              </w:rPr>
            </w:pPr>
          </w:p>
        </w:tc>
        <w:tc>
          <w:tcPr>
            <w:tcW w:w="1984" w:type="dxa"/>
          </w:tcPr>
          <w:p>
            <w:pPr>
              <w:rPr>
                <w:rStyle w:val="60"/>
                <w:rFonts w:ascii="仿宋" w:hAnsi="仿宋" w:eastAsia="仿宋" w:cs="仿宋"/>
                <w:kern w:val="0"/>
                <w:highlight w:val="none"/>
                <w:lang w:val="zh-CN"/>
              </w:rPr>
            </w:pPr>
          </w:p>
        </w:tc>
        <w:tc>
          <w:tcPr>
            <w:tcW w:w="1701" w:type="dxa"/>
          </w:tcPr>
          <w:p>
            <w:pPr>
              <w:rPr>
                <w:rStyle w:val="60"/>
                <w:rFonts w:ascii="仿宋" w:hAnsi="仿宋" w:eastAsia="仿宋" w:cs="仿宋"/>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highlight w:val="none"/>
                <w:lang w:val="zh-CN"/>
              </w:rPr>
            </w:pPr>
          </w:p>
        </w:tc>
        <w:tc>
          <w:tcPr>
            <w:tcW w:w="1193" w:type="dxa"/>
          </w:tcPr>
          <w:p>
            <w:pPr>
              <w:rPr>
                <w:rStyle w:val="60"/>
                <w:rFonts w:ascii="仿宋" w:hAnsi="仿宋" w:eastAsia="仿宋" w:cs="仿宋"/>
                <w:kern w:val="0"/>
                <w:highlight w:val="none"/>
                <w:lang w:val="zh-CN"/>
              </w:rPr>
            </w:pPr>
          </w:p>
        </w:tc>
        <w:tc>
          <w:tcPr>
            <w:tcW w:w="1217" w:type="dxa"/>
          </w:tcPr>
          <w:p>
            <w:pPr>
              <w:rPr>
                <w:rStyle w:val="60"/>
                <w:rFonts w:ascii="仿宋" w:hAnsi="仿宋" w:eastAsia="仿宋" w:cs="仿宋"/>
                <w:kern w:val="0"/>
                <w:highlight w:val="none"/>
                <w:lang w:val="zh-CN"/>
              </w:rPr>
            </w:pPr>
          </w:p>
        </w:tc>
        <w:tc>
          <w:tcPr>
            <w:tcW w:w="850" w:type="dxa"/>
          </w:tcPr>
          <w:p>
            <w:pPr>
              <w:rPr>
                <w:rStyle w:val="60"/>
                <w:rFonts w:ascii="仿宋" w:hAnsi="仿宋" w:eastAsia="仿宋" w:cs="仿宋"/>
                <w:kern w:val="0"/>
                <w:highlight w:val="none"/>
                <w:lang w:val="zh-CN"/>
              </w:rPr>
            </w:pPr>
          </w:p>
        </w:tc>
        <w:tc>
          <w:tcPr>
            <w:tcW w:w="993" w:type="dxa"/>
          </w:tcPr>
          <w:p>
            <w:pPr>
              <w:rPr>
                <w:rStyle w:val="60"/>
                <w:rFonts w:ascii="仿宋" w:hAnsi="仿宋" w:eastAsia="仿宋" w:cs="仿宋"/>
                <w:kern w:val="0"/>
                <w:highlight w:val="none"/>
                <w:lang w:val="zh-CN"/>
              </w:rPr>
            </w:pPr>
          </w:p>
        </w:tc>
        <w:tc>
          <w:tcPr>
            <w:tcW w:w="1984" w:type="dxa"/>
          </w:tcPr>
          <w:p>
            <w:pPr>
              <w:rPr>
                <w:rStyle w:val="60"/>
                <w:rFonts w:ascii="仿宋" w:hAnsi="仿宋" w:eastAsia="仿宋" w:cs="仿宋"/>
                <w:kern w:val="0"/>
                <w:highlight w:val="none"/>
                <w:lang w:val="zh-CN"/>
              </w:rPr>
            </w:pPr>
          </w:p>
        </w:tc>
        <w:tc>
          <w:tcPr>
            <w:tcW w:w="1701" w:type="dxa"/>
          </w:tcPr>
          <w:p>
            <w:pPr>
              <w:rPr>
                <w:rStyle w:val="60"/>
                <w:rFonts w:ascii="仿宋" w:hAnsi="仿宋" w:eastAsia="仿宋" w:cs="仿宋"/>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highlight w:val="none"/>
                <w:lang w:val="zh-CN"/>
              </w:rPr>
            </w:pPr>
          </w:p>
        </w:tc>
        <w:tc>
          <w:tcPr>
            <w:tcW w:w="1193" w:type="dxa"/>
          </w:tcPr>
          <w:p>
            <w:pPr>
              <w:rPr>
                <w:rStyle w:val="60"/>
                <w:rFonts w:ascii="仿宋" w:hAnsi="仿宋" w:eastAsia="仿宋" w:cs="仿宋"/>
                <w:kern w:val="0"/>
                <w:highlight w:val="none"/>
                <w:lang w:val="zh-CN"/>
              </w:rPr>
            </w:pPr>
          </w:p>
        </w:tc>
        <w:tc>
          <w:tcPr>
            <w:tcW w:w="1217" w:type="dxa"/>
          </w:tcPr>
          <w:p>
            <w:pPr>
              <w:rPr>
                <w:rStyle w:val="60"/>
                <w:rFonts w:ascii="仿宋" w:hAnsi="仿宋" w:eastAsia="仿宋" w:cs="仿宋"/>
                <w:kern w:val="0"/>
                <w:highlight w:val="none"/>
                <w:lang w:val="zh-CN"/>
              </w:rPr>
            </w:pPr>
          </w:p>
        </w:tc>
        <w:tc>
          <w:tcPr>
            <w:tcW w:w="850" w:type="dxa"/>
          </w:tcPr>
          <w:p>
            <w:pPr>
              <w:rPr>
                <w:rStyle w:val="60"/>
                <w:rFonts w:ascii="仿宋" w:hAnsi="仿宋" w:eastAsia="仿宋" w:cs="仿宋"/>
                <w:kern w:val="0"/>
                <w:highlight w:val="none"/>
                <w:lang w:val="zh-CN"/>
              </w:rPr>
            </w:pPr>
          </w:p>
        </w:tc>
        <w:tc>
          <w:tcPr>
            <w:tcW w:w="993" w:type="dxa"/>
          </w:tcPr>
          <w:p>
            <w:pPr>
              <w:rPr>
                <w:rStyle w:val="60"/>
                <w:rFonts w:ascii="仿宋" w:hAnsi="仿宋" w:eastAsia="仿宋" w:cs="仿宋"/>
                <w:kern w:val="0"/>
                <w:highlight w:val="none"/>
                <w:lang w:val="zh-CN"/>
              </w:rPr>
            </w:pPr>
          </w:p>
        </w:tc>
        <w:tc>
          <w:tcPr>
            <w:tcW w:w="1984" w:type="dxa"/>
          </w:tcPr>
          <w:p>
            <w:pPr>
              <w:rPr>
                <w:rStyle w:val="60"/>
                <w:rFonts w:ascii="仿宋" w:hAnsi="仿宋" w:eastAsia="仿宋" w:cs="仿宋"/>
                <w:kern w:val="0"/>
                <w:highlight w:val="none"/>
                <w:lang w:val="zh-CN"/>
              </w:rPr>
            </w:pPr>
          </w:p>
        </w:tc>
        <w:tc>
          <w:tcPr>
            <w:tcW w:w="1701" w:type="dxa"/>
          </w:tcPr>
          <w:p>
            <w:pPr>
              <w:rPr>
                <w:rStyle w:val="60"/>
                <w:rFonts w:ascii="仿宋" w:hAnsi="仿宋" w:eastAsia="仿宋" w:cs="仿宋"/>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highlight w:val="none"/>
                <w:lang w:val="zh-CN"/>
              </w:rPr>
            </w:pPr>
          </w:p>
        </w:tc>
        <w:tc>
          <w:tcPr>
            <w:tcW w:w="1193" w:type="dxa"/>
          </w:tcPr>
          <w:p>
            <w:pPr>
              <w:rPr>
                <w:rStyle w:val="60"/>
                <w:rFonts w:ascii="仿宋" w:hAnsi="仿宋" w:eastAsia="仿宋" w:cs="仿宋"/>
                <w:kern w:val="0"/>
                <w:highlight w:val="none"/>
                <w:lang w:val="zh-CN"/>
              </w:rPr>
            </w:pPr>
          </w:p>
        </w:tc>
        <w:tc>
          <w:tcPr>
            <w:tcW w:w="1217" w:type="dxa"/>
          </w:tcPr>
          <w:p>
            <w:pPr>
              <w:rPr>
                <w:rStyle w:val="60"/>
                <w:rFonts w:ascii="仿宋" w:hAnsi="仿宋" w:eastAsia="仿宋" w:cs="仿宋"/>
                <w:kern w:val="0"/>
                <w:highlight w:val="none"/>
                <w:lang w:val="zh-CN"/>
              </w:rPr>
            </w:pPr>
          </w:p>
        </w:tc>
        <w:tc>
          <w:tcPr>
            <w:tcW w:w="850" w:type="dxa"/>
          </w:tcPr>
          <w:p>
            <w:pPr>
              <w:rPr>
                <w:rStyle w:val="60"/>
                <w:rFonts w:ascii="仿宋" w:hAnsi="仿宋" w:eastAsia="仿宋" w:cs="仿宋"/>
                <w:kern w:val="0"/>
                <w:highlight w:val="none"/>
                <w:lang w:val="zh-CN"/>
              </w:rPr>
            </w:pPr>
          </w:p>
        </w:tc>
        <w:tc>
          <w:tcPr>
            <w:tcW w:w="993" w:type="dxa"/>
          </w:tcPr>
          <w:p>
            <w:pPr>
              <w:rPr>
                <w:rStyle w:val="60"/>
                <w:rFonts w:ascii="仿宋" w:hAnsi="仿宋" w:eastAsia="仿宋" w:cs="仿宋"/>
                <w:kern w:val="0"/>
                <w:highlight w:val="none"/>
                <w:lang w:val="zh-CN"/>
              </w:rPr>
            </w:pPr>
          </w:p>
        </w:tc>
        <w:tc>
          <w:tcPr>
            <w:tcW w:w="1984" w:type="dxa"/>
          </w:tcPr>
          <w:p>
            <w:pPr>
              <w:rPr>
                <w:rStyle w:val="60"/>
                <w:rFonts w:ascii="仿宋" w:hAnsi="仿宋" w:eastAsia="仿宋" w:cs="仿宋"/>
                <w:kern w:val="0"/>
                <w:highlight w:val="none"/>
                <w:lang w:val="zh-CN"/>
              </w:rPr>
            </w:pPr>
          </w:p>
        </w:tc>
        <w:tc>
          <w:tcPr>
            <w:tcW w:w="1701" w:type="dxa"/>
          </w:tcPr>
          <w:p>
            <w:pPr>
              <w:rPr>
                <w:rStyle w:val="60"/>
                <w:rFonts w:ascii="仿宋" w:hAnsi="仿宋" w:eastAsia="仿宋" w:cs="仿宋"/>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highlight w:val="none"/>
                <w:lang w:val="zh-CN"/>
              </w:rPr>
            </w:pPr>
          </w:p>
        </w:tc>
        <w:tc>
          <w:tcPr>
            <w:tcW w:w="1193" w:type="dxa"/>
          </w:tcPr>
          <w:p>
            <w:pPr>
              <w:rPr>
                <w:rStyle w:val="60"/>
                <w:rFonts w:ascii="仿宋" w:hAnsi="仿宋" w:eastAsia="仿宋" w:cs="仿宋"/>
                <w:kern w:val="0"/>
                <w:highlight w:val="none"/>
                <w:lang w:val="zh-CN"/>
              </w:rPr>
            </w:pPr>
          </w:p>
        </w:tc>
        <w:tc>
          <w:tcPr>
            <w:tcW w:w="1217" w:type="dxa"/>
          </w:tcPr>
          <w:p>
            <w:pPr>
              <w:rPr>
                <w:rStyle w:val="60"/>
                <w:rFonts w:ascii="仿宋" w:hAnsi="仿宋" w:eastAsia="仿宋" w:cs="仿宋"/>
                <w:kern w:val="0"/>
                <w:highlight w:val="none"/>
                <w:lang w:val="zh-CN"/>
              </w:rPr>
            </w:pPr>
          </w:p>
        </w:tc>
        <w:tc>
          <w:tcPr>
            <w:tcW w:w="850" w:type="dxa"/>
          </w:tcPr>
          <w:p>
            <w:pPr>
              <w:rPr>
                <w:rStyle w:val="60"/>
                <w:rFonts w:ascii="仿宋" w:hAnsi="仿宋" w:eastAsia="仿宋" w:cs="仿宋"/>
                <w:kern w:val="0"/>
                <w:highlight w:val="none"/>
                <w:lang w:val="zh-CN"/>
              </w:rPr>
            </w:pPr>
          </w:p>
        </w:tc>
        <w:tc>
          <w:tcPr>
            <w:tcW w:w="993" w:type="dxa"/>
          </w:tcPr>
          <w:p>
            <w:pPr>
              <w:rPr>
                <w:rStyle w:val="60"/>
                <w:rFonts w:ascii="仿宋" w:hAnsi="仿宋" w:eastAsia="仿宋" w:cs="仿宋"/>
                <w:kern w:val="0"/>
                <w:highlight w:val="none"/>
                <w:lang w:val="zh-CN"/>
              </w:rPr>
            </w:pPr>
          </w:p>
        </w:tc>
        <w:tc>
          <w:tcPr>
            <w:tcW w:w="1984" w:type="dxa"/>
          </w:tcPr>
          <w:p>
            <w:pPr>
              <w:rPr>
                <w:rStyle w:val="60"/>
                <w:rFonts w:ascii="仿宋" w:hAnsi="仿宋" w:eastAsia="仿宋" w:cs="仿宋"/>
                <w:kern w:val="0"/>
                <w:highlight w:val="none"/>
                <w:lang w:val="zh-CN"/>
              </w:rPr>
            </w:pPr>
          </w:p>
        </w:tc>
        <w:tc>
          <w:tcPr>
            <w:tcW w:w="1701" w:type="dxa"/>
          </w:tcPr>
          <w:p>
            <w:pPr>
              <w:rPr>
                <w:rStyle w:val="60"/>
                <w:rFonts w:ascii="仿宋" w:hAnsi="仿宋" w:eastAsia="仿宋" w:cs="仿宋"/>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highlight w:val="none"/>
                <w:lang w:val="zh-CN"/>
              </w:rPr>
            </w:pPr>
          </w:p>
        </w:tc>
        <w:tc>
          <w:tcPr>
            <w:tcW w:w="1193" w:type="dxa"/>
          </w:tcPr>
          <w:p>
            <w:pPr>
              <w:rPr>
                <w:rStyle w:val="60"/>
                <w:rFonts w:ascii="仿宋" w:hAnsi="仿宋" w:eastAsia="仿宋" w:cs="仿宋"/>
                <w:kern w:val="0"/>
                <w:highlight w:val="none"/>
                <w:lang w:val="zh-CN"/>
              </w:rPr>
            </w:pPr>
          </w:p>
        </w:tc>
        <w:tc>
          <w:tcPr>
            <w:tcW w:w="1217" w:type="dxa"/>
          </w:tcPr>
          <w:p>
            <w:pPr>
              <w:rPr>
                <w:rStyle w:val="60"/>
                <w:rFonts w:ascii="仿宋" w:hAnsi="仿宋" w:eastAsia="仿宋" w:cs="仿宋"/>
                <w:kern w:val="0"/>
                <w:highlight w:val="none"/>
                <w:lang w:val="zh-CN"/>
              </w:rPr>
            </w:pPr>
          </w:p>
        </w:tc>
        <w:tc>
          <w:tcPr>
            <w:tcW w:w="850" w:type="dxa"/>
          </w:tcPr>
          <w:p>
            <w:pPr>
              <w:rPr>
                <w:rStyle w:val="60"/>
                <w:rFonts w:ascii="仿宋" w:hAnsi="仿宋" w:eastAsia="仿宋" w:cs="仿宋"/>
                <w:kern w:val="0"/>
                <w:highlight w:val="none"/>
                <w:lang w:val="zh-CN"/>
              </w:rPr>
            </w:pPr>
          </w:p>
        </w:tc>
        <w:tc>
          <w:tcPr>
            <w:tcW w:w="993" w:type="dxa"/>
          </w:tcPr>
          <w:p>
            <w:pPr>
              <w:rPr>
                <w:rStyle w:val="60"/>
                <w:rFonts w:ascii="仿宋" w:hAnsi="仿宋" w:eastAsia="仿宋" w:cs="仿宋"/>
                <w:kern w:val="0"/>
                <w:highlight w:val="none"/>
                <w:lang w:val="zh-CN"/>
              </w:rPr>
            </w:pPr>
          </w:p>
        </w:tc>
        <w:tc>
          <w:tcPr>
            <w:tcW w:w="1984" w:type="dxa"/>
          </w:tcPr>
          <w:p>
            <w:pPr>
              <w:rPr>
                <w:rStyle w:val="60"/>
                <w:rFonts w:ascii="仿宋" w:hAnsi="仿宋" w:eastAsia="仿宋" w:cs="仿宋"/>
                <w:kern w:val="0"/>
                <w:highlight w:val="none"/>
                <w:lang w:val="zh-CN"/>
              </w:rPr>
            </w:pPr>
          </w:p>
        </w:tc>
        <w:tc>
          <w:tcPr>
            <w:tcW w:w="1701" w:type="dxa"/>
          </w:tcPr>
          <w:p>
            <w:pPr>
              <w:rPr>
                <w:rStyle w:val="60"/>
                <w:rFonts w:ascii="仿宋" w:hAnsi="仿宋" w:eastAsia="仿宋" w:cs="仿宋"/>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0"/>
                <w:rFonts w:ascii="仿宋" w:hAnsi="仿宋" w:eastAsia="仿宋" w:cs="仿宋"/>
                <w:kern w:val="0"/>
                <w:highlight w:val="none"/>
                <w:lang w:val="zh-CN"/>
              </w:rPr>
            </w:pPr>
          </w:p>
        </w:tc>
        <w:tc>
          <w:tcPr>
            <w:tcW w:w="1193" w:type="dxa"/>
          </w:tcPr>
          <w:p>
            <w:pPr>
              <w:rPr>
                <w:rStyle w:val="60"/>
                <w:rFonts w:ascii="仿宋" w:hAnsi="仿宋" w:eastAsia="仿宋" w:cs="仿宋"/>
                <w:kern w:val="0"/>
                <w:highlight w:val="none"/>
                <w:lang w:val="zh-CN"/>
              </w:rPr>
            </w:pPr>
          </w:p>
        </w:tc>
        <w:tc>
          <w:tcPr>
            <w:tcW w:w="1217" w:type="dxa"/>
          </w:tcPr>
          <w:p>
            <w:pPr>
              <w:rPr>
                <w:rStyle w:val="60"/>
                <w:rFonts w:ascii="仿宋" w:hAnsi="仿宋" w:eastAsia="仿宋" w:cs="仿宋"/>
                <w:kern w:val="0"/>
                <w:highlight w:val="none"/>
                <w:lang w:val="zh-CN"/>
              </w:rPr>
            </w:pPr>
          </w:p>
        </w:tc>
        <w:tc>
          <w:tcPr>
            <w:tcW w:w="850" w:type="dxa"/>
          </w:tcPr>
          <w:p>
            <w:pPr>
              <w:rPr>
                <w:rStyle w:val="60"/>
                <w:rFonts w:ascii="仿宋" w:hAnsi="仿宋" w:eastAsia="仿宋" w:cs="仿宋"/>
                <w:kern w:val="0"/>
                <w:highlight w:val="none"/>
                <w:lang w:val="zh-CN"/>
              </w:rPr>
            </w:pPr>
          </w:p>
        </w:tc>
        <w:tc>
          <w:tcPr>
            <w:tcW w:w="993" w:type="dxa"/>
          </w:tcPr>
          <w:p>
            <w:pPr>
              <w:rPr>
                <w:rStyle w:val="60"/>
                <w:rFonts w:ascii="仿宋" w:hAnsi="仿宋" w:eastAsia="仿宋" w:cs="仿宋"/>
                <w:kern w:val="0"/>
                <w:highlight w:val="none"/>
                <w:lang w:val="zh-CN"/>
              </w:rPr>
            </w:pPr>
          </w:p>
        </w:tc>
        <w:tc>
          <w:tcPr>
            <w:tcW w:w="1984" w:type="dxa"/>
          </w:tcPr>
          <w:p>
            <w:pPr>
              <w:rPr>
                <w:rStyle w:val="60"/>
                <w:rFonts w:ascii="仿宋" w:hAnsi="仿宋" w:eastAsia="仿宋" w:cs="仿宋"/>
                <w:kern w:val="0"/>
                <w:highlight w:val="none"/>
                <w:lang w:val="zh-CN"/>
              </w:rPr>
            </w:pPr>
          </w:p>
        </w:tc>
        <w:tc>
          <w:tcPr>
            <w:tcW w:w="1701" w:type="dxa"/>
          </w:tcPr>
          <w:p>
            <w:pPr>
              <w:rPr>
                <w:rStyle w:val="60"/>
                <w:rFonts w:ascii="仿宋" w:hAnsi="仿宋" w:eastAsia="仿宋" w:cs="仿宋"/>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902" w:type="dxa"/>
            <w:gridSpan w:val="2"/>
            <w:vAlign w:val="center"/>
          </w:tcPr>
          <w:p>
            <w:pPr>
              <w:jc w:val="center"/>
              <w:rPr>
                <w:rStyle w:val="60"/>
                <w:rFonts w:ascii="仿宋" w:hAnsi="仿宋" w:eastAsia="仿宋" w:cs="仿宋"/>
                <w:kern w:val="0"/>
                <w:highlight w:val="none"/>
                <w:lang w:val="zh-CN"/>
              </w:rPr>
            </w:pPr>
            <w:r>
              <w:rPr>
                <w:rStyle w:val="60"/>
                <w:rFonts w:hint="eastAsia" w:ascii="仿宋" w:hAnsi="仿宋" w:eastAsia="仿宋" w:cs="仿宋"/>
                <w:kern w:val="0"/>
                <w:highlight w:val="none"/>
                <w:lang w:val="zh-CN"/>
              </w:rPr>
              <w:t>总价</w:t>
            </w:r>
            <w:r>
              <w:rPr>
                <w:rStyle w:val="60"/>
                <w:rFonts w:hint="eastAsia" w:ascii="仿宋" w:hAnsi="仿宋" w:eastAsia="仿宋" w:cs="仿宋"/>
                <w:kern w:val="0"/>
                <w:highlight w:val="none"/>
              </w:rPr>
              <w:t>合</w:t>
            </w:r>
            <w:r>
              <w:rPr>
                <w:rStyle w:val="60"/>
                <w:rFonts w:hint="eastAsia" w:ascii="仿宋" w:hAnsi="仿宋" w:eastAsia="仿宋" w:cs="仿宋"/>
                <w:kern w:val="0"/>
                <w:highlight w:val="none"/>
                <w:lang w:val="zh-CN"/>
              </w:rPr>
              <w:t>计（</w:t>
            </w:r>
            <w:r>
              <w:rPr>
                <w:rStyle w:val="60"/>
                <w:rFonts w:hint="eastAsia" w:ascii="仿宋" w:hAnsi="仿宋" w:eastAsia="仿宋" w:cs="仿宋"/>
                <w:kern w:val="0"/>
                <w:highlight w:val="none"/>
              </w:rPr>
              <w:t>大写</w:t>
            </w:r>
            <w:r>
              <w:rPr>
                <w:rStyle w:val="60"/>
                <w:rFonts w:hint="eastAsia" w:ascii="仿宋" w:hAnsi="仿宋" w:eastAsia="仿宋" w:cs="仿宋"/>
                <w:kern w:val="0"/>
                <w:highlight w:val="none"/>
                <w:lang w:val="zh-CN"/>
              </w:rPr>
              <w:t>）：</w:t>
            </w:r>
          </w:p>
        </w:tc>
        <w:tc>
          <w:tcPr>
            <w:tcW w:w="6745" w:type="dxa"/>
            <w:gridSpan w:val="5"/>
            <w:vAlign w:val="center"/>
          </w:tcPr>
          <w:p>
            <w:pPr>
              <w:ind w:firstLine="2940" w:firstLineChars="1400"/>
              <w:jc w:val="center"/>
              <w:rPr>
                <w:rStyle w:val="60"/>
                <w:rFonts w:ascii="仿宋" w:hAnsi="仿宋" w:eastAsia="仿宋" w:cs="仿宋"/>
                <w:kern w:val="0"/>
                <w:highlight w:val="none"/>
              </w:rPr>
            </w:pPr>
            <w:r>
              <w:rPr>
                <w:rStyle w:val="60"/>
                <w:rFonts w:hint="eastAsia" w:ascii="仿宋" w:hAnsi="仿宋" w:eastAsia="仿宋" w:cs="仿宋"/>
                <w:kern w:val="0"/>
                <w:highlight w:val="none"/>
              </w:rPr>
              <w:t>元整</w:t>
            </w:r>
          </w:p>
        </w:tc>
      </w:tr>
    </w:tbl>
    <w:p>
      <w:pPr>
        <w:pStyle w:val="22"/>
        <w:rPr>
          <w:rFonts w:hint="eastAsia" w:ascii="仿宋" w:hAnsi="仿宋" w:eastAsia="仿宋" w:cs="仿宋"/>
          <w:highlight w:val="none"/>
        </w:rPr>
      </w:pPr>
    </w:p>
    <w:p>
      <w:pPr>
        <w:spacing w:line="360" w:lineRule="auto"/>
        <w:jc w:val="left"/>
        <w:rPr>
          <w:rStyle w:val="60"/>
          <w:rFonts w:ascii="仿宋" w:hAnsi="仿宋" w:eastAsia="仿宋" w:cs="仿宋"/>
          <w:kern w:val="0"/>
          <w:sz w:val="24"/>
          <w:highlight w:val="none"/>
          <w:lang w:val="zh-CN"/>
        </w:rPr>
      </w:pPr>
      <w:r>
        <w:rPr>
          <w:rStyle w:val="60"/>
          <w:rFonts w:hint="eastAsia" w:ascii="仿宋" w:hAnsi="仿宋" w:eastAsia="仿宋" w:cs="仿宋"/>
          <w:kern w:val="0"/>
          <w:sz w:val="24"/>
          <w:highlight w:val="none"/>
          <w:lang w:val="zh-CN"/>
        </w:rPr>
        <w:t>供应商名称：</w:t>
      </w:r>
      <w:r>
        <w:rPr>
          <w:rStyle w:val="60"/>
          <w:rFonts w:hint="eastAsia" w:ascii="仿宋" w:hAnsi="仿宋" w:eastAsia="仿宋" w:cs="仿宋"/>
          <w:kern w:val="0"/>
          <w:sz w:val="24"/>
          <w:highlight w:val="none"/>
          <w:u w:val="single"/>
          <w:lang w:val="zh-CN"/>
        </w:rPr>
        <w:t xml:space="preserve">                         </w:t>
      </w:r>
      <w:r>
        <w:rPr>
          <w:rStyle w:val="60"/>
          <w:rFonts w:hint="eastAsia" w:ascii="仿宋" w:hAnsi="仿宋" w:eastAsia="仿宋" w:cs="仿宋"/>
          <w:kern w:val="0"/>
          <w:sz w:val="24"/>
          <w:highlight w:val="none"/>
          <w:lang w:val="zh-CN"/>
        </w:rPr>
        <w:t>（盖</w:t>
      </w:r>
      <w:r>
        <w:rPr>
          <w:rFonts w:hint="eastAsia" w:ascii="仿宋" w:hAnsi="仿宋" w:eastAsia="仿宋" w:cs="仿宋"/>
          <w:kern w:val="0"/>
          <w:sz w:val="24"/>
          <w:szCs w:val="24"/>
          <w:highlight w:val="none"/>
        </w:rPr>
        <w:t>公章</w:t>
      </w:r>
      <w:r>
        <w:rPr>
          <w:rStyle w:val="60"/>
          <w:rFonts w:hint="eastAsia" w:ascii="仿宋" w:hAnsi="仿宋" w:eastAsia="仿宋" w:cs="仿宋"/>
          <w:kern w:val="0"/>
          <w:sz w:val="24"/>
          <w:highlight w:val="none"/>
          <w:lang w:val="zh-CN"/>
        </w:rPr>
        <w:t>）</w:t>
      </w:r>
    </w:p>
    <w:p>
      <w:pPr>
        <w:pStyle w:val="31"/>
        <w:spacing w:line="360" w:lineRule="auto"/>
        <w:ind w:firstLine="0"/>
        <w:rPr>
          <w:rFonts w:ascii="仿宋" w:hAnsi="仿宋" w:eastAsia="仿宋" w:cs="仿宋"/>
          <w:sz w:val="24"/>
          <w:szCs w:val="24"/>
          <w:highlight w:val="none"/>
        </w:rPr>
      </w:pPr>
    </w:p>
    <w:p>
      <w:pPr>
        <w:pStyle w:val="31"/>
        <w:spacing w:line="360" w:lineRule="auto"/>
        <w:ind w:firstLine="0"/>
        <w:jc w:val="right"/>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pPr>
        <w:pStyle w:val="22"/>
        <w:rPr>
          <w:color w:val="auto"/>
          <w:highlight w:val="none"/>
        </w:rPr>
      </w:pPr>
    </w:p>
    <w:p>
      <w:pPr>
        <w:pageBreakBefore/>
        <w:widowControl/>
        <w:adjustRightInd w:val="0"/>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二次报价表</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79"/>
        <w:gridCol w:w="2315"/>
        <w:gridCol w:w="1497"/>
        <w:gridCol w:w="1485"/>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7" w:type="dxa"/>
            <w:gridSpan w:val="2"/>
            <w:tcBorders>
              <w:top w:val="single" w:color="auto" w:sz="12" w:space="0"/>
              <w:left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3812" w:type="dxa"/>
            <w:gridSpan w:val="2"/>
            <w:tcBorders>
              <w:top w:val="single" w:color="auto" w:sz="12" w:space="0"/>
              <w:right w:val="single" w:color="auto" w:sz="2" w:space="0"/>
            </w:tcBorders>
            <w:vAlign w:val="center"/>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2024年铁心桥街道尹西社区社会组织服务项目</w:t>
            </w:r>
          </w:p>
        </w:tc>
        <w:tc>
          <w:tcPr>
            <w:tcW w:w="1485" w:type="dxa"/>
            <w:tcBorders>
              <w:top w:val="single" w:color="auto" w:sz="12" w:space="0"/>
              <w:left w:val="single" w:color="auto" w:sz="2" w:space="0"/>
              <w:bottom w:val="single" w:color="auto" w:sz="2" w:space="0"/>
              <w:right w:val="single" w:color="auto" w:sz="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2358" w:type="dxa"/>
            <w:tcBorders>
              <w:top w:val="single" w:color="auto" w:sz="12" w:space="0"/>
              <w:left w:val="single" w:color="auto" w:sz="2" w:space="0"/>
              <w:bottom w:val="single" w:color="auto" w:sz="2" w:space="0"/>
              <w:right w:val="single" w:color="auto" w:sz="12" w:space="0"/>
            </w:tcBorders>
            <w:vAlign w:val="center"/>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YCZX-CS-202401098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17" w:type="dxa"/>
            <w:gridSpan w:val="2"/>
            <w:tcBorders>
              <w:left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标包名称</w:t>
            </w:r>
          </w:p>
        </w:tc>
        <w:tc>
          <w:tcPr>
            <w:tcW w:w="3812" w:type="dxa"/>
            <w:gridSpan w:val="2"/>
            <w:tcBorders>
              <w:right w:val="single" w:color="auto" w:sz="2" w:space="0"/>
            </w:tcBorders>
            <w:vAlign w:val="center"/>
          </w:tcPr>
          <w:p>
            <w:pPr>
              <w:jc w:val="center"/>
              <w:rPr>
                <w:rFonts w:ascii="仿宋" w:hAnsi="仿宋" w:eastAsia="仿宋" w:cs="仿宋"/>
                <w:sz w:val="24"/>
                <w:szCs w:val="24"/>
                <w:highlight w:val="none"/>
              </w:rPr>
            </w:pPr>
          </w:p>
        </w:tc>
        <w:tc>
          <w:tcPr>
            <w:tcW w:w="148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s="仿宋"/>
                <w:highlight w:val="none"/>
              </w:rPr>
            </w:pPr>
            <w:r>
              <w:rPr>
                <w:rFonts w:hint="eastAsia" w:ascii="仿宋" w:hAnsi="仿宋" w:eastAsia="仿宋" w:cs="仿宋"/>
                <w:sz w:val="24"/>
                <w:szCs w:val="24"/>
                <w:highlight w:val="none"/>
              </w:rPr>
              <w:t>标包编号</w:t>
            </w:r>
          </w:p>
        </w:tc>
        <w:tc>
          <w:tcPr>
            <w:tcW w:w="2358" w:type="dxa"/>
            <w:tcBorders>
              <w:top w:val="single" w:color="auto" w:sz="2" w:space="0"/>
              <w:left w:val="single" w:color="auto" w:sz="2" w:space="0"/>
              <w:bottom w:val="single" w:color="auto" w:sz="2" w:space="0"/>
              <w:right w:val="single" w:color="auto" w:sz="12" w:space="0"/>
            </w:tcBorders>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采购单位</w:t>
            </w:r>
          </w:p>
        </w:tc>
        <w:tc>
          <w:tcPr>
            <w:tcW w:w="7655" w:type="dxa"/>
            <w:gridSpan w:val="4"/>
            <w:tcBorders>
              <w:right w:val="single" w:color="auto" w:sz="12" w:space="0"/>
            </w:tcBorders>
            <w:vAlign w:val="center"/>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南京市雨花台区铁心桥街道尹西社区居民委员会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磋商报价</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单位</w:t>
            </w:r>
          </w:p>
        </w:tc>
        <w:tc>
          <w:tcPr>
            <w:tcW w:w="7655" w:type="dxa"/>
            <w:gridSpan w:val="4"/>
            <w:tcBorders>
              <w:right w:val="single" w:color="auto" w:sz="12" w:space="0"/>
            </w:tcBorders>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磋商日期</w:t>
            </w:r>
          </w:p>
        </w:tc>
        <w:tc>
          <w:tcPr>
            <w:tcW w:w="2315" w:type="dxa"/>
            <w:vAlign w:val="center"/>
          </w:tcPr>
          <w:p>
            <w:pPr>
              <w:rPr>
                <w:rFonts w:ascii="仿宋" w:hAnsi="仿宋" w:eastAsia="仿宋" w:cs="仿宋"/>
                <w:sz w:val="24"/>
                <w:szCs w:val="24"/>
                <w:highlight w:val="none"/>
              </w:rPr>
            </w:pPr>
          </w:p>
        </w:tc>
        <w:tc>
          <w:tcPr>
            <w:tcW w:w="1497"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磋商地点</w:t>
            </w:r>
          </w:p>
        </w:tc>
        <w:tc>
          <w:tcPr>
            <w:tcW w:w="3843" w:type="dxa"/>
            <w:gridSpan w:val="2"/>
            <w:tcBorders>
              <w:right w:val="single" w:color="auto" w:sz="12"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none"/>
                <w:lang w:eastAsia="zh-CN"/>
              </w:rPr>
              <w:t>南京市雨花台区花神大道23号1号楼西4F408室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9072" w:type="dxa"/>
            <w:gridSpan w:val="6"/>
            <w:tcBorders>
              <w:left w:val="single" w:color="auto" w:sz="12" w:space="0"/>
              <w:right w:val="single" w:color="auto" w:sz="12" w:space="0"/>
            </w:tcBorders>
            <w:vAlign w:val="center"/>
          </w:tcPr>
          <w:p>
            <w:pPr>
              <w:spacing w:line="360" w:lineRule="auto"/>
              <w:jc w:val="left"/>
              <w:rPr>
                <w:rFonts w:hint="eastAsia" w:ascii="仿宋" w:hAnsi="仿宋" w:eastAsia="仿宋" w:cs="仿宋"/>
                <w:sz w:val="24"/>
                <w:szCs w:val="24"/>
                <w:highlight w:val="none"/>
              </w:rPr>
            </w:pP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二次报价 （总价）小写：</w:t>
            </w:r>
            <w:r>
              <w:rPr>
                <w:rFonts w:hint="eastAsia" w:ascii="仿宋" w:hAnsi="仿宋" w:eastAsia="仿宋" w:cs="仿宋"/>
                <w:sz w:val="24"/>
                <w:szCs w:val="24"/>
                <w:highlight w:val="none"/>
                <w:u w:val="single"/>
              </w:rPr>
              <w:t xml:space="preserve">                   元整 </w:t>
            </w:r>
            <w:r>
              <w:rPr>
                <w:rFonts w:hint="eastAsia" w:ascii="仿宋" w:hAnsi="仿宋" w:eastAsia="仿宋" w:cs="仿宋"/>
                <w:sz w:val="24"/>
                <w:szCs w:val="24"/>
                <w:highlight w:val="none"/>
              </w:rPr>
              <w:t xml:space="preserve"> </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pStyle w:val="31"/>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大写： </w:t>
            </w:r>
            <w:r>
              <w:rPr>
                <w:rFonts w:hint="eastAsia" w:ascii="仿宋" w:hAnsi="仿宋" w:eastAsia="仿宋" w:cs="仿宋"/>
                <w:sz w:val="24"/>
                <w:szCs w:val="24"/>
                <w:highlight w:val="none"/>
                <w:u w:val="single"/>
              </w:rPr>
              <w:t xml:space="preserve">                  元整 </w:t>
            </w:r>
            <w:r>
              <w:rPr>
                <w:rFonts w:hint="eastAsia" w:ascii="仿宋" w:hAnsi="仿宋" w:eastAsia="仿宋" w:cs="仿宋"/>
                <w:sz w:val="24"/>
                <w:szCs w:val="24"/>
                <w:highlight w:val="none"/>
              </w:rPr>
              <w:t xml:space="preserve">                 </w:t>
            </w:r>
          </w:p>
          <w:p>
            <w:pPr>
              <w:ind w:firstLine="840" w:firstLineChars="40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9072" w:type="dxa"/>
            <w:gridSpan w:val="6"/>
            <w:tcBorders>
              <w:left w:val="single" w:color="auto" w:sz="12" w:space="0"/>
              <w:right w:val="single" w:color="auto" w:sz="12" w:space="0"/>
            </w:tcBorders>
          </w:tcPr>
          <w:p>
            <w:pPr>
              <w:autoSpaceDE w:val="0"/>
              <w:autoSpaceDN w:val="0"/>
              <w:adjustRightInd w:val="0"/>
              <w:jc w:val="center"/>
              <w:rPr>
                <w:rFonts w:ascii="仿宋" w:hAnsi="仿宋" w:eastAsia="仿宋" w:cs="仿宋"/>
                <w:sz w:val="24"/>
                <w:szCs w:val="24"/>
                <w:highlight w:val="none"/>
              </w:rPr>
            </w:pPr>
          </w:p>
          <w:p>
            <w:pPr>
              <w:autoSpaceDE w:val="0"/>
              <w:autoSpaceDN w:val="0"/>
              <w:adjustRightInd w:val="0"/>
              <w:jc w:val="center"/>
              <w:rPr>
                <w:rFonts w:ascii="仿宋" w:hAnsi="仿宋" w:eastAsia="仿宋" w:cs="仿宋"/>
                <w:sz w:val="24"/>
                <w:szCs w:val="24"/>
                <w:highlight w:val="none"/>
              </w:rPr>
            </w:pPr>
          </w:p>
          <w:p>
            <w:pPr>
              <w:autoSpaceDE w:val="0"/>
              <w:autoSpaceDN w:val="0"/>
              <w:adjustRightInd w:val="0"/>
              <w:rPr>
                <w:rFonts w:ascii="仿宋" w:hAnsi="仿宋" w:eastAsia="仿宋" w:cs="仿宋"/>
                <w:sz w:val="24"/>
                <w:szCs w:val="24"/>
                <w:highlight w:val="none"/>
              </w:rPr>
            </w:pPr>
            <w:r>
              <w:rPr>
                <w:rFonts w:hint="eastAsia" w:ascii="仿宋" w:hAnsi="仿宋" w:eastAsia="仿宋" w:cs="仿宋"/>
                <w:sz w:val="24"/>
                <w:szCs w:val="24"/>
                <w:highlight w:val="none"/>
              </w:rPr>
              <w:t>被授权代理人（签字）</w:t>
            </w:r>
          </w:p>
          <w:p>
            <w:pPr>
              <w:autoSpaceDE w:val="0"/>
              <w:autoSpaceDN w:val="0"/>
              <w:adjustRightInd w:val="0"/>
              <w:rPr>
                <w:rFonts w:ascii="仿宋" w:hAnsi="仿宋" w:eastAsia="仿宋" w:cs="仿宋"/>
                <w:sz w:val="24"/>
                <w:szCs w:val="24"/>
                <w:highlight w:val="none"/>
              </w:rPr>
            </w:pPr>
          </w:p>
          <w:p>
            <w:pPr>
              <w:autoSpaceDE w:val="0"/>
              <w:autoSpaceDN w:val="0"/>
              <w:adjustRightInd w:val="0"/>
              <w:rPr>
                <w:rFonts w:ascii="仿宋" w:hAnsi="仿宋" w:eastAsia="仿宋" w:cs="仿宋"/>
                <w:sz w:val="24"/>
                <w:szCs w:val="24"/>
                <w:highlight w:val="none"/>
              </w:rPr>
            </w:pPr>
          </w:p>
          <w:p>
            <w:pPr>
              <w:autoSpaceDE w:val="0"/>
              <w:autoSpaceDN w:val="0"/>
              <w:adjustRightInd w:val="0"/>
              <w:rPr>
                <w:rFonts w:ascii="仿宋" w:hAnsi="仿宋" w:eastAsia="仿宋" w:cs="仿宋"/>
                <w:sz w:val="24"/>
                <w:szCs w:val="24"/>
                <w:highlight w:val="none"/>
              </w:rPr>
            </w:pPr>
          </w:p>
          <w:p>
            <w:pPr>
              <w:autoSpaceDE w:val="0"/>
              <w:autoSpaceDN w:val="0"/>
              <w:adjustRightInd w:val="0"/>
              <w:rPr>
                <w:rFonts w:ascii="仿宋" w:hAnsi="仿宋" w:eastAsia="仿宋" w:cs="仿宋"/>
                <w:sz w:val="24"/>
                <w:szCs w:val="24"/>
                <w:highlight w:val="none"/>
              </w:rPr>
            </w:pPr>
            <w:r>
              <w:rPr>
                <w:rFonts w:hint="eastAsia" w:ascii="仿宋" w:hAnsi="仿宋" w:eastAsia="仿宋" w:cs="仿宋"/>
                <w:sz w:val="24"/>
                <w:szCs w:val="24"/>
                <w:highlight w:val="none"/>
              </w:rPr>
              <w:t>磋商报价单位（盖</w:t>
            </w:r>
            <w:r>
              <w:rPr>
                <w:rFonts w:hint="eastAsia" w:ascii="仿宋" w:hAnsi="仿宋" w:eastAsia="仿宋" w:cs="仿宋"/>
                <w:kern w:val="0"/>
                <w:sz w:val="24"/>
                <w:szCs w:val="24"/>
                <w:highlight w:val="none"/>
              </w:rPr>
              <w:t>公章</w:t>
            </w:r>
            <w:r>
              <w:rPr>
                <w:rFonts w:hint="eastAsia" w:ascii="仿宋" w:hAnsi="仿宋" w:eastAsia="仿宋" w:cs="仿宋"/>
                <w:sz w:val="24"/>
                <w:szCs w:val="24"/>
                <w:highlight w:val="none"/>
              </w:rPr>
              <w:t>）</w:t>
            </w:r>
          </w:p>
          <w:p>
            <w:pPr>
              <w:autoSpaceDE w:val="0"/>
              <w:autoSpaceDN w:val="0"/>
              <w:adjustRightInd w:val="0"/>
              <w:jc w:val="center"/>
              <w:rPr>
                <w:rFonts w:ascii="仿宋" w:hAnsi="仿宋" w:eastAsia="仿宋" w:cs="仿宋"/>
                <w:sz w:val="24"/>
                <w:szCs w:val="24"/>
                <w:highlight w:val="none"/>
              </w:rPr>
            </w:pPr>
          </w:p>
          <w:p>
            <w:pPr>
              <w:autoSpaceDE w:val="0"/>
              <w:autoSpaceDN w:val="0"/>
              <w:adjustRightInd w:val="0"/>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38" w:type="dxa"/>
            <w:tcBorders>
              <w:left w:val="single" w:color="auto" w:sz="12" w:space="0"/>
              <w:bottom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c>
          <w:tcPr>
            <w:tcW w:w="8434" w:type="dxa"/>
            <w:gridSpan w:val="5"/>
            <w:tcBorders>
              <w:bottom w:val="single" w:color="auto" w:sz="12" w:space="0"/>
              <w:right w:val="single" w:color="auto" w:sz="12" w:space="0"/>
            </w:tcBorders>
          </w:tcPr>
          <w:p>
            <w:pPr>
              <w:jc w:val="center"/>
              <w:rPr>
                <w:rFonts w:ascii="仿宋" w:hAnsi="仿宋" w:eastAsia="仿宋" w:cs="仿宋"/>
                <w:sz w:val="24"/>
                <w:szCs w:val="24"/>
                <w:highlight w:val="none"/>
              </w:rPr>
            </w:pPr>
          </w:p>
        </w:tc>
      </w:tr>
    </w:tbl>
    <w:p>
      <w:pPr>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说明：</w:t>
      </w:r>
      <w:r>
        <w:rPr>
          <w:rFonts w:hint="eastAsia" w:ascii="仿宋" w:hAnsi="仿宋" w:eastAsia="仿宋" w:cs="仿宋"/>
          <w:b/>
          <w:bCs/>
          <w:sz w:val="24"/>
          <w:szCs w:val="24"/>
          <w:highlight w:val="none"/>
        </w:rPr>
        <w:t>此表需单独打印</w:t>
      </w:r>
      <w:r>
        <w:rPr>
          <w:rFonts w:hint="eastAsia" w:ascii="仿宋" w:hAnsi="仿宋" w:eastAsia="仿宋" w:cs="仿宋"/>
          <w:sz w:val="24"/>
          <w:szCs w:val="24"/>
          <w:highlight w:val="none"/>
        </w:rPr>
        <w:t>，在竞争性磋商现场填写，在竞争性磋商截止时间前，磋商报价单位无需填写此表，但须加盖单位公章后与磋商响应性文件（正本）一并密封提交。</w:t>
      </w:r>
    </w:p>
    <w:p>
      <w:pPr>
        <w:rPr>
          <w:rFonts w:ascii="仿宋" w:hAnsi="仿宋" w:eastAsia="仿宋" w:cs="仿宋"/>
          <w:b/>
          <w:bCs/>
          <w:sz w:val="22"/>
          <w:highlight w:val="none"/>
        </w:rPr>
      </w:pPr>
      <w:r>
        <w:rPr>
          <w:rFonts w:hint="eastAsia" w:ascii="仿宋" w:hAnsi="仿宋" w:eastAsia="仿宋" w:cs="仿宋"/>
          <w:b/>
          <w:bCs/>
          <w:sz w:val="22"/>
          <w:szCs w:val="24"/>
          <w:highlight w:val="none"/>
        </w:rPr>
        <w:br w:type="page"/>
      </w:r>
    </w:p>
    <w:p>
      <w:pPr>
        <w:pageBreakBefore/>
        <w:spacing w:line="360" w:lineRule="auto"/>
        <w:outlineLvl w:val="2"/>
        <w:rPr>
          <w:rFonts w:ascii="仿宋" w:hAnsi="仿宋" w:eastAsia="仿宋" w:cs="仿宋"/>
          <w:b/>
          <w:bCs/>
          <w:sz w:val="22"/>
          <w:highlight w:val="none"/>
        </w:rPr>
      </w:pPr>
      <w:bookmarkStart w:id="55" w:name="_Toc2399"/>
      <w:bookmarkStart w:id="56" w:name="_Toc728"/>
      <w:bookmarkStart w:id="57" w:name="_Toc13828"/>
      <w:bookmarkStart w:id="58" w:name="_Toc12090"/>
      <w:r>
        <w:rPr>
          <w:rFonts w:hint="eastAsia" w:ascii="仿宋" w:hAnsi="仿宋" w:eastAsia="仿宋" w:cs="仿宋"/>
          <w:b/>
          <w:bCs/>
          <w:sz w:val="22"/>
          <w:highlight w:val="none"/>
        </w:rPr>
        <w:t>目录四、资格性和符合性审查响应对照表</w:t>
      </w:r>
      <w:bookmarkEnd w:id="55"/>
      <w:bookmarkEnd w:id="56"/>
      <w:bookmarkEnd w:id="57"/>
      <w:bookmarkEnd w:id="58"/>
    </w:p>
    <w:p>
      <w:pPr>
        <w:pStyle w:val="31"/>
        <w:rPr>
          <w:rFonts w:ascii="仿宋" w:hAnsi="仿宋" w:eastAsia="仿宋" w:cs="仿宋"/>
          <w:highlight w:val="none"/>
        </w:rPr>
      </w:pPr>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资格性和符合性审查响应对照表</w:t>
      </w:r>
    </w:p>
    <w:p>
      <w:pPr>
        <w:rPr>
          <w:rFonts w:ascii="仿宋" w:hAnsi="仿宋" w:eastAsia="仿宋" w:cs="仿宋"/>
          <w:highlight w:val="none"/>
          <w:u w:val="single"/>
        </w:rPr>
      </w:pPr>
      <w:r>
        <w:rPr>
          <w:rFonts w:hint="eastAsia" w:ascii="仿宋" w:hAnsi="仿宋" w:eastAsia="仿宋" w:cs="仿宋"/>
          <w:sz w:val="24"/>
          <w:highlight w:val="none"/>
          <w:lang w:val="en-US" w:eastAsia="zh-CN"/>
        </w:rPr>
        <w:t>标包</w:t>
      </w:r>
      <w:r>
        <w:rPr>
          <w:rFonts w:hint="eastAsia" w:ascii="仿宋" w:hAnsi="仿宋" w:eastAsia="仿宋" w:cs="仿宋"/>
          <w:sz w:val="24"/>
          <w:highlight w:val="none"/>
        </w:rPr>
        <w:t xml:space="preserve">名称：                                    </w:t>
      </w:r>
      <w:r>
        <w:rPr>
          <w:rFonts w:hint="eastAsia" w:ascii="仿宋" w:hAnsi="仿宋" w:eastAsia="仿宋" w:cs="仿宋"/>
          <w:sz w:val="24"/>
          <w:highlight w:val="none"/>
          <w:lang w:val="en-US" w:eastAsia="zh-CN"/>
        </w:rPr>
        <w:t>标包</w:t>
      </w:r>
      <w:r>
        <w:rPr>
          <w:rFonts w:hint="eastAsia" w:ascii="仿宋" w:hAnsi="仿宋" w:eastAsia="仿宋" w:cs="仿宋"/>
          <w:sz w:val="24"/>
          <w:highlight w:val="none"/>
        </w:rPr>
        <w:t>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资格性审查响应内容</w:t>
            </w:r>
          </w:p>
        </w:tc>
        <w:tc>
          <w:tcPr>
            <w:tcW w:w="1842"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是否响应</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响应文件中的</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4063" w:type="dxa"/>
            <w:vAlign w:val="center"/>
          </w:tcPr>
          <w:p>
            <w:pPr>
              <w:rPr>
                <w:rFonts w:ascii="仿宋" w:hAnsi="仿宋" w:eastAsia="仿宋" w:cs="仿宋"/>
                <w:sz w:val="24"/>
                <w:szCs w:val="24"/>
                <w:highlight w:val="none"/>
              </w:rPr>
            </w:pPr>
          </w:p>
        </w:tc>
        <w:tc>
          <w:tcPr>
            <w:tcW w:w="1842" w:type="dxa"/>
            <w:vAlign w:val="center"/>
          </w:tcPr>
          <w:p>
            <w:pPr>
              <w:jc w:val="center"/>
              <w:rPr>
                <w:rFonts w:ascii="仿宋" w:hAnsi="仿宋" w:eastAsia="仿宋" w:cs="仿宋"/>
                <w:sz w:val="24"/>
                <w:szCs w:val="24"/>
                <w:highlight w:val="none"/>
              </w:rPr>
            </w:pPr>
          </w:p>
        </w:tc>
        <w:tc>
          <w:tcPr>
            <w:tcW w:w="1888" w:type="dxa"/>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4063" w:type="dxa"/>
            <w:vAlign w:val="center"/>
          </w:tcPr>
          <w:p>
            <w:pPr>
              <w:rPr>
                <w:rFonts w:ascii="仿宋" w:hAnsi="仿宋" w:eastAsia="仿宋" w:cs="仿宋"/>
                <w:sz w:val="24"/>
                <w:szCs w:val="24"/>
                <w:highlight w:val="none"/>
              </w:rPr>
            </w:pPr>
          </w:p>
        </w:tc>
        <w:tc>
          <w:tcPr>
            <w:tcW w:w="1842" w:type="dxa"/>
            <w:vAlign w:val="center"/>
          </w:tcPr>
          <w:p>
            <w:pPr>
              <w:jc w:val="center"/>
              <w:rPr>
                <w:rFonts w:ascii="仿宋" w:hAnsi="仿宋" w:eastAsia="仿宋" w:cs="仿宋"/>
                <w:sz w:val="24"/>
                <w:szCs w:val="24"/>
                <w:highlight w:val="none"/>
              </w:rPr>
            </w:pPr>
          </w:p>
        </w:tc>
        <w:tc>
          <w:tcPr>
            <w:tcW w:w="1888" w:type="dxa"/>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4063" w:type="dxa"/>
            <w:vAlign w:val="center"/>
          </w:tcPr>
          <w:p>
            <w:pPr>
              <w:rPr>
                <w:rFonts w:ascii="仿宋" w:hAnsi="仿宋" w:eastAsia="仿宋" w:cs="仿宋"/>
                <w:sz w:val="24"/>
                <w:szCs w:val="24"/>
                <w:highlight w:val="none"/>
              </w:rPr>
            </w:pPr>
          </w:p>
        </w:tc>
        <w:tc>
          <w:tcPr>
            <w:tcW w:w="1842" w:type="dxa"/>
            <w:vAlign w:val="center"/>
          </w:tcPr>
          <w:p>
            <w:pPr>
              <w:jc w:val="center"/>
              <w:rPr>
                <w:rFonts w:ascii="仿宋" w:hAnsi="仿宋" w:eastAsia="仿宋" w:cs="仿宋"/>
                <w:sz w:val="24"/>
                <w:szCs w:val="24"/>
                <w:highlight w:val="none"/>
              </w:rPr>
            </w:pPr>
          </w:p>
        </w:tc>
        <w:tc>
          <w:tcPr>
            <w:tcW w:w="1888" w:type="dxa"/>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jc w:val="center"/>
              <w:rPr>
                <w:rFonts w:ascii="仿宋" w:hAnsi="仿宋" w:eastAsia="仿宋" w:cs="仿宋"/>
                <w:sz w:val="24"/>
                <w:szCs w:val="24"/>
                <w:highlight w:val="none"/>
              </w:rPr>
            </w:pPr>
          </w:p>
        </w:tc>
        <w:tc>
          <w:tcPr>
            <w:tcW w:w="1888" w:type="dxa"/>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jc w:val="center"/>
              <w:rPr>
                <w:rFonts w:ascii="仿宋" w:hAnsi="仿宋" w:eastAsia="仿宋" w:cs="仿宋"/>
                <w:sz w:val="24"/>
                <w:szCs w:val="24"/>
                <w:highlight w:val="none"/>
              </w:rPr>
            </w:pPr>
          </w:p>
        </w:tc>
        <w:tc>
          <w:tcPr>
            <w:tcW w:w="1888" w:type="dxa"/>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符合性审查响应内容</w:t>
            </w:r>
          </w:p>
        </w:tc>
        <w:tc>
          <w:tcPr>
            <w:tcW w:w="1842"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是否响应</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响应文件中的</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rPr>
                <w:rFonts w:ascii="仿宋" w:hAnsi="仿宋" w:eastAsia="仿宋" w:cs="仿宋"/>
                <w:sz w:val="24"/>
                <w:szCs w:val="24"/>
                <w:highlight w:val="none"/>
              </w:rPr>
            </w:pPr>
          </w:p>
        </w:tc>
        <w:tc>
          <w:tcPr>
            <w:tcW w:w="1888" w:type="dxa"/>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rPr>
                <w:rFonts w:ascii="仿宋" w:hAnsi="仿宋" w:eastAsia="仿宋" w:cs="仿宋"/>
                <w:sz w:val="24"/>
                <w:szCs w:val="24"/>
                <w:highlight w:val="none"/>
              </w:rPr>
            </w:pPr>
          </w:p>
        </w:tc>
        <w:tc>
          <w:tcPr>
            <w:tcW w:w="1888" w:type="dxa"/>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rPr>
                <w:rFonts w:ascii="仿宋" w:hAnsi="仿宋" w:eastAsia="仿宋" w:cs="仿宋"/>
                <w:sz w:val="24"/>
                <w:szCs w:val="24"/>
                <w:highlight w:val="none"/>
              </w:rPr>
            </w:pPr>
          </w:p>
        </w:tc>
        <w:tc>
          <w:tcPr>
            <w:tcW w:w="1888" w:type="dxa"/>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rPr>
                <w:rFonts w:ascii="仿宋" w:hAnsi="仿宋" w:eastAsia="仿宋" w:cs="仿宋"/>
                <w:sz w:val="24"/>
                <w:szCs w:val="24"/>
                <w:highlight w:val="none"/>
              </w:rPr>
            </w:pPr>
          </w:p>
        </w:tc>
        <w:tc>
          <w:tcPr>
            <w:tcW w:w="1888" w:type="dxa"/>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竞争性磋商文件中的其他实质性要求</w:t>
            </w:r>
          </w:p>
        </w:tc>
        <w:tc>
          <w:tcPr>
            <w:tcW w:w="1842" w:type="dxa"/>
            <w:vAlign w:val="center"/>
          </w:tcPr>
          <w:p>
            <w:pPr>
              <w:rPr>
                <w:rFonts w:ascii="仿宋" w:hAnsi="仿宋" w:eastAsia="仿宋" w:cs="仿宋"/>
                <w:sz w:val="24"/>
                <w:szCs w:val="24"/>
                <w:highlight w:val="none"/>
              </w:rPr>
            </w:pPr>
          </w:p>
        </w:tc>
        <w:tc>
          <w:tcPr>
            <w:tcW w:w="1888" w:type="dxa"/>
            <w:vAlign w:val="center"/>
          </w:tcPr>
          <w:p>
            <w:pPr>
              <w:rPr>
                <w:rFonts w:ascii="仿宋" w:hAnsi="仿宋" w:eastAsia="仿宋" w:cs="仿宋"/>
                <w:sz w:val="24"/>
                <w:szCs w:val="24"/>
                <w:highlight w:val="none"/>
              </w:rPr>
            </w:pPr>
          </w:p>
        </w:tc>
      </w:tr>
    </w:tbl>
    <w:p>
      <w:pPr>
        <w:spacing w:line="360" w:lineRule="auto"/>
        <w:rPr>
          <w:rFonts w:ascii="仿宋" w:hAnsi="仿宋" w:eastAsia="仿宋" w:cs="仿宋"/>
          <w:kern w:val="0"/>
          <w:sz w:val="24"/>
          <w:highlight w:val="none"/>
          <w:lang w:val="zh-CN"/>
        </w:rPr>
      </w:pPr>
    </w:p>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（盖</w:t>
      </w:r>
      <w:r>
        <w:rPr>
          <w:rFonts w:hint="eastAsia" w:ascii="仿宋" w:hAnsi="仿宋" w:eastAsia="仿宋" w:cs="仿宋"/>
          <w:kern w:val="0"/>
          <w:sz w:val="24"/>
          <w:highlight w:val="none"/>
          <w:lang w:val="en-US" w:eastAsia="zh-CN"/>
        </w:rPr>
        <w:t>公</w:t>
      </w:r>
      <w:r>
        <w:rPr>
          <w:rFonts w:hint="eastAsia" w:ascii="仿宋" w:hAnsi="仿宋" w:eastAsia="仿宋" w:cs="仿宋"/>
          <w:kern w:val="0"/>
          <w:sz w:val="24"/>
          <w:highlight w:val="none"/>
          <w:lang w:val="zh-CN"/>
        </w:rPr>
        <w:t>章）</w:t>
      </w:r>
    </w:p>
    <w:p>
      <w:pPr>
        <w:spacing w:line="360" w:lineRule="auto"/>
        <w:rPr>
          <w:rFonts w:ascii="仿宋" w:hAnsi="仿宋" w:eastAsia="仿宋" w:cs="仿宋"/>
          <w:b/>
          <w:bCs/>
          <w:kern w:val="0"/>
          <w:highlight w:val="none"/>
          <w:lang w:val="zh-CN"/>
        </w:rPr>
      </w:pPr>
      <w:r>
        <w:rPr>
          <w:rFonts w:hint="eastAsia" w:ascii="仿宋" w:hAnsi="仿宋" w:eastAsia="仿宋" w:cs="仿宋"/>
          <w:kern w:val="0"/>
          <w:sz w:val="24"/>
          <w:highlight w:val="none"/>
          <w:lang w:val="zh-CN"/>
        </w:rPr>
        <w:t>说明：如果行数不够，请自行增加。</w:t>
      </w:r>
    </w:p>
    <w:p>
      <w:pPr>
        <w:spacing w:line="560" w:lineRule="exact"/>
        <w:rPr>
          <w:rFonts w:ascii="仿宋" w:hAnsi="仿宋" w:eastAsia="仿宋" w:cs="仿宋"/>
          <w:szCs w:val="21"/>
          <w:highlight w:val="none"/>
        </w:rPr>
      </w:pPr>
      <w:r>
        <w:rPr>
          <w:rFonts w:hint="eastAsia" w:ascii="仿宋" w:hAnsi="仿宋" w:eastAsia="仿宋" w:cs="仿宋"/>
          <w:kern w:val="0"/>
          <w:highlight w:val="none"/>
          <w:lang w:val="zh-CN"/>
        </w:rPr>
        <w:br w:type="page"/>
      </w:r>
    </w:p>
    <w:p>
      <w:pPr>
        <w:spacing w:line="360" w:lineRule="auto"/>
        <w:outlineLvl w:val="2"/>
        <w:rPr>
          <w:rFonts w:ascii="仿宋" w:hAnsi="仿宋" w:eastAsia="仿宋" w:cs="仿宋"/>
          <w:b/>
          <w:bCs/>
          <w:sz w:val="22"/>
          <w:highlight w:val="none"/>
        </w:rPr>
      </w:pPr>
      <w:bookmarkStart w:id="59" w:name="_Toc28593"/>
      <w:bookmarkStart w:id="60" w:name="_Toc28249"/>
      <w:bookmarkStart w:id="61" w:name="_Toc4271"/>
      <w:bookmarkStart w:id="62" w:name="_Toc14392"/>
      <w:r>
        <w:rPr>
          <w:rFonts w:hint="eastAsia" w:ascii="仿宋" w:hAnsi="仿宋" w:eastAsia="仿宋" w:cs="仿宋"/>
          <w:b/>
          <w:bCs/>
          <w:sz w:val="22"/>
          <w:highlight w:val="none"/>
        </w:rPr>
        <w:t>目录五、资格证明文件</w:t>
      </w:r>
      <w:bookmarkEnd w:id="59"/>
      <w:bookmarkEnd w:id="60"/>
      <w:bookmarkEnd w:id="61"/>
      <w:bookmarkEnd w:id="62"/>
    </w:p>
    <w:p>
      <w:pPr>
        <w:spacing w:line="360" w:lineRule="auto"/>
        <w:jc w:val="center"/>
        <w:rPr>
          <w:rFonts w:ascii="仿宋" w:hAnsi="仿宋" w:eastAsia="仿宋" w:cs="仿宋"/>
          <w:b/>
          <w:bCs/>
          <w:sz w:val="32"/>
          <w:szCs w:val="32"/>
          <w:highlight w:val="none"/>
        </w:rPr>
      </w:pPr>
      <w:bookmarkStart w:id="63" w:name="_Toc19376"/>
      <w:bookmarkStart w:id="64" w:name="_Toc30525"/>
      <w:bookmarkStart w:id="65" w:name="_Toc7902"/>
      <w:bookmarkStart w:id="66" w:name="_Toc31238"/>
      <w:r>
        <w:rPr>
          <w:rFonts w:hint="eastAsia" w:ascii="仿宋" w:hAnsi="仿宋" w:eastAsia="仿宋" w:cs="仿宋"/>
          <w:b/>
          <w:bCs/>
          <w:sz w:val="32"/>
          <w:szCs w:val="32"/>
          <w:highlight w:val="none"/>
        </w:rPr>
        <w:t>资格证明文件</w:t>
      </w:r>
    </w:p>
    <w:p>
      <w:pPr>
        <w:rPr>
          <w:rFonts w:hint="eastAsia"/>
          <w:highlight w:val="none"/>
        </w:rPr>
      </w:pPr>
    </w:p>
    <w:p>
      <w:pPr>
        <w:spacing w:line="360" w:lineRule="auto"/>
        <w:ind w:firstLine="484" w:firstLineChars="202"/>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营业执照副本、相关证书等（复印件，加盖公章）；</w:t>
      </w:r>
    </w:p>
    <w:p>
      <w:pPr>
        <w:spacing w:line="360" w:lineRule="auto"/>
        <w:ind w:firstLine="484" w:firstLineChars="202"/>
        <w:rPr>
          <w:rFonts w:ascii="仿宋" w:hAnsi="仿宋" w:eastAsia="仿宋" w:cs="仿宋"/>
          <w:kern w:val="0"/>
          <w:sz w:val="24"/>
          <w:highlight w:val="none"/>
          <w:lang w:val="zh-CN"/>
        </w:rPr>
      </w:pPr>
      <w:r>
        <w:rPr>
          <w:rFonts w:hint="eastAsia" w:ascii="仿宋" w:hAnsi="仿宋" w:eastAsia="仿宋" w:cs="仿宋"/>
          <w:kern w:val="0"/>
          <w:sz w:val="24"/>
          <w:highlight w:val="none"/>
        </w:rPr>
        <w:t>2.</w:t>
      </w:r>
      <w:r>
        <w:rPr>
          <w:rFonts w:hint="eastAsia" w:ascii="仿宋" w:hAnsi="仿宋" w:eastAsia="仿宋" w:cs="仿宋"/>
          <w:sz w:val="24"/>
          <w:highlight w:val="none"/>
        </w:rPr>
        <w:t>《南京市政府采购供应商信用记录表暨信用承诺书》（在线打印）；</w:t>
      </w:r>
    </w:p>
    <w:p>
      <w:pPr>
        <w:spacing w:line="360" w:lineRule="auto"/>
        <w:ind w:firstLine="484" w:firstLineChars="202"/>
        <w:rPr>
          <w:rFonts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.法定代表人授权委托书（原件，除法定代表人以外的授权代表必须提供）；</w:t>
      </w:r>
    </w:p>
    <w:p>
      <w:pPr>
        <w:spacing w:line="360" w:lineRule="auto"/>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kern w:val="0"/>
          <w:sz w:val="24"/>
          <w:highlight w:val="none"/>
          <w:lang w:val="zh-CN"/>
        </w:rPr>
        <w:t>.本次采购项目实施所必</w:t>
      </w:r>
      <w:r>
        <w:rPr>
          <w:rFonts w:hint="eastAsia" w:ascii="仿宋" w:hAnsi="仿宋" w:eastAsia="仿宋" w:cs="仿宋"/>
          <w:kern w:val="0"/>
          <w:sz w:val="24"/>
          <w:highlight w:val="none"/>
        </w:rPr>
        <w:t>需</w:t>
      </w:r>
      <w:r>
        <w:rPr>
          <w:rFonts w:hint="eastAsia" w:ascii="仿宋" w:hAnsi="仿宋" w:eastAsia="仿宋" w:cs="仿宋"/>
          <w:kern w:val="0"/>
          <w:sz w:val="24"/>
          <w:highlight w:val="none"/>
          <w:lang w:val="zh-CN"/>
        </w:rPr>
        <w:t>的许可资质证明材料（若有）</w:t>
      </w:r>
      <w:r>
        <w:rPr>
          <w:rFonts w:hint="eastAsia" w:ascii="仿宋" w:hAnsi="仿宋" w:eastAsia="仿宋" w:cs="仿宋"/>
          <w:kern w:val="0"/>
          <w:sz w:val="24"/>
          <w:highlight w:val="none"/>
        </w:rPr>
        <w:t>；</w:t>
      </w:r>
    </w:p>
    <w:p>
      <w:pPr>
        <w:spacing w:line="360" w:lineRule="auto"/>
        <w:ind w:firstLine="484" w:firstLineChars="202"/>
        <w:rPr>
          <w:rFonts w:hint="default"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default" w:ascii="仿宋" w:hAnsi="仿宋" w:eastAsia="仿宋" w:cs="仿宋"/>
          <w:kern w:val="0"/>
          <w:sz w:val="24"/>
          <w:highlight w:val="none"/>
        </w:rPr>
        <w:t>《中小企业声明函》（格式见附件）。</w:t>
      </w:r>
    </w:p>
    <w:p>
      <w:pPr>
        <w:spacing w:line="360" w:lineRule="auto"/>
        <w:ind w:firstLine="482" w:firstLineChars="200"/>
        <w:rPr>
          <w:rFonts w:hint="eastAsia" w:ascii="仿宋" w:hAnsi="仿宋" w:eastAsia="仿宋" w:cs="仿宋"/>
          <w:b/>
          <w:bCs/>
          <w:kern w:val="0"/>
          <w:sz w:val="24"/>
          <w:highlight w:val="none"/>
        </w:rPr>
      </w:pPr>
    </w:p>
    <w:p>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注：</w:t>
      </w:r>
      <w:r>
        <w:rPr>
          <w:rFonts w:hint="eastAsia" w:ascii="仿宋" w:hAnsi="仿宋" w:eastAsia="仿宋" w:cs="仿宋"/>
          <w:b/>
          <w:bCs/>
          <w:kern w:val="0"/>
          <w:sz w:val="24"/>
          <w:highlight w:val="none"/>
          <w:lang w:val="zh-CN"/>
        </w:rPr>
        <w:t>不得以信用承诺书替代</w:t>
      </w:r>
      <w:r>
        <w:rPr>
          <w:rFonts w:hint="eastAsia" w:ascii="仿宋" w:hAnsi="仿宋" w:eastAsia="仿宋" w:cs="仿宋"/>
          <w:b/>
          <w:bCs/>
          <w:kern w:val="0"/>
          <w:sz w:val="24"/>
          <w:highlight w:val="none"/>
        </w:rPr>
        <w:t>的供应商资格证明文件须提供《中华人民共和国政府采购法》第二十二条规定的证明材料：</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（1）符合国家相关规定的财务状况报告</w:t>
      </w:r>
      <w:r>
        <w:rPr>
          <w:rStyle w:val="60"/>
          <w:rFonts w:hint="eastAsia" w:ascii="仿宋" w:hAnsi="仿宋" w:eastAsia="仿宋" w:cs="仿宋"/>
          <w:bCs/>
          <w:sz w:val="24"/>
          <w:highlight w:val="none"/>
          <w:lang w:val="zh-CN"/>
        </w:rPr>
        <w:t>（提供参加本次政府采购活动前的会计报表）；</w:t>
      </w:r>
    </w:p>
    <w:p>
      <w:pPr>
        <w:pStyle w:val="31"/>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（2）依法缴纳税收的证明材料</w:t>
      </w:r>
      <w:r>
        <w:rPr>
          <w:rStyle w:val="60"/>
          <w:rFonts w:hint="eastAsia" w:ascii="仿宋" w:hAnsi="仿宋" w:eastAsia="仿宋" w:cs="仿宋"/>
          <w:bCs/>
          <w:sz w:val="24"/>
          <w:highlight w:val="none"/>
          <w:lang w:val="zh-CN"/>
        </w:rPr>
        <w:t>（提供参加本次政府采购活动前半年内（至少一个月）依法缴纳税收的相关材料）</w:t>
      </w:r>
      <w:r>
        <w:rPr>
          <w:rFonts w:hint="eastAsia" w:ascii="仿宋" w:hAnsi="仿宋" w:eastAsia="仿宋" w:cs="仿宋"/>
          <w:sz w:val="24"/>
          <w:highlight w:val="none"/>
        </w:rPr>
        <w:t>；</w:t>
      </w:r>
    </w:p>
    <w:p>
      <w:pPr>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（3）依法缴纳社会保障资金的证明材料</w:t>
      </w:r>
      <w:r>
        <w:rPr>
          <w:rStyle w:val="60"/>
          <w:rFonts w:hint="eastAsia" w:ascii="仿宋" w:hAnsi="仿宋" w:eastAsia="仿宋" w:cs="仿宋"/>
          <w:bCs/>
          <w:sz w:val="24"/>
          <w:highlight w:val="none"/>
          <w:lang w:val="zh-CN"/>
        </w:rPr>
        <w:t>（提供参加本次政府采购活动前半年内（至少一个月）社会保障资金的相关材料）</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（4）具备履行政府采购合同所必需的设备和专业技术能力的证明材料；</w:t>
      </w:r>
    </w:p>
    <w:p>
      <w:pPr>
        <w:pStyle w:val="31"/>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（5）参加政府采购活动前三年内的经营活动中没有重大违法记录的证明材料；</w:t>
      </w:r>
    </w:p>
    <w:p>
      <w:pPr>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（6）未被列入失信被执行人、重大税收违法案件当事人名单、政府采购严重违法失信行为记录名单的证明材料。</w:t>
      </w:r>
    </w:p>
    <w:p>
      <w:pPr>
        <w:pStyle w:val="31"/>
        <w:spacing w:line="360" w:lineRule="auto"/>
        <w:ind w:firstLine="480"/>
        <w:rPr>
          <w:rFonts w:ascii="仿宋" w:hAnsi="仿宋" w:eastAsia="仿宋" w:cs="仿宋"/>
          <w:highlight w:val="none"/>
        </w:rPr>
      </w:pPr>
      <w:r>
        <w:rPr>
          <w:rFonts w:hint="eastAsia" w:ascii="仿宋" w:hAnsi="仿宋" w:eastAsia="仿宋" w:cs="仿宋"/>
          <w:sz w:val="24"/>
          <w:highlight w:val="none"/>
        </w:rPr>
        <w:t>注：第（5）条重大违法记录，是指供应商因违法经营受到刑事处罚或者责令停产停业、吊销许可证或者执照、较大数额罚款等行政处罚。</w:t>
      </w:r>
    </w:p>
    <w:p>
      <w:pPr>
        <w:spacing w:line="360" w:lineRule="auto"/>
        <w:ind w:firstLine="484" w:firstLineChars="202"/>
        <w:rPr>
          <w:rFonts w:ascii="仿宋" w:hAnsi="仿宋" w:eastAsia="仿宋" w:cs="仿宋"/>
          <w:kern w:val="0"/>
          <w:sz w:val="24"/>
          <w:highlight w:val="none"/>
        </w:rPr>
      </w:pPr>
    </w:p>
    <w:p>
      <w:pPr>
        <w:spacing w:line="360" w:lineRule="auto"/>
        <w:outlineLvl w:val="2"/>
        <w:rPr>
          <w:rFonts w:hint="eastAsia" w:ascii="仿宋" w:hAnsi="仿宋" w:eastAsia="仿宋" w:cs="仿宋"/>
          <w:b/>
          <w:bCs/>
          <w:sz w:val="22"/>
          <w:highlight w:val="none"/>
        </w:rPr>
      </w:pPr>
    </w:p>
    <w:p>
      <w:pPr>
        <w:spacing w:line="360" w:lineRule="auto"/>
        <w:outlineLvl w:val="2"/>
        <w:rPr>
          <w:rFonts w:hint="eastAsia" w:ascii="仿宋" w:hAnsi="仿宋" w:eastAsia="仿宋" w:cs="仿宋"/>
          <w:b/>
          <w:bCs/>
          <w:sz w:val="22"/>
          <w:highlight w:val="none"/>
        </w:rPr>
      </w:pPr>
    </w:p>
    <w:p>
      <w:pPr>
        <w:spacing w:line="360" w:lineRule="auto"/>
        <w:outlineLvl w:val="2"/>
        <w:rPr>
          <w:rFonts w:hint="eastAsia" w:ascii="仿宋" w:hAnsi="仿宋" w:eastAsia="仿宋" w:cs="仿宋"/>
          <w:b/>
          <w:bCs/>
          <w:sz w:val="22"/>
          <w:highlight w:val="none"/>
        </w:rPr>
      </w:pPr>
    </w:p>
    <w:p>
      <w:pPr>
        <w:spacing w:line="360" w:lineRule="auto"/>
        <w:outlineLvl w:val="2"/>
        <w:rPr>
          <w:rFonts w:hint="eastAsia" w:ascii="仿宋" w:hAnsi="仿宋" w:eastAsia="仿宋" w:cs="仿宋"/>
          <w:b/>
          <w:bCs/>
          <w:sz w:val="22"/>
          <w:highlight w:val="none"/>
        </w:rPr>
      </w:pPr>
    </w:p>
    <w:p>
      <w:pPr>
        <w:spacing w:line="360" w:lineRule="auto"/>
        <w:outlineLvl w:val="2"/>
        <w:rPr>
          <w:rFonts w:hint="eastAsia" w:ascii="仿宋" w:hAnsi="仿宋" w:eastAsia="仿宋" w:cs="仿宋"/>
          <w:b/>
          <w:bCs/>
          <w:sz w:val="22"/>
          <w:highlight w:val="none"/>
        </w:rPr>
      </w:pPr>
    </w:p>
    <w:p>
      <w:pPr>
        <w:spacing w:line="360" w:lineRule="auto"/>
        <w:outlineLvl w:val="2"/>
        <w:rPr>
          <w:rFonts w:ascii="仿宋" w:hAnsi="仿宋" w:eastAsia="仿宋" w:cs="仿宋"/>
          <w:b/>
          <w:bCs/>
          <w:sz w:val="22"/>
          <w:highlight w:val="none"/>
        </w:rPr>
      </w:pPr>
      <w:r>
        <w:rPr>
          <w:rFonts w:hint="eastAsia" w:ascii="仿宋" w:hAnsi="仿宋" w:eastAsia="仿宋" w:cs="仿宋"/>
          <w:b/>
          <w:bCs/>
          <w:sz w:val="22"/>
          <w:highlight w:val="none"/>
        </w:rPr>
        <w:t>目录六、技术条款偏离表格式</w:t>
      </w:r>
      <w:bookmarkEnd w:id="63"/>
      <w:bookmarkEnd w:id="64"/>
      <w:bookmarkEnd w:id="65"/>
      <w:bookmarkEnd w:id="66"/>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技术条款偏离表</w:t>
      </w:r>
    </w:p>
    <w:tbl>
      <w:tblPr>
        <w:tblStyle w:val="23"/>
        <w:tblW w:w="0" w:type="auto"/>
        <w:jc w:val="center"/>
        <w:tblLayout w:type="fixed"/>
        <w:tblCellMar>
          <w:top w:w="0" w:type="dxa"/>
          <w:left w:w="0" w:type="dxa"/>
          <w:bottom w:w="0" w:type="dxa"/>
          <w:right w:w="0" w:type="dxa"/>
        </w:tblCellMar>
      </w:tblPr>
      <w:tblGrid>
        <w:gridCol w:w="850"/>
        <w:gridCol w:w="2694"/>
        <w:gridCol w:w="2106"/>
        <w:gridCol w:w="20"/>
        <w:gridCol w:w="1809"/>
        <w:gridCol w:w="1110"/>
      </w:tblGrid>
      <w:tr>
        <w:tblPrEx>
          <w:tblCellMar>
            <w:top w:w="0" w:type="dxa"/>
            <w:left w:w="0" w:type="dxa"/>
            <w:bottom w:w="0" w:type="dxa"/>
            <w:right w:w="0" w:type="dxa"/>
          </w:tblCellMar>
        </w:tblPrEx>
        <w:trPr>
          <w:trHeight w:val="680" w:hRule="atLeast"/>
          <w:jc w:val="center"/>
        </w:trPr>
        <w:tc>
          <w:tcPr>
            <w:tcW w:w="5650" w:type="dxa"/>
            <w:gridSpan w:val="3"/>
            <w:tcBorders>
              <w:top w:val="nil"/>
              <w:left w:val="nil"/>
              <w:bottom w:val="single" w:color="auto" w:sz="6" w:space="0"/>
              <w:right w:val="nil"/>
            </w:tcBorders>
            <w:vAlign w:val="center"/>
          </w:tcPr>
          <w:p>
            <w:pPr>
              <w:rPr>
                <w:rFonts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标包</w:t>
            </w:r>
            <w:r>
              <w:rPr>
                <w:rFonts w:hint="eastAsia" w:ascii="仿宋" w:hAnsi="仿宋" w:eastAsia="仿宋" w:cs="仿宋"/>
                <w:kern w:val="0"/>
                <w:sz w:val="24"/>
                <w:highlight w:val="none"/>
                <w:lang w:val="zh-CN"/>
              </w:rPr>
              <w:t>名称：</w:t>
            </w:r>
          </w:p>
        </w:tc>
        <w:tc>
          <w:tcPr>
            <w:tcW w:w="2939" w:type="dxa"/>
            <w:gridSpan w:val="3"/>
            <w:tcBorders>
              <w:top w:val="nil"/>
              <w:left w:val="nil"/>
              <w:bottom w:val="single" w:color="auto" w:sz="6" w:space="0"/>
              <w:right w:val="nil"/>
            </w:tcBorders>
            <w:vAlign w:val="center"/>
          </w:tcPr>
          <w:p>
            <w:pPr>
              <w:rPr>
                <w:rFonts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标包</w:t>
            </w:r>
            <w:r>
              <w:rPr>
                <w:rFonts w:hint="eastAsia" w:ascii="仿宋" w:hAnsi="仿宋" w:eastAsia="仿宋" w:cs="仿宋"/>
                <w:kern w:val="0"/>
                <w:sz w:val="24"/>
                <w:highlight w:val="none"/>
                <w:lang w:val="zh-CN"/>
              </w:rPr>
              <w:t>编号：</w:t>
            </w: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序号</w:t>
            </w: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竞争性磋商文件条目号</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r>
              <w:rPr>
                <w:rFonts w:hint="eastAsia" w:ascii="仿宋" w:hAnsi="仿宋" w:eastAsia="仿宋" w:cs="仿宋"/>
                <w:kern w:val="0"/>
                <w:sz w:val="24"/>
                <w:highlight w:val="none"/>
              </w:rPr>
              <w:t>采购</w:t>
            </w:r>
            <w:r>
              <w:rPr>
                <w:rFonts w:hint="eastAsia" w:ascii="仿宋" w:hAnsi="仿宋" w:eastAsia="仿宋" w:cs="仿宋"/>
                <w:kern w:val="0"/>
                <w:sz w:val="24"/>
                <w:highlight w:val="none"/>
                <w:lang w:val="zh-CN"/>
              </w:rPr>
              <w:t>要求规格</w:t>
            </w: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偏离</w:t>
            </w: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bl>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（盖</w:t>
      </w:r>
      <w:r>
        <w:rPr>
          <w:rFonts w:hint="eastAsia" w:ascii="仿宋" w:hAnsi="仿宋" w:eastAsia="仿宋" w:cs="仿宋"/>
          <w:kern w:val="0"/>
          <w:sz w:val="24"/>
          <w:highlight w:val="none"/>
          <w:lang w:val="en-US" w:eastAsia="zh-CN"/>
        </w:rPr>
        <w:t>公</w:t>
      </w:r>
      <w:r>
        <w:rPr>
          <w:rFonts w:hint="eastAsia" w:ascii="仿宋" w:hAnsi="仿宋" w:eastAsia="仿宋" w:cs="仿宋"/>
          <w:kern w:val="0"/>
          <w:sz w:val="24"/>
          <w:highlight w:val="none"/>
          <w:lang w:val="zh-CN"/>
        </w:rPr>
        <w:t>章）</w:t>
      </w:r>
    </w:p>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说明：</w:t>
      </w:r>
    </w:p>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.如果行数不够，请自行增加。</w:t>
      </w:r>
    </w:p>
    <w:p>
      <w:pPr>
        <w:rPr>
          <w:rFonts w:hint="default" w:ascii="仿宋" w:hAnsi="仿宋" w:eastAsia="仿宋" w:cs="仿宋"/>
          <w:b/>
          <w:bCs/>
          <w:sz w:val="22"/>
          <w:highlight w:val="none"/>
          <w:lang w:val="en-US" w:eastAsia="zh-CN"/>
        </w:rPr>
      </w:pPr>
      <w:bookmarkStart w:id="67" w:name="_Toc784"/>
      <w:bookmarkStart w:id="68" w:name="_Toc15264"/>
      <w:bookmarkStart w:id="69" w:name="_Toc5578"/>
      <w:r>
        <w:rPr>
          <w:rFonts w:hint="eastAsia" w:ascii="仿宋" w:hAnsi="仿宋" w:eastAsia="仿宋" w:cs="仿宋"/>
          <w:b/>
          <w:bCs/>
          <w:sz w:val="22"/>
          <w:highlight w:val="none"/>
        </w:rPr>
        <w:br w:type="page"/>
      </w:r>
      <w:r>
        <w:rPr>
          <w:rFonts w:hint="eastAsia" w:ascii="仿宋" w:hAnsi="仿宋" w:eastAsia="仿宋" w:cs="仿宋"/>
          <w:b/>
          <w:bCs/>
          <w:sz w:val="22"/>
          <w:highlight w:val="none"/>
          <w:lang w:val="en-US" w:eastAsia="zh-CN"/>
        </w:rPr>
        <w:t xml:space="preserve">                                                                                                                                                                                                                                                                                                                                                                                                                                                                                                                                                                                                                                                                                                                                                                                                                                                                                                                                                                                                                                                                                                                                                                                                                                                                                                                                                                                                                                                                                                                                                                                                                                                                                                                                                                                                                                                               </w:t>
      </w:r>
    </w:p>
    <w:p>
      <w:pPr>
        <w:spacing w:line="360" w:lineRule="auto"/>
        <w:outlineLvl w:val="2"/>
        <w:rPr>
          <w:rFonts w:ascii="仿宋" w:hAnsi="仿宋" w:eastAsia="仿宋" w:cs="仿宋"/>
          <w:b/>
          <w:bCs/>
          <w:sz w:val="22"/>
          <w:highlight w:val="none"/>
        </w:rPr>
      </w:pPr>
      <w:bookmarkStart w:id="70" w:name="_Toc30587"/>
      <w:r>
        <w:rPr>
          <w:rFonts w:hint="eastAsia" w:ascii="仿宋" w:hAnsi="仿宋" w:eastAsia="仿宋" w:cs="仿宋"/>
          <w:b/>
          <w:bCs/>
          <w:sz w:val="22"/>
          <w:highlight w:val="none"/>
        </w:rPr>
        <w:t>目录七、商务条款偏离表格式</w:t>
      </w:r>
      <w:bookmarkEnd w:id="67"/>
      <w:bookmarkEnd w:id="68"/>
      <w:bookmarkEnd w:id="69"/>
      <w:bookmarkEnd w:id="70"/>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商务条款偏离表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410"/>
        <w:gridCol w:w="2390"/>
        <w:gridCol w:w="20"/>
        <w:gridCol w:w="143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5508" w:type="dxa"/>
            <w:gridSpan w:val="3"/>
            <w:tcBorders>
              <w:top w:val="nil"/>
              <w:left w:val="nil"/>
              <w:right w:val="nil"/>
            </w:tcBorders>
            <w:vAlign w:val="center"/>
          </w:tcPr>
          <w:p>
            <w:pPr>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标包</w:t>
            </w:r>
            <w:r>
              <w:rPr>
                <w:rFonts w:hint="eastAsia" w:ascii="仿宋" w:hAnsi="仿宋" w:eastAsia="仿宋" w:cs="仿宋"/>
                <w:kern w:val="0"/>
                <w:sz w:val="24"/>
                <w:szCs w:val="24"/>
                <w:highlight w:val="none"/>
                <w:lang w:val="zh-CN"/>
              </w:rPr>
              <w:t>名称：</w:t>
            </w:r>
          </w:p>
        </w:tc>
        <w:tc>
          <w:tcPr>
            <w:tcW w:w="2830" w:type="dxa"/>
            <w:gridSpan w:val="3"/>
            <w:tcBorders>
              <w:top w:val="nil"/>
              <w:left w:val="nil"/>
              <w:right w:val="nil"/>
            </w:tcBorders>
            <w:vAlign w:val="center"/>
          </w:tcPr>
          <w:p>
            <w:pPr>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标包</w:t>
            </w:r>
            <w:r>
              <w:rPr>
                <w:rFonts w:hint="eastAsia" w:ascii="仿宋" w:hAnsi="仿宋" w:eastAsia="仿宋" w:cs="仿宋"/>
                <w:kern w:val="0"/>
                <w:sz w:val="24"/>
                <w:szCs w:val="24"/>
                <w:highlight w:val="none"/>
                <w:lang w:val="zh-CN"/>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序号</w:t>
            </w:r>
          </w:p>
        </w:tc>
        <w:tc>
          <w:tcPr>
            <w:tcW w:w="2410" w:type="dxa"/>
            <w:vAlign w:val="center"/>
          </w:tcPr>
          <w:p>
            <w:pPr>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竞争性磋商文件条目号</w:t>
            </w:r>
          </w:p>
        </w:tc>
        <w:tc>
          <w:tcPr>
            <w:tcW w:w="2410" w:type="dxa"/>
            <w:gridSpan w:val="2"/>
            <w:vAlign w:val="center"/>
          </w:tcPr>
          <w:p>
            <w:pPr>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竞争性磋商文件要求的商务条款</w:t>
            </w:r>
          </w:p>
        </w:tc>
        <w:tc>
          <w:tcPr>
            <w:tcW w:w="1438" w:type="dxa"/>
            <w:vAlign w:val="center"/>
          </w:tcPr>
          <w:p>
            <w:pPr>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投标响应</w:t>
            </w:r>
          </w:p>
        </w:tc>
        <w:tc>
          <w:tcPr>
            <w:tcW w:w="1372" w:type="dxa"/>
            <w:vAlign w:val="center"/>
          </w:tcPr>
          <w:p>
            <w:pPr>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rPr>
            </w:pPr>
          </w:p>
        </w:tc>
        <w:tc>
          <w:tcPr>
            <w:tcW w:w="2410" w:type="dxa"/>
            <w:vAlign w:val="center"/>
          </w:tcPr>
          <w:p>
            <w:pPr>
              <w:jc w:val="center"/>
              <w:rPr>
                <w:rFonts w:ascii="仿宋" w:hAnsi="仿宋" w:eastAsia="仿宋" w:cs="仿宋"/>
                <w:kern w:val="0"/>
                <w:sz w:val="24"/>
                <w:szCs w:val="24"/>
                <w:highlight w:val="none"/>
              </w:rPr>
            </w:pPr>
          </w:p>
        </w:tc>
        <w:tc>
          <w:tcPr>
            <w:tcW w:w="2410" w:type="dxa"/>
            <w:gridSpan w:val="2"/>
            <w:vAlign w:val="center"/>
          </w:tcPr>
          <w:p>
            <w:pPr>
              <w:jc w:val="center"/>
              <w:rPr>
                <w:rFonts w:ascii="仿宋" w:hAnsi="仿宋" w:eastAsia="仿宋" w:cs="仿宋"/>
                <w:kern w:val="0"/>
                <w:sz w:val="24"/>
                <w:szCs w:val="24"/>
                <w:highlight w:val="none"/>
              </w:rPr>
            </w:pPr>
          </w:p>
        </w:tc>
        <w:tc>
          <w:tcPr>
            <w:tcW w:w="1438" w:type="dxa"/>
            <w:vAlign w:val="center"/>
          </w:tcPr>
          <w:p>
            <w:pPr>
              <w:jc w:val="center"/>
              <w:rPr>
                <w:rFonts w:ascii="仿宋" w:hAnsi="仿宋" w:eastAsia="仿宋" w:cs="仿宋"/>
                <w:kern w:val="0"/>
                <w:sz w:val="24"/>
                <w:szCs w:val="24"/>
                <w:highlight w:val="none"/>
              </w:rPr>
            </w:pPr>
          </w:p>
        </w:tc>
        <w:tc>
          <w:tcPr>
            <w:tcW w:w="1372" w:type="dxa"/>
            <w:vAlign w:val="center"/>
          </w:tcPr>
          <w:p>
            <w:pPr>
              <w:jc w:val="center"/>
              <w:rPr>
                <w:rFonts w:ascii="仿宋" w:hAnsi="仿宋" w:eastAsia="仿宋" w:cs="仿宋"/>
                <w:kern w:val="0"/>
                <w:sz w:val="24"/>
                <w:szCs w:val="24"/>
                <w:highlight w:val="none"/>
              </w:rPr>
            </w:pPr>
          </w:p>
        </w:tc>
      </w:tr>
    </w:tbl>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（盖</w:t>
      </w:r>
      <w:r>
        <w:rPr>
          <w:rFonts w:hint="eastAsia" w:ascii="仿宋" w:hAnsi="仿宋" w:eastAsia="仿宋" w:cs="仿宋"/>
          <w:kern w:val="0"/>
          <w:sz w:val="24"/>
          <w:highlight w:val="none"/>
          <w:lang w:val="en-US" w:eastAsia="zh-CN"/>
        </w:rPr>
        <w:t>公</w:t>
      </w:r>
      <w:r>
        <w:rPr>
          <w:rFonts w:hint="eastAsia" w:ascii="仿宋" w:hAnsi="仿宋" w:eastAsia="仿宋" w:cs="仿宋"/>
          <w:kern w:val="0"/>
          <w:sz w:val="24"/>
          <w:highlight w:val="none"/>
          <w:lang w:val="zh-CN"/>
        </w:rPr>
        <w:t>章）</w:t>
      </w:r>
    </w:p>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说明：如果行数不够，请自行增加。</w:t>
      </w:r>
    </w:p>
    <w:p>
      <w:pPr>
        <w:rPr>
          <w:rFonts w:ascii="仿宋" w:hAnsi="仿宋" w:eastAsia="仿宋" w:cs="仿宋"/>
          <w:b/>
          <w:bCs/>
          <w:sz w:val="22"/>
          <w:highlight w:val="none"/>
        </w:rPr>
      </w:pPr>
      <w:bookmarkStart w:id="71" w:name="_Toc1933"/>
      <w:bookmarkStart w:id="72" w:name="_Toc13021"/>
      <w:bookmarkStart w:id="73" w:name="_Toc19359"/>
      <w:r>
        <w:rPr>
          <w:rFonts w:hint="eastAsia" w:ascii="仿宋" w:hAnsi="仿宋" w:eastAsia="仿宋" w:cs="仿宋"/>
          <w:b/>
          <w:bCs/>
          <w:sz w:val="22"/>
          <w:highlight w:val="none"/>
        </w:rPr>
        <w:br w:type="page"/>
      </w:r>
    </w:p>
    <w:p>
      <w:pPr>
        <w:spacing w:line="360" w:lineRule="auto"/>
        <w:outlineLvl w:val="2"/>
        <w:rPr>
          <w:rFonts w:ascii="仿宋" w:hAnsi="仿宋" w:eastAsia="仿宋" w:cs="仿宋"/>
          <w:b/>
          <w:bCs/>
          <w:sz w:val="22"/>
          <w:highlight w:val="none"/>
        </w:rPr>
      </w:pPr>
      <w:bookmarkStart w:id="74" w:name="_Toc7419"/>
      <w:r>
        <w:rPr>
          <w:rFonts w:hint="eastAsia" w:ascii="仿宋" w:hAnsi="仿宋" w:eastAsia="仿宋" w:cs="仿宋"/>
          <w:b/>
          <w:bCs/>
          <w:sz w:val="22"/>
          <w:highlight w:val="none"/>
        </w:rPr>
        <w:t>目录八、</w:t>
      </w:r>
      <w:bookmarkEnd w:id="71"/>
      <w:bookmarkEnd w:id="72"/>
      <w:r>
        <w:rPr>
          <w:rFonts w:hint="eastAsia" w:ascii="仿宋" w:hAnsi="仿宋" w:eastAsia="仿宋" w:cs="仿宋"/>
          <w:b/>
          <w:bCs/>
          <w:sz w:val="22"/>
          <w:highlight w:val="none"/>
        </w:rPr>
        <w:t>实施方案</w:t>
      </w:r>
      <w:bookmarkEnd w:id="73"/>
      <w:bookmarkEnd w:id="74"/>
    </w:p>
    <w:p>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服务</w:t>
      </w:r>
      <w:r>
        <w:rPr>
          <w:rFonts w:hint="eastAsia" w:ascii="仿宋" w:hAnsi="仿宋" w:eastAsia="仿宋" w:cs="仿宋"/>
          <w:b/>
          <w:bCs/>
          <w:sz w:val="32"/>
          <w:szCs w:val="32"/>
          <w:highlight w:val="none"/>
        </w:rPr>
        <w:t>方案（自行编制）</w:t>
      </w:r>
    </w:p>
    <w:p>
      <w:pPr>
        <w:spacing w:line="360" w:lineRule="auto"/>
        <w:rPr>
          <w:rFonts w:ascii="仿宋" w:hAnsi="仿宋" w:eastAsia="仿宋" w:cs="仿宋"/>
          <w:b/>
          <w:bCs/>
          <w:sz w:val="22"/>
          <w:highlight w:val="none"/>
        </w:rPr>
      </w:pPr>
      <w:bookmarkStart w:id="75" w:name="_Toc5164"/>
      <w:bookmarkStart w:id="76" w:name="_Toc3793"/>
      <w:bookmarkStart w:id="77" w:name="_Toc21802"/>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outlineLvl w:val="2"/>
        <w:rPr>
          <w:rFonts w:ascii="仿宋" w:hAnsi="仿宋" w:eastAsia="仿宋" w:cs="仿宋"/>
          <w:b/>
          <w:bCs/>
          <w:sz w:val="22"/>
          <w:highlight w:val="none"/>
        </w:rPr>
      </w:pPr>
      <w:bookmarkStart w:id="78" w:name="_Toc13314"/>
      <w:r>
        <w:rPr>
          <w:rFonts w:hint="eastAsia" w:ascii="仿宋" w:hAnsi="仿宋" w:eastAsia="仿宋" w:cs="仿宋"/>
          <w:b/>
          <w:bCs/>
          <w:sz w:val="22"/>
          <w:highlight w:val="none"/>
        </w:rPr>
        <w:t>目录十、服务与承诺</w:t>
      </w:r>
      <w:bookmarkEnd w:id="75"/>
      <w:bookmarkEnd w:id="76"/>
      <w:bookmarkEnd w:id="77"/>
      <w:bookmarkEnd w:id="78"/>
    </w:p>
    <w:p>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服务与承诺（自行编制，格式自拟）</w:t>
      </w:r>
    </w:p>
    <w:p>
      <w:pPr>
        <w:rPr>
          <w:rFonts w:ascii="仿宋" w:hAnsi="仿宋" w:eastAsia="仿宋" w:cs="仿宋"/>
          <w:b/>
          <w:bCs/>
          <w:sz w:val="22"/>
          <w:highlight w:val="none"/>
        </w:rPr>
      </w:pPr>
      <w:bookmarkStart w:id="79" w:name="_Toc30560"/>
      <w:bookmarkStart w:id="80" w:name="_Toc4666"/>
      <w:bookmarkStart w:id="81" w:name="_Toc9250"/>
      <w:r>
        <w:rPr>
          <w:rFonts w:hint="eastAsia" w:ascii="仿宋" w:hAnsi="仿宋" w:eastAsia="仿宋" w:cs="仿宋"/>
          <w:b/>
          <w:bCs/>
          <w:sz w:val="22"/>
          <w:highlight w:val="none"/>
        </w:rPr>
        <w:br w:type="page"/>
      </w:r>
    </w:p>
    <w:p>
      <w:pPr>
        <w:spacing w:line="360" w:lineRule="auto"/>
        <w:outlineLvl w:val="2"/>
        <w:rPr>
          <w:rFonts w:ascii="仿宋" w:hAnsi="仿宋" w:eastAsia="仿宋" w:cs="仿宋"/>
          <w:b/>
          <w:bCs/>
          <w:sz w:val="22"/>
          <w:highlight w:val="none"/>
        </w:rPr>
      </w:pPr>
      <w:bookmarkStart w:id="82" w:name="_Toc10700"/>
      <w:r>
        <w:rPr>
          <w:rFonts w:hint="eastAsia" w:ascii="仿宋" w:hAnsi="仿宋" w:eastAsia="仿宋" w:cs="仿宋"/>
          <w:b/>
          <w:bCs/>
          <w:sz w:val="22"/>
          <w:highlight w:val="none"/>
        </w:rPr>
        <w:t>目录十、供应商拟投入本项目组成员一览表</w:t>
      </w:r>
      <w:bookmarkEnd w:id="79"/>
      <w:bookmarkEnd w:id="80"/>
      <w:bookmarkEnd w:id="81"/>
      <w:bookmarkEnd w:id="82"/>
    </w:p>
    <w:p>
      <w:pPr>
        <w:pStyle w:val="31"/>
        <w:rPr>
          <w:rFonts w:ascii="仿宋" w:hAnsi="仿宋" w:eastAsia="仿宋" w:cs="仿宋"/>
          <w:highlight w:val="none"/>
        </w:rPr>
      </w:pPr>
    </w:p>
    <w:p>
      <w:pPr>
        <w:jc w:val="center"/>
        <w:rPr>
          <w:rFonts w:ascii="仿宋" w:hAnsi="仿宋" w:eastAsia="仿宋" w:cs="仿宋"/>
          <w:b/>
          <w:bCs/>
          <w:sz w:val="32"/>
          <w:szCs w:val="32"/>
          <w:highlight w:val="none"/>
        </w:rPr>
      </w:pPr>
      <w:bookmarkStart w:id="83" w:name="_Toc22477"/>
      <w:r>
        <w:rPr>
          <w:rFonts w:hint="eastAsia" w:ascii="仿宋" w:hAnsi="仿宋" w:eastAsia="仿宋" w:cs="仿宋"/>
          <w:b/>
          <w:bCs/>
          <w:sz w:val="32"/>
          <w:szCs w:val="32"/>
          <w:highlight w:val="none"/>
        </w:rPr>
        <w:t>供应商拟投入本项目组成员一览表</w:t>
      </w:r>
      <w:bookmarkEnd w:id="83"/>
    </w:p>
    <w:p>
      <w:pPr>
        <w:pStyle w:val="31"/>
        <w:rPr>
          <w:rFonts w:ascii="仿宋" w:hAnsi="仿宋" w:eastAsia="仿宋" w:cs="仿宋"/>
          <w:highlight w:val="none"/>
        </w:rPr>
      </w:pPr>
    </w:p>
    <w:p>
      <w:pP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标包</w:t>
      </w:r>
      <w:r>
        <w:rPr>
          <w:rFonts w:hint="eastAsia" w:ascii="仿宋" w:hAnsi="仿宋" w:eastAsia="仿宋" w:cs="仿宋"/>
          <w:sz w:val="24"/>
          <w:szCs w:val="24"/>
          <w:highlight w:val="none"/>
        </w:rPr>
        <w:t xml:space="preserve">名称：                                                 </w:t>
      </w:r>
      <w:r>
        <w:rPr>
          <w:rFonts w:hint="eastAsia" w:ascii="仿宋" w:hAnsi="仿宋" w:eastAsia="仿宋" w:cs="仿宋"/>
          <w:sz w:val="24"/>
          <w:szCs w:val="24"/>
          <w:highlight w:val="none"/>
          <w:lang w:val="en-US" w:eastAsia="zh-CN"/>
        </w:rPr>
        <w:t>标包</w:t>
      </w:r>
      <w:r>
        <w:rPr>
          <w:rFonts w:hint="eastAsia" w:ascii="仿宋" w:hAnsi="仿宋" w:eastAsia="仿宋" w:cs="仿宋"/>
          <w:sz w:val="24"/>
          <w:szCs w:val="24"/>
          <w:highlight w:val="none"/>
        </w:rPr>
        <w:t>编号：</w:t>
      </w:r>
    </w:p>
    <w:tbl>
      <w:tblPr>
        <w:tblStyle w:val="23"/>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1088"/>
        <w:gridCol w:w="1417"/>
        <w:gridCol w:w="1185"/>
        <w:gridCol w:w="1033"/>
        <w:gridCol w:w="97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pPr>
              <w:rPr>
                <w:rFonts w:ascii="仿宋" w:hAnsi="仿宋" w:eastAsia="仿宋" w:cs="仿宋"/>
                <w:b/>
                <w:highlight w:val="none"/>
              </w:rPr>
            </w:pPr>
            <w:r>
              <w:rPr>
                <w:rFonts w:hint="eastAsia" w:ascii="仿宋" w:hAnsi="仿宋" w:eastAsia="仿宋" w:cs="仿宋"/>
                <w:b/>
                <w:highlight w:val="none"/>
              </w:rPr>
              <w:t>序号</w:t>
            </w:r>
          </w:p>
        </w:tc>
        <w:tc>
          <w:tcPr>
            <w:tcW w:w="810" w:type="dxa"/>
            <w:vAlign w:val="center"/>
          </w:tcPr>
          <w:p>
            <w:pPr>
              <w:rPr>
                <w:rFonts w:ascii="仿宋" w:hAnsi="仿宋" w:eastAsia="仿宋" w:cs="仿宋"/>
                <w:b/>
                <w:highlight w:val="none"/>
              </w:rPr>
            </w:pPr>
            <w:r>
              <w:rPr>
                <w:rFonts w:hint="eastAsia" w:ascii="仿宋" w:hAnsi="仿宋" w:eastAsia="仿宋" w:cs="仿宋"/>
                <w:b/>
                <w:highlight w:val="none"/>
              </w:rPr>
              <w:t>姓名</w:t>
            </w:r>
          </w:p>
        </w:tc>
        <w:tc>
          <w:tcPr>
            <w:tcW w:w="795" w:type="dxa"/>
            <w:vAlign w:val="center"/>
          </w:tcPr>
          <w:p>
            <w:pPr>
              <w:rPr>
                <w:rFonts w:ascii="仿宋" w:hAnsi="仿宋" w:eastAsia="仿宋" w:cs="仿宋"/>
                <w:b/>
                <w:highlight w:val="none"/>
              </w:rPr>
            </w:pPr>
            <w:r>
              <w:rPr>
                <w:rFonts w:hint="eastAsia" w:ascii="仿宋" w:hAnsi="仿宋" w:eastAsia="仿宋" w:cs="仿宋"/>
                <w:b/>
                <w:highlight w:val="none"/>
              </w:rPr>
              <w:t>性别</w:t>
            </w:r>
          </w:p>
        </w:tc>
        <w:tc>
          <w:tcPr>
            <w:tcW w:w="1088" w:type="dxa"/>
            <w:vAlign w:val="center"/>
          </w:tcPr>
          <w:p>
            <w:pPr>
              <w:rPr>
                <w:rFonts w:ascii="仿宋" w:hAnsi="仿宋" w:eastAsia="仿宋" w:cs="仿宋"/>
                <w:b/>
                <w:highlight w:val="none"/>
              </w:rPr>
            </w:pPr>
            <w:r>
              <w:rPr>
                <w:rFonts w:hint="eastAsia" w:ascii="仿宋" w:hAnsi="仿宋" w:eastAsia="仿宋" w:cs="仿宋"/>
                <w:b/>
                <w:highlight w:val="none"/>
              </w:rPr>
              <w:t>年龄</w:t>
            </w:r>
          </w:p>
        </w:tc>
        <w:tc>
          <w:tcPr>
            <w:tcW w:w="1417" w:type="dxa"/>
            <w:vAlign w:val="center"/>
          </w:tcPr>
          <w:p>
            <w:pPr>
              <w:jc w:val="center"/>
              <w:rPr>
                <w:rFonts w:ascii="仿宋" w:hAnsi="仿宋" w:eastAsia="仿宋" w:cs="仿宋"/>
                <w:b/>
                <w:highlight w:val="none"/>
              </w:rPr>
            </w:pPr>
            <w:r>
              <w:rPr>
                <w:rFonts w:hint="eastAsia" w:ascii="仿宋" w:hAnsi="仿宋" w:eastAsia="仿宋" w:cs="仿宋"/>
                <w:b/>
                <w:highlight w:val="none"/>
              </w:rPr>
              <w:t>专业</w:t>
            </w:r>
          </w:p>
        </w:tc>
        <w:tc>
          <w:tcPr>
            <w:tcW w:w="1185" w:type="dxa"/>
            <w:vAlign w:val="center"/>
          </w:tcPr>
          <w:p>
            <w:pPr>
              <w:rPr>
                <w:rFonts w:ascii="仿宋" w:hAnsi="仿宋" w:eastAsia="仿宋" w:cs="仿宋"/>
                <w:b/>
                <w:highlight w:val="none"/>
              </w:rPr>
            </w:pPr>
            <w:r>
              <w:rPr>
                <w:rFonts w:hint="eastAsia" w:ascii="仿宋" w:hAnsi="仿宋" w:eastAsia="仿宋" w:cs="仿宋"/>
                <w:b/>
                <w:highlight w:val="none"/>
              </w:rPr>
              <w:t>技术职称</w:t>
            </w:r>
          </w:p>
        </w:tc>
        <w:tc>
          <w:tcPr>
            <w:tcW w:w="1033" w:type="dxa"/>
            <w:vAlign w:val="center"/>
          </w:tcPr>
          <w:p>
            <w:pPr>
              <w:rPr>
                <w:rFonts w:ascii="仿宋" w:hAnsi="仿宋" w:eastAsia="仿宋" w:cs="仿宋"/>
                <w:b/>
                <w:highlight w:val="none"/>
              </w:rPr>
            </w:pPr>
            <w:r>
              <w:rPr>
                <w:rFonts w:hint="eastAsia" w:ascii="仿宋" w:hAnsi="仿宋" w:eastAsia="仿宋" w:cs="仿宋"/>
                <w:b/>
                <w:highlight w:val="none"/>
              </w:rPr>
              <w:t>相关工作年限而及工作经历</w:t>
            </w:r>
          </w:p>
        </w:tc>
        <w:tc>
          <w:tcPr>
            <w:tcW w:w="975" w:type="dxa"/>
            <w:vAlign w:val="center"/>
          </w:tcPr>
          <w:p>
            <w:pPr>
              <w:rPr>
                <w:rFonts w:ascii="仿宋" w:hAnsi="仿宋" w:eastAsia="仿宋" w:cs="仿宋"/>
                <w:b/>
                <w:highlight w:val="none"/>
              </w:rPr>
            </w:pPr>
            <w:r>
              <w:rPr>
                <w:rFonts w:hint="eastAsia" w:ascii="仿宋" w:hAnsi="仿宋" w:eastAsia="仿宋" w:cs="仿宋"/>
                <w:b/>
                <w:szCs w:val="21"/>
                <w:highlight w:val="none"/>
                <w:lang w:val="zh-CN"/>
              </w:rPr>
              <w:t>拟担任本项目何种工作</w:t>
            </w:r>
          </w:p>
        </w:tc>
        <w:tc>
          <w:tcPr>
            <w:tcW w:w="846" w:type="dxa"/>
            <w:vAlign w:val="center"/>
          </w:tcPr>
          <w:p>
            <w:pPr>
              <w:rPr>
                <w:rFonts w:ascii="仿宋" w:hAnsi="仿宋" w:eastAsia="仿宋" w:cs="仿宋"/>
                <w:b/>
                <w:highlight w:val="none"/>
              </w:rPr>
            </w:pPr>
            <w:r>
              <w:rPr>
                <w:rFonts w:hint="eastAsia" w:ascii="仿宋" w:hAnsi="仿宋" w:eastAsia="仿宋" w:cs="仿宋"/>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1088" w:type="dxa"/>
          </w:tcPr>
          <w:p>
            <w:pPr>
              <w:rPr>
                <w:rFonts w:ascii="仿宋" w:hAnsi="仿宋" w:eastAsia="仿宋" w:cs="仿宋"/>
                <w:highlight w:val="none"/>
              </w:rPr>
            </w:pPr>
          </w:p>
        </w:tc>
        <w:tc>
          <w:tcPr>
            <w:tcW w:w="1417" w:type="dxa"/>
          </w:tcPr>
          <w:p>
            <w:pPr>
              <w:rPr>
                <w:rFonts w:ascii="仿宋" w:hAnsi="仿宋" w:eastAsia="仿宋" w:cs="仿宋"/>
                <w:highlight w:val="none"/>
              </w:rPr>
            </w:pPr>
          </w:p>
        </w:tc>
        <w:tc>
          <w:tcPr>
            <w:tcW w:w="1185"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1088" w:type="dxa"/>
          </w:tcPr>
          <w:p>
            <w:pPr>
              <w:rPr>
                <w:rFonts w:ascii="仿宋" w:hAnsi="仿宋" w:eastAsia="仿宋" w:cs="仿宋"/>
                <w:highlight w:val="none"/>
              </w:rPr>
            </w:pPr>
          </w:p>
        </w:tc>
        <w:tc>
          <w:tcPr>
            <w:tcW w:w="1417" w:type="dxa"/>
          </w:tcPr>
          <w:p>
            <w:pPr>
              <w:rPr>
                <w:rFonts w:ascii="仿宋" w:hAnsi="仿宋" w:eastAsia="仿宋" w:cs="仿宋"/>
                <w:highlight w:val="none"/>
              </w:rPr>
            </w:pPr>
          </w:p>
        </w:tc>
        <w:tc>
          <w:tcPr>
            <w:tcW w:w="1185"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1088" w:type="dxa"/>
          </w:tcPr>
          <w:p>
            <w:pPr>
              <w:rPr>
                <w:rFonts w:ascii="仿宋" w:hAnsi="仿宋" w:eastAsia="仿宋" w:cs="仿宋"/>
                <w:highlight w:val="none"/>
              </w:rPr>
            </w:pPr>
          </w:p>
        </w:tc>
        <w:tc>
          <w:tcPr>
            <w:tcW w:w="1417" w:type="dxa"/>
          </w:tcPr>
          <w:p>
            <w:pPr>
              <w:rPr>
                <w:rFonts w:ascii="仿宋" w:hAnsi="仿宋" w:eastAsia="仿宋" w:cs="仿宋"/>
                <w:highlight w:val="none"/>
              </w:rPr>
            </w:pPr>
          </w:p>
        </w:tc>
        <w:tc>
          <w:tcPr>
            <w:tcW w:w="1185"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1088" w:type="dxa"/>
          </w:tcPr>
          <w:p>
            <w:pPr>
              <w:rPr>
                <w:rFonts w:ascii="仿宋" w:hAnsi="仿宋" w:eastAsia="仿宋" w:cs="仿宋"/>
                <w:highlight w:val="none"/>
              </w:rPr>
            </w:pPr>
          </w:p>
        </w:tc>
        <w:tc>
          <w:tcPr>
            <w:tcW w:w="1417" w:type="dxa"/>
          </w:tcPr>
          <w:p>
            <w:pPr>
              <w:rPr>
                <w:rFonts w:ascii="仿宋" w:hAnsi="仿宋" w:eastAsia="仿宋" w:cs="仿宋"/>
                <w:highlight w:val="none"/>
              </w:rPr>
            </w:pPr>
          </w:p>
        </w:tc>
        <w:tc>
          <w:tcPr>
            <w:tcW w:w="1185"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1088" w:type="dxa"/>
          </w:tcPr>
          <w:p>
            <w:pPr>
              <w:rPr>
                <w:rFonts w:ascii="仿宋" w:hAnsi="仿宋" w:eastAsia="仿宋" w:cs="仿宋"/>
                <w:highlight w:val="none"/>
              </w:rPr>
            </w:pPr>
          </w:p>
        </w:tc>
        <w:tc>
          <w:tcPr>
            <w:tcW w:w="1417" w:type="dxa"/>
          </w:tcPr>
          <w:p>
            <w:pPr>
              <w:rPr>
                <w:rFonts w:ascii="仿宋" w:hAnsi="仿宋" w:eastAsia="仿宋" w:cs="仿宋"/>
                <w:highlight w:val="none"/>
              </w:rPr>
            </w:pPr>
          </w:p>
        </w:tc>
        <w:tc>
          <w:tcPr>
            <w:tcW w:w="1185"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1088" w:type="dxa"/>
          </w:tcPr>
          <w:p>
            <w:pPr>
              <w:rPr>
                <w:rFonts w:ascii="仿宋" w:hAnsi="仿宋" w:eastAsia="仿宋" w:cs="仿宋"/>
                <w:highlight w:val="none"/>
              </w:rPr>
            </w:pPr>
          </w:p>
        </w:tc>
        <w:tc>
          <w:tcPr>
            <w:tcW w:w="1417" w:type="dxa"/>
          </w:tcPr>
          <w:p>
            <w:pPr>
              <w:rPr>
                <w:rFonts w:ascii="仿宋" w:hAnsi="仿宋" w:eastAsia="仿宋" w:cs="仿宋"/>
                <w:highlight w:val="none"/>
              </w:rPr>
            </w:pPr>
          </w:p>
        </w:tc>
        <w:tc>
          <w:tcPr>
            <w:tcW w:w="1185"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bl>
    <w:p>
      <w:pPr>
        <w:rPr>
          <w:rFonts w:ascii="仿宋" w:hAnsi="仿宋" w:eastAsia="仿宋" w:cs="仿宋"/>
          <w:b/>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（盖</w:t>
      </w:r>
      <w:r>
        <w:rPr>
          <w:rFonts w:hint="eastAsia" w:ascii="仿宋" w:hAnsi="仿宋" w:eastAsia="仿宋" w:cs="仿宋"/>
          <w:sz w:val="24"/>
          <w:szCs w:val="24"/>
          <w:highlight w:val="none"/>
          <w:lang w:val="en-US" w:eastAsia="zh-CN"/>
        </w:rPr>
        <w:t>公</w:t>
      </w:r>
      <w:r>
        <w:rPr>
          <w:rFonts w:hint="eastAsia" w:ascii="仿宋" w:hAnsi="仿宋" w:eastAsia="仿宋" w:cs="仿宋"/>
          <w:sz w:val="24"/>
          <w:szCs w:val="24"/>
          <w:highlight w:val="none"/>
        </w:rPr>
        <w:t>章）</w:t>
      </w:r>
    </w:p>
    <w:p>
      <w:pPr>
        <w:pStyle w:val="61"/>
        <w:rPr>
          <w:rFonts w:ascii="仿宋" w:hAnsi="仿宋" w:eastAsia="仿宋" w:cs="仿宋"/>
          <w:color w:val="auto"/>
          <w:highlight w:val="none"/>
        </w:rPr>
      </w:pPr>
    </w:p>
    <w:p>
      <w:pPr>
        <w:rPr>
          <w:rFonts w:ascii="仿宋" w:hAnsi="仿宋" w:eastAsia="仿宋" w:cs="仿宋"/>
          <w:highlight w:val="none"/>
        </w:rPr>
      </w:pPr>
    </w:p>
    <w:p>
      <w:pPr>
        <w:rPr>
          <w:rFonts w:ascii="仿宋" w:hAnsi="仿宋" w:eastAsia="仿宋" w:cs="仿宋"/>
          <w:sz w:val="24"/>
          <w:szCs w:val="24"/>
          <w:highlight w:val="none"/>
        </w:rPr>
      </w:pPr>
      <w:r>
        <w:rPr>
          <w:rFonts w:hint="eastAsia" w:ascii="仿宋" w:hAnsi="仿宋" w:eastAsia="仿宋" w:cs="仿宋"/>
          <w:sz w:val="24"/>
          <w:szCs w:val="24"/>
          <w:highlight w:val="none"/>
        </w:rPr>
        <w:t>说明</w:t>
      </w:r>
    </w:p>
    <w:p>
      <w:pPr>
        <w:rPr>
          <w:rFonts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sz w:val="24"/>
          <w:szCs w:val="24"/>
          <w:highlight w:val="none"/>
        </w:rPr>
        <w:t>“备注”栏，可填写该人员擅长的工作种类；</w:t>
      </w:r>
    </w:p>
    <w:p>
      <w:pPr>
        <w:rPr>
          <w:rFonts w:ascii="仿宋" w:hAnsi="仿宋" w:eastAsia="仿宋" w:cs="仿宋"/>
          <w:sz w:val="24"/>
          <w:szCs w:val="24"/>
          <w:highlight w:val="none"/>
        </w:rPr>
      </w:pPr>
      <w:r>
        <w:rPr>
          <w:rFonts w:hint="eastAsia" w:ascii="仿宋" w:hAnsi="仿宋" w:eastAsia="仿宋" w:cs="仿宋"/>
          <w:sz w:val="24"/>
          <w:szCs w:val="24"/>
          <w:highlight w:val="none"/>
        </w:rPr>
        <w:t>2、如果行数不够，请自行增加。</w:t>
      </w:r>
    </w:p>
    <w:p>
      <w:pPr>
        <w:rPr>
          <w:rFonts w:ascii="仿宋" w:hAnsi="仿宋" w:eastAsia="仿宋" w:cs="仿宋"/>
          <w:sz w:val="24"/>
          <w:szCs w:val="24"/>
          <w:highlight w:val="none"/>
        </w:rPr>
      </w:pPr>
    </w:p>
    <w:p>
      <w:pPr>
        <w:spacing w:line="360" w:lineRule="auto"/>
        <w:rPr>
          <w:rFonts w:ascii="仿宋" w:hAnsi="仿宋" w:eastAsia="仿宋" w:cs="仿宋"/>
          <w:b/>
          <w:bCs/>
          <w:sz w:val="22"/>
          <w:highlight w:val="none"/>
        </w:rPr>
      </w:pPr>
      <w:bookmarkStart w:id="84" w:name="_Toc14763"/>
      <w:bookmarkStart w:id="85" w:name="_Toc1300"/>
      <w:bookmarkStart w:id="86" w:name="_Toc27621"/>
    </w:p>
    <w:p>
      <w:pPr>
        <w:spacing w:line="360" w:lineRule="auto"/>
        <w:outlineLvl w:val="2"/>
        <w:rPr>
          <w:rFonts w:ascii="仿宋" w:hAnsi="仿宋" w:eastAsia="仿宋" w:cs="仿宋"/>
          <w:b/>
          <w:bCs/>
          <w:sz w:val="22"/>
          <w:highlight w:val="none"/>
        </w:rPr>
      </w:pPr>
      <w:bookmarkStart w:id="87" w:name="_Toc25472"/>
      <w:r>
        <w:rPr>
          <w:rFonts w:hint="eastAsia" w:ascii="仿宋" w:hAnsi="仿宋" w:eastAsia="仿宋" w:cs="仿宋"/>
          <w:b/>
          <w:bCs/>
          <w:sz w:val="22"/>
          <w:highlight w:val="none"/>
        </w:rPr>
        <w:t>目录十一、供应商类似业绩情况表</w:t>
      </w:r>
      <w:bookmarkEnd w:id="84"/>
      <w:bookmarkEnd w:id="85"/>
      <w:bookmarkEnd w:id="86"/>
      <w:bookmarkEnd w:id="87"/>
      <w:r>
        <w:rPr>
          <w:rFonts w:hint="eastAsia" w:ascii="仿宋" w:hAnsi="仿宋" w:eastAsia="仿宋" w:cs="仿宋"/>
          <w:b/>
          <w:bCs/>
          <w:sz w:val="22"/>
          <w:highlight w:val="none"/>
        </w:rPr>
        <w:t>（如有）</w:t>
      </w:r>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供应商类似业绩情况表</w:t>
      </w:r>
    </w:p>
    <w:p>
      <w:pPr>
        <w:pStyle w:val="22"/>
        <w:ind w:left="0" w:leftChars="0" w:firstLine="0" w:firstLineChars="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标包</w:t>
      </w:r>
      <w:r>
        <w:rPr>
          <w:rFonts w:hint="eastAsia" w:ascii="仿宋" w:hAnsi="仿宋" w:eastAsia="仿宋" w:cs="仿宋"/>
          <w:sz w:val="24"/>
          <w:szCs w:val="24"/>
          <w:highlight w:val="none"/>
        </w:rPr>
        <w:t xml:space="preserve">名称：                                        </w:t>
      </w:r>
      <w:r>
        <w:rPr>
          <w:rFonts w:hint="eastAsia" w:ascii="仿宋" w:hAnsi="仿宋" w:eastAsia="仿宋" w:cs="仿宋"/>
          <w:sz w:val="24"/>
          <w:szCs w:val="24"/>
          <w:highlight w:val="none"/>
          <w:lang w:val="en-US" w:eastAsia="zh-CN"/>
        </w:rPr>
        <w:t>标包</w:t>
      </w:r>
      <w:r>
        <w:rPr>
          <w:rFonts w:hint="eastAsia" w:ascii="仿宋" w:hAnsi="仿宋" w:eastAsia="仿宋" w:cs="仿宋"/>
          <w:sz w:val="24"/>
          <w:szCs w:val="24"/>
          <w:highlight w:val="none"/>
        </w:rPr>
        <w:t>编号：</w:t>
      </w:r>
    </w:p>
    <w:tbl>
      <w:tblPr>
        <w:tblStyle w:val="23"/>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76"/>
        <w:gridCol w:w="1076"/>
        <w:gridCol w:w="1076"/>
        <w:gridCol w:w="1819"/>
        <w:gridCol w:w="14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vAlign w:val="center"/>
          </w:tcPr>
          <w:p>
            <w:pPr>
              <w:pStyle w:val="22"/>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1076" w:type="dxa"/>
            <w:vAlign w:val="center"/>
          </w:tcPr>
          <w:p>
            <w:pPr>
              <w:pStyle w:val="22"/>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项目名称</w:t>
            </w:r>
          </w:p>
        </w:tc>
        <w:tc>
          <w:tcPr>
            <w:tcW w:w="1076" w:type="dxa"/>
            <w:vAlign w:val="center"/>
          </w:tcPr>
          <w:p>
            <w:pPr>
              <w:pStyle w:val="22"/>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业主单位</w:t>
            </w:r>
          </w:p>
        </w:tc>
        <w:tc>
          <w:tcPr>
            <w:tcW w:w="1076" w:type="dxa"/>
            <w:vAlign w:val="center"/>
          </w:tcPr>
          <w:p>
            <w:pPr>
              <w:pStyle w:val="22"/>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项目规模</w:t>
            </w:r>
          </w:p>
        </w:tc>
        <w:tc>
          <w:tcPr>
            <w:tcW w:w="1819" w:type="dxa"/>
            <w:vAlign w:val="center"/>
          </w:tcPr>
          <w:p>
            <w:pPr>
              <w:pStyle w:val="22"/>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签约及服务时间</w:t>
            </w:r>
          </w:p>
        </w:tc>
        <w:tc>
          <w:tcPr>
            <w:tcW w:w="1450" w:type="dxa"/>
            <w:vAlign w:val="center"/>
          </w:tcPr>
          <w:p>
            <w:pPr>
              <w:pStyle w:val="22"/>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联系人及电话</w:t>
            </w:r>
          </w:p>
        </w:tc>
        <w:tc>
          <w:tcPr>
            <w:tcW w:w="1150" w:type="dxa"/>
            <w:vAlign w:val="center"/>
          </w:tcPr>
          <w:p>
            <w:pPr>
              <w:pStyle w:val="22"/>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819" w:type="dxa"/>
          </w:tcPr>
          <w:p>
            <w:pPr>
              <w:autoSpaceDE w:val="0"/>
              <w:autoSpaceDN w:val="0"/>
              <w:adjustRightInd w:val="0"/>
              <w:rPr>
                <w:rFonts w:ascii="仿宋" w:hAnsi="仿宋" w:eastAsia="仿宋" w:cs="仿宋"/>
                <w:sz w:val="24"/>
                <w:highlight w:val="none"/>
              </w:rPr>
            </w:pPr>
          </w:p>
        </w:tc>
        <w:tc>
          <w:tcPr>
            <w:tcW w:w="1450" w:type="dxa"/>
          </w:tcPr>
          <w:p>
            <w:pPr>
              <w:autoSpaceDE w:val="0"/>
              <w:autoSpaceDN w:val="0"/>
              <w:adjustRightInd w:val="0"/>
              <w:rPr>
                <w:rFonts w:ascii="仿宋" w:hAnsi="仿宋" w:eastAsia="仿宋" w:cs="仿宋"/>
                <w:sz w:val="24"/>
                <w:highlight w:val="none"/>
              </w:rPr>
            </w:pPr>
          </w:p>
        </w:tc>
        <w:tc>
          <w:tcPr>
            <w:tcW w:w="1150" w:type="dxa"/>
          </w:tcPr>
          <w:p>
            <w:pPr>
              <w:autoSpaceDE w:val="0"/>
              <w:autoSpaceDN w:val="0"/>
              <w:adjustRightInd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819" w:type="dxa"/>
          </w:tcPr>
          <w:p>
            <w:pPr>
              <w:autoSpaceDE w:val="0"/>
              <w:autoSpaceDN w:val="0"/>
              <w:adjustRightInd w:val="0"/>
              <w:rPr>
                <w:rFonts w:ascii="仿宋" w:hAnsi="仿宋" w:eastAsia="仿宋" w:cs="仿宋"/>
                <w:sz w:val="24"/>
                <w:highlight w:val="none"/>
              </w:rPr>
            </w:pPr>
          </w:p>
        </w:tc>
        <w:tc>
          <w:tcPr>
            <w:tcW w:w="1450" w:type="dxa"/>
          </w:tcPr>
          <w:p>
            <w:pPr>
              <w:autoSpaceDE w:val="0"/>
              <w:autoSpaceDN w:val="0"/>
              <w:adjustRightInd w:val="0"/>
              <w:rPr>
                <w:rFonts w:ascii="仿宋" w:hAnsi="仿宋" w:eastAsia="仿宋" w:cs="仿宋"/>
                <w:sz w:val="24"/>
                <w:highlight w:val="none"/>
              </w:rPr>
            </w:pPr>
          </w:p>
        </w:tc>
        <w:tc>
          <w:tcPr>
            <w:tcW w:w="1150" w:type="dxa"/>
          </w:tcPr>
          <w:p>
            <w:pPr>
              <w:autoSpaceDE w:val="0"/>
              <w:autoSpaceDN w:val="0"/>
              <w:adjustRightInd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819" w:type="dxa"/>
          </w:tcPr>
          <w:p>
            <w:pPr>
              <w:autoSpaceDE w:val="0"/>
              <w:autoSpaceDN w:val="0"/>
              <w:adjustRightInd w:val="0"/>
              <w:rPr>
                <w:rFonts w:ascii="仿宋" w:hAnsi="仿宋" w:eastAsia="仿宋" w:cs="仿宋"/>
                <w:sz w:val="24"/>
                <w:highlight w:val="none"/>
              </w:rPr>
            </w:pPr>
          </w:p>
        </w:tc>
        <w:tc>
          <w:tcPr>
            <w:tcW w:w="1450" w:type="dxa"/>
          </w:tcPr>
          <w:p>
            <w:pPr>
              <w:autoSpaceDE w:val="0"/>
              <w:autoSpaceDN w:val="0"/>
              <w:adjustRightInd w:val="0"/>
              <w:rPr>
                <w:rFonts w:ascii="仿宋" w:hAnsi="仿宋" w:eastAsia="仿宋" w:cs="仿宋"/>
                <w:sz w:val="24"/>
                <w:highlight w:val="none"/>
              </w:rPr>
            </w:pPr>
          </w:p>
        </w:tc>
        <w:tc>
          <w:tcPr>
            <w:tcW w:w="1150" w:type="dxa"/>
          </w:tcPr>
          <w:p>
            <w:pPr>
              <w:autoSpaceDE w:val="0"/>
              <w:autoSpaceDN w:val="0"/>
              <w:adjustRightInd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819" w:type="dxa"/>
          </w:tcPr>
          <w:p>
            <w:pPr>
              <w:autoSpaceDE w:val="0"/>
              <w:autoSpaceDN w:val="0"/>
              <w:adjustRightInd w:val="0"/>
              <w:rPr>
                <w:rFonts w:ascii="仿宋" w:hAnsi="仿宋" w:eastAsia="仿宋" w:cs="仿宋"/>
                <w:sz w:val="24"/>
                <w:highlight w:val="none"/>
              </w:rPr>
            </w:pPr>
          </w:p>
        </w:tc>
        <w:tc>
          <w:tcPr>
            <w:tcW w:w="1450" w:type="dxa"/>
          </w:tcPr>
          <w:p>
            <w:pPr>
              <w:autoSpaceDE w:val="0"/>
              <w:autoSpaceDN w:val="0"/>
              <w:adjustRightInd w:val="0"/>
              <w:rPr>
                <w:rFonts w:ascii="仿宋" w:hAnsi="仿宋" w:eastAsia="仿宋" w:cs="仿宋"/>
                <w:sz w:val="24"/>
                <w:highlight w:val="none"/>
              </w:rPr>
            </w:pPr>
          </w:p>
        </w:tc>
        <w:tc>
          <w:tcPr>
            <w:tcW w:w="1150" w:type="dxa"/>
          </w:tcPr>
          <w:p>
            <w:pPr>
              <w:autoSpaceDE w:val="0"/>
              <w:autoSpaceDN w:val="0"/>
              <w:adjustRightInd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819" w:type="dxa"/>
          </w:tcPr>
          <w:p>
            <w:pPr>
              <w:autoSpaceDE w:val="0"/>
              <w:autoSpaceDN w:val="0"/>
              <w:adjustRightInd w:val="0"/>
              <w:rPr>
                <w:rFonts w:ascii="仿宋" w:hAnsi="仿宋" w:eastAsia="仿宋" w:cs="仿宋"/>
                <w:sz w:val="24"/>
                <w:highlight w:val="none"/>
              </w:rPr>
            </w:pPr>
          </w:p>
        </w:tc>
        <w:tc>
          <w:tcPr>
            <w:tcW w:w="1450" w:type="dxa"/>
          </w:tcPr>
          <w:p>
            <w:pPr>
              <w:autoSpaceDE w:val="0"/>
              <w:autoSpaceDN w:val="0"/>
              <w:adjustRightInd w:val="0"/>
              <w:rPr>
                <w:rFonts w:ascii="仿宋" w:hAnsi="仿宋" w:eastAsia="仿宋" w:cs="仿宋"/>
                <w:sz w:val="24"/>
                <w:highlight w:val="none"/>
              </w:rPr>
            </w:pPr>
          </w:p>
        </w:tc>
        <w:tc>
          <w:tcPr>
            <w:tcW w:w="1150" w:type="dxa"/>
          </w:tcPr>
          <w:p>
            <w:pPr>
              <w:autoSpaceDE w:val="0"/>
              <w:autoSpaceDN w:val="0"/>
              <w:adjustRightInd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076" w:type="dxa"/>
          </w:tcPr>
          <w:p>
            <w:pPr>
              <w:autoSpaceDE w:val="0"/>
              <w:autoSpaceDN w:val="0"/>
              <w:adjustRightInd w:val="0"/>
              <w:rPr>
                <w:rFonts w:ascii="仿宋" w:hAnsi="仿宋" w:eastAsia="仿宋" w:cs="仿宋"/>
                <w:sz w:val="24"/>
                <w:highlight w:val="none"/>
              </w:rPr>
            </w:pPr>
          </w:p>
        </w:tc>
        <w:tc>
          <w:tcPr>
            <w:tcW w:w="1819" w:type="dxa"/>
          </w:tcPr>
          <w:p>
            <w:pPr>
              <w:autoSpaceDE w:val="0"/>
              <w:autoSpaceDN w:val="0"/>
              <w:adjustRightInd w:val="0"/>
              <w:rPr>
                <w:rFonts w:ascii="仿宋" w:hAnsi="仿宋" w:eastAsia="仿宋" w:cs="仿宋"/>
                <w:sz w:val="24"/>
                <w:highlight w:val="none"/>
              </w:rPr>
            </w:pPr>
          </w:p>
        </w:tc>
        <w:tc>
          <w:tcPr>
            <w:tcW w:w="1450" w:type="dxa"/>
          </w:tcPr>
          <w:p>
            <w:pPr>
              <w:autoSpaceDE w:val="0"/>
              <w:autoSpaceDN w:val="0"/>
              <w:adjustRightInd w:val="0"/>
              <w:rPr>
                <w:rFonts w:ascii="仿宋" w:hAnsi="仿宋" w:eastAsia="仿宋" w:cs="仿宋"/>
                <w:sz w:val="24"/>
                <w:highlight w:val="none"/>
              </w:rPr>
            </w:pPr>
          </w:p>
        </w:tc>
        <w:tc>
          <w:tcPr>
            <w:tcW w:w="1150" w:type="dxa"/>
          </w:tcPr>
          <w:p>
            <w:pPr>
              <w:autoSpaceDE w:val="0"/>
              <w:autoSpaceDN w:val="0"/>
              <w:adjustRightInd w:val="0"/>
              <w:rPr>
                <w:rFonts w:ascii="仿宋" w:hAnsi="仿宋" w:eastAsia="仿宋" w:cs="仿宋"/>
                <w:sz w:val="24"/>
                <w:highlight w:val="none"/>
              </w:rPr>
            </w:pPr>
          </w:p>
        </w:tc>
      </w:tr>
    </w:tbl>
    <w:p>
      <w:pPr>
        <w:rPr>
          <w:rFonts w:ascii="仿宋" w:hAnsi="仿宋" w:eastAsia="仿宋" w:cs="仿宋"/>
          <w:b/>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w:t>
      </w:r>
      <w:r>
        <w:rPr>
          <w:rFonts w:hint="eastAsia" w:ascii="仿宋" w:hAnsi="仿宋" w:eastAsia="仿宋" w:cs="仿宋"/>
          <w:sz w:val="24"/>
          <w:highlight w:val="none"/>
        </w:rPr>
        <w:t>（盖</w:t>
      </w:r>
      <w:r>
        <w:rPr>
          <w:rFonts w:hint="eastAsia" w:ascii="仿宋" w:hAnsi="仿宋" w:eastAsia="仿宋" w:cs="仿宋"/>
          <w:sz w:val="24"/>
          <w:highlight w:val="none"/>
          <w:lang w:val="en-US" w:eastAsia="zh-CN"/>
        </w:rPr>
        <w:t>公</w:t>
      </w:r>
      <w:r>
        <w:rPr>
          <w:rFonts w:hint="eastAsia" w:ascii="仿宋" w:hAnsi="仿宋" w:eastAsia="仿宋" w:cs="仿宋"/>
          <w:sz w:val="24"/>
          <w:highlight w:val="none"/>
        </w:rPr>
        <w:t>章）</w:t>
      </w:r>
    </w:p>
    <w:p>
      <w:pPr>
        <w:rPr>
          <w:rFonts w:ascii="仿宋" w:hAnsi="仿宋" w:eastAsia="仿宋" w:cs="仿宋"/>
          <w:sz w:val="24"/>
          <w:highlight w:val="none"/>
        </w:rPr>
      </w:pPr>
      <w:r>
        <w:rPr>
          <w:rFonts w:hint="eastAsia" w:ascii="仿宋" w:hAnsi="仿宋" w:eastAsia="仿宋" w:cs="仿宋"/>
          <w:sz w:val="24"/>
          <w:highlight w:val="none"/>
        </w:rPr>
        <w:t>说明：</w:t>
      </w:r>
    </w:p>
    <w:p>
      <w:pPr>
        <w:rPr>
          <w:rFonts w:ascii="仿宋" w:hAnsi="仿宋" w:eastAsia="仿宋" w:cs="仿宋"/>
          <w:sz w:val="24"/>
          <w:highlight w:val="none"/>
        </w:rPr>
      </w:pPr>
      <w:r>
        <w:rPr>
          <w:rFonts w:hint="eastAsia" w:ascii="仿宋" w:hAnsi="仿宋" w:eastAsia="仿宋" w:cs="仿宋"/>
          <w:sz w:val="24"/>
          <w:highlight w:val="none"/>
        </w:rPr>
        <w:t>1.如果行数不够，请自行增加。</w:t>
      </w:r>
    </w:p>
    <w:p>
      <w:pPr>
        <w:rPr>
          <w:rFonts w:ascii="仿宋" w:hAnsi="仿宋" w:eastAsia="仿宋" w:cs="仿宋"/>
          <w:sz w:val="24"/>
          <w:highlight w:val="none"/>
        </w:rPr>
      </w:pPr>
      <w:r>
        <w:rPr>
          <w:rFonts w:hint="eastAsia" w:ascii="仿宋" w:hAnsi="仿宋" w:eastAsia="仿宋" w:cs="仿宋"/>
          <w:sz w:val="24"/>
          <w:highlight w:val="none"/>
        </w:rPr>
        <w:t>2.所有业绩均需要提供有效的复印件（扫描件）。</w:t>
      </w:r>
    </w:p>
    <w:p>
      <w:pPr>
        <w:rPr>
          <w:rFonts w:ascii="仿宋" w:hAnsi="仿宋" w:eastAsia="仿宋" w:cs="仿宋"/>
          <w:b/>
          <w:bCs/>
          <w:sz w:val="22"/>
          <w:szCs w:val="24"/>
          <w:highlight w:val="none"/>
        </w:rPr>
      </w:pPr>
      <w:r>
        <w:rPr>
          <w:rFonts w:hint="eastAsia" w:ascii="仿宋" w:hAnsi="仿宋" w:eastAsia="仿宋" w:cs="仿宋"/>
          <w:b/>
          <w:bCs/>
          <w:sz w:val="22"/>
          <w:szCs w:val="24"/>
          <w:highlight w:val="none"/>
        </w:rPr>
        <w:br w:type="page"/>
      </w:r>
    </w:p>
    <w:p>
      <w:pPr>
        <w:spacing w:line="360" w:lineRule="auto"/>
        <w:outlineLvl w:val="2"/>
        <w:rPr>
          <w:rFonts w:ascii="仿宋" w:hAnsi="仿宋" w:eastAsia="仿宋" w:cs="仿宋"/>
          <w:b/>
          <w:bCs/>
          <w:sz w:val="22"/>
          <w:highlight w:val="none"/>
        </w:rPr>
      </w:pPr>
      <w:bookmarkStart w:id="88" w:name="_Toc16925"/>
      <w:bookmarkStart w:id="89" w:name="_Toc20556"/>
      <w:r>
        <w:rPr>
          <w:rFonts w:hint="eastAsia" w:ascii="仿宋" w:hAnsi="仿宋" w:eastAsia="仿宋" w:cs="仿宋"/>
          <w:b/>
          <w:bCs/>
          <w:sz w:val="22"/>
          <w:highlight w:val="none"/>
        </w:rPr>
        <w:t>目录十二、投标需要的其他证明文件及材料</w:t>
      </w:r>
      <w:bookmarkEnd w:id="88"/>
      <w:bookmarkEnd w:id="89"/>
    </w:p>
    <w:p>
      <w:pPr>
        <w:pStyle w:val="31"/>
        <w:spacing w:line="360" w:lineRule="auto"/>
        <w:jc w:val="left"/>
        <w:rPr>
          <w:rFonts w:ascii="仿宋" w:hAnsi="仿宋" w:eastAsia="仿宋" w:cs="仿宋"/>
          <w:b/>
          <w:bCs/>
          <w:sz w:val="24"/>
          <w:highlight w:val="none"/>
        </w:rPr>
      </w:pPr>
    </w:p>
    <w:p>
      <w:pPr>
        <w:pStyle w:val="31"/>
        <w:spacing w:line="360" w:lineRule="auto"/>
        <w:jc w:val="left"/>
        <w:rPr>
          <w:rFonts w:ascii="仿宋" w:hAnsi="仿宋" w:eastAsia="仿宋" w:cs="仿宋"/>
          <w:b/>
          <w:bCs/>
          <w:sz w:val="24"/>
          <w:highlight w:val="none"/>
        </w:rPr>
      </w:pPr>
      <w:r>
        <w:rPr>
          <w:rFonts w:hint="eastAsia" w:ascii="仿宋" w:hAnsi="仿宋" w:eastAsia="仿宋" w:cs="仿宋"/>
          <w:b/>
          <w:bCs/>
          <w:sz w:val="24"/>
          <w:highlight w:val="none"/>
        </w:rPr>
        <w:t>投标需要的其他证明文件及材料（营业执照、相关资质证书、人员证书、相关合同业绩、</w:t>
      </w:r>
      <w:r>
        <w:rPr>
          <w:rFonts w:hint="eastAsia" w:ascii="仿宋" w:hAnsi="仿宋" w:eastAsia="仿宋" w:cs="仿宋"/>
          <w:b/>
          <w:bCs/>
          <w:sz w:val="24"/>
          <w:highlight w:val="none"/>
          <w:u w:val="single"/>
        </w:rPr>
        <w:t>南京市政府采购供应商信用记录表暨信用承诺书</w:t>
      </w:r>
      <w:r>
        <w:rPr>
          <w:rFonts w:hint="eastAsia" w:ascii="仿宋" w:hAnsi="仿宋" w:eastAsia="仿宋" w:cs="仿宋"/>
          <w:b/>
          <w:bCs/>
          <w:sz w:val="24"/>
          <w:highlight w:val="none"/>
        </w:rPr>
        <w:t>等其他投标单位认为需要递交的资料）下划线部分的资料必须提供。</w:t>
      </w:r>
    </w:p>
    <w:p>
      <w:pPr>
        <w:rPr>
          <w:rFonts w:ascii="仿宋" w:hAnsi="仿宋" w:eastAsia="仿宋" w:cs="仿宋"/>
          <w:b/>
          <w:bCs/>
          <w:sz w:val="22"/>
          <w:highlight w:val="none"/>
        </w:rPr>
      </w:pPr>
      <w:bookmarkStart w:id="90" w:name="_Toc7449"/>
      <w:bookmarkStart w:id="91" w:name="_Toc877"/>
      <w:bookmarkStart w:id="92" w:name="_Toc5592"/>
      <w:r>
        <w:rPr>
          <w:rFonts w:hint="eastAsia" w:ascii="仿宋" w:hAnsi="仿宋" w:eastAsia="仿宋" w:cs="仿宋"/>
          <w:b/>
          <w:bCs/>
          <w:sz w:val="22"/>
          <w:highlight w:val="none"/>
        </w:rPr>
        <w:br w:type="page"/>
      </w:r>
    </w:p>
    <w:p>
      <w:pPr>
        <w:spacing w:line="360" w:lineRule="auto"/>
        <w:outlineLvl w:val="2"/>
        <w:rPr>
          <w:rFonts w:ascii="仿宋" w:hAnsi="仿宋" w:eastAsia="仿宋" w:cs="仿宋"/>
          <w:b/>
          <w:bCs/>
          <w:sz w:val="22"/>
          <w:highlight w:val="none"/>
        </w:rPr>
      </w:pPr>
      <w:bookmarkStart w:id="93" w:name="_Toc11339"/>
      <w:r>
        <w:rPr>
          <w:rFonts w:hint="eastAsia" w:ascii="仿宋" w:hAnsi="仿宋" w:eastAsia="仿宋" w:cs="仿宋"/>
          <w:b/>
          <w:bCs/>
          <w:sz w:val="22"/>
          <w:highlight w:val="none"/>
        </w:rPr>
        <w:t>附件一、</w:t>
      </w:r>
      <w:bookmarkStart w:id="94" w:name="_Toc469583074"/>
      <w:bookmarkStart w:id="95" w:name="_Toc524964900"/>
      <w:bookmarkStart w:id="96" w:name="_Toc447021131"/>
      <w:r>
        <w:rPr>
          <w:rFonts w:hint="eastAsia" w:ascii="仿宋" w:hAnsi="仿宋" w:eastAsia="仿宋" w:cs="仿宋"/>
          <w:b/>
          <w:bCs/>
          <w:sz w:val="22"/>
          <w:highlight w:val="none"/>
        </w:rPr>
        <w:t>政府采购政策</w:t>
      </w:r>
      <w:bookmarkEnd w:id="90"/>
      <w:bookmarkEnd w:id="91"/>
      <w:bookmarkEnd w:id="92"/>
      <w:bookmarkEnd w:id="93"/>
    </w:p>
    <w:bookmarkEnd w:id="94"/>
    <w:bookmarkEnd w:id="95"/>
    <w:bookmarkEnd w:id="96"/>
    <w:p>
      <w:pPr>
        <w:jc w:val="left"/>
        <w:rPr>
          <w:rFonts w:ascii="仿宋" w:hAnsi="仿宋" w:eastAsia="仿宋" w:cs="仿宋"/>
          <w:sz w:val="36"/>
          <w:szCs w:val="36"/>
          <w:highlight w:val="none"/>
        </w:rPr>
      </w:pPr>
      <w:r>
        <w:rPr>
          <w:rFonts w:hint="eastAsia" w:ascii="仿宋" w:hAnsi="仿宋" w:eastAsia="仿宋" w:cs="仿宋"/>
          <w:b/>
          <w:bCs/>
          <w:sz w:val="24"/>
          <w:szCs w:val="24"/>
          <w:highlight w:val="none"/>
        </w:rPr>
        <w:t>1.中小企业声明函</w:t>
      </w:r>
    </w:p>
    <w:p>
      <w:pPr>
        <w:widowControl/>
        <w:jc w:val="center"/>
        <w:rPr>
          <w:rFonts w:ascii="仿宋" w:hAnsi="仿宋" w:eastAsia="仿宋" w:cs="仿宋"/>
          <w:b/>
          <w:bCs/>
          <w:kern w:val="0"/>
          <w:sz w:val="24"/>
          <w:szCs w:val="24"/>
          <w:highlight w:val="none"/>
        </w:rPr>
      </w:pPr>
    </w:p>
    <w:p>
      <w:pPr>
        <w:widowControl/>
        <w:jc w:val="center"/>
        <w:rPr>
          <w:rFonts w:ascii="仿宋" w:hAnsi="仿宋" w:eastAsia="仿宋" w:cs="仿宋"/>
          <w:sz w:val="24"/>
          <w:szCs w:val="24"/>
          <w:highlight w:val="none"/>
        </w:rPr>
      </w:pPr>
      <w:r>
        <w:rPr>
          <w:rFonts w:hint="eastAsia" w:ascii="仿宋" w:hAnsi="仿宋" w:eastAsia="仿宋" w:cs="仿宋"/>
          <w:b/>
          <w:bCs/>
          <w:kern w:val="0"/>
          <w:sz w:val="24"/>
          <w:szCs w:val="24"/>
          <w:highlight w:val="none"/>
        </w:rPr>
        <w:t>中小企业声明函（服务）</w:t>
      </w:r>
    </w:p>
    <w:p>
      <w:pPr>
        <w:pStyle w:val="31"/>
        <w:rPr>
          <w:rFonts w:ascii="仿宋" w:hAnsi="仿宋" w:eastAsia="仿宋" w:cs="仿宋"/>
          <w:highlight w:val="none"/>
        </w:rPr>
      </w:pP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kern w:val="0"/>
          <w:sz w:val="24"/>
          <w:szCs w:val="24"/>
          <w:highlight w:val="none"/>
        </w:rPr>
        <w:t xml:space="preserve">本公司郑重声明，根据《政府采购促进中小企业发展管理办法》（财库 </w:t>
      </w: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kern w:val="0"/>
          <w:sz w:val="24"/>
          <w:szCs w:val="24"/>
          <w:highlight w:val="none"/>
        </w:rPr>
        <w:t>﹝2020﹞46号）的规定，本公司参加</w:t>
      </w:r>
      <w:r>
        <w:rPr>
          <w:rFonts w:hint="eastAsia" w:ascii="仿宋" w:hAnsi="仿宋" w:eastAsia="仿宋" w:cs="仿宋"/>
          <w:sz w:val="24"/>
          <w:szCs w:val="24"/>
          <w:highlight w:val="none"/>
          <w:u w:val="single"/>
          <w:lang w:eastAsia="zh-CN"/>
        </w:rPr>
        <w:t>南京市雨花台区铁心桥街道尹西社区居民委员会</w:t>
      </w:r>
      <w:r>
        <w:rPr>
          <w:rFonts w:hint="eastAsia" w:ascii="仿宋" w:hAnsi="仿宋" w:eastAsia="仿宋" w:cs="仿宋"/>
          <w:kern w:val="0"/>
          <w:sz w:val="24"/>
          <w:szCs w:val="24"/>
          <w:highlight w:val="none"/>
        </w:rPr>
        <w:t>的</w:t>
      </w:r>
      <w:r>
        <w:rPr>
          <w:rFonts w:hint="eastAsia" w:ascii="仿宋" w:hAnsi="仿宋" w:eastAsia="仿宋" w:cs="仿宋"/>
          <w:sz w:val="24"/>
          <w:szCs w:val="24"/>
          <w:highlight w:val="none"/>
          <w:u w:val="single"/>
          <w:lang w:eastAsia="zh-CN"/>
        </w:rPr>
        <w:t>2024年铁心桥街道尹西社区社会组织服务项目</w:t>
      </w:r>
      <w:r>
        <w:rPr>
          <w:rFonts w:hint="eastAsia" w:ascii="仿宋" w:hAnsi="仿宋" w:eastAsia="仿宋" w:cs="仿宋"/>
          <w:kern w:val="0"/>
          <w:sz w:val="24"/>
          <w:szCs w:val="24"/>
          <w:highlight w:val="none"/>
        </w:rPr>
        <w:t>采购活动，</w:t>
      </w:r>
      <w:r>
        <w:rPr>
          <w:rFonts w:hint="eastAsia" w:ascii="仿宋" w:hAnsi="仿宋" w:eastAsia="仿宋" w:cs="仿宋"/>
          <w:sz w:val="24"/>
          <w:szCs w:val="24"/>
          <w:highlight w:val="none"/>
        </w:rPr>
        <w:t>服务全部由符合政策要求的中小企业承接。</w:t>
      </w:r>
      <w:r>
        <w:rPr>
          <w:rFonts w:hint="eastAsia" w:ascii="仿宋" w:hAnsi="仿宋" w:eastAsia="仿宋" w:cs="仿宋"/>
          <w:kern w:val="0"/>
          <w:sz w:val="24"/>
          <w:szCs w:val="24"/>
          <w:highlight w:val="none"/>
        </w:rPr>
        <w:t xml:space="preserve">相关企业的具体情况如下： </w:t>
      </w: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u w:val="single"/>
          <w:lang w:eastAsia="zh-CN"/>
        </w:rPr>
        <w:t>2024年铁心桥街道尹西社区社会组织服务项目</w:t>
      </w:r>
      <w:r>
        <w:rPr>
          <w:rFonts w:hint="eastAsia" w:ascii="仿宋" w:hAnsi="仿宋" w:eastAsia="仿宋" w:cs="仿宋"/>
          <w:kern w:val="0"/>
          <w:sz w:val="24"/>
          <w:szCs w:val="24"/>
          <w:highlight w:val="none"/>
        </w:rPr>
        <w:t>，属于</w:t>
      </w:r>
      <w:r>
        <w:rPr>
          <w:rFonts w:hint="eastAsia" w:ascii="仿宋" w:hAnsi="仿宋" w:eastAsia="仿宋" w:cs="仿宋"/>
          <w:sz w:val="24"/>
          <w:szCs w:val="24"/>
          <w:highlight w:val="none"/>
          <w:u w:val="single"/>
        </w:rPr>
        <w:t>其他未列明行业</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承接企业</w:t>
      </w:r>
      <w:r>
        <w:rPr>
          <w:rFonts w:hint="eastAsia" w:ascii="仿宋" w:hAnsi="仿宋" w:eastAsia="仿宋" w:cs="仿宋"/>
          <w:kern w:val="0"/>
          <w:sz w:val="24"/>
          <w:szCs w:val="24"/>
          <w:highlight w:val="none"/>
        </w:rPr>
        <w:t>为</w:t>
      </w:r>
      <w:r>
        <w:rPr>
          <w:rFonts w:hint="eastAsia" w:ascii="仿宋" w:hAnsi="仿宋" w:eastAsia="仿宋" w:cs="仿宋"/>
          <w:i/>
          <w:iCs/>
          <w:kern w:val="0"/>
          <w:sz w:val="24"/>
          <w:szCs w:val="24"/>
          <w:highlight w:val="none"/>
          <w:u w:val="single"/>
        </w:rPr>
        <w:t>（企业名称）</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i/>
          <w:iCs/>
          <w:kern w:val="0"/>
          <w:sz w:val="24"/>
          <w:szCs w:val="24"/>
          <w:highlight w:val="none"/>
          <w:u w:val="single"/>
        </w:rPr>
        <w:t>（中型企业、小型企业、微型企业）</w:t>
      </w:r>
      <w:r>
        <w:rPr>
          <w:rFonts w:hint="eastAsia" w:ascii="仿宋" w:hAnsi="仿宋" w:eastAsia="仿宋" w:cs="仿宋"/>
          <w:kern w:val="0"/>
          <w:sz w:val="24"/>
          <w:szCs w:val="24"/>
          <w:highlight w:val="none"/>
        </w:rPr>
        <w:t xml:space="preserve">； </w:t>
      </w:r>
    </w:p>
    <w:p>
      <w:pPr>
        <w:widowControl/>
        <w:spacing w:line="360" w:lineRule="auto"/>
        <w:ind w:firstLine="480" w:firstLineChars="200"/>
        <w:jc w:val="left"/>
        <w:rPr>
          <w:rFonts w:ascii="仿宋" w:hAnsi="仿宋" w:eastAsia="仿宋" w:cs="仿宋"/>
          <w:kern w:val="0"/>
          <w:sz w:val="24"/>
          <w:szCs w:val="24"/>
          <w:highlight w:val="none"/>
        </w:rPr>
      </w:pP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kern w:val="0"/>
          <w:sz w:val="24"/>
          <w:szCs w:val="24"/>
          <w:highlight w:val="none"/>
        </w:rPr>
        <w:t xml:space="preserve">以上企业，不属于大企业的分支机构，不存在控股股东为大企业的情形，也不存在与大企业的负责人为同一人的情形。 </w:t>
      </w: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kern w:val="0"/>
          <w:sz w:val="24"/>
          <w:szCs w:val="24"/>
          <w:highlight w:val="none"/>
        </w:rPr>
        <w:t xml:space="preserve">本企业对上述声明内容的真实性负责。如有虚假，将依法承担相应责任。 </w:t>
      </w:r>
    </w:p>
    <w:p>
      <w:pPr>
        <w:widowControl/>
        <w:spacing w:line="360" w:lineRule="auto"/>
        <w:ind w:firstLine="5520" w:firstLineChars="2300"/>
        <w:jc w:val="left"/>
        <w:rPr>
          <w:rFonts w:ascii="仿宋" w:hAnsi="仿宋" w:eastAsia="仿宋" w:cs="仿宋"/>
          <w:sz w:val="24"/>
          <w:szCs w:val="24"/>
          <w:highlight w:val="none"/>
        </w:rPr>
      </w:pPr>
      <w:r>
        <w:rPr>
          <w:rFonts w:hint="eastAsia" w:ascii="仿宋" w:hAnsi="仿宋" w:eastAsia="仿宋" w:cs="仿宋"/>
          <w:kern w:val="0"/>
          <w:sz w:val="24"/>
          <w:szCs w:val="24"/>
          <w:highlight w:val="none"/>
        </w:rPr>
        <w:t xml:space="preserve">企业名称（盖章）： </w:t>
      </w:r>
    </w:p>
    <w:p>
      <w:pPr>
        <w:widowControl/>
        <w:spacing w:line="360" w:lineRule="auto"/>
        <w:ind w:firstLine="5520" w:firstLineChars="2300"/>
        <w:jc w:val="left"/>
        <w:rPr>
          <w:rFonts w:hint="default"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日 期：</w:t>
      </w:r>
      <w:r>
        <w:rPr>
          <w:rFonts w:hint="eastAsia" w:ascii="仿宋" w:hAnsi="仿宋" w:eastAsia="仿宋" w:cs="仿宋"/>
          <w:kern w:val="0"/>
          <w:sz w:val="24"/>
          <w:szCs w:val="24"/>
          <w:highlight w:val="none"/>
          <w:lang w:val="en-US" w:eastAsia="zh-CN"/>
        </w:rPr>
        <w:t xml:space="preserve">  年  月  日</w:t>
      </w:r>
    </w:p>
    <w:p>
      <w:pPr>
        <w:widowControl/>
        <w:spacing w:line="360" w:lineRule="auto"/>
        <w:ind w:firstLine="480" w:firstLineChars="200"/>
        <w:jc w:val="left"/>
        <w:rPr>
          <w:rFonts w:ascii="仿宋" w:hAnsi="仿宋" w:eastAsia="仿宋" w:cs="仿宋"/>
          <w:sz w:val="24"/>
          <w:highlight w:val="none"/>
        </w:rPr>
      </w:pPr>
    </w:p>
    <w:p>
      <w:pPr>
        <w:widowControl/>
        <w:spacing w:line="360" w:lineRule="auto"/>
        <w:ind w:firstLine="480" w:firstLineChars="200"/>
        <w:jc w:val="left"/>
        <w:rPr>
          <w:rFonts w:ascii="仿宋" w:hAnsi="仿宋" w:eastAsia="仿宋" w:cs="仿宋"/>
          <w:sz w:val="24"/>
          <w:highlight w:val="none"/>
        </w:rPr>
      </w:pPr>
    </w:p>
    <w:p>
      <w:pPr>
        <w:widowControl/>
        <w:spacing w:line="360" w:lineRule="auto"/>
        <w:ind w:firstLine="480" w:firstLineChars="200"/>
        <w:jc w:val="left"/>
        <w:rPr>
          <w:rFonts w:ascii="仿宋" w:hAnsi="仿宋" w:eastAsia="仿宋" w:cs="仿宋"/>
          <w:kern w:val="0"/>
          <w:sz w:val="24"/>
          <w:szCs w:val="24"/>
          <w:highlight w:val="none"/>
        </w:rPr>
      </w:pPr>
      <w:r>
        <w:rPr>
          <w:rFonts w:hint="eastAsia" w:ascii="仿宋" w:hAnsi="仿宋" w:eastAsia="仿宋" w:cs="仿宋"/>
          <w:sz w:val="24"/>
          <w:highlight w:val="none"/>
        </w:rPr>
        <w:t>注：1、</w:t>
      </w:r>
      <w:r>
        <w:rPr>
          <w:rFonts w:hint="eastAsia" w:ascii="仿宋" w:hAnsi="仿宋" w:eastAsia="仿宋" w:cs="仿宋"/>
          <w:kern w:val="0"/>
          <w:sz w:val="24"/>
          <w:szCs w:val="24"/>
          <w:highlight w:val="none"/>
        </w:rPr>
        <w:t>从业人员、营业收入、资产总额填报上一年度数据，无上一年度数据的新成立企业可不填报。</w:t>
      </w: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b/>
          <w:bCs/>
          <w:sz w:val="24"/>
          <w:highlight w:val="none"/>
        </w:rPr>
      </w:pPr>
      <w:bookmarkStart w:id="97" w:name="_Toc10884"/>
      <w:bookmarkStart w:id="98" w:name="_Toc15614"/>
      <w:r>
        <w:rPr>
          <w:rFonts w:hint="eastAsia" w:ascii="仿宋" w:hAnsi="仿宋" w:eastAsia="仿宋" w:cs="仿宋"/>
          <w:b/>
          <w:bCs/>
          <w:sz w:val="24"/>
          <w:highlight w:val="none"/>
        </w:rPr>
        <w:br w:type="page"/>
      </w:r>
      <w:r>
        <w:rPr>
          <w:rFonts w:hint="eastAsia" w:ascii="仿宋" w:hAnsi="仿宋" w:eastAsia="仿宋" w:cs="仿宋"/>
          <w:b/>
          <w:bCs/>
          <w:sz w:val="24"/>
          <w:highlight w:val="none"/>
        </w:rPr>
        <w:t>2.残疾人福利性单位声明函</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本单位对上述声明的真实性负责。如有虚假，将依法承担相应责任。 </w:t>
      </w:r>
    </w:p>
    <w:p>
      <w:pPr>
        <w:spacing w:line="360" w:lineRule="auto"/>
        <w:ind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单位名称（盖章）： </w:t>
      </w:r>
    </w:p>
    <w:p>
      <w:pPr>
        <w:spacing w:line="360" w:lineRule="auto"/>
        <w:ind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rPr>
          <w:rFonts w:ascii="仿宋" w:hAnsi="仿宋" w:eastAsia="仿宋" w:cs="仿宋"/>
          <w:b/>
          <w:bCs/>
          <w:sz w:val="24"/>
          <w:highlight w:val="none"/>
        </w:rPr>
      </w:pPr>
    </w:p>
    <w:p>
      <w:pPr>
        <w:spacing w:line="360" w:lineRule="auto"/>
        <w:rPr>
          <w:rFonts w:ascii="仿宋" w:hAnsi="仿宋" w:eastAsia="仿宋" w:cs="仿宋"/>
          <w:b/>
          <w:bCs/>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3.属于监狱企业的证明文件</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（提供由省级以上监狱管理局、戒毒管理局(含新疆生产建设兵团)出具的属于监狱企业的证明文件）</w:t>
      </w:r>
    </w:p>
    <w:p>
      <w:pPr>
        <w:spacing w:line="360" w:lineRule="auto"/>
        <w:ind w:firstLine="480" w:firstLineChars="200"/>
        <w:jc w:val="center"/>
        <w:rPr>
          <w:rFonts w:ascii="仿宋" w:hAnsi="仿宋" w:eastAsia="仿宋" w:cs="仿宋"/>
          <w:sz w:val="24"/>
          <w:highlight w:val="none"/>
        </w:rPr>
      </w:pPr>
    </w:p>
    <w:p>
      <w:pPr>
        <w:spacing w:line="360" w:lineRule="auto"/>
        <w:ind w:firstLine="480" w:firstLineChars="200"/>
        <w:jc w:val="center"/>
        <w:rPr>
          <w:rFonts w:ascii="仿宋" w:hAnsi="仿宋" w:eastAsia="仿宋" w:cs="仿宋"/>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4.节能产品认证证书</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（提供国家确定的认证机构出具的、处于有效期之内的产品认证证书） </w:t>
      </w:r>
    </w:p>
    <w:p>
      <w:pPr>
        <w:spacing w:line="360" w:lineRule="auto"/>
        <w:ind w:firstLine="480" w:firstLineChars="200"/>
        <w:jc w:val="left"/>
        <w:rPr>
          <w:rFonts w:ascii="仿宋" w:hAnsi="仿宋" w:eastAsia="仿宋" w:cs="仿宋"/>
          <w:sz w:val="24"/>
          <w:highlight w:val="none"/>
        </w:rPr>
      </w:pPr>
    </w:p>
    <w:p>
      <w:pPr>
        <w:spacing w:line="360" w:lineRule="auto"/>
        <w:ind w:firstLine="480" w:firstLineChars="200"/>
        <w:jc w:val="left"/>
        <w:rPr>
          <w:rFonts w:ascii="仿宋" w:hAnsi="仿宋" w:eastAsia="仿宋" w:cs="仿宋"/>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5.环境标志产品认证证书</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（提供国家确定的认证机构出具的、处于有效期之内的产品认证证书）</w:t>
      </w:r>
    </w:p>
    <w:p>
      <w:pPr>
        <w:spacing w:line="360" w:lineRule="auto"/>
        <w:ind w:firstLine="480" w:firstLineChars="200"/>
        <w:jc w:val="center"/>
        <w:rPr>
          <w:rFonts w:ascii="仿宋" w:hAnsi="仿宋" w:eastAsia="仿宋" w:cs="仿宋"/>
          <w:sz w:val="24"/>
          <w:highlight w:val="none"/>
        </w:rPr>
      </w:pPr>
    </w:p>
    <w:p>
      <w:pPr>
        <w:spacing w:line="360" w:lineRule="auto"/>
        <w:ind w:firstLine="480" w:firstLineChars="200"/>
        <w:jc w:val="center"/>
        <w:rPr>
          <w:rFonts w:ascii="仿宋" w:hAnsi="仿宋" w:eastAsia="仿宋" w:cs="仿宋"/>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6.进口产品转让技术、消化吸收再创新方案</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（对于允许进口产品参加的项目）</w:t>
      </w:r>
    </w:p>
    <w:p>
      <w:pPr>
        <w:pStyle w:val="5"/>
        <w:keepLines w:val="0"/>
        <w:tabs>
          <w:tab w:val="left" w:pos="903"/>
          <w:tab w:val="left" w:pos="1440"/>
          <w:tab w:val="left" w:pos="5670"/>
        </w:tabs>
        <w:spacing w:before="240" w:after="240"/>
        <w:rPr>
          <w:rFonts w:ascii="仿宋" w:hAnsi="仿宋" w:eastAsia="仿宋" w:cs="仿宋"/>
          <w:sz w:val="24"/>
          <w:szCs w:val="24"/>
          <w:highlight w:val="none"/>
        </w:rPr>
      </w:pPr>
      <w:r>
        <w:rPr>
          <w:rFonts w:hint="eastAsia" w:ascii="仿宋" w:hAnsi="仿宋" w:eastAsia="仿宋" w:cs="仿宋"/>
          <w:highlight w:val="none"/>
        </w:rPr>
        <w:br w:type="page"/>
      </w:r>
      <w:bookmarkStart w:id="99" w:name="_Toc8224"/>
      <w:bookmarkStart w:id="100" w:name="_Toc17942"/>
      <w:r>
        <w:rPr>
          <w:rFonts w:hint="eastAsia" w:ascii="仿宋" w:hAnsi="仿宋" w:eastAsia="仿宋" w:cs="仿宋"/>
          <w:sz w:val="24"/>
          <w:szCs w:val="24"/>
          <w:highlight w:val="none"/>
        </w:rPr>
        <w:t>附件二、无重大违法记录声明格式</w:t>
      </w:r>
      <w:bookmarkEnd w:id="97"/>
      <w:bookmarkEnd w:id="98"/>
      <w:bookmarkEnd w:id="99"/>
      <w:bookmarkEnd w:id="100"/>
    </w:p>
    <w:p>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无重大违法记录声明</w:t>
      </w:r>
    </w:p>
    <w:p>
      <w:pPr>
        <w:spacing w:line="360" w:lineRule="auto"/>
        <w:rPr>
          <w:rFonts w:ascii="仿宋" w:hAnsi="仿宋" w:eastAsia="仿宋" w:cs="仿宋"/>
          <w:sz w:val="24"/>
          <w:highlight w:val="none"/>
        </w:rPr>
      </w:pPr>
      <w:r>
        <w:rPr>
          <w:rFonts w:hint="eastAsia" w:ascii="仿宋" w:hAnsi="仿宋" w:eastAsia="仿宋" w:cs="仿宋"/>
          <w:b/>
          <w:bCs/>
          <w:sz w:val="24"/>
          <w:szCs w:val="24"/>
          <w:highlight w:val="none"/>
          <w:lang w:eastAsia="zh-CN"/>
        </w:rPr>
        <w:t>南京市雨花台区铁心桥街道尹西社区居民委员会</w:t>
      </w:r>
      <w:r>
        <w:rPr>
          <w:rFonts w:hint="eastAsia" w:ascii="仿宋" w:hAnsi="仿宋" w:eastAsia="仿宋" w:cs="仿宋"/>
          <w:sz w:val="24"/>
          <w:highlight w:val="none"/>
        </w:rPr>
        <w:t>：</w:t>
      </w:r>
    </w:p>
    <w:p>
      <w:pPr>
        <w:spacing w:line="360" w:lineRule="auto"/>
        <w:rPr>
          <w:rFonts w:ascii="仿宋" w:hAnsi="仿宋" w:eastAsia="仿宋" w:cs="仿宋"/>
          <w:sz w:val="24"/>
          <w:highlight w:val="none"/>
        </w:rPr>
      </w:pPr>
      <w:r>
        <w:rPr>
          <w:rFonts w:hint="eastAsia" w:ascii="仿宋" w:hAnsi="仿宋" w:eastAsia="仿宋" w:cs="仿宋"/>
          <w:sz w:val="24"/>
          <w:highlight w:val="none"/>
        </w:rPr>
        <w:t>我单位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（供应商名称）郑重声明：</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参加政府采购活动前3年内在经营活动中</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（在下划线上如实填写：</w:t>
      </w:r>
      <w:r>
        <w:rPr>
          <w:rFonts w:hint="eastAsia" w:ascii="仿宋" w:hAnsi="仿宋" w:eastAsia="仿宋" w:cs="仿宋"/>
          <w:b/>
          <w:bCs/>
          <w:sz w:val="24"/>
          <w:highlight w:val="none"/>
        </w:rPr>
        <w:t>有或没有</w:t>
      </w:r>
      <w:r>
        <w:rPr>
          <w:rFonts w:hint="eastAsia" w:ascii="仿宋" w:hAnsi="仿宋" w:eastAsia="仿宋" w:cs="仿宋"/>
          <w:sz w:val="24"/>
          <w:highlight w:val="none"/>
        </w:rPr>
        <w:t>）重大违法记录。</w:t>
      </w:r>
    </w:p>
    <w:p>
      <w:pPr>
        <w:spacing w:line="360" w:lineRule="auto"/>
        <w:ind w:firstLine="484" w:firstLineChars="202"/>
        <w:rPr>
          <w:rFonts w:ascii="仿宋" w:hAnsi="仿宋" w:eastAsia="仿宋" w:cs="仿宋"/>
          <w:sz w:val="24"/>
          <w:highlight w:val="none"/>
        </w:rPr>
      </w:pPr>
      <w:r>
        <w:rPr>
          <w:rFonts w:hint="eastAsia" w:ascii="仿宋" w:hAnsi="仿宋" w:eastAsia="仿宋" w:cs="仿宋"/>
          <w:sz w:val="24"/>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jc w:val="right"/>
        <w:rPr>
          <w:rFonts w:ascii="仿宋" w:hAnsi="仿宋" w:eastAsia="仿宋" w:cs="仿宋"/>
          <w:sz w:val="24"/>
          <w:highlight w:val="none"/>
        </w:rPr>
      </w:pPr>
      <w:r>
        <w:rPr>
          <w:rFonts w:hint="eastAsia" w:ascii="仿宋" w:hAnsi="仿宋" w:eastAsia="仿宋" w:cs="仿宋"/>
          <w:sz w:val="24"/>
          <w:highlight w:val="none"/>
        </w:rPr>
        <w:t>声明人（公章）：</w:t>
      </w:r>
    </w:p>
    <w:p>
      <w:pPr>
        <w:spacing w:line="360" w:lineRule="auto"/>
        <w:jc w:val="right"/>
        <w:rPr>
          <w:rFonts w:ascii="仿宋" w:hAnsi="仿宋" w:eastAsia="仿宋" w:cs="仿宋"/>
          <w:b/>
          <w:bCs/>
          <w:sz w:val="24"/>
          <w:highlight w:val="none"/>
        </w:rPr>
      </w:pPr>
      <w:r>
        <w:rPr>
          <w:rFonts w:hint="eastAsia" w:ascii="仿宋" w:hAnsi="仿宋" w:eastAsia="仿宋" w:cs="仿宋"/>
          <w:sz w:val="24"/>
          <w:highlight w:val="none"/>
        </w:rPr>
        <w:t>日期：   年   月   日</w:t>
      </w:r>
    </w:p>
    <w:p>
      <w:pPr>
        <w:pStyle w:val="5"/>
        <w:tabs>
          <w:tab w:val="left" w:pos="903"/>
          <w:tab w:val="left" w:pos="1440"/>
          <w:tab w:val="left" w:pos="5670"/>
        </w:tabs>
        <w:spacing w:before="20" w:after="20" w:line="360" w:lineRule="auto"/>
        <w:rPr>
          <w:rFonts w:ascii="仿宋" w:hAnsi="仿宋" w:eastAsia="仿宋" w:cs="仿宋"/>
          <w:kern w:val="0"/>
          <w:sz w:val="24"/>
          <w:szCs w:val="28"/>
          <w:highlight w:val="none"/>
          <w:lang w:val="zh-CN"/>
        </w:rPr>
      </w:pPr>
      <w:r>
        <w:rPr>
          <w:rFonts w:hint="eastAsia" w:ascii="仿宋" w:hAnsi="仿宋" w:eastAsia="仿宋" w:cs="仿宋"/>
          <w:highlight w:val="none"/>
        </w:rPr>
        <w:br w:type="page"/>
      </w:r>
      <w:bookmarkStart w:id="101" w:name="_Toc8249"/>
      <w:bookmarkStart w:id="102" w:name="_Toc11716"/>
      <w:bookmarkStart w:id="103" w:name="_Toc16637"/>
      <w:r>
        <w:rPr>
          <w:rFonts w:hint="eastAsia" w:ascii="仿宋" w:hAnsi="仿宋" w:eastAsia="仿宋" w:cs="仿宋"/>
          <w:kern w:val="0"/>
          <w:sz w:val="24"/>
          <w:szCs w:val="28"/>
          <w:highlight w:val="none"/>
          <w:lang w:val="zh-CN"/>
        </w:rPr>
        <w:t>附件</w:t>
      </w:r>
      <w:r>
        <w:rPr>
          <w:rFonts w:hint="eastAsia" w:ascii="仿宋" w:hAnsi="仿宋" w:eastAsia="仿宋" w:cs="仿宋"/>
          <w:kern w:val="0"/>
          <w:sz w:val="24"/>
          <w:szCs w:val="28"/>
          <w:highlight w:val="none"/>
        </w:rPr>
        <w:t>三</w:t>
      </w:r>
      <w:r>
        <w:rPr>
          <w:rFonts w:hint="eastAsia" w:ascii="仿宋" w:hAnsi="仿宋" w:eastAsia="仿宋" w:cs="仿宋"/>
          <w:kern w:val="0"/>
          <w:sz w:val="24"/>
          <w:szCs w:val="28"/>
          <w:highlight w:val="none"/>
          <w:lang w:val="zh-CN"/>
        </w:rPr>
        <w:t>、</w:t>
      </w:r>
      <w:r>
        <w:rPr>
          <w:rFonts w:hint="eastAsia" w:ascii="仿宋" w:hAnsi="仿宋" w:eastAsia="仿宋" w:cs="仿宋"/>
          <w:kern w:val="0"/>
          <w:sz w:val="24"/>
          <w:szCs w:val="28"/>
          <w:highlight w:val="none"/>
        </w:rPr>
        <w:t>南京市政府采购供应商信用记录表暨信用承诺书</w:t>
      </w:r>
      <w:bookmarkEnd w:id="101"/>
      <w:bookmarkEnd w:id="102"/>
      <w:bookmarkEnd w:id="103"/>
    </w:p>
    <w:p>
      <w:pPr>
        <w:pStyle w:val="31"/>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南京市政府采购供应商信用记录表暨信用承诺书</w:t>
      </w:r>
    </w:p>
    <w:p>
      <w:pPr>
        <w:spacing w:line="360" w:lineRule="auto"/>
        <w:jc w:val="center"/>
        <w:rPr>
          <w:rFonts w:ascii="仿宋" w:hAnsi="仿宋" w:eastAsia="仿宋" w:cs="仿宋"/>
          <w:sz w:val="20"/>
          <w:highlight w:val="none"/>
        </w:rPr>
      </w:pPr>
      <w:r>
        <w:rPr>
          <w:rFonts w:hint="eastAsia" w:ascii="仿宋" w:hAnsi="仿宋" w:eastAsia="仿宋" w:cs="仿宋"/>
          <w:szCs w:val="21"/>
          <w:highlight w:val="none"/>
        </w:rPr>
        <w:t>（仅为示范格式，直接填写无效，需至“南京政府采购供应商诚信档案管理系统”在线打印）</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20  年  月  日</w:t>
      </w:r>
    </w:p>
    <w:tbl>
      <w:tblPr>
        <w:tblStyle w:val="24"/>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单位名称</w:t>
            </w:r>
          </w:p>
        </w:tc>
        <w:tc>
          <w:tcPr>
            <w:tcW w:w="2052" w:type="dxa"/>
            <w:vAlign w:val="center"/>
          </w:tcPr>
          <w:p>
            <w:pPr>
              <w:spacing w:line="251" w:lineRule="exact"/>
              <w:ind w:left="20"/>
              <w:jc w:val="center"/>
              <w:rPr>
                <w:rFonts w:ascii="仿宋" w:hAnsi="仿宋" w:eastAsia="仿宋" w:cs="仿宋"/>
                <w:b/>
                <w:bCs/>
                <w:sz w:val="24"/>
                <w:highlight w:val="none"/>
              </w:rPr>
            </w:pPr>
          </w:p>
        </w:tc>
        <w:tc>
          <w:tcPr>
            <w:tcW w:w="2298"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统一社会信用代码</w:t>
            </w:r>
          </w:p>
        </w:tc>
        <w:tc>
          <w:tcPr>
            <w:tcW w:w="2125" w:type="dxa"/>
            <w:vAlign w:val="center"/>
          </w:tcPr>
          <w:p>
            <w:pPr>
              <w:spacing w:line="251" w:lineRule="exact"/>
              <w:ind w:left="20"/>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法定代表人</w:t>
            </w:r>
          </w:p>
        </w:tc>
        <w:tc>
          <w:tcPr>
            <w:tcW w:w="2052" w:type="dxa"/>
            <w:vAlign w:val="center"/>
          </w:tcPr>
          <w:p>
            <w:pPr>
              <w:spacing w:line="251" w:lineRule="exact"/>
              <w:ind w:left="20"/>
              <w:jc w:val="center"/>
              <w:rPr>
                <w:rFonts w:ascii="仿宋" w:hAnsi="仿宋" w:eastAsia="仿宋" w:cs="仿宋"/>
                <w:b/>
                <w:bCs/>
                <w:sz w:val="24"/>
                <w:highlight w:val="none"/>
              </w:rPr>
            </w:pPr>
          </w:p>
        </w:tc>
        <w:tc>
          <w:tcPr>
            <w:tcW w:w="2298"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联系人</w:t>
            </w:r>
          </w:p>
        </w:tc>
        <w:tc>
          <w:tcPr>
            <w:tcW w:w="2125" w:type="dxa"/>
            <w:vAlign w:val="center"/>
          </w:tcPr>
          <w:p>
            <w:pPr>
              <w:spacing w:line="251" w:lineRule="exact"/>
              <w:ind w:left="20"/>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联系地址</w:t>
            </w:r>
          </w:p>
        </w:tc>
        <w:tc>
          <w:tcPr>
            <w:tcW w:w="2052" w:type="dxa"/>
            <w:vAlign w:val="center"/>
          </w:tcPr>
          <w:p>
            <w:pPr>
              <w:spacing w:line="251" w:lineRule="exact"/>
              <w:ind w:left="20"/>
              <w:jc w:val="center"/>
              <w:rPr>
                <w:rFonts w:ascii="仿宋" w:hAnsi="仿宋" w:eastAsia="仿宋" w:cs="仿宋"/>
                <w:b/>
                <w:bCs/>
                <w:sz w:val="24"/>
                <w:highlight w:val="none"/>
              </w:rPr>
            </w:pPr>
          </w:p>
        </w:tc>
        <w:tc>
          <w:tcPr>
            <w:tcW w:w="2298"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联系电话</w:t>
            </w:r>
          </w:p>
        </w:tc>
        <w:tc>
          <w:tcPr>
            <w:tcW w:w="2125" w:type="dxa"/>
            <w:vAlign w:val="center"/>
          </w:tcPr>
          <w:p>
            <w:pPr>
              <w:spacing w:line="251" w:lineRule="exact"/>
              <w:ind w:left="20"/>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pPr>
              <w:spacing w:line="251" w:lineRule="exact"/>
              <w:ind w:left="20"/>
              <w:jc w:val="center"/>
              <w:rPr>
                <w:rFonts w:ascii="仿宋" w:hAnsi="仿宋" w:eastAsia="仿宋" w:cs="仿宋"/>
                <w:sz w:val="24"/>
                <w:highlight w:val="none"/>
              </w:rPr>
            </w:pPr>
            <w:r>
              <w:rPr>
                <w:rFonts w:hint="eastAsia" w:ascii="仿宋" w:hAnsi="仿宋" w:eastAsia="仿宋" w:cs="仿宋"/>
                <w:b/>
                <w:bCs/>
                <w:sz w:val="24"/>
                <w:highlight w:val="none"/>
              </w:rPr>
              <w:t>诚信档案记录情况</w:t>
            </w:r>
          </w:p>
        </w:tc>
        <w:tc>
          <w:tcPr>
            <w:tcW w:w="6475" w:type="dxa"/>
            <w:gridSpan w:val="3"/>
            <w:vAlign w:val="center"/>
          </w:tcPr>
          <w:p>
            <w:pPr>
              <w:spacing w:line="251" w:lineRule="exact"/>
              <w:ind w:left="2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pPr>
              <w:spacing w:line="251" w:lineRule="exact"/>
              <w:ind w:left="20"/>
              <w:jc w:val="center"/>
              <w:rPr>
                <w:rFonts w:ascii="仿宋" w:hAnsi="仿宋" w:eastAsia="仿宋" w:cs="仿宋"/>
                <w:sz w:val="24"/>
                <w:highlight w:val="none"/>
              </w:rPr>
            </w:pPr>
            <w:r>
              <w:rPr>
                <w:rFonts w:hint="eastAsia" w:ascii="仿宋" w:hAnsi="仿宋" w:eastAsia="仿宋" w:cs="仿宋"/>
                <w:b/>
                <w:bCs/>
                <w:sz w:val="24"/>
                <w:highlight w:val="none"/>
              </w:rPr>
              <w:t>信用承诺</w:t>
            </w:r>
          </w:p>
        </w:tc>
        <w:tc>
          <w:tcPr>
            <w:tcW w:w="6475" w:type="dxa"/>
            <w:gridSpan w:val="3"/>
            <w:vAlign w:val="center"/>
          </w:tcPr>
          <w:p>
            <w:pPr>
              <w:spacing w:line="274" w:lineRule="exact"/>
              <w:ind w:right="60" w:firstLine="474" w:firstLineChars="200"/>
              <w:jc w:val="left"/>
              <w:rPr>
                <w:rFonts w:ascii="仿宋" w:hAnsi="仿宋" w:eastAsia="仿宋" w:cs="仿宋"/>
                <w:w w:val="99"/>
                <w:sz w:val="24"/>
                <w:highlight w:val="none"/>
              </w:rPr>
            </w:pPr>
            <w:r>
              <w:rPr>
                <w:rFonts w:hint="eastAsia" w:ascii="仿宋" w:hAnsi="仿宋" w:eastAsia="仿宋" w:cs="仿宋"/>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pPr>
              <w:spacing w:line="251" w:lineRule="exact"/>
              <w:ind w:left="20"/>
              <w:jc w:val="center"/>
              <w:rPr>
                <w:rFonts w:ascii="仿宋" w:hAnsi="仿宋" w:eastAsia="仿宋" w:cs="仿宋"/>
                <w:sz w:val="24"/>
                <w:highlight w:val="none"/>
              </w:rPr>
            </w:pPr>
          </w:p>
          <w:p>
            <w:pPr>
              <w:spacing w:line="251" w:lineRule="exact"/>
              <w:ind w:left="20"/>
              <w:jc w:val="center"/>
              <w:rPr>
                <w:rFonts w:ascii="仿宋" w:hAnsi="仿宋" w:eastAsia="仿宋" w:cs="仿宋"/>
                <w:sz w:val="24"/>
                <w:highlight w:val="none"/>
              </w:rPr>
            </w:pPr>
          </w:p>
          <w:p>
            <w:pPr>
              <w:spacing w:line="251" w:lineRule="exact"/>
              <w:ind w:left="20"/>
              <w:jc w:val="center"/>
              <w:rPr>
                <w:rFonts w:ascii="仿宋" w:hAnsi="仿宋" w:eastAsia="仿宋" w:cs="仿宋"/>
                <w:sz w:val="24"/>
                <w:highlight w:val="none"/>
              </w:rPr>
            </w:pPr>
          </w:p>
          <w:p>
            <w:pPr>
              <w:spacing w:line="251" w:lineRule="exact"/>
              <w:ind w:left="20"/>
              <w:jc w:val="center"/>
              <w:rPr>
                <w:rFonts w:ascii="仿宋" w:hAnsi="仿宋" w:eastAsia="仿宋" w:cs="仿宋"/>
                <w:sz w:val="24"/>
                <w:highlight w:val="none"/>
              </w:rPr>
            </w:pPr>
          </w:p>
          <w:p>
            <w:pPr>
              <w:spacing w:line="274" w:lineRule="exact"/>
              <w:ind w:left="23"/>
              <w:jc w:val="center"/>
              <w:rPr>
                <w:rFonts w:ascii="仿宋" w:hAnsi="仿宋" w:eastAsia="仿宋" w:cs="仿宋"/>
                <w:sz w:val="24"/>
                <w:highlight w:val="none"/>
              </w:rPr>
            </w:pPr>
            <w:r>
              <w:rPr>
                <w:rFonts w:hint="eastAsia" w:ascii="仿宋" w:hAnsi="仿宋" w:eastAsia="仿宋" w:cs="仿宋"/>
                <w:sz w:val="24"/>
                <w:highlight w:val="none"/>
              </w:rPr>
              <w:t xml:space="preserve">         供应商名称（盖章）：</w:t>
            </w:r>
          </w:p>
          <w:p>
            <w:pPr>
              <w:spacing w:line="274" w:lineRule="exact"/>
              <w:ind w:left="23"/>
              <w:jc w:val="center"/>
              <w:rPr>
                <w:rFonts w:ascii="仿宋" w:hAnsi="仿宋" w:eastAsia="仿宋" w:cs="仿宋"/>
                <w:sz w:val="24"/>
                <w:highlight w:val="none"/>
              </w:rPr>
            </w:pPr>
            <w:r>
              <w:rPr>
                <w:rFonts w:hint="eastAsia" w:ascii="仿宋" w:hAnsi="仿宋" w:eastAsia="仿宋" w:cs="仿宋"/>
                <w:sz w:val="24"/>
                <w:highlight w:val="none"/>
              </w:rPr>
              <w:t xml:space="preserve">         法定代表人（签字）：</w:t>
            </w:r>
          </w:p>
          <w:p>
            <w:pPr>
              <w:spacing w:line="274" w:lineRule="exact"/>
              <w:ind w:left="23"/>
              <w:jc w:val="center"/>
              <w:rPr>
                <w:rFonts w:ascii="仿宋" w:hAnsi="仿宋" w:eastAsia="仿宋" w:cs="仿宋"/>
                <w:sz w:val="24"/>
                <w:highlight w:val="none"/>
              </w:rPr>
            </w:pPr>
            <w:r>
              <w:rPr>
                <w:rFonts w:hint="eastAsia" w:ascii="仿宋" w:hAnsi="仿宋" w:eastAsia="仿宋" w:cs="仿宋"/>
                <w:sz w:val="24"/>
                <w:highlight w:val="none"/>
              </w:rPr>
              <w:t xml:space="preserve">        二〇   年  月    日</w:t>
            </w:r>
          </w:p>
        </w:tc>
      </w:tr>
    </w:tbl>
    <w:p>
      <w:pPr>
        <w:widowControl/>
        <w:jc w:val="left"/>
        <w:rPr>
          <w:rFonts w:ascii="仿宋" w:hAnsi="仿宋" w:eastAsia="仿宋" w:cs="仿宋"/>
          <w:b/>
          <w:bCs/>
          <w:sz w:val="22"/>
          <w:highlight w:val="none"/>
        </w:rPr>
      </w:pPr>
    </w:p>
    <w:sectPr>
      <w:footerReference r:id="rId5" w:type="default"/>
      <w:pgSz w:w="11906" w:h="16838"/>
      <w:pgMar w:top="1417" w:right="1757" w:bottom="1417" w:left="1757" w:header="851" w:footer="1020"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 w:hAnsi="仿宋" w:eastAsia="仿宋" w:cs="仿宋"/>
        <w:lang w:val="en-US"/>
      </w:rPr>
    </w:pPr>
    <w:r>
      <w:rPr>
        <w:rFonts w:ascii="仿宋" w:hAnsi="仿宋" w:eastAsia="仿宋" w:cs="仿宋"/>
        <w:lang w:val="en-US" w:bidi="ar-SA"/>
      </w:rPr>
      <mc:AlternateContent>
        <mc:Choice Requires="wps">
          <w:drawing>
            <wp:anchor distT="0" distB="0" distL="114300" distR="114300" simplePos="0" relativeHeight="251659264" behindDoc="0" locked="0" layoutInCell="1" allowOverlap="1">
              <wp:simplePos x="0" y="0"/>
              <wp:positionH relativeFrom="margin">
                <wp:posOffset>2956560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38</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63</w:t>
                          </w:r>
                          <w:r>
                            <w:rPr>
                              <w:rFonts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2.8pt;margin-top:0pt;height:144pt;width:144pt;mso-position-horizontal-relative:margin;mso-wrap-style:none;z-index:251659264;mso-width-relative:page;mso-height-relative:page;" filled="f" stroked="f" coordsize="21600,21600" o:gfxdata="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ysDvtUAAAAIAQAADwAAAAAAAAABACAAAAAiAAAAZHJzL2Rvd25yZXYueG1sUEsB&#10;AhQAFAAAAAgAh07iQIbxmbQxAgAAYwQAAA4AAAAAAAAAAQAgAAAAJAEAAGRycy9lMm9Eb2MueG1s&#10;UEsFBgAAAAAGAAYAWQEAAMcFAAAAAA==&#10;">
              <v:fill on="f" focussize="0,0"/>
              <v:stroke on="f" weight="0.5pt"/>
              <v:imagedata o:title=""/>
              <o:lock v:ext="edit" aspectratio="f"/>
              <v:textbox inset="0mm,0mm,0mm,0mm" style="mso-fit-shape-to-text:t;">
                <w:txbxContent>
                  <w:p>
                    <w:pPr>
                      <w:pStyle w:val="16"/>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38</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63</w:t>
                    </w:r>
                    <w:r>
                      <w:rPr>
                        <w:rFonts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hint="eastAsia" w:ascii="仿宋" w:hAnsi="仿宋" w:eastAsia="仿宋" w:cs="仿宋"/>
        <w:lang w:val="en-US"/>
      </w:rPr>
      <w:t>源成工程咨询（江苏南京）有限责任公司                                             025-86803150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61"/>
        <w:tab w:val="center" w:pos="4256"/>
      </w:tabs>
      <w:rPr>
        <w:rFonts w:ascii="仿宋" w:hAnsi="仿宋" w:eastAsia="仿宋" w:cs="仿宋"/>
      </w:rPr>
    </w:pPr>
    <w:r>
      <w:rPr>
        <w:rFonts w:ascii="仿宋" w:hAnsi="仿宋" w:eastAsia="仿宋" w:cs="仿宋"/>
        <w:lang w:val="en-US" w:bidi="ar-SA"/>
      </w:rPr>
      <mc:AlternateContent>
        <mc:Choice Requires="wps">
          <w:drawing>
            <wp:anchor distT="0" distB="0" distL="114300" distR="114300" simplePos="0" relativeHeight="251660288" behindDoc="0" locked="0" layoutInCell="1" allowOverlap="1">
              <wp:simplePos x="0" y="0"/>
              <wp:positionH relativeFrom="margin">
                <wp:posOffset>2937510</wp:posOffset>
              </wp:positionH>
              <wp:positionV relativeFrom="paragraph">
                <wp:posOffset>-18415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63</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63</w:t>
                          </w:r>
                          <w:r>
                            <w:rPr>
                              <w:rFonts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1.3pt;margin-top:-1.45pt;height:144pt;width:144pt;mso-position-horizontal-relative:margin;mso-wrap-style:none;z-index:251660288;mso-width-relative:page;mso-height-relative:page;" filled="f" stroked="f" coordsize="21600,21600" o:gfxdata="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eXy6TYAAAACgEAAA8AAAAAAAAAAQAgAAAAIgAAAGRycy9kb3ducmV2Lnht&#10;bFBLAQIUABQAAAAIAIdO4kA0iRrsMgIAAGMEAAAOAAAAAAAAAAEAIAAAACcBAABkcnMvZTJvRG9j&#10;LnhtbFBLBQYAAAAABgAGAFkBAADLBQAAAAA=&#10;">
              <v:fill on="f" focussize="0,0"/>
              <v:stroke on="f" weight="0.5pt"/>
              <v:imagedata o:title=""/>
              <o:lock v:ext="edit" aspectratio="f"/>
              <v:textbox inset="0mm,0mm,0mm,0mm" style="mso-fit-shape-to-text:t;">
                <w:txbxContent>
                  <w:p>
                    <w:pPr>
                      <w:pStyle w:val="16"/>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63</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63</w:t>
                    </w:r>
                    <w:r>
                      <w:rPr>
                        <w:rFonts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hint="eastAsia" w:ascii="仿宋" w:hAnsi="仿宋" w:eastAsia="仿宋" w:cs="仿宋"/>
        <w:lang w:val="en-US"/>
      </w:rPr>
      <w:t>源成工程咨询（江苏南京）有限责任公司                                             025-86803150</w:t>
    </w:r>
  </w:p>
  <w:p>
    <w:pPr>
      <w:pStyle w:val="11"/>
      <w:spacing w:line="14" w:lineRule="auto"/>
      <w:ind w:left="0"/>
      <w:rPr>
        <w:rFonts w:ascii="仿宋" w:hAnsi="仿宋" w:eastAsia="仿宋" w:cs="仿宋"/>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仿宋"/>
        <w:lang w:val="en-US" w:eastAsia="zh-CN"/>
      </w:rPr>
    </w:pPr>
    <w:r>
      <w:rPr>
        <w:rFonts w:hint="eastAsia" w:ascii="仿宋" w:hAnsi="仿宋" w:eastAsia="仿宋" w:cs="仿宋"/>
        <w:lang w:eastAsia="zh-CN"/>
      </w:rPr>
      <w:t>2024年铁心桥街道尹西社区社会组织服务项目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CB8BA"/>
    <w:multiLevelType w:val="singleLevel"/>
    <w:tmpl w:val="B5DCB8BA"/>
    <w:lvl w:ilvl="0" w:tentative="0">
      <w:start w:val="1"/>
      <w:numFmt w:val="decimal"/>
      <w:suff w:val="nothing"/>
      <w:lvlText w:val="%1、"/>
      <w:lvlJc w:val="left"/>
      <w:rPr>
        <w:rFonts w:hint="default" w:ascii="仿宋" w:hAnsi="仿宋" w:eastAsia="仿宋" w:cs="仿宋"/>
      </w:rPr>
    </w:lvl>
  </w:abstractNum>
  <w:abstractNum w:abstractNumId="1">
    <w:nsid w:val="D0FD961A"/>
    <w:multiLevelType w:val="singleLevel"/>
    <w:tmpl w:val="D0FD961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60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NTk2MmU4ZTU3Yzg0N2I1OTlhYjcyZmE1Y2UyNWMifQ=="/>
  </w:docVars>
  <w:rsids>
    <w:rsidRoot w:val="00172A27"/>
    <w:rsid w:val="00002154"/>
    <w:rsid w:val="00013C28"/>
    <w:rsid w:val="0002250F"/>
    <w:rsid w:val="00022D50"/>
    <w:rsid w:val="000330F2"/>
    <w:rsid w:val="0003550B"/>
    <w:rsid w:val="00041BB0"/>
    <w:rsid w:val="00042829"/>
    <w:rsid w:val="000449B5"/>
    <w:rsid w:val="00044EB7"/>
    <w:rsid w:val="0004666D"/>
    <w:rsid w:val="0005059B"/>
    <w:rsid w:val="0005432C"/>
    <w:rsid w:val="00054EC9"/>
    <w:rsid w:val="00055D19"/>
    <w:rsid w:val="00060528"/>
    <w:rsid w:val="0007004E"/>
    <w:rsid w:val="00087E12"/>
    <w:rsid w:val="000930FA"/>
    <w:rsid w:val="00094DBB"/>
    <w:rsid w:val="000B6419"/>
    <w:rsid w:val="000C0AFB"/>
    <w:rsid w:val="000C247A"/>
    <w:rsid w:val="000C5555"/>
    <w:rsid w:val="000D0F95"/>
    <w:rsid w:val="000E1F4E"/>
    <w:rsid w:val="000E4164"/>
    <w:rsid w:val="000E47EC"/>
    <w:rsid w:val="000E52FF"/>
    <w:rsid w:val="0010327E"/>
    <w:rsid w:val="00107E2A"/>
    <w:rsid w:val="00111A56"/>
    <w:rsid w:val="0011287E"/>
    <w:rsid w:val="001145A9"/>
    <w:rsid w:val="001155F7"/>
    <w:rsid w:val="00117B04"/>
    <w:rsid w:val="0012249E"/>
    <w:rsid w:val="00124DD7"/>
    <w:rsid w:val="001258A8"/>
    <w:rsid w:val="00132945"/>
    <w:rsid w:val="00132F51"/>
    <w:rsid w:val="0013657A"/>
    <w:rsid w:val="00142587"/>
    <w:rsid w:val="001544CC"/>
    <w:rsid w:val="00157D8D"/>
    <w:rsid w:val="0016312F"/>
    <w:rsid w:val="00167717"/>
    <w:rsid w:val="00172A27"/>
    <w:rsid w:val="00174D70"/>
    <w:rsid w:val="00176579"/>
    <w:rsid w:val="00180B58"/>
    <w:rsid w:val="0019210A"/>
    <w:rsid w:val="00192F56"/>
    <w:rsid w:val="00197403"/>
    <w:rsid w:val="001A04DF"/>
    <w:rsid w:val="001A1A6B"/>
    <w:rsid w:val="001C1384"/>
    <w:rsid w:val="001D16A7"/>
    <w:rsid w:val="001D18CA"/>
    <w:rsid w:val="001D383F"/>
    <w:rsid w:val="001F2EAB"/>
    <w:rsid w:val="001F3227"/>
    <w:rsid w:val="001F5041"/>
    <w:rsid w:val="001F5191"/>
    <w:rsid w:val="0020233D"/>
    <w:rsid w:val="00203BE9"/>
    <w:rsid w:val="00213CFF"/>
    <w:rsid w:val="002153A3"/>
    <w:rsid w:val="00223EA5"/>
    <w:rsid w:val="00225A20"/>
    <w:rsid w:val="00230DFE"/>
    <w:rsid w:val="00235469"/>
    <w:rsid w:val="00240503"/>
    <w:rsid w:val="002427AE"/>
    <w:rsid w:val="00246236"/>
    <w:rsid w:val="0025064E"/>
    <w:rsid w:val="00260742"/>
    <w:rsid w:val="00262D71"/>
    <w:rsid w:val="002665AD"/>
    <w:rsid w:val="002761D4"/>
    <w:rsid w:val="002776DB"/>
    <w:rsid w:val="00281B70"/>
    <w:rsid w:val="00281E26"/>
    <w:rsid w:val="002911C5"/>
    <w:rsid w:val="002931CA"/>
    <w:rsid w:val="00293677"/>
    <w:rsid w:val="002A297C"/>
    <w:rsid w:val="002A37A1"/>
    <w:rsid w:val="002A3BF3"/>
    <w:rsid w:val="002A593D"/>
    <w:rsid w:val="002B0D65"/>
    <w:rsid w:val="002B18CC"/>
    <w:rsid w:val="002B1BFE"/>
    <w:rsid w:val="002B42F8"/>
    <w:rsid w:val="002D358B"/>
    <w:rsid w:val="002D7AD1"/>
    <w:rsid w:val="002E430B"/>
    <w:rsid w:val="002E516C"/>
    <w:rsid w:val="002E6B29"/>
    <w:rsid w:val="002E7192"/>
    <w:rsid w:val="00303129"/>
    <w:rsid w:val="00305F4C"/>
    <w:rsid w:val="003109DE"/>
    <w:rsid w:val="00317ED2"/>
    <w:rsid w:val="00322894"/>
    <w:rsid w:val="00323C7E"/>
    <w:rsid w:val="003318CB"/>
    <w:rsid w:val="0034229F"/>
    <w:rsid w:val="0035051B"/>
    <w:rsid w:val="003520E3"/>
    <w:rsid w:val="00355DAA"/>
    <w:rsid w:val="00370479"/>
    <w:rsid w:val="00370F05"/>
    <w:rsid w:val="003744DD"/>
    <w:rsid w:val="00383FEB"/>
    <w:rsid w:val="00387FE8"/>
    <w:rsid w:val="00390D73"/>
    <w:rsid w:val="003A1C7B"/>
    <w:rsid w:val="003A29DA"/>
    <w:rsid w:val="003A3DB1"/>
    <w:rsid w:val="003A4166"/>
    <w:rsid w:val="003A69EB"/>
    <w:rsid w:val="003B7561"/>
    <w:rsid w:val="003E1347"/>
    <w:rsid w:val="003E271F"/>
    <w:rsid w:val="003E286E"/>
    <w:rsid w:val="003E7B06"/>
    <w:rsid w:val="003F100B"/>
    <w:rsid w:val="0040098E"/>
    <w:rsid w:val="00404C0C"/>
    <w:rsid w:val="004068FF"/>
    <w:rsid w:val="00406FAC"/>
    <w:rsid w:val="00414315"/>
    <w:rsid w:val="004202D2"/>
    <w:rsid w:val="00421581"/>
    <w:rsid w:val="00423561"/>
    <w:rsid w:val="00424F84"/>
    <w:rsid w:val="004563DE"/>
    <w:rsid w:val="00474718"/>
    <w:rsid w:val="00483ABD"/>
    <w:rsid w:val="004910BC"/>
    <w:rsid w:val="00491C58"/>
    <w:rsid w:val="0049229F"/>
    <w:rsid w:val="004938E7"/>
    <w:rsid w:val="004A0F54"/>
    <w:rsid w:val="004A7022"/>
    <w:rsid w:val="004B04D1"/>
    <w:rsid w:val="004B203D"/>
    <w:rsid w:val="004C259B"/>
    <w:rsid w:val="004D2CF3"/>
    <w:rsid w:val="004D46A5"/>
    <w:rsid w:val="004D6147"/>
    <w:rsid w:val="004D7CBE"/>
    <w:rsid w:val="004E5B32"/>
    <w:rsid w:val="004F01BD"/>
    <w:rsid w:val="004F3A49"/>
    <w:rsid w:val="004F4EDE"/>
    <w:rsid w:val="004F5398"/>
    <w:rsid w:val="004F6C68"/>
    <w:rsid w:val="005007CF"/>
    <w:rsid w:val="005013E0"/>
    <w:rsid w:val="0052111C"/>
    <w:rsid w:val="00524151"/>
    <w:rsid w:val="00530C07"/>
    <w:rsid w:val="005406D8"/>
    <w:rsid w:val="00543F93"/>
    <w:rsid w:val="00546871"/>
    <w:rsid w:val="005533ED"/>
    <w:rsid w:val="0056264D"/>
    <w:rsid w:val="005715E3"/>
    <w:rsid w:val="005751D3"/>
    <w:rsid w:val="005842E6"/>
    <w:rsid w:val="00587B54"/>
    <w:rsid w:val="005901FF"/>
    <w:rsid w:val="005920D5"/>
    <w:rsid w:val="005A0C5B"/>
    <w:rsid w:val="005A12A6"/>
    <w:rsid w:val="005A21EF"/>
    <w:rsid w:val="005A3495"/>
    <w:rsid w:val="005A460B"/>
    <w:rsid w:val="005A48E2"/>
    <w:rsid w:val="005A524D"/>
    <w:rsid w:val="005B13D6"/>
    <w:rsid w:val="005B1CD4"/>
    <w:rsid w:val="005C0E9C"/>
    <w:rsid w:val="005C406D"/>
    <w:rsid w:val="005C4711"/>
    <w:rsid w:val="005C74A4"/>
    <w:rsid w:val="005D207A"/>
    <w:rsid w:val="005D5BA6"/>
    <w:rsid w:val="005E2E0F"/>
    <w:rsid w:val="005E3122"/>
    <w:rsid w:val="005E377E"/>
    <w:rsid w:val="005E3950"/>
    <w:rsid w:val="005E6919"/>
    <w:rsid w:val="005F2F35"/>
    <w:rsid w:val="00607F7D"/>
    <w:rsid w:val="006120D8"/>
    <w:rsid w:val="00613381"/>
    <w:rsid w:val="00616542"/>
    <w:rsid w:val="006262F9"/>
    <w:rsid w:val="0063504B"/>
    <w:rsid w:val="006414B9"/>
    <w:rsid w:val="006502F5"/>
    <w:rsid w:val="00653A1B"/>
    <w:rsid w:val="0066029A"/>
    <w:rsid w:val="006655B8"/>
    <w:rsid w:val="0066738E"/>
    <w:rsid w:val="00673785"/>
    <w:rsid w:val="0067581E"/>
    <w:rsid w:val="006810B9"/>
    <w:rsid w:val="006854A0"/>
    <w:rsid w:val="006909BB"/>
    <w:rsid w:val="00693BD7"/>
    <w:rsid w:val="006A1968"/>
    <w:rsid w:val="006A3CEC"/>
    <w:rsid w:val="006A4179"/>
    <w:rsid w:val="006B0BDF"/>
    <w:rsid w:val="006B5E7A"/>
    <w:rsid w:val="006B6C2C"/>
    <w:rsid w:val="006C2D89"/>
    <w:rsid w:val="006C475D"/>
    <w:rsid w:val="006D3946"/>
    <w:rsid w:val="006D41EC"/>
    <w:rsid w:val="006D4DFB"/>
    <w:rsid w:val="006E076C"/>
    <w:rsid w:val="006E5612"/>
    <w:rsid w:val="006E69B9"/>
    <w:rsid w:val="006F19A7"/>
    <w:rsid w:val="006F1EE7"/>
    <w:rsid w:val="00706BD2"/>
    <w:rsid w:val="00710C78"/>
    <w:rsid w:val="00712103"/>
    <w:rsid w:val="007150A3"/>
    <w:rsid w:val="007150CE"/>
    <w:rsid w:val="00715DBD"/>
    <w:rsid w:val="007225FA"/>
    <w:rsid w:val="00724EA4"/>
    <w:rsid w:val="0072625E"/>
    <w:rsid w:val="00726E3F"/>
    <w:rsid w:val="00730587"/>
    <w:rsid w:val="00741845"/>
    <w:rsid w:val="00745A7D"/>
    <w:rsid w:val="007541D4"/>
    <w:rsid w:val="00754D2D"/>
    <w:rsid w:val="0075527A"/>
    <w:rsid w:val="007572CB"/>
    <w:rsid w:val="007619A3"/>
    <w:rsid w:val="00766CB8"/>
    <w:rsid w:val="00771921"/>
    <w:rsid w:val="00775B18"/>
    <w:rsid w:val="00777911"/>
    <w:rsid w:val="00777920"/>
    <w:rsid w:val="0078685E"/>
    <w:rsid w:val="00790770"/>
    <w:rsid w:val="00794325"/>
    <w:rsid w:val="007A3163"/>
    <w:rsid w:val="007A4DEA"/>
    <w:rsid w:val="007A566B"/>
    <w:rsid w:val="007A57BB"/>
    <w:rsid w:val="007B47DF"/>
    <w:rsid w:val="007B6839"/>
    <w:rsid w:val="007C0F11"/>
    <w:rsid w:val="007C17BB"/>
    <w:rsid w:val="007C1E1C"/>
    <w:rsid w:val="007D04CB"/>
    <w:rsid w:val="007D16C1"/>
    <w:rsid w:val="007E1B7B"/>
    <w:rsid w:val="007E20E8"/>
    <w:rsid w:val="007E31EC"/>
    <w:rsid w:val="007E5BD7"/>
    <w:rsid w:val="007E5D96"/>
    <w:rsid w:val="007E7295"/>
    <w:rsid w:val="007F38B7"/>
    <w:rsid w:val="007F7E8C"/>
    <w:rsid w:val="008045B5"/>
    <w:rsid w:val="008065F5"/>
    <w:rsid w:val="008123B4"/>
    <w:rsid w:val="00813EC0"/>
    <w:rsid w:val="00816F45"/>
    <w:rsid w:val="00821FD4"/>
    <w:rsid w:val="0082553C"/>
    <w:rsid w:val="0082694C"/>
    <w:rsid w:val="008317A6"/>
    <w:rsid w:val="00841F97"/>
    <w:rsid w:val="0085146C"/>
    <w:rsid w:val="00853293"/>
    <w:rsid w:val="00853A75"/>
    <w:rsid w:val="0085432D"/>
    <w:rsid w:val="00860BAC"/>
    <w:rsid w:val="00860D34"/>
    <w:rsid w:val="0086538B"/>
    <w:rsid w:val="00866CAF"/>
    <w:rsid w:val="00874D56"/>
    <w:rsid w:val="008750A3"/>
    <w:rsid w:val="00881B6D"/>
    <w:rsid w:val="0089178E"/>
    <w:rsid w:val="008A1309"/>
    <w:rsid w:val="008A39E2"/>
    <w:rsid w:val="008B3127"/>
    <w:rsid w:val="008B3DCA"/>
    <w:rsid w:val="008B77B8"/>
    <w:rsid w:val="008E4BB4"/>
    <w:rsid w:val="008E4EF6"/>
    <w:rsid w:val="008E678E"/>
    <w:rsid w:val="008F38DA"/>
    <w:rsid w:val="008F57A7"/>
    <w:rsid w:val="00902A02"/>
    <w:rsid w:val="00904C33"/>
    <w:rsid w:val="009104E2"/>
    <w:rsid w:val="00917A30"/>
    <w:rsid w:val="00923E50"/>
    <w:rsid w:val="00932F4C"/>
    <w:rsid w:val="00935722"/>
    <w:rsid w:val="0093717C"/>
    <w:rsid w:val="00941869"/>
    <w:rsid w:val="00943FB2"/>
    <w:rsid w:val="009452AC"/>
    <w:rsid w:val="00952928"/>
    <w:rsid w:val="00956F71"/>
    <w:rsid w:val="009574F7"/>
    <w:rsid w:val="00962B5E"/>
    <w:rsid w:val="00964C59"/>
    <w:rsid w:val="009706FD"/>
    <w:rsid w:val="00974495"/>
    <w:rsid w:val="00976A46"/>
    <w:rsid w:val="009856E4"/>
    <w:rsid w:val="00993F7C"/>
    <w:rsid w:val="0099656B"/>
    <w:rsid w:val="009A221E"/>
    <w:rsid w:val="009A2443"/>
    <w:rsid w:val="009A3B58"/>
    <w:rsid w:val="009A4C69"/>
    <w:rsid w:val="009A6E21"/>
    <w:rsid w:val="009B2602"/>
    <w:rsid w:val="009B50F0"/>
    <w:rsid w:val="009B635A"/>
    <w:rsid w:val="009C0179"/>
    <w:rsid w:val="009C0534"/>
    <w:rsid w:val="009C1A44"/>
    <w:rsid w:val="009C5961"/>
    <w:rsid w:val="009C61A3"/>
    <w:rsid w:val="009D0358"/>
    <w:rsid w:val="009D1BD1"/>
    <w:rsid w:val="009D23AD"/>
    <w:rsid w:val="009D494E"/>
    <w:rsid w:val="009D4A80"/>
    <w:rsid w:val="009D78D1"/>
    <w:rsid w:val="009E28F0"/>
    <w:rsid w:val="009E35C1"/>
    <w:rsid w:val="009E6339"/>
    <w:rsid w:val="009E67E4"/>
    <w:rsid w:val="009F0C8A"/>
    <w:rsid w:val="009F1C47"/>
    <w:rsid w:val="009F7041"/>
    <w:rsid w:val="00A01D93"/>
    <w:rsid w:val="00A0662C"/>
    <w:rsid w:val="00A164BC"/>
    <w:rsid w:val="00A21ED4"/>
    <w:rsid w:val="00A23A2C"/>
    <w:rsid w:val="00A2464B"/>
    <w:rsid w:val="00A257F4"/>
    <w:rsid w:val="00A35878"/>
    <w:rsid w:val="00A40965"/>
    <w:rsid w:val="00A42692"/>
    <w:rsid w:val="00A42EFE"/>
    <w:rsid w:val="00A44EDD"/>
    <w:rsid w:val="00A467D5"/>
    <w:rsid w:val="00A50227"/>
    <w:rsid w:val="00A51A58"/>
    <w:rsid w:val="00A57C05"/>
    <w:rsid w:val="00A616A2"/>
    <w:rsid w:val="00A6333A"/>
    <w:rsid w:val="00A646D4"/>
    <w:rsid w:val="00A65AD2"/>
    <w:rsid w:val="00A709D6"/>
    <w:rsid w:val="00A7526C"/>
    <w:rsid w:val="00A80CF9"/>
    <w:rsid w:val="00A826D5"/>
    <w:rsid w:val="00A83466"/>
    <w:rsid w:val="00A84A69"/>
    <w:rsid w:val="00A90775"/>
    <w:rsid w:val="00A91EA4"/>
    <w:rsid w:val="00A9233E"/>
    <w:rsid w:val="00AB091A"/>
    <w:rsid w:val="00AB6279"/>
    <w:rsid w:val="00AB7F87"/>
    <w:rsid w:val="00AC2C45"/>
    <w:rsid w:val="00AC75F0"/>
    <w:rsid w:val="00AC7D9F"/>
    <w:rsid w:val="00AD1D00"/>
    <w:rsid w:val="00AE46CF"/>
    <w:rsid w:val="00AF1F4B"/>
    <w:rsid w:val="00AF2FF5"/>
    <w:rsid w:val="00AF3252"/>
    <w:rsid w:val="00AF4DEC"/>
    <w:rsid w:val="00AF5A61"/>
    <w:rsid w:val="00AF6E13"/>
    <w:rsid w:val="00B02411"/>
    <w:rsid w:val="00B039B0"/>
    <w:rsid w:val="00B0501E"/>
    <w:rsid w:val="00B1789B"/>
    <w:rsid w:val="00B30E91"/>
    <w:rsid w:val="00B417AB"/>
    <w:rsid w:val="00B47574"/>
    <w:rsid w:val="00B5255A"/>
    <w:rsid w:val="00B54FC7"/>
    <w:rsid w:val="00B552DA"/>
    <w:rsid w:val="00B56CAD"/>
    <w:rsid w:val="00B57929"/>
    <w:rsid w:val="00B57938"/>
    <w:rsid w:val="00B666FD"/>
    <w:rsid w:val="00B66DD6"/>
    <w:rsid w:val="00B66DEC"/>
    <w:rsid w:val="00B6758E"/>
    <w:rsid w:val="00B73147"/>
    <w:rsid w:val="00B77656"/>
    <w:rsid w:val="00B843BB"/>
    <w:rsid w:val="00B84DF7"/>
    <w:rsid w:val="00B906D8"/>
    <w:rsid w:val="00BA4A8D"/>
    <w:rsid w:val="00BA7447"/>
    <w:rsid w:val="00BB269B"/>
    <w:rsid w:val="00BB7892"/>
    <w:rsid w:val="00BC1CBB"/>
    <w:rsid w:val="00BC332B"/>
    <w:rsid w:val="00BD16F3"/>
    <w:rsid w:val="00BD4B6C"/>
    <w:rsid w:val="00BD5A50"/>
    <w:rsid w:val="00BD5E8D"/>
    <w:rsid w:val="00BE1A14"/>
    <w:rsid w:val="00BE2328"/>
    <w:rsid w:val="00BE25E9"/>
    <w:rsid w:val="00BE4DEC"/>
    <w:rsid w:val="00BF22CC"/>
    <w:rsid w:val="00BF58CE"/>
    <w:rsid w:val="00BF6114"/>
    <w:rsid w:val="00C05867"/>
    <w:rsid w:val="00C07244"/>
    <w:rsid w:val="00C075E8"/>
    <w:rsid w:val="00C105A0"/>
    <w:rsid w:val="00C12B84"/>
    <w:rsid w:val="00C142CE"/>
    <w:rsid w:val="00C2118F"/>
    <w:rsid w:val="00C251C3"/>
    <w:rsid w:val="00C25ADF"/>
    <w:rsid w:val="00C310F9"/>
    <w:rsid w:val="00C32435"/>
    <w:rsid w:val="00C32552"/>
    <w:rsid w:val="00C32A50"/>
    <w:rsid w:val="00C43696"/>
    <w:rsid w:val="00C50A72"/>
    <w:rsid w:val="00C5127D"/>
    <w:rsid w:val="00C51AF6"/>
    <w:rsid w:val="00C60CCD"/>
    <w:rsid w:val="00C6113F"/>
    <w:rsid w:val="00C66347"/>
    <w:rsid w:val="00C671FE"/>
    <w:rsid w:val="00C7011F"/>
    <w:rsid w:val="00C70691"/>
    <w:rsid w:val="00C73829"/>
    <w:rsid w:val="00C76AFA"/>
    <w:rsid w:val="00C83912"/>
    <w:rsid w:val="00C85060"/>
    <w:rsid w:val="00C931C6"/>
    <w:rsid w:val="00C93D52"/>
    <w:rsid w:val="00C975B3"/>
    <w:rsid w:val="00CA131C"/>
    <w:rsid w:val="00CA4904"/>
    <w:rsid w:val="00CB0CE1"/>
    <w:rsid w:val="00CB32BE"/>
    <w:rsid w:val="00CB45AA"/>
    <w:rsid w:val="00CB4B17"/>
    <w:rsid w:val="00CB6043"/>
    <w:rsid w:val="00CC37F5"/>
    <w:rsid w:val="00CC3D7C"/>
    <w:rsid w:val="00CC54A9"/>
    <w:rsid w:val="00CC59FB"/>
    <w:rsid w:val="00CC6A0E"/>
    <w:rsid w:val="00CD3390"/>
    <w:rsid w:val="00CE42D8"/>
    <w:rsid w:val="00CE7904"/>
    <w:rsid w:val="00CE7C43"/>
    <w:rsid w:val="00CF37B4"/>
    <w:rsid w:val="00CF3D01"/>
    <w:rsid w:val="00D058CD"/>
    <w:rsid w:val="00D32701"/>
    <w:rsid w:val="00D3472E"/>
    <w:rsid w:val="00D36890"/>
    <w:rsid w:val="00D4299E"/>
    <w:rsid w:val="00D439DE"/>
    <w:rsid w:val="00D51B02"/>
    <w:rsid w:val="00D51D57"/>
    <w:rsid w:val="00D51DB0"/>
    <w:rsid w:val="00D5698B"/>
    <w:rsid w:val="00D6107B"/>
    <w:rsid w:val="00D62651"/>
    <w:rsid w:val="00D660B8"/>
    <w:rsid w:val="00D71ED8"/>
    <w:rsid w:val="00D735E6"/>
    <w:rsid w:val="00D766A0"/>
    <w:rsid w:val="00D83374"/>
    <w:rsid w:val="00D87F23"/>
    <w:rsid w:val="00D90612"/>
    <w:rsid w:val="00D94142"/>
    <w:rsid w:val="00D9436D"/>
    <w:rsid w:val="00D95DA4"/>
    <w:rsid w:val="00DA0D36"/>
    <w:rsid w:val="00DB305A"/>
    <w:rsid w:val="00DB3CF9"/>
    <w:rsid w:val="00DB4465"/>
    <w:rsid w:val="00DB5562"/>
    <w:rsid w:val="00DB6858"/>
    <w:rsid w:val="00DB76F2"/>
    <w:rsid w:val="00DC37B8"/>
    <w:rsid w:val="00DC5911"/>
    <w:rsid w:val="00DC7093"/>
    <w:rsid w:val="00DD0020"/>
    <w:rsid w:val="00DD4CBF"/>
    <w:rsid w:val="00DD58AD"/>
    <w:rsid w:val="00DD6BFE"/>
    <w:rsid w:val="00DE3C98"/>
    <w:rsid w:val="00DE6C4D"/>
    <w:rsid w:val="00DE7FB2"/>
    <w:rsid w:val="00DF27E1"/>
    <w:rsid w:val="00DF733D"/>
    <w:rsid w:val="00E012FF"/>
    <w:rsid w:val="00E037C7"/>
    <w:rsid w:val="00E04E1B"/>
    <w:rsid w:val="00E07793"/>
    <w:rsid w:val="00E2154B"/>
    <w:rsid w:val="00E242F9"/>
    <w:rsid w:val="00E25AC2"/>
    <w:rsid w:val="00E31311"/>
    <w:rsid w:val="00E35745"/>
    <w:rsid w:val="00E35CF8"/>
    <w:rsid w:val="00E3624E"/>
    <w:rsid w:val="00E439EC"/>
    <w:rsid w:val="00E44361"/>
    <w:rsid w:val="00E63ADB"/>
    <w:rsid w:val="00E70096"/>
    <w:rsid w:val="00E701D6"/>
    <w:rsid w:val="00E72AD1"/>
    <w:rsid w:val="00E81343"/>
    <w:rsid w:val="00E873D8"/>
    <w:rsid w:val="00E965A8"/>
    <w:rsid w:val="00EA4805"/>
    <w:rsid w:val="00EA5416"/>
    <w:rsid w:val="00EA7C4A"/>
    <w:rsid w:val="00EB2C81"/>
    <w:rsid w:val="00EB7FD0"/>
    <w:rsid w:val="00EE11D5"/>
    <w:rsid w:val="00EE2F18"/>
    <w:rsid w:val="00EE44E5"/>
    <w:rsid w:val="00EE61AC"/>
    <w:rsid w:val="00EF3B2A"/>
    <w:rsid w:val="00F0578F"/>
    <w:rsid w:val="00F1281C"/>
    <w:rsid w:val="00F212B9"/>
    <w:rsid w:val="00F24FC2"/>
    <w:rsid w:val="00F3156C"/>
    <w:rsid w:val="00F32AB7"/>
    <w:rsid w:val="00F32F1F"/>
    <w:rsid w:val="00F425F9"/>
    <w:rsid w:val="00F47A44"/>
    <w:rsid w:val="00F509CB"/>
    <w:rsid w:val="00F55596"/>
    <w:rsid w:val="00F6429E"/>
    <w:rsid w:val="00F676DD"/>
    <w:rsid w:val="00F73A5C"/>
    <w:rsid w:val="00F80390"/>
    <w:rsid w:val="00F855DC"/>
    <w:rsid w:val="00F90826"/>
    <w:rsid w:val="00F976D9"/>
    <w:rsid w:val="00FA2C9F"/>
    <w:rsid w:val="00FA2ECE"/>
    <w:rsid w:val="00FB1BF2"/>
    <w:rsid w:val="00FB22E4"/>
    <w:rsid w:val="00FC2EA5"/>
    <w:rsid w:val="00FC30EF"/>
    <w:rsid w:val="00FD2E65"/>
    <w:rsid w:val="00FD6A5F"/>
    <w:rsid w:val="00FD6BFF"/>
    <w:rsid w:val="00FE34D3"/>
    <w:rsid w:val="00FE68F0"/>
    <w:rsid w:val="00FF1751"/>
    <w:rsid w:val="00FF2203"/>
    <w:rsid w:val="00FF3B77"/>
    <w:rsid w:val="00FF4659"/>
    <w:rsid w:val="01300237"/>
    <w:rsid w:val="015971EC"/>
    <w:rsid w:val="01C612C1"/>
    <w:rsid w:val="01EF6277"/>
    <w:rsid w:val="021C73E5"/>
    <w:rsid w:val="021D24F0"/>
    <w:rsid w:val="02281EB5"/>
    <w:rsid w:val="023B4518"/>
    <w:rsid w:val="02930E1A"/>
    <w:rsid w:val="02976A42"/>
    <w:rsid w:val="02FA76A8"/>
    <w:rsid w:val="033D4255"/>
    <w:rsid w:val="035C31C1"/>
    <w:rsid w:val="03B3377F"/>
    <w:rsid w:val="03C21CD0"/>
    <w:rsid w:val="0457743B"/>
    <w:rsid w:val="04F264E2"/>
    <w:rsid w:val="04F61AD1"/>
    <w:rsid w:val="05023479"/>
    <w:rsid w:val="05133946"/>
    <w:rsid w:val="052D4195"/>
    <w:rsid w:val="055C301D"/>
    <w:rsid w:val="05647E81"/>
    <w:rsid w:val="059B3918"/>
    <w:rsid w:val="06105B8D"/>
    <w:rsid w:val="066E4848"/>
    <w:rsid w:val="06BD2F6F"/>
    <w:rsid w:val="070A3901"/>
    <w:rsid w:val="075D0694"/>
    <w:rsid w:val="07641CA8"/>
    <w:rsid w:val="078539E2"/>
    <w:rsid w:val="079533F3"/>
    <w:rsid w:val="07B76CEE"/>
    <w:rsid w:val="07C4031F"/>
    <w:rsid w:val="07EC0192"/>
    <w:rsid w:val="07F37E52"/>
    <w:rsid w:val="080A35CE"/>
    <w:rsid w:val="081C46F9"/>
    <w:rsid w:val="083E6B57"/>
    <w:rsid w:val="0900204C"/>
    <w:rsid w:val="09366BD8"/>
    <w:rsid w:val="0974717E"/>
    <w:rsid w:val="098D2BEE"/>
    <w:rsid w:val="099B3DB1"/>
    <w:rsid w:val="09C14A7E"/>
    <w:rsid w:val="0A2968A1"/>
    <w:rsid w:val="0A5039E5"/>
    <w:rsid w:val="0A5A1927"/>
    <w:rsid w:val="0A745FB7"/>
    <w:rsid w:val="0A7A3133"/>
    <w:rsid w:val="0A8350BD"/>
    <w:rsid w:val="0AB3505F"/>
    <w:rsid w:val="0ACA211C"/>
    <w:rsid w:val="0AE95411"/>
    <w:rsid w:val="0B3D4D45"/>
    <w:rsid w:val="0B44426C"/>
    <w:rsid w:val="0B7664A0"/>
    <w:rsid w:val="0B9271EF"/>
    <w:rsid w:val="0BEE607A"/>
    <w:rsid w:val="0C4E48D1"/>
    <w:rsid w:val="0CEC25BF"/>
    <w:rsid w:val="0D151BA3"/>
    <w:rsid w:val="0DC14460"/>
    <w:rsid w:val="0E0E274D"/>
    <w:rsid w:val="0E384549"/>
    <w:rsid w:val="0E780A8A"/>
    <w:rsid w:val="0E970134"/>
    <w:rsid w:val="0EBE5D19"/>
    <w:rsid w:val="0EE17342"/>
    <w:rsid w:val="0F073C44"/>
    <w:rsid w:val="0F261065"/>
    <w:rsid w:val="0F2B198D"/>
    <w:rsid w:val="0F56514F"/>
    <w:rsid w:val="0F992E7F"/>
    <w:rsid w:val="0FB877BC"/>
    <w:rsid w:val="0FBD7E87"/>
    <w:rsid w:val="0FDF6C11"/>
    <w:rsid w:val="0FF038E5"/>
    <w:rsid w:val="0FFF0B81"/>
    <w:rsid w:val="10461710"/>
    <w:rsid w:val="106934A8"/>
    <w:rsid w:val="10CC1156"/>
    <w:rsid w:val="10D05C6E"/>
    <w:rsid w:val="10EF3901"/>
    <w:rsid w:val="11252DDD"/>
    <w:rsid w:val="11467576"/>
    <w:rsid w:val="122F231B"/>
    <w:rsid w:val="125F37AD"/>
    <w:rsid w:val="12A165D1"/>
    <w:rsid w:val="12B709AD"/>
    <w:rsid w:val="12B852FB"/>
    <w:rsid w:val="12CA4C91"/>
    <w:rsid w:val="135D568E"/>
    <w:rsid w:val="135E4E2D"/>
    <w:rsid w:val="141B3394"/>
    <w:rsid w:val="142949A1"/>
    <w:rsid w:val="14530B5F"/>
    <w:rsid w:val="14863036"/>
    <w:rsid w:val="14BC1F60"/>
    <w:rsid w:val="14DD44D0"/>
    <w:rsid w:val="152853ED"/>
    <w:rsid w:val="1654292B"/>
    <w:rsid w:val="16762FB8"/>
    <w:rsid w:val="16975F3E"/>
    <w:rsid w:val="16BF6938"/>
    <w:rsid w:val="17037EA1"/>
    <w:rsid w:val="17093551"/>
    <w:rsid w:val="17134D69"/>
    <w:rsid w:val="174805DF"/>
    <w:rsid w:val="17493616"/>
    <w:rsid w:val="179A3051"/>
    <w:rsid w:val="17D276CD"/>
    <w:rsid w:val="17E56385"/>
    <w:rsid w:val="180A3842"/>
    <w:rsid w:val="18177F23"/>
    <w:rsid w:val="181A39A4"/>
    <w:rsid w:val="182A3CED"/>
    <w:rsid w:val="18866153"/>
    <w:rsid w:val="18CF1311"/>
    <w:rsid w:val="18FB42AB"/>
    <w:rsid w:val="191B0D2B"/>
    <w:rsid w:val="197056D9"/>
    <w:rsid w:val="1A7D2671"/>
    <w:rsid w:val="1A9E7717"/>
    <w:rsid w:val="1AC33E35"/>
    <w:rsid w:val="1AD3224E"/>
    <w:rsid w:val="1AE8371E"/>
    <w:rsid w:val="1AF63501"/>
    <w:rsid w:val="1B2A618A"/>
    <w:rsid w:val="1B5F58D1"/>
    <w:rsid w:val="1B6E1928"/>
    <w:rsid w:val="1B8915A9"/>
    <w:rsid w:val="1BDC4E08"/>
    <w:rsid w:val="1C30446F"/>
    <w:rsid w:val="1C3C1EE6"/>
    <w:rsid w:val="1C4E0B38"/>
    <w:rsid w:val="1C732DB0"/>
    <w:rsid w:val="1C8916A6"/>
    <w:rsid w:val="1C9A5B6B"/>
    <w:rsid w:val="1CC92D0D"/>
    <w:rsid w:val="1D265169"/>
    <w:rsid w:val="1D2F14C5"/>
    <w:rsid w:val="1D750E5D"/>
    <w:rsid w:val="1E225196"/>
    <w:rsid w:val="1E292C50"/>
    <w:rsid w:val="1E322828"/>
    <w:rsid w:val="1E4A0152"/>
    <w:rsid w:val="1E5F3E8A"/>
    <w:rsid w:val="1EC7473A"/>
    <w:rsid w:val="1EDA0610"/>
    <w:rsid w:val="1EDE3F7C"/>
    <w:rsid w:val="1EF36DA6"/>
    <w:rsid w:val="1EF43972"/>
    <w:rsid w:val="1EF47F34"/>
    <w:rsid w:val="1F2F1037"/>
    <w:rsid w:val="1F446200"/>
    <w:rsid w:val="1F57006D"/>
    <w:rsid w:val="203334B4"/>
    <w:rsid w:val="204210C7"/>
    <w:rsid w:val="21693AB7"/>
    <w:rsid w:val="21C86F0B"/>
    <w:rsid w:val="21DE7335"/>
    <w:rsid w:val="21F225A7"/>
    <w:rsid w:val="21FE65F8"/>
    <w:rsid w:val="22483530"/>
    <w:rsid w:val="2296124B"/>
    <w:rsid w:val="22A82893"/>
    <w:rsid w:val="22AD4512"/>
    <w:rsid w:val="230B6B0C"/>
    <w:rsid w:val="23480771"/>
    <w:rsid w:val="235B7228"/>
    <w:rsid w:val="23D067D1"/>
    <w:rsid w:val="2453426A"/>
    <w:rsid w:val="245348A4"/>
    <w:rsid w:val="24B91272"/>
    <w:rsid w:val="25254691"/>
    <w:rsid w:val="252E3BF9"/>
    <w:rsid w:val="25880124"/>
    <w:rsid w:val="25CF7ED4"/>
    <w:rsid w:val="264750B1"/>
    <w:rsid w:val="268E3A2D"/>
    <w:rsid w:val="26C24876"/>
    <w:rsid w:val="26F92CD1"/>
    <w:rsid w:val="27997271"/>
    <w:rsid w:val="27DE6546"/>
    <w:rsid w:val="27F0056F"/>
    <w:rsid w:val="27F37CC1"/>
    <w:rsid w:val="281101F7"/>
    <w:rsid w:val="286C3843"/>
    <w:rsid w:val="289415BD"/>
    <w:rsid w:val="28961927"/>
    <w:rsid w:val="289641C5"/>
    <w:rsid w:val="28DB4B9D"/>
    <w:rsid w:val="294A68B7"/>
    <w:rsid w:val="29632BB3"/>
    <w:rsid w:val="2968354D"/>
    <w:rsid w:val="29771E55"/>
    <w:rsid w:val="29FB3FFD"/>
    <w:rsid w:val="2A067D86"/>
    <w:rsid w:val="2A0C521D"/>
    <w:rsid w:val="2A236B72"/>
    <w:rsid w:val="2A3750D6"/>
    <w:rsid w:val="2A7A1D90"/>
    <w:rsid w:val="2ADD7510"/>
    <w:rsid w:val="2B2911C5"/>
    <w:rsid w:val="2B5404CF"/>
    <w:rsid w:val="2BE52B1A"/>
    <w:rsid w:val="2C3D700C"/>
    <w:rsid w:val="2C672E25"/>
    <w:rsid w:val="2C7F2837"/>
    <w:rsid w:val="2CE00BE6"/>
    <w:rsid w:val="2CFE2CB1"/>
    <w:rsid w:val="2D0C6CE6"/>
    <w:rsid w:val="2DA91BD7"/>
    <w:rsid w:val="2DBA2E4F"/>
    <w:rsid w:val="2DD51B30"/>
    <w:rsid w:val="2E234840"/>
    <w:rsid w:val="2E506385"/>
    <w:rsid w:val="2EA238DC"/>
    <w:rsid w:val="2EE30DB8"/>
    <w:rsid w:val="2F6A35DF"/>
    <w:rsid w:val="2F7758E3"/>
    <w:rsid w:val="2F8A4162"/>
    <w:rsid w:val="2FA5127F"/>
    <w:rsid w:val="2FE703A1"/>
    <w:rsid w:val="305C369C"/>
    <w:rsid w:val="306C7DC6"/>
    <w:rsid w:val="306E7328"/>
    <w:rsid w:val="308B6C0A"/>
    <w:rsid w:val="309C0DFE"/>
    <w:rsid w:val="309D61D2"/>
    <w:rsid w:val="30D508DD"/>
    <w:rsid w:val="30E7511B"/>
    <w:rsid w:val="317406CC"/>
    <w:rsid w:val="31A82A93"/>
    <w:rsid w:val="31BA6727"/>
    <w:rsid w:val="31F41E32"/>
    <w:rsid w:val="32383D22"/>
    <w:rsid w:val="324F7011"/>
    <w:rsid w:val="32877888"/>
    <w:rsid w:val="32CB210B"/>
    <w:rsid w:val="32E527E2"/>
    <w:rsid w:val="33025030"/>
    <w:rsid w:val="33341EA3"/>
    <w:rsid w:val="34B128F9"/>
    <w:rsid w:val="34B37A96"/>
    <w:rsid w:val="34E10FF0"/>
    <w:rsid w:val="34F42464"/>
    <w:rsid w:val="35767C45"/>
    <w:rsid w:val="35C772CB"/>
    <w:rsid w:val="35DC79E1"/>
    <w:rsid w:val="35EC3B9A"/>
    <w:rsid w:val="3628134B"/>
    <w:rsid w:val="3664645C"/>
    <w:rsid w:val="36834F5D"/>
    <w:rsid w:val="36864C18"/>
    <w:rsid w:val="375A291B"/>
    <w:rsid w:val="37A50695"/>
    <w:rsid w:val="37EE653A"/>
    <w:rsid w:val="37F810C0"/>
    <w:rsid w:val="38B6505D"/>
    <w:rsid w:val="38CC612A"/>
    <w:rsid w:val="39651D0F"/>
    <w:rsid w:val="396532ED"/>
    <w:rsid w:val="39880B9A"/>
    <w:rsid w:val="39AC0D4D"/>
    <w:rsid w:val="39D3186F"/>
    <w:rsid w:val="39D937ED"/>
    <w:rsid w:val="39E75111"/>
    <w:rsid w:val="3A0C3ADA"/>
    <w:rsid w:val="3A786079"/>
    <w:rsid w:val="3AD2403C"/>
    <w:rsid w:val="3AE003F4"/>
    <w:rsid w:val="3B993640"/>
    <w:rsid w:val="3BA808C3"/>
    <w:rsid w:val="3BDC2340"/>
    <w:rsid w:val="3C787552"/>
    <w:rsid w:val="3C7D6B98"/>
    <w:rsid w:val="3C7E67E2"/>
    <w:rsid w:val="3C884BA3"/>
    <w:rsid w:val="3CB7035C"/>
    <w:rsid w:val="3CE97868"/>
    <w:rsid w:val="3CFB0A55"/>
    <w:rsid w:val="3D09728C"/>
    <w:rsid w:val="3D556267"/>
    <w:rsid w:val="3D5C44DD"/>
    <w:rsid w:val="3DA467A4"/>
    <w:rsid w:val="3E6543FE"/>
    <w:rsid w:val="3E9F49F3"/>
    <w:rsid w:val="3F2B24C8"/>
    <w:rsid w:val="3F4013BC"/>
    <w:rsid w:val="3F504744"/>
    <w:rsid w:val="3FAD1270"/>
    <w:rsid w:val="3FC54241"/>
    <w:rsid w:val="3FE02686"/>
    <w:rsid w:val="40302BBE"/>
    <w:rsid w:val="406D63D7"/>
    <w:rsid w:val="40730401"/>
    <w:rsid w:val="40900D0E"/>
    <w:rsid w:val="40E855C1"/>
    <w:rsid w:val="411E0D3B"/>
    <w:rsid w:val="41661B9E"/>
    <w:rsid w:val="41883E45"/>
    <w:rsid w:val="41977EDA"/>
    <w:rsid w:val="41C66A98"/>
    <w:rsid w:val="423A5EA4"/>
    <w:rsid w:val="42882EF2"/>
    <w:rsid w:val="42AE33B4"/>
    <w:rsid w:val="42B443E5"/>
    <w:rsid w:val="43097B59"/>
    <w:rsid w:val="43140081"/>
    <w:rsid w:val="43227229"/>
    <w:rsid w:val="434A1C46"/>
    <w:rsid w:val="437B23A2"/>
    <w:rsid w:val="443D1D4E"/>
    <w:rsid w:val="444464AB"/>
    <w:rsid w:val="445671D7"/>
    <w:rsid w:val="44D913B8"/>
    <w:rsid w:val="45140443"/>
    <w:rsid w:val="452F6B11"/>
    <w:rsid w:val="45CF6389"/>
    <w:rsid w:val="45F37C26"/>
    <w:rsid w:val="461971D1"/>
    <w:rsid w:val="46377F79"/>
    <w:rsid w:val="46837FAC"/>
    <w:rsid w:val="470968A1"/>
    <w:rsid w:val="472E4253"/>
    <w:rsid w:val="474D3B6C"/>
    <w:rsid w:val="47592D4F"/>
    <w:rsid w:val="4789579F"/>
    <w:rsid w:val="482A6F1B"/>
    <w:rsid w:val="48506318"/>
    <w:rsid w:val="48642B04"/>
    <w:rsid w:val="48EA37DB"/>
    <w:rsid w:val="48EC3DC4"/>
    <w:rsid w:val="49B86AC5"/>
    <w:rsid w:val="49F41619"/>
    <w:rsid w:val="4A515D62"/>
    <w:rsid w:val="4A6D11CD"/>
    <w:rsid w:val="4A82734F"/>
    <w:rsid w:val="4AE025BA"/>
    <w:rsid w:val="4B67753E"/>
    <w:rsid w:val="4BB11529"/>
    <w:rsid w:val="4C893A88"/>
    <w:rsid w:val="4CAD6942"/>
    <w:rsid w:val="4D3239A5"/>
    <w:rsid w:val="4D3D0F77"/>
    <w:rsid w:val="4D8F37A3"/>
    <w:rsid w:val="4DC67B5B"/>
    <w:rsid w:val="4DCF3558"/>
    <w:rsid w:val="4E176A10"/>
    <w:rsid w:val="4E814DD1"/>
    <w:rsid w:val="4EBA22C5"/>
    <w:rsid w:val="4F0B1F7B"/>
    <w:rsid w:val="4F17258B"/>
    <w:rsid w:val="50667CE7"/>
    <w:rsid w:val="50925DC8"/>
    <w:rsid w:val="50A934C8"/>
    <w:rsid w:val="50AF75AD"/>
    <w:rsid w:val="51093DA2"/>
    <w:rsid w:val="5123472B"/>
    <w:rsid w:val="51735551"/>
    <w:rsid w:val="5174264D"/>
    <w:rsid w:val="51A35A9A"/>
    <w:rsid w:val="51CA5E84"/>
    <w:rsid w:val="51CE27CF"/>
    <w:rsid w:val="51F3109A"/>
    <w:rsid w:val="52C50461"/>
    <w:rsid w:val="52DF1DEA"/>
    <w:rsid w:val="52E92274"/>
    <w:rsid w:val="531B6EE3"/>
    <w:rsid w:val="5453797F"/>
    <w:rsid w:val="5474270F"/>
    <w:rsid w:val="54A32A83"/>
    <w:rsid w:val="55113D8F"/>
    <w:rsid w:val="55D04446"/>
    <w:rsid w:val="56124098"/>
    <w:rsid w:val="56346CAE"/>
    <w:rsid w:val="563C2B72"/>
    <w:rsid w:val="564B3EFA"/>
    <w:rsid w:val="564F4226"/>
    <w:rsid w:val="56C70FBA"/>
    <w:rsid w:val="56F4461F"/>
    <w:rsid w:val="570F1BEE"/>
    <w:rsid w:val="571E09EC"/>
    <w:rsid w:val="57252252"/>
    <w:rsid w:val="577B37C3"/>
    <w:rsid w:val="57C4647E"/>
    <w:rsid w:val="57CA4D48"/>
    <w:rsid w:val="57D954CC"/>
    <w:rsid w:val="58606442"/>
    <w:rsid w:val="588428BF"/>
    <w:rsid w:val="588E244C"/>
    <w:rsid w:val="58E86190"/>
    <w:rsid w:val="591075D9"/>
    <w:rsid w:val="594367B2"/>
    <w:rsid w:val="5A1520EE"/>
    <w:rsid w:val="5A3F0021"/>
    <w:rsid w:val="5A6A4DF9"/>
    <w:rsid w:val="5A953A68"/>
    <w:rsid w:val="5AB24091"/>
    <w:rsid w:val="5AC67D51"/>
    <w:rsid w:val="5B312AD2"/>
    <w:rsid w:val="5BBB047E"/>
    <w:rsid w:val="5BCF9C7B"/>
    <w:rsid w:val="5BFE7C9F"/>
    <w:rsid w:val="5C1D4A9B"/>
    <w:rsid w:val="5C7667BC"/>
    <w:rsid w:val="5C9D22EC"/>
    <w:rsid w:val="5D1B5452"/>
    <w:rsid w:val="5DE77386"/>
    <w:rsid w:val="5E027C51"/>
    <w:rsid w:val="5E56057A"/>
    <w:rsid w:val="5E662A08"/>
    <w:rsid w:val="5EF35ACE"/>
    <w:rsid w:val="5F2B6AE9"/>
    <w:rsid w:val="5F693AA0"/>
    <w:rsid w:val="5FC1648A"/>
    <w:rsid w:val="5FE86BBA"/>
    <w:rsid w:val="602F3469"/>
    <w:rsid w:val="604F48D4"/>
    <w:rsid w:val="60855A45"/>
    <w:rsid w:val="609A49D0"/>
    <w:rsid w:val="60AA6610"/>
    <w:rsid w:val="60DF7E6F"/>
    <w:rsid w:val="610225D7"/>
    <w:rsid w:val="613C49C0"/>
    <w:rsid w:val="617F20A8"/>
    <w:rsid w:val="61BB4042"/>
    <w:rsid w:val="623954AB"/>
    <w:rsid w:val="627D68DD"/>
    <w:rsid w:val="62851D93"/>
    <w:rsid w:val="6302421E"/>
    <w:rsid w:val="630D2F5A"/>
    <w:rsid w:val="641F397E"/>
    <w:rsid w:val="64260404"/>
    <w:rsid w:val="64685ACB"/>
    <w:rsid w:val="648C20F1"/>
    <w:rsid w:val="64915EB2"/>
    <w:rsid w:val="65156A79"/>
    <w:rsid w:val="653C757D"/>
    <w:rsid w:val="662E562F"/>
    <w:rsid w:val="665F4362"/>
    <w:rsid w:val="66755E80"/>
    <w:rsid w:val="670C3429"/>
    <w:rsid w:val="674351BD"/>
    <w:rsid w:val="674578E4"/>
    <w:rsid w:val="679269DE"/>
    <w:rsid w:val="6797036D"/>
    <w:rsid w:val="67EF21DB"/>
    <w:rsid w:val="684007D1"/>
    <w:rsid w:val="684C16FB"/>
    <w:rsid w:val="68C5699F"/>
    <w:rsid w:val="68D859D6"/>
    <w:rsid w:val="68FF2B30"/>
    <w:rsid w:val="690F03EC"/>
    <w:rsid w:val="6928675E"/>
    <w:rsid w:val="69310028"/>
    <w:rsid w:val="695710FA"/>
    <w:rsid w:val="69884AD4"/>
    <w:rsid w:val="69DA124B"/>
    <w:rsid w:val="6A372D2A"/>
    <w:rsid w:val="6ABC41DE"/>
    <w:rsid w:val="6AF040F6"/>
    <w:rsid w:val="6AFB56DF"/>
    <w:rsid w:val="6B082067"/>
    <w:rsid w:val="6B1E6F65"/>
    <w:rsid w:val="6B3002A2"/>
    <w:rsid w:val="6B39235A"/>
    <w:rsid w:val="6BAF47CD"/>
    <w:rsid w:val="6BD42820"/>
    <w:rsid w:val="6BDD7ABE"/>
    <w:rsid w:val="6C322CE1"/>
    <w:rsid w:val="6C6607A7"/>
    <w:rsid w:val="6CC6062F"/>
    <w:rsid w:val="6CDC5D27"/>
    <w:rsid w:val="6CE45814"/>
    <w:rsid w:val="6CFA2CC6"/>
    <w:rsid w:val="6D40304A"/>
    <w:rsid w:val="6D55023D"/>
    <w:rsid w:val="6D67315E"/>
    <w:rsid w:val="6DBA4319"/>
    <w:rsid w:val="6DEA7FA1"/>
    <w:rsid w:val="6E163439"/>
    <w:rsid w:val="6E2B47E7"/>
    <w:rsid w:val="6E7423B1"/>
    <w:rsid w:val="6ED5414F"/>
    <w:rsid w:val="6EDF2FB7"/>
    <w:rsid w:val="6F20184F"/>
    <w:rsid w:val="6F681A8C"/>
    <w:rsid w:val="6F9BEFC1"/>
    <w:rsid w:val="6FA36ACF"/>
    <w:rsid w:val="6FF9271D"/>
    <w:rsid w:val="70BC1865"/>
    <w:rsid w:val="70CC4FC7"/>
    <w:rsid w:val="71480116"/>
    <w:rsid w:val="715678D9"/>
    <w:rsid w:val="71E65A71"/>
    <w:rsid w:val="72092311"/>
    <w:rsid w:val="72B264DF"/>
    <w:rsid w:val="738644A1"/>
    <w:rsid w:val="739F7F92"/>
    <w:rsid w:val="73A14BDF"/>
    <w:rsid w:val="74262987"/>
    <w:rsid w:val="74C84A7C"/>
    <w:rsid w:val="74CA165E"/>
    <w:rsid w:val="74DF2278"/>
    <w:rsid w:val="74E734FB"/>
    <w:rsid w:val="74F63839"/>
    <w:rsid w:val="762039E8"/>
    <w:rsid w:val="76210D95"/>
    <w:rsid w:val="76486F0F"/>
    <w:rsid w:val="76CA2C97"/>
    <w:rsid w:val="77343369"/>
    <w:rsid w:val="773919DC"/>
    <w:rsid w:val="77870FDC"/>
    <w:rsid w:val="77AC4141"/>
    <w:rsid w:val="77C2043B"/>
    <w:rsid w:val="78A143AA"/>
    <w:rsid w:val="78EB094C"/>
    <w:rsid w:val="78F60935"/>
    <w:rsid w:val="79845EB0"/>
    <w:rsid w:val="79A63C8B"/>
    <w:rsid w:val="79E60332"/>
    <w:rsid w:val="7A09042E"/>
    <w:rsid w:val="7A780F72"/>
    <w:rsid w:val="7A817E28"/>
    <w:rsid w:val="7AC8672F"/>
    <w:rsid w:val="7AE21594"/>
    <w:rsid w:val="7B413445"/>
    <w:rsid w:val="7B4A0C91"/>
    <w:rsid w:val="7B5564A4"/>
    <w:rsid w:val="7B6C04C1"/>
    <w:rsid w:val="7B9C5B73"/>
    <w:rsid w:val="7BEE0FE0"/>
    <w:rsid w:val="7C9C7F15"/>
    <w:rsid w:val="7CA02ABE"/>
    <w:rsid w:val="7CB60958"/>
    <w:rsid w:val="7D6B7708"/>
    <w:rsid w:val="7DED5C0D"/>
    <w:rsid w:val="7E410D6F"/>
    <w:rsid w:val="7E8A669D"/>
    <w:rsid w:val="7E961FB1"/>
    <w:rsid w:val="7F0A2BB5"/>
    <w:rsid w:val="7F1660D5"/>
    <w:rsid w:val="7F4D29C0"/>
    <w:rsid w:val="7F601546"/>
    <w:rsid w:val="7F657D2D"/>
    <w:rsid w:val="7F9F50BA"/>
    <w:rsid w:val="7FB96A4E"/>
    <w:rsid w:val="7FBC3A4B"/>
    <w:rsid w:val="7FD3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1"/>
    <w:pPr>
      <w:tabs>
        <w:tab w:val="left" w:pos="903"/>
      </w:tabs>
      <w:autoSpaceDE w:val="0"/>
      <w:autoSpaceDN w:val="0"/>
      <w:spacing w:line="378" w:lineRule="exact"/>
      <w:jc w:val="left"/>
      <w:outlineLvl w:val="0"/>
    </w:pPr>
    <w:rPr>
      <w:rFonts w:ascii="黑体" w:hAnsi="黑体" w:eastAsia="黑体" w:cs="黑体"/>
      <w:kern w:val="0"/>
      <w:sz w:val="32"/>
      <w:szCs w:val="32"/>
      <w:lang w:val="zh-CN" w:bidi="zh-CN"/>
    </w:rPr>
  </w:style>
  <w:style w:type="paragraph" w:styleId="4">
    <w:name w:val="heading 2"/>
    <w:basedOn w:val="1"/>
    <w:next w:val="1"/>
    <w:link w:val="36"/>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1"/>
    <w:pPr>
      <w:keepNext/>
      <w:keepLines/>
      <w:spacing w:before="260" w:after="260" w:line="416" w:lineRule="auto"/>
      <w:outlineLvl w:val="2"/>
    </w:pPr>
    <w:rPr>
      <w:b/>
      <w:bCs/>
      <w:sz w:val="32"/>
      <w:szCs w:val="32"/>
    </w:rPr>
  </w:style>
  <w:style w:type="paragraph" w:styleId="6">
    <w:name w:val="heading 4"/>
    <w:basedOn w:val="1"/>
    <w:next w:val="1"/>
    <w:link w:val="37"/>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paragraph" w:styleId="7">
    <w:name w:val="heading 5"/>
    <w:basedOn w:val="1"/>
    <w:next w:val="1"/>
    <w:link w:val="52"/>
    <w:semiHidden/>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8">
    <w:name w:val="Normal Indent"/>
    <w:basedOn w:val="1"/>
    <w:qFormat/>
    <w:uiPriority w:val="0"/>
    <w:pPr>
      <w:ind w:firstLine="420"/>
    </w:pPr>
    <w:rPr>
      <w:rFonts w:ascii="等线" w:hAnsi="等线" w:eastAsia="等线" w:cs="Arial"/>
      <w:b/>
      <w:sz w:val="24"/>
      <w:szCs w:val="20"/>
    </w:rPr>
  </w:style>
  <w:style w:type="paragraph" w:styleId="9">
    <w:name w:val="Document Map"/>
    <w:basedOn w:val="1"/>
    <w:link w:val="42"/>
    <w:unhideWhenUsed/>
    <w:qFormat/>
    <w:uiPriority w:val="99"/>
    <w:pPr>
      <w:autoSpaceDE w:val="0"/>
      <w:autoSpaceDN w:val="0"/>
      <w:jc w:val="left"/>
    </w:pPr>
    <w:rPr>
      <w:rFonts w:ascii="宋体" w:hAnsi="宋体" w:eastAsia="宋体" w:cs="宋体"/>
      <w:kern w:val="0"/>
      <w:sz w:val="24"/>
      <w:szCs w:val="24"/>
      <w:lang w:val="zh-CN" w:bidi="zh-CN"/>
    </w:rPr>
  </w:style>
  <w:style w:type="paragraph" w:styleId="10">
    <w:name w:val="annotation text"/>
    <w:basedOn w:val="1"/>
    <w:link w:val="39"/>
    <w:unhideWhenUsed/>
    <w:qFormat/>
    <w:uiPriority w:val="99"/>
    <w:pPr>
      <w:autoSpaceDE w:val="0"/>
      <w:autoSpaceDN w:val="0"/>
      <w:jc w:val="left"/>
    </w:pPr>
    <w:rPr>
      <w:rFonts w:ascii="宋体" w:hAnsi="宋体" w:eastAsia="宋体" w:cs="宋体"/>
      <w:kern w:val="0"/>
      <w:sz w:val="22"/>
      <w:lang w:val="zh-CN" w:bidi="zh-CN"/>
    </w:rPr>
  </w:style>
  <w:style w:type="paragraph" w:styleId="11">
    <w:name w:val="Body Text"/>
    <w:basedOn w:val="1"/>
    <w:next w:val="1"/>
    <w:link w:val="38"/>
    <w:qFormat/>
    <w:uiPriority w:val="1"/>
    <w:pPr>
      <w:autoSpaceDE w:val="0"/>
      <w:autoSpaceDN w:val="0"/>
      <w:ind w:left="618"/>
      <w:jc w:val="left"/>
    </w:pPr>
    <w:rPr>
      <w:rFonts w:ascii="宋体" w:hAnsi="宋体" w:eastAsia="宋体" w:cs="宋体"/>
      <w:kern w:val="0"/>
      <w:sz w:val="24"/>
      <w:szCs w:val="24"/>
      <w:lang w:val="zh-CN" w:bidi="zh-CN"/>
    </w:rPr>
  </w:style>
  <w:style w:type="paragraph" w:styleId="12">
    <w:name w:val="Body Text Indent"/>
    <w:basedOn w:val="1"/>
    <w:next w:val="1"/>
    <w:link w:val="53"/>
    <w:semiHidden/>
    <w:unhideWhenUsed/>
    <w:qFormat/>
    <w:uiPriority w:val="99"/>
    <w:pPr>
      <w:spacing w:after="120"/>
      <w:ind w:left="420" w:leftChars="200"/>
    </w:pPr>
  </w:style>
  <w:style w:type="paragraph" w:styleId="13">
    <w:name w:val="toc 3"/>
    <w:basedOn w:val="1"/>
    <w:next w:val="1"/>
    <w:semiHidden/>
    <w:unhideWhenUsed/>
    <w:qFormat/>
    <w:uiPriority w:val="39"/>
    <w:pPr>
      <w:ind w:left="840" w:leftChars="400"/>
    </w:pPr>
  </w:style>
  <w:style w:type="paragraph" w:styleId="14">
    <w:name w:val="Plain Text"/>
    <w:basedOn w:val="1"/>
    <w:link w:val="43"/>
    <w:qFormat/>
    <w:uiPriority w:val="0"/>
    <w:rPr>
      <w:rFonts w:ascii="宋体" w:hAnsi="Courier New"/>
    </w:rPr>
  </w:style>
  <w:style w:type="paragraph" w:styleId="15">
    <w:name w:val="Balloon Text"/>
    <w:basedOn w:val="1"/>
    <w:link w:val="45"/>
    <w:unhideWhenUsed/>
    <w:qFormat/>
    <w:uiPriority w:val="99"/>
    <w:pPr>
      <w:autoSpaceDE w:val="0"/>
      <w:autoSpaceDN w:val="0"/>
      <w:jc w:val="left"/>
    </w:pPr>
    <w:rPr>
      <w:rFonts w:ascii="宋体" w:hAnsi="宋体" w:eastAsia="宋体" w:cs="宋体"/>
      <w:kern w:val="0"/>
      <w:sz w:val="18"/>
      <w:szCs w:val="18"/>
      <w:lang w:val="zh-CN" w:bidi="zh-CN"/>
    </w:rPr>
  </w:style>
  <w:style w:type="paragraph" w:styleId="16">
    <w:name w:val="footer"/>
    <w:basedOn w:val="1"/>
    <w:link w:val="46"/>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17">
    <w:name w:val="header"/>
    <w:basedOn w:val="1"/>
    <w:link w:val="47"/>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18">
    <w:name w:val="toc 1"/>
    <w:basedOn w:val="1"/>
    <w:next w:val="1"/>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19">
    <w:name w:val="toc 2"/>
    <w:basedOn w:val="1"/>
    <w:next w:val="1"/>
    <w:semiHidden/>
    <w:unhideWhenUsed/>
    <w:qFormat/>
    <w:uiPriority w:val="39"/>
    <w:pPr>
      <w:ind w:left="420" w:leftChars="200"/>
    </w:pPr>
  </w:style>
  <w:style w:type="paragraph" w:styleId="20">
    <w:name w:val="annotation subject"/>
    <w:basedOn w:val="10"/>
    <w:next w:val="10"/>
    <w:link w:val="41"/>
    <w:unhideWhenUsed/>
    <w:qFormat/>
    <w:uiPriority w:val="99"/>
    <w:pPr>
      <w:autoSpaceDE/>
      <w:autoSpaceDN/>
    </w:pPr>
    <w:rPr>
      <w:rFonts w:asciiTheme="minorHAnsi" w:hAnsiTheme="minorHAnsi" w:eastAsiaTheme="minorEastAsia" w:cstheme="minorBidi"/>
      <w:b/>
      <w:bCs/>
      <w:kern w:val="2"/>
      <w:sz w:val="21"/>
      <w:lang w:val="en-US" w:bidi="ar-SA"/>
    </w:rPr>
  </w:style>
  <w:style w:type="paragraph" w:styleId="21">
    <w:name w:val="Body Text First Indent"/>
    <w:basedOn w:val="11"/>
    <w:link w:val="55"/>
    <w:unhideWhenUsed/>
    <w:qFormat/>
    <w:uiPriority w:val="99"/>
    <w:pPr>
      <w:autoSpaceDE/>
      <w:autoSpaceDN/>
      <w:spacing w:after="120"/>
      <w:ind w:left="0" w:firstLine="420" w:firstLineChars="100"/>
      <w:jc w:val="both"/>
    </w:pPr>
    <w:rPr>
      <w:rFonts w:asciiTheme="minorHAnsi" w:hAnsiTheme="minorHAnsi" w:eastAsiaTheme="minorEastAsia" w:cstheme="minorBidi"/>
      <w:kern w:val="2"/>
      <w:sz w:val="21"/>
      <w:szCs w:val="22"/>
      <w:lang w:val="en-US" w:bidi="ar-SA"/>
    </w:rPr>
  </w:style>
  <w:style w:type="paragraph" w:styleId="22">
    <w:name w:val="Body Text First Indent 2"/>
    <w:basedOn w:val="12"/>
    <w:link w:val="54"/>
    <w:semiHidden/>
    <w:unhideWhenUsed/>
    <w:qFormat/>
    <w:uiPriority w:val="99"/>
    <w:pPr>
      <w:ind w:firstLine="420" w:firstLineChars="200"/>
    </w:pPr>
  </w:style>
  <w:style w:type="table" w:styleId="24">
    <w:name w:val="Table Grid"/>
    <w:basedOn w:val="2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Emphasis"/>
    <w:basedOn w:val="25"/>
    <w:qFormat/>
    <w:uiPriority w:val="20"/>
    <w:rPr>
      <w:i/>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unhideWhenUsed/>
    <w:qFormat/>
    <w:uiPriority w:val="99"/>
    <w:rPr>
      <w:sz w:val="21"/>
      <w:szCs w:val="21"/>
    </w:rPr>
  </w:style>
  <w:style w:type="paragraph" w:styleId="31">
    <w:name w:val="List Paragraph"/>
    <w:basedOn w:val="1"/>
    <w:next w:val="1"/>
    <w:qFormat/>
    <w:uiPriority w:val="34"/>
    <w:pPr>
      <w:ind w:firstLine="420"/>
    </w:p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一级标题"/>
    <w:basedOn w:val="1"/>
    <w:qFormat/>
    <w:uiPriority w:val="0"/>
    <w:pPr>
      <w:tabs>
        <w:tab w:val="left" w:pos="903"/>
      </w:tabs>
      <w:spacing w:line="360" w:lineRule="auto"/>
      <w:ind w:left="900" w:hanging="420"/>
    </w:pPr>
    <w:rPr>
      <w:rFonts w:ascii="Arial" w:hAnsi="Arial" w:cs="Arial"/>
      <w:sz w:val="24"/>
    </w:rPr>
  </w:style>
  <w:style w:type="character" w:customStyle="1" w:styleId="34">
    <w:name w:val="标题 3 字符"/>
    <w:basedOn w:val="25"/>
    <w:link w:val="5"/>
    <w:qFormat/>
    <w:uiPriority w:val="1"/>
    <w:rPr>
      <w:b/>
      <w:bCs/>
      <w:sz w:val="32"/>
      <w:szCs w:val="32"/>
    </w:rPr>
  </w:style>
  <w:style w:type="character" w:customStyle="1" w:styleId="35">
    <w:name w:val="标题 1 字符"/>
    <w:basedOn w:val="25"/>
    <w:link w:val="3"/>
    <w:qFormat/>
    <w:uiPriority w:val="1"/>
    <w:rPr>
      <w:rFonts w:ascii="黑体" w:hAnsi="黑体" w:eastAsia="黑体" w:cs="黑体"/>
      <w:kern w:val="0"/>
      <w:sz w:val="32"/>
      <w:szCs w:val="32"/>
      <w:lang w:val="zh-CN" w:bidi="zh-CN"/>
    </w:rPr>
  </w:style>
  <w:style w:type="character" w:customStyle="1" w:styleId="36">
    <w:name w:val="标题 2 字符"/>
    <w:basedOn w:val="25"/>
    <w:link w:val="4"/>
    <w:qFormat/>
    <w:uiPriority w:val="1"/>
    <w:rPr>
      <w:rFonts w:asciiTheme="majorHAnsi" w:hAnsiTheme="majorHAnsi" w:eastAsiaTheme="majorEastAsia" w:cstheme="majorBidi"/>
      <w:b/>
      <w:bCs/>
      <w:sz w:val="32"/>
      <w:szCs w:val="32"/>
    </w:rPr>
  </w:style>
  <w:style w:type="character" w:customStyle="1" w:styleId="37">
    <w:name w:val="标题 4 字符"/>
    <w:basedOn w:val="25"/>
    <w:link w:val="6"/>
    <w:qFormat/>
    <w:uiPriority w:val="1"/>
    <w:rPr>
      <w:rFonts w:asciiTheme="majorHAnsi" w:hAnsiTheme="majorHAnsi" w:eastAsiaTheme="majorEastAsia" w:cstheme="majorBidi"/>
      <w:b/>
      <w:bCs/>
      <w:kern w:val="0"/>
      <w:sz w:val="28"/>
      <w:szCs w:val="28"/>
      <w:lang w:val="zh-CN" w:bidi="zh-CN"/>
    </w:rPr>
  </w:style>
  <w:style w:type="character" w:customStyle="1" w:styleId="38">
    <w:name w:val="正文文本 字符"/>
    <w:basedOn w:val="25"/>
    <w:link w:val="11"/>
    <w:qFormat/>
    <w:uiPriority w:val="1"/>
    <w:rPr>
      <w:rFonts w:ascii="宋体" w:hAnsi="宋体" w:eastAsia="宋体" w:cs="宋体"/>
      <w:kern w:val="0"/>
      <w:sz w:val="24"/>
      <w:szCs w:val="24"/>
      <w:lang w:val="zh-CN" w:bidi="zh-CN"/>
    </w:rPr>
  </w:style>
  <w:style w:type="character" w:customStyle="1" w:styleId="39">
    <w:name w:val="批注文字 字符"/>
    <w:basedOn w:val="25"/>
    <w:link w:val="10"/>
    <w:semiHidden/>
    <w:qFormat/>
    <w:uiPriority w:val="99"/>
    <w:rPr>
      <w:rFonts w:ascii="宋体" w:hAnsi="宋体" w:eastAsia="宋体" w:cs="宋体"/>
      <w:kern w:val="0"/>
      <w:sz w:val="22"/>
      <w:lang w:val="zh-CN" w:bidi="zh-CN"/>
    </w:rPr>
  </w:style>
  <w:style w:type="paragraph" w:customStyle="1" w:styleId="40">
    <w:name w:val="列出段落1"/>
    <w:basedOn w:val="1"/>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41">
    <w:name w:val="批注主题 字符"/>
    <w:basedOn w:val="39"/>
    <w:link w:val="20"/>
    <w:semiHidden/>
    <w:qFormat/>
    <w:uiPriority w:val="99"/>
    <w:rPr>
      <w:rFonts w:ascii="宋体" w:hAnsi="宋体" w:eastAsia="宋体" w:cs="宋体"/>
      <w:b/>
      <w:bCs/>
      <w:kern w:val="0"/>
      <w:sz w:val="22"/>
      <w:lang w:val="zh-CN" w:bidi="zh-CN"/>
    </w:rPr>
  </w:style>
  <w:style w:type="character" w:customStyle="1" w:styleId="42">
    <w:name w:val="文档结构图 字符"/>
    <w:basedOn w:val="25"/>
    <w:link w:val="9"/>
    <w:semiHidden/>
    <w:qFormat/>
    <w:uiPriority w:val="99"/>
    <w:rPr>
      <w:rFonts w:ascii="宋体" w:hAnsi="宋体" w:eastAsia="宋体" w:cs="宋体"/>
      <w:kern w:val="0"/>
      <w:sz w:val="24"/>
      <w:szCs w:val="24"/>
      <w:lang w:val="zh-CN" w:bidi="zh-CN"/>
    </w:rPr>
  </w:style>
  <w:style w:type="character" w:customStyle="1" w:styleId="43">
    <w:name w:val="纯文本 字符1"/>
    <w:basedOn w:val="25"/>
    <w:link w:val="14"/>
    <w:qFormat/>
    <w:uiPriority w:val="0"/>
    <w:rPr>
      <w:rFonts w:ascii="宋体" w:hAnsi="Courier New"/>
    </w:rPr>
  </w:style>
  <w:style w:type="character" w:customStyle="1" w:styleId="44">
    <w:name w:val="纯文本 字符"/>
    <w:basedOn w:val="25"/>
    <w:semiHidden/>
    <w:qFormat/>
    <w:uiPriority w:val="99"/>
    <w:rPr>
      <w:rFonts w:hAnsi="Courier New" w:cs="Courier New" w:asciiTheme="minorEastAsia"/>
    </w:rPr>
  </w:style>
  <w:style w:type="character" w:customStyle="1" w:styleId="45">
    <w:name w:val="批注框文本 字符"/>
    <w:basedOn w:val="25"/>
    <w:link w:val="15"/>
    <w:semiHidden/>
    <w:qFormat/>
    <w:uiPriority w:val="99"/>
    <w:rPr>
      <w:rFonts w:ascii="宋体" w:hAnsi="宋体" w:eastAsia="宋体" w:cs="宋体"/>
      <w:kern w:val="0"/>
      <w:sz w:val="18"/>
      <w:szCs w:val="18"/>
      <w:lang w:val="zh-CN" w:bidi="zh-CN"/>
    </w:rPr>
  </w:style>
  <w:style w:type="character" w:customStyle="1" w:styleId="46">
    <w:name w:val="页脚 字符"/>
    <w:basedOn w:val="25"/>
    <w:link w:val="16"/>
    <w:qFormat/>
    <w:uiPriority w:val="99"/>
    <w:rPr>
      <w:rFonts w:ascii="宋体" w:hAnsi="宋体" w:eastAsia="宋体" w:cs="宋体"/>
      <w:kern w:val="0"/>
      <w:sz w:val="18"/>
      <w:szCs w:val="18"/>
      <w:lang w:val="zh-CN" w:bidi="zh-CN"/>
    </w:rPr>
  </w:style>
  <w:style w:type="character" w:customStyle="1" w:styleId="47">
    <w:name w:val="页眉 字符"/>
    <w:basedOn w:val="25"/>
    <w:link w:val="17"/>
    <w:qFormat/>
    <w:uiPriority w:val="99"/>
    <w:rPr>
      <w:rFonts w:ascii="宋体" w:hAnsi="宋体" w:eastAsia="宋体" w:cs="宋体"/>
      <w:kern w:val="0"/>
      <w:sz w:val="18"/>
      <w:szCs w:val="18"/>
      <w:lang w:val="zh-CN" w:bidi="zh-CN"/>
    </w:rPr>
  </w:style>
  <w:style w:type="paragraph" w:customStyle="1" w:styleId="48">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49">
    <w:name w:val="列出段落11"/>
    <w:basedOn w:val="1"/>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50">
    <w:name w:val="正文_2_62"/>
    <w:basedOn w:val="1"/>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51">
    <w:name w:val="未处理的提及1"/>
    <w:basedOn w:val="25"/>
    <w:unhideWhenUsed/>
    <w:qFormat/>
    <w:uiPriority w:val="99"/>
    <w:rPr>
      <w:color w:val="605E5C"/>
      <w:shd w:val="clear" w:color="auto" w:fill="E1DFDD"/>
    </w:rPr>
  </w:style>
  <w:style w:type="character" w:customStyle="1" w:styleId="52">
    <w:name w:val="标题 5 字符"/>
    <w:basedOn w:val="25"/>
    <w:link w:val="7"/>
    <w:semiHidden/>
    <w:qFormat/>
    <w:uiPriority w:val="9"/>
    <w:rPr>
      <w:b/>
      <w:bCs/>
      <w:kern w:val="2"/>
      <w:sz w:val="28"/>
      <w:szCs w:val="28"/>
    </w:rPr>
  </w:style>
  <w:style w:type="character" w:customStyle="1" w:styleId="53">
    <w:name w:val="正文文本缩进 字符"/>
    <w:basedOn w:val="25"/>
    <w:link w:val="12"/>
    <w:semiHidden/>
    <w:qFormat/>
    <w:uiPriority w:val="99"/>
    <w:rPr>
      <w:kern w:val="2"/>
      <w:sz w:val="21"/>
      <w:szCs w:val="22"/>
    </w:rPr>
  </w:style>
  <w:style w:type="character" w:customStyle="1" w:styleId="54">
    <w:name w:val="正文文本首行缩进 2 字符"/>
    <w:basedOn w:val="53"/>
    <w:link w:val="22"/>
    <w:semiHidden/>
    <w:qFormat/>
    <w:uiPriority w:val="99"/>
    <w:rPr>
      <w:kern w:val="2"/>
      <w:sz w:val="21"/>
      <w:szCs w:val="22"/>
    </w:rPr>
  </w:style>
  <w:style w:type="character" w:customStyle="1" w:styleId="55">
    <w:name w:val="正文文本首行缩进 字符"/>
    <w:basedOn w:val="38"/>
    <w:link w:val="21"/>
    <w:qFormat/>
    <w:uiPriority w:val="99"/>
    <w:rPr>
      <w:rFonts w:ascii="宋体" w:hAnsi="宋体" w:eastAsia="宋体" w:cs="宋体"/>
      <w:kern w:val="2"/>
      <w:sz w:val="21"/>
      <w:szCs w:val="22"/>
      <w:lang w:val="zh-CN" w:bidi="zh-CN"/>
    </w:rPr>
  </w:style>
  <w:style w:type="paragraph" w:customStyle="1" w:styleId="56">
    <w:name w:val="H正文"/>
    <w:basedOn w:val="57"/>
    <w:qFormat/>
    <w:uiPriority w:val="0"/>
  </w:style>
  <w:style w:type="paragraph" w:customStyle="1" w:styleId="57">
    <w:name w:val="标题-正文"/>
    <w:basedOn w:val="1"/>
    <w:qFormat/>
    <w:uiPriority w:val="7"/>
    <w:pPr>
      <w:spacing w:before="60" w:after="60" w:line="360" w:lineRule="auto"/>
      <w:ind w:firstLine="480" w:firstLineChars="200"/>
    </w:pPr>
    <w:rPr>
      <w:rFonts w:ascii="Times New Roman" w:hAnsi="Times New Roman" w:eastAsia="宋体"/>
      <w:sz w:val="24"/>
      <w:szCs w:val="24"/>
    </w:rPr>
  </w:style>
  <w:style w:type="paragraph" w:customStyle="1" w:styleId="58">
    <w:name w:val="章标题"/>
    <w:next w:val="5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0">
    <w:name w:val="NormalCharacter"/>
    <w:semiHidden/>
    <w:qFormat/>
    <w:uiPriority w:val="0"/>
  </w:style>
  <w:style w:type="paragraph" w:customStyle="1" w:styleId="61">
    <w:name w:val="11"/>
    <w:next w:val="12"/>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样式 首行缩进:  0 字符"/>
    <w:basedOn w:val="1"/>
    <w:qFormat/>
    <w:uiPriority w:val="0"/>
  </w:style>
  <w:style w:type="character" w:customStyle="1" w:styleId="64">
    <w:name w:val="font41"/>
    <w:qFormat/>
    <w:uiPriority w:val="0"/>
    <w:rPr>
      <w:rFonts w:hint="eastAsia" w:ascii="仿宋" w:hAnsi="仿宋" w:eastAsia="仿宋" w:cs="仿宋"/>
      <w:color w:val="FF0000"/>
      <w:sz w:val="21"/>
      <w:szCs w:val="21"/>
      <w:u w:val="none"/>
    </w:rPr>
  </w:style>
  <w:style w:type="character" w:customStyle="1" w:styleId="65">
    <w:name w:val="font21"/>
    <w:basedOn w:val="25"/>
    <w:qFormat/>
    <w:uiPriority w:val="0"/>
    <w:rPr>
      <w:rFonts w:hint="eastAsia" w:ascii="仿宋" w:hAnsi="仿宋" w:eastAsia="仿宋" w:cs="仿宋"/>
      <w:color w:val="000000"/>
      <w:sz w:val="20"/>
      <w:szCs w:val="20"/>
      <w:u w:val="none"/>
    </w:rPr>
  </w:style>
  <w:style w:type="paragraph" w:customStyle="1" w:styleId="66">
    <w:name w:val="z-窗体顶端1"/>
    <w:basedOn w:val="1"/>
    <w:qFormat/>
    <w:uiPriority w:val="0"/>
    <w:pPr>
      <w:ind w:firstLine="420" w:firstLineChars="200"/>
    </w:pPr>
  </w:style>
  <w:style w:type="paragraph" w:styleId="6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UserStyle_327"/>
    <w:qFormat/>
    <w:uiPriority w:val="0"/>
    <w:pPr>
      <w:textAlignment w:val="baseline"/>
    </w:pPr>
    <w:rPr>
      <w:rFonts w:ascii="宋体" w:hAnsi="Calibri" w:eastAsia="宋体" w:cs="Times New Roman"/>
      <w:color w:val="000000"/>
      <w:sz w:val="24"/>
      <w:szCs w:val="24"/>
      <w:lang w:val="en-US" w:eastAsia="zh-CN" w:bidi="ar-SA"/>
    </w:rPr>
  </w:style>
  <w:style w:type="paragraph" w:customStyle="1" w:styleId="69">
    <w:name w:val="Body text|1"/>
    <w:basedOn w:val="1"/>
    <w:qFormat/>
    <w:uiPriority w:val="0"/>
    <w:pPr>
      <w:spacing w:after="160" w:line="480" w:lineRule="auto"/>
      <w:ind w:firstLine="220"/>
    </w:pPr>
    <w:rPr>
      <w:rFonts w:ascii="宋体" w:hAnsi="宋体" w:eastAsia="宋体" w:cs="宋体"/>
      <w:sz w:val="26"/>
      <w:szCs w:val="26"/>
      <w:lang w:val="zh-TW" w:eastAsia="zh-TW" w:bidi="zh-TW"/>
    </w:rPr>
  </w:style>
  <w:style w:type="paragraph" w:customStyle="1" w:styleId="70">
    <w:name w:val="首行缩进"/>
    <w:basedOn w:val="1"/>
    <w:qFormat/>
    <w:uiPriority w:val="0"/>
    <w:pPr>
      <w:spacing w:line="360" w:lineRule="auto"/>
      <w:ind w:firstLine="420" w:firstLineChars="200"/>
    </w:pPr>
    <w:rPr>
      <w:sz w:val="20"/>
    </w:rPr>
  </w:style>
  <w:style w:type="paragraph" w:customStyle="1" w:styleId="7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3">
    <w:name w:val="正文1"/>
    <w:basedOn w:val="1"/>
    <w:next w:val="1"/>
    <w:qFormat/>
    <w:uiPriority w:val="0"/>
    <w:pPr>
      <w:widowControl/>
      <w:spacing w:line="360" w:lineRule="auto"/>
      <w:ind w:left="357" w:firstLine="420"/>
      <w:jc w:val="left"/>
    </w:pPr>
    <w:rPr>
      <w:rFonts w:cs="Arial"/>
      <w:szCs w:val="20"/>
    </w:rPr>
  </w:style>
  <w:style w:type="paragraph" w:customStyle="1" w:styleId="74">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5">
    <w:name w:val="179"/>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26938</Words>
  <Characters>28058</Characters>
  <Lines>226</Lines>
  <Paragraphs>63</Paragraphs>
  <TotalTime>13</TotalTime>
  <ScaleCrop>false</ScaleCrop>
  <LinksUpToDate>false</LinksUpToDate>
  <CharactersWithSpaces>31207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2022-04-07T08:07:00Z</dcterms:created>
  <dc:creator>34617</dc:creator>
  <cp:lastModifiedBy>张林</cp:lastModifiedBy>
  <dcterms:modified xsi:type="dcterms:W3CDTF">2024-05-28T02:02:11Z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59719A7BA6E13DBC6A36546681BD8C4E_43</vt:lpwstr>
  </property>
</Properties>
</file>