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ind w:firstLine="0"/>
        <w:jc w:val="center"/>
        <w:rPr>
          <w:rFonts w:ascii="Times New Roman" w:hAnsi="Times New Roman" w:eastAsia="黑体"/>
          <w:sz w:val="44"/>
          <w:szCs w:val="36"/>
        </w:rPr>
      </w:pPr>
      <w:r>
        <w:rPr>
          <w:rFonts w:hint="eastAsia" w:ascii="Times New Roman" w:hAnsi="Times New Roman" w:eastAsia="黑体"/>
          <w:sz w:val="44"/>
          <w:szCs w:val="36"/>
        </w:rPr>
        <w:t>紫金山实验室态势感知项目</w:t>
      </w:r>
    </w:p>
    <w:p>
      <w:pPr>
        <w:pStyle w:val="42"/>
        <w:ind w:firstLine="0"/>
        <w:jc w:val="center"/>
        <w:rPr>
          <w:rFonts w:ascii="Times New Roman" w:hAnsi="Times New Roman" w:eastAsia="黑体"/>
          <w:sz w:val="36"/>
          <w:szCs w:val="36"/>
        </w:rPr>
      </w:pPr>
    </w:p>
    <w:p>
      <w:pPr>
        <w:pStyle w:val="42"/>
        <w:ind w:firstLine="0"/>
        <w:jc w:val="center"/>
        <w:rPr>
          <w:rFonts w:hint="default" w:ascii="Times New Roman" w:hAnsi="Times New Roman" w:eastAsia="黑体"/>
          <w:sz w:val="36"/>
          <w:szCs w:val="36"/>
          <w:lang w:val="en-US" w:eastAsia="zh-CN"/>
        </w:rPr>
      </w:pPr>
      <w:r>
        <w:rPr>
          <w:rFonts w:ascii="Times New Roman" w:hAnsi="Times New Roman" w:eastAsia="黑体"/>
          <w:sz w:val="36"/>
          <w:szCs w:val="36"/>
        </w:rPr>
        <w:t>项目编号：</w:t>
      </w:r>
      <w:r>
        <w:rPr>
          <w:rFonts w:hint="eastAsia" w:ascii="Times New Roman" w:hAnsi="Times New Roman" w:eastAsia="黑体"/>
          <w:sz w:val="36"/>
          <w:szCs w:val="36"/>
        </w:rPr>
        <w:t>PML-ZH-ZB-20240</w:t>
      </w:r>
      <w:r>
        <w:rPr>
          <w:rFonts w:hint="eastAsia" w:ascii="Times New Roman" w:hAnsi="Times New Roman" w:eastAsia="黑体"/>
          <w:sz w:val="36"/>
          <w:szCs w:val="36"/>
          <w:lang w:val="en-US" w:eastAsia="zh-CN"/>
        </w:rPr>
        <w:t>10</w:t>
      </w:r>
    </w:p>
    <w:p>
      <w:pPr>
        <w:pStyle w:val="42"/>
        <w:ind w:firstLine="0"/>
        <w:jc w:val="center"/>
        <w:rPr>
          <w:rFonts w:ascii="Times New Roman" w:hAnsi="Times New Roman"/>
          <w:sz w:val="36"/>
          <w:szCs w:val="36"/>
        </w:rPr>
      </w:pPr>
    </w:p>
    <w:p>
      <w:pPr>
        <w:pStyle w:val="42"/>
        <w:ind w:firstLine="0"/>
        <w:jc w:val="center"/>
        <w:rPr>
          <w:rFonts w:ascii="Times New Roman" w:hAnsi="Times New Roman"/>
          <w:sz w:val="36"/>
          <w:szCs w:val="36"/>
        </w:rPr>
      </w:pPr>
    </w:p>
    <w:p>
      <w:pPr>
        <w:pStyle w:val="42"/>
        <w:ind w:firstLine="0"/>
        <w:jc w:val="center"/>
        <w:rPr>
          <w:rFonts w:eastAsia="黑体"/>
          <w:bCs/>
          <w:sz w:val="52"/>
        </w:rPr>
      </w:pPr>
      <w:r>
        <w:rPr>
          <w:rFonts w:hint="eastAsia" w:eastAsia="黑体"/>
          <w:bCs/>
          <w:sz w:val="52"/>
        </w:rPr>
        <w:t>招 标 文 件</w:t>
      </w:r>
    </w:p>
    <w:p>
      <w:pPr>
        <w:pStyle w:val="42"/>
        <w:ind w:firstLine="0"/>
        <w:jc w:val="center"/>
        <w:rPr>
          <w:b/>
          <w:bCs/>
          <w:sz w:val="32"/>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rPr>
          <w:rFonts w:ascii="宋体" w:hAnsi="宋体"/>
        </w:rPr>
      </w:pPr>
    </w:p>
    <w:p>
      <w:pPr>
        <w:pStyle w:val="42"/>
        <w:spacing w:before="0" w:after="0"/>
        <w:ind w:firstLine="0"/>
        <w:jc w:val="center"/>
        <w:rPr>
          <w:rFonts w:ascii="Times New Roman" w:hAnsi="Times New Roman" w:eastAsia="黑体"/>
          <w:sz w:val="30"/>
          <w:szCs w:val="30"/>
        </w:rPr>
      </w:pPr>
      <w:r>
        <w:rPr>
          <w:rFonts w:ascii="Times New Roman" w:hAnsi="Times New Roman" w:eastAsia="黑体"/>
          <w:sz w:val="30"/>
          <w:szCs w:val="30"/>
        </w:rPr>
        <w:t>招标人：</w:t>
      </w:r>
      <w:r>
        <w:rPr>
          <w:rFonts w:hint="eastAsia" w:ascii="Times New Roman" w:hAnsi="Times New Roman" w:eastAsia="黑体"/>
          <w:sz w:val="30"/>
          <w:szCs w:val="30"/>
        </w:rPr>
        <w:t>紫金山实验室</w:t>
      </w:r>
    </w:p>
    <w:p>
      <w:pPr>
        <w:pStyle w:val="42"/>
        <w:spacing w:before="0" w:after="0"/>
        <w:ind w:firstLine="0"/>
        <w:jc w:val="center"/>
        <w:rPr>
          <w:rFonts w:ascii="Times New Roman" w:hAnsi="Times New Roman" w:eastAsia="黑体"/>
          <w:sz w:val="30"/>
          <w:szCs w:val="30"/>
        </w:rPr>
      </w:pPr>
      <w:r>
        <w:rPr>
          <w:rFonts w:ascii="Times New Roman" w:hAnsi="Times New Roman" w:eastAsia="黑体"/>
          <w:sz w:val="30"/>
          <w:szCs w:val="30"/>
        </w:rPr>
        <w:t>招标代理机构：中通服咨询设计研究院有限公司</w:t>
      </w:r>
    </w:p>
    <w:p>
      <w:pPr>
        <w:spacing w:line="360" w:lineRule="auto"/>
        <w:jc w:val="center"/>
        <w:rPr>
          <w:rFonts w:ascii="Times New Roman" w:hAnsi="Times New Roman" w:eastAsia="黑体" w:cs="Times New Roman"/>
          <w:sz w:val="28"/>
          <w:szCs w:val="28"/>
          <w:u w:color="000000"/>
        </w:rPr>
      </w:pPr>
      <w:r>
        <w:rPr>
          <w:rFonts w:ascii="Times New Roman" w:hAnsi="Times New Roman" w:eastAsia="黑体"/>
          <w:sz w:val="30"/>
          <w:szCs w:val="30"/>
        </w:rPr>
        <w:t>202</w:t>
      </w:r>
      <w:r>
        <w:rPr>
          <w:rFonts w:hint="eastAsia" w:ascii="Times New Roman" w:hAnsi="Times New Roman" w:eastAsia="黑体"/>
          <w:sz w:val="30"/>
          <w:szCs w:val="30"/>
        </w:rPr>
        <w:t>4</w:t>
      </w:r>
      <w:r>
        <w:rPr>
          <w:rFonts w:ascii="Times New Roman" w:hAnsi="Times New Roman" w:eastAsia="黑体"/>
          <w:sz w:val="30"/>
          <w:szCs w:val="30"/>
        </w:rPr>
        <w:t>年</w:t>
      </w:r>
      <w:r>
        <w:rPr>
          <w:rFonts w:hint="eastAsia" w:ascii="Times New Roman" w:hAnsi="Times New Roman" w:eastAsia="黑体"/>
          <w:sz w:val="30"/>
          <w:szCs w:val="30"/>
          <w:lang w:val="en-US" w:eastAsia="zh-CN"/>
        </w:rPr>
        <w:t>4</w:t>
      </w:r>
      <w:r>
        <w:rPr>
          <w:rFonts w:ascii="Times New Roman" w:hAnsi="Times New Roman" w:eastAsia="黑体"/>
          <w:sz w:val="30"/>
          <w:szCs w:val="30"/>
        </w:rPr>
        <w:t>月</w:t>
      </w:r>
    </w:p>
    <w:p>
      <w:pPr>
        <w:widowControl/>
        <w:jc w:val="left"/>
        <w:sectPr>
          <w:pgSz w:w="11906" w:h="16838"/>
          <w:pgMar w:top="1418" w:right="1418" w:bottom="1418" w:left="1701" w:header="851" w:footer="992" w:gutter="0"/>
          <w:cols w:space="425" w:num="1"/>
          <w:docGrid w:type="lines" w:linePitch="312" w:charSpace="0"/>
        </w:sectPr>
      </w:pPr>
    </w:p>
    <w:p>
      <w:pPr>
        <w:widowControl/>
        <w:spacing w:before="312" w:beforeLines="100" w:after="312" w:afterLines="100" w:line="360" w:lineRule="auto"/>
        <w:jc w:val="center"/>
        <w:rPr>
          <w:rFonts w:ascii="黑体" w:hAnsi="黑体" w:eastAsia="黑体"/>
          <w:sz w:val="36"/>
          <w:szCs w:val="36"/>
        </w:rPr>
      </w:pPr>
      <w:r>
        <w:rPr>
          <w:rFonts w:hint="eastAsia" w:ascii="黑体" w:hAnsi="黑体" w:eastAsia="黑体"/>
          <w:sz w:val="36"/>
          <w:szCs w:val="36"/>
        </w:rPr>
        <w:t>目  录</w:t>
      </w:r>
    </w:p>
    <w:sdt>
      <w:sdtPr>
        <w:rPr>
          <w:rFonts w:asciiTheme="majorHAnsi" w:hAnsiTheme="majorHAnsi" w:eastAsiaTheme="majorEastAsia" w:cstheme="majorBidi"/>
          <w:color w:val="2E75B6" w:themeColor="accent1" w:themeShade="BF"/>
          <w:sz w:val="32"/>
          <w:szCs w:val="32"/>
          <w:lang w:val="zh-CN"/>
        </w:rPr>
        <w:id w:val="1"/>
      </w:sdtPr>
      <w:sdtEndPr>
        <w:rPr>
          <w:rFonts w:ascii="Times New Roman" w:hAnsi="Times New Roman" w:eastAsia="黑体" w:cs="Times New Roman"/>
          <w:b/>
          <w:bCs/>
          <w:color w:val="auto"/>
          <w:sz w:val="24"/>
          <w:szCs w:val="22"/>
          <w:lang w:val="zh-CN"/>
        </w:rPr>
      </w:sdtEndPr>
      <w:sdtContent>
        <w:p>
          <w:pPr>
            <w:pStyle w:val="17"/>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"_Toc67403421" </w:instrText>
          </w:r>
          <w:r>
            <w:fldChar w:fldCharType="separate"/>
          </w:r>
          <w:r>
            <w:rPr>
              <w:rStyle w:val="26"/>
              <w:rFonts w:hint="eastAsia" w:ascii="黑体" w:hAnsi="黑体" w:cs="黑体"/>
              <w:kern w:val="44"/>
              <w:u w:color="000000"/>
              <w:lang w:val="zh-TW"/>
            </w:rPr>
            <w:t>第一章</w:t>
          </w:r>
          <w:r>
            <w:rPr>
              <w:rStyle w:val="26"/>
              <w:rFonts w:ascii="黑体" w:hAnsi="黑体" w:cs="黑体"/>
              <w:kern w:val="44"/>
              <w:u w:color="000000"/>
              <w:lang w:val="zh-TW"/>
            </w:rPr>
            <w:t xml:space="preserve"> </w:t>
          </w:r>
          <w:r>
            <w:rPr>
              <w:rStyle w:val="26"/>
              <w:rFonts w:ascii="黑体" w:hAnsi="黑体" w:cs="黑体"/>
              <w:kern w:val="44"/>
              <w:u w:color="000000"/>
              <w:lang w:val="zh-TW" w:eastAsia="zh-TW"/>
            </w:rPr>
            <w:t xml:space="preserve"> </w:t>
          </w:r>
          <w:r>
            <w:rPr>
              <w:rStyle w:val="26"/>
              <w:rFonts w:hint="eastAsia" w:ascii="黑体" w:hAnsi="黑体" w:cs="黑体"/>
              <w:kern w:val="44"/>
              <w:u w:color="000000"/>
              <w:lang w:val="zh-TW" w:eastAsia="zh-TW"/>
            </w:rPr>
            <w:t>招标公告</w:t>
          </w:r>
          <w:r>
            <w:tab/>
          </w:r>
          <w:r>
            <w:fldChar w:fldCharType="begin"/>
          </w:r>
          <w:r>
            <w:instrText xml:space="preserve"> PAGEREF _Toc67403421 \h </w:instrText>
          </w:r>
          <w:r>
            <w:fldChar w:fldCharType="separate"/>
          </w:r>
          <w:r>
            <w:t>1</w:t>
          </w:r>
          <w:r>
            <w:fldChar w:fldCharType="end"/>
          </w:r>
          <w:r>
            <w:fldChar w:fldCharType="end"/>
          </w:r>
        </w:p>
        <w:p>
          <w:pPr>
            <w:pStyle w:val="17"/>
            <w:rPr>
              <w:rFonts w:asciiTheme="minorHAnsi" w:hAnsiTheme="minorHAnsi" w:eastAsiaTheme="minorEastAsia" w:cstheme="minorBidi"/>
              <w:kern w:val="2"/>
              <w:sz w:val="21"/>
            </w:rPr>
          </w:pPr>
          <w:r>
            <w:fldChar w:fldCharType="begin"/>
          </w:r>
          <w:r>
            <w:instrText xml:space="preserve"> HYPERLINK \l "_Toc67403422" </w:instrText>
          </w:r>
          <w:r>
            <w:fldChar w:fldCharType="separate"/>
          </w:r>
          <w:r>
            <w:rPr>
              <w:rStyle w:val="26"/>
              <w:rFonts w:hint="eastAsia" w:ascii="黑体" w:hAnsi="黑体" w:cs="黑体"/>
              <w:kern w:val="44"/>
              <w:u w:color="000000"/>
              <w:lang w:val="zh-TW"/>
            </w:rPr>
            <w:t>第二章</w:t>
          </w:r>
          <w:r>
            <w:rPr>
              <w:rStyle w:val="26"/>
              <w:rFonts w:ascii="黑体" w:hAnsi="黑体" w:cs="黑体"/>
              <w:kern w:val="44"/>
              <w:u w:color="000000"/>
              <w:lang w:val="zh-TW"/>
            </w:rPr>
            <w:t xml:space="preserve">  </w:t>
          </w:r>
          <w:r>
            <w:rPr>
              <w:rStyle w:val="26"/>
              <w:rFonts w:hint="eastAsia" w:ascii="黑体" w:hAnsi="黑体" w:cs="黑体"/>
              <w:kern w:val="44"/>
              <w:u w:color="000000"/>
              <w:lang w:val="zh-TW"/>
            </w:rPr>
            <w:t>投标人须知</w:t>
          </w:r>
          <w:r>
            <w:tab/>
          </w:r>
          <w:r>
            <w:fldChar w:fldCharType="begin"/>
          </w:r>
          <w:r>
            <w:instrText xml:space="preserve"> PAGEREF _Toc67403422 \h </w:instrText>
          </w:r>
          <w:r>
            <w:fldChar w:fldCharType="separate"/>
          </w:r>
          <w:r>
            <w:t>4</w:t>
          </w:r>
          <w:r>
            <w:fldChar w:fldCharType="end"/>
          </w:r>
          <w:r>
            <w:fldChar w:fldCharType="end"/>
          </w:r>
        </w:p>
        <w:p>
          <w:pPr>
            <w:pStyle w:val="17"/>
            <w:rPr>
              <w:rFonts w:asciiTheme="minorHAnsi" w:hAnsiTheme="minorHAnsi" w:eastAsiaTheme="minorEastAsia" w:cstheme="minorBidi"/>
              <w:kern w:val="2"/>
              <w:sz w:val="21"/>
            </w:rPr>
          </w:pPr>
          <w:r>
            <w:fldChar w:fldCharType="begin"/>
          </w:r>
          <w:r>
            <w:instrText xml:space="preserve"> HYPERLINK \l "_Toc67403423" </w:instrText>
          </w:r>
          <w:r>
            <w:fldChar w:fldCharType="separate"/>
          </w:r>
          <w:r>
            <w:rPr>
              <w:rStyle w:val="26"/>
              <w:rFonts w:hint="eastAsia" w:ascii="黑体" w:hAnsi="黑体" w:cs="黑体"/>
              <w:kern w:val="44"/>
              <w:u w:color="000000"/>
              <w:lang w:val="zh-TW" w:eastAsia="zh-TW"/>
            </w:rPr>
            <w:t>第</w:t>
          </w:r>
          <w:r>
            <w:rPr>
              <w:rStyle w:val="26"/>
              <w:rFonts w:hint="eastAsia" w:ascii="黑体" w:hAnsi="黑体" w:cs="黑体"/>
              <w:kern w:val="44"/>
              <w:u w:color="000000"/>
              <w:lang w:val="zh-TW"/>
            </w:rPr>
            <w:t>三</w:t>
          </w:r>
          <w:r>
            <w:rPr>
              <w:rStyle w:val="26"/>
              <w:rFonts w:hint="eastAsia" w:ascii="黑体" w:hAnsi="黑体" w:cs="黑体"/>
              <w:kern w:val="44"/>
              <w:u w:color="000000"/>
              <w:lang w:val="zh-TW" w:eastAsia="zh-TW"/>
            </w:rPr>
            <w:t>章</w:t>
          </w:r>
          <w:r>
            <w:rPr>
              <w:rStyle w:val="26"/>
              <w:rFonts w:ascii="黑体" w:hAnsi="黑体" w:cs="黑体"/>
              <w:kern w:val="44"/>
              <w:u w:color="000000"/>
              <w:lang w:val="zh-TW" w:eastAsia="zh-TW"/>
            </w:rPr>
            <w:t xml:space="preserve">  </w:t>
          </w:r>
          <w:r>
            <w:rPr>
              <w:rStyle w:val="26"/>
              <w:rFonts w:hint="eastAsia" w:ascii="黑体" w:hAnsi="黑体" w:cs="黑体"/>
              <w:kern w:val="44"/>
              <w:u w:color="000000"/>
              <w:lang w:val="zh-TW" w:eastAsia="zh-TW"/>
            </w:rPr>
            <w:t>合同条款及格式</w:t>
          </w:r>
          <w:r>
            <w:tab/>
          </w:r>
          <w:r>
            <w:fldChar w:fldCharType="begin"/>
          </w:r>
          <w:r>
            <w:instrText xml:space="preserve"> PAGEREF _Toc67403423 \h </w:instrText>
          </w:r>
          <w:r>
            <w:fldChar w:fldCharType="separate"/>
          </w:r>
          <w:r>
            <w:t>12</w:t>
          </w:r>
          <w:r>
            <w:fldChar w:fldCharType="end"/>
          </w:r>
          <w:r>
            <w:fldChar w:fldCharType="end"/>
          </w:r>
        </w:p>
        <w:p>
          <w:pPr>
            <w:pStyle w:val="17"/>
            <w:rPr>
              <w:rFonts w:asciiTheme="minorHAnsi" w:hAnsiTheme="minorHAnsi" w:eastAsiaTheme="minorEastAsia" w:cstheme="minorBidi"/>
              <w:kern w:val="2"/>
              <w:sz w:val="21"/>
            </w:rPr>
          </w:pPr>
          <w:r>
            <w:fldChar w:fldCharType="begin"/>
          </w:r>
          <w:r>
            <w:instrText xml:space="preserve"> HYPERLINK \l "_Toc67403424" </w:instrText>
          </w:r>
          <w:r>
            <w:fldChar w:fldCharType="separate"/>
          </w:r>
          <w:r>
            <w:rPr>
              <w:rStyle w:val="26"/>
              <w:rFonts w:hint="eastAsia" w:ascii="黑体" w:hAnsi="黑体" w:cs="黑体"/>
              <w:kern w:val="44"/>
              <w:u w:color="000000"/>
              <w:lang w:val="zh-TW" w:eastAsia="zh-TW"/>
            </w:rPr>
            <w:t>第</w:t>
          </w:r>
          <w:r>
            <w:rPr>
              <w:rStyle w:val="26"/>
              <w:rFonts w:hint="eastAsia" w:ascii="黑体" w:hAnsi="黑体" w:cs="黑体"/>
              <w:kern w:val="44"/>
              <w:u w:color="000000"/>
              <w:lang w:val="zh-TW"/>
            </w:rPr>
            <w:t>四</w:t>
          </w:r>
          <w:r>
            <w:rPr>
              <w:rStyle w:val="26"/>
              <w:rFonts w:hint="eastAsia" w:ascii="黑体" w:hAnsi="黑体" w:cs="黑体"/>
              <w:kern w:val="44"/>
              <w:u w:color="000000"/>
              <w:lang w:val="zh-TW" w:eastAsia="zh-TW"/>
            </w:rPr>
            <w:t>章</w:t>
          </w:r>
          <w:r>
            <w:rPr>
              <w:rStyle w:val="26"/>
              <w:rFonts w:ascii="黑体" w:hAnsi="黑体" w:cs="黑体"/>
              <w:kern w:val="44"/>
              <w:u w:color="000000"/>
              <w:lang w:val="zh-TW" w:eastAsia="zh-TW"/>
            </w:rPr>
            <w:t xml:space="preserve">  </w:t>
          </w:r>
          <w:r>
            <w:rPr>
              <w:rStyle w:val="26"/>
              <w:rFonts w:hint="eastAsia" w:ascii="黑体" w:hAnsi="黑体" w:cs="黑体"/>
              <w:kern w:val="44"/>
              <w:u w:color="000000"/>
              <w:lang w:val="zh-TW"/>
            </w:rPr>
            <w:t>项目需求</w:t>
          </w:r>
          <w:r>
            <w:tab/>
          </w:r>
          <w:r>
            <w:fldChar w:fldCharType="begin"/>
          </w:r>
          <w:r>
            <w:instrText xml:space="preserve"> PAGEREF _Toc67403424 \h </w:instrText>
          </w:r>
          <w:r>
            <w:fldChar w:fldCharType="separate"/>
          </w:r>
          <w:r>
            <w:t>13</w:t>
          </w:r>
          <w:r>
            <w:fldChar w:fldCharType="end"/>
          </w:r>
          <w:r>
            <w:fldChar w:fldCharType="end"/>
          </w:r>
        </w:p>
        <w:p>
          <w:pPr>
            <w:pStyle w:val="17"/>
            <w:rPr>
              <w:rFonts w:asciiTheme="minorHAnsi" w:hAnsiTheme="minorHAnsi" w:eastAsiaTheme="minorEastAsia" w:cstheme="minorBidi"/>
              <w:kern w:val="2"/>
              <w:sz w:val="21"/>
            </w:rPr>
          </w:pPr>
          <w:r>
            <w:fldChar w:fldCharType="begin"/>
          </w:r>
          <w:r>
            <w:instrText xml:space="preserve"> HYPERLINK \l "_Toc67403425" </w:instrText>
          </w:r>
          <w:r>
            <w:fldChar w:fldCharType="separate"/>
          </w:r>
          <w:r>
            <w:rPr>
              <w:rStyle w:val="26"/>
              <w:rFonts w:hint="eastAsia" w:ascii="黑体" w:hAnsi="黑体" w:cs="黑体"/>
              <w:kern w:val="44"/>
              <w:u w:color="000000"/>
              <w:lang w:val="zh-TW" w:eastAsia="zh-TW"/>
            </w:rPr>
            <w:t>第</w:t>
          </w:r>
          <w:r>
            <w:rPr>
              <w:rStyle w:val="26"/>
              <w:rFonts w:hint="eastAsia" w:ascii="黑体" w:hAnsi="黑体" w:cs="黑体"/>
              <w:kern w:val="44"/>
              <w:u w:color="000000"/>
              <w:lang w:val="zh-TW"/>
            </w:rPr>
            <w:t>五</w:t>
          </w:r>
          <w:r>
            <w:rPr>
              <w:rStyle w:val="26"/>
              <w:rFonts w:hint="eastAsia" w:ascii="黑体" w:hAnsi="黑体" w:cs="黑体"/>
              <w:kern w:val="44"/>
              <w:u w:color="000000"/>
              <w:lang w:val="zh-TW" w:eastAsia="zh-TW"/>
            </w:rPr>
            <w:t>章</w:t>
          </w:r>
          <w:r>
            <w:rPr>
              <w:rStyle w:val="26"/>
              <w:rFonts w:ascii="黑体" w:hAnsi="黑体" w:cs="黑体"/>
              <w:kern w:val="44"/>
              <w:u w:color="000000"/>
              <w:lang w:val="zh-TW" w:eastAsia="zh-TW"/>
            </w:rPr>
            <w:t xml:space="preserve">  </w:t>
          </w:r>
          <w:r>
            <w:rPr>
              <w:rStyle w:val="26"/>
              <w:rFonts w:hint="eastAsia" w:ascii="黑体" w:hAnsi="黑体" w:cs="黑体"/>
              <w:kern w:val="44"/>
              <w:u w:color="000000"/>
              <w:lang w:val="zh-TW" w:eastAsia="zh-TW"/>
            </w:rPr>
            <w:t>评标方法与评标标准</w:t>
          </w:r>
          <w:r>
            <w:tab/>
          </w:r>
          <w:r>
            <w:fldChar w:fldCharType="begin"/>
          </w:r>
          <w:r>
            <w:instrText xml:space="preserve"> PAGEREF _Toc67403425 \h </w:instrText>
          </w:r>
          <w:r>
            <w:fldChar w:fldCharType="separate"/>
          </w:r>
          <w:r>
            <w:t>14</w:t>
          </w:r>
          <w:r>
            <w:fldChar w:fldCharType="end"/>
          </w:r>
          <w:r>
            <w:fldChar w:fldCharType="end"/>
          </w:r>
        </w:p>
        <w:p>
          <w:pPr>
            <w:pStyle w:val="17"/>
            <w:rPr>
              <w:rFonts w:asciiTheme="minorHAnsi" w:hAnsiTheme="minorHAnsi" w:eastAsiaTheme="minorEastAsia" w:cstheme="minorBidi"/>
              <w:kern w:val="2"/>
              <w:sz w:val="21"/>
            </w:rPr>
          </w:pPr>
          <w:r>
            <w:fldChar w:fldCharType="begin"/>
          </w:r>
          <w:r>
            <w:instrText xml:space="preserve"> HYPERLINK \l "_Toc67403426" </w:instrText>
          </w:r>
          <w:r>
            <w:fldChar w:fldCharType="separate"/>
          </w:r>
          <w:r>
            <w:rPr>
              <w:rStyle w:val="26"/>
              <w:rFonts w:hint="eastAsia" w:ascii="黑体" w:hAnsi="黑体" w:cs="黑体"/>
              <w:kern w:val="44"/>
              <w:u w:color="000000"/>
              <w:lang w:val="zh-TW" w:eastAsia="zh-TW"/>
            </w:rPr>
            <w:t>第</w:t>
          </w:r>
          <w:r>
            <w:rPr>
              <w:rStyle w:val="26"/>
              <w:rFonts w:hint="eastAsia" w:ascii="黑体" w:hAnsi="黑体" w:cs="黑体"/>
              <w:kern w:val="44"/>
              <w:u w:color="000000"/>
              <w:lang w:val="zh-TW"/>
            </w:rPr>
            <w:t>六</w:t>
          </w:r>
          <w:r>
            <w:rPr>
              <w:rStyle w:val="26"/>
              <w:rFonts w:hint="eastAsia" w:ascii="黑体" w:hAnsi="黑体" w:cs="黑体"/>
              <w:kern w:val="44"/>
              <w:u w:color="000000"/>
              <w:lang w:val="zh-TW" w:eastAsia="zh-TW"/>
            </w:rPr>
            <w:t>章</w:t>
          </w:r>
          <w:r>
            <w:rPr>
              <w:rStyle w:val="26"/>
              <w:rFonts w:ascii="黑体" w:hAnsi="黑体" w:cs="黑体"/>
              <w:kern w:val="44"/>
              <w:u w:color="000000"/>
              <w:lang w:val="zh-TW" w:eastAsia="zh-TW"/>
            </w:rPr>
            <w:t xml:space="preserve">  </w:t>
          </w:r>
          <w:r>
            <w:rPr>
              <w:rStyle w:val="26"/>
              <w:rFonts w:hint="eastAsia" w:ascii="黑体" w:hAnsi="黑体" w:cs="黑体"/>
              <w:kern w:val="44"/>
              <w:u w:color="000000"/>
              <w:lang w:val="zh-TW" w:eastAsia="zh-TW"/>
            </w:rPr>
            <w:t>投标文件格式</w:t>
          </w:r>
          <w:r>
            <w:tab/>
          </w:r>
          <w:r>
            <w:fldChar w:fldCharType="begin"/>
          </w:r>
          <w:r>
            <w:instrText xml:space="preserve"> PAGEREF _Toc67403426 \h </w:instrText>
          </w:r>
          <w:r>
            <w:fldChar w:fldCharType="separate"/>
          </w:r>
          <w:r>
            <w:t>16</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"_Toc67403427" </w:instrText>
          </w:r>
          <w:r>
            <w:fldChar w:fldCharType="separate"/>
          </w:r>
          <w:r>
            <w:rPr>
              <w:rStyle w:val="26"/>
              <w:rFonts w:eastAsia="黑体"/>
              <w:u w:color="000000"/>
            </w:rPr>
            <w:t xml:space="preserve">6.1 </w:t>
          </w:r>
          <w:r>
            <w:rPr>
              <w:rStyle w:val="26"/>
              <w:rFonts w:hint="eastAsia" w:eastAsia="黑体"/>
              <w:u w:color="000000"/>
            </w:rPr>
            <w:t>投标函</w:t>
          </w:r>
          <w:r>
            <w:tab/>
          </w:r>
          <w:r>
            <w:fldChar w:fldCharType="begin"/>
          </w:r>
          <w:r>
            <w:instrText xml:space="preserve"> PAGEREF _Toc67403427 \h </w:instrText>
          </w:r>
          <w:r>
            <w:fldChar w:fldCharType="separate"/>
          </w:r>
          <w:r>
            <w:t>19</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"_Toc67403428" </w:instrText>
          </w:r>
          <w:r>
            <w:fldChar w:fldCharType="separate"/>
          </w:r>
          <w:r>
            <w:rPr>
              <w:rStyle w:val="26"/>
              <w:rFonts w:eastAsia="黑体"/>
              <w:u w:color="000000"/>
            </w:rPr>
            <w:t xml:space="preserve">6.2 </w:t>
          </w:r>
          <w:r>
            <w:rPr>
              <w:rStyle w:val="26"/>
              <w:rFonts w:hint="eastAsia" w:eastAsia="黑体"/>
              <w:u w:color="000000"/>
            </w:rPr>
            <w:t>投标一览表</w:t>
          </w:r>
          <w:r>
            <w:tab/>
          </w:r>
          <w:r>
            <w:fldChar w:fldCharType="begin"/>
          </w:r>
          <w:r>
            <w:instrText xml:space="preserve"> PAGEREF _Toc67403428 \h </w:instrText>
          </w:r>
          <w:r>
            <w:fldChar w:fldCharType="separate"/>
          </w:r>
          <w:r>
            <w:t>20</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"_Toc67403429" </w:instrText>
          </w:r>
          <w:r>
            <w:fldChar w:fldCharType="separate"/>
          </w:r>
          <w:r>
            <w:rPr>
              <w:rStyle w:val="26"/>
              <w:rFonts w:eastAsia="黑体"/>
              <w:u w:color="000000"/>
            </w:rPr>
            <w:t xml:space="preserve">6.3 </w:t>
          </w:r>
          <w:r>
            <w:rPr>
              <w:rStyle w:val="26"/>
              <w:rFonts w:hint="eastAsia" w:eastAsia="黑体"/>
              <w:u w:color="000000"/>
            </w:rPr>
            <w:t>法定代表人授权委托书</w:t>
          </w:r>
          <w:r>
            <w:tab/>
          </w:r>
          <w:r>
            <w:fldChar w:fldCharType="begin"/>
          </w:r>
          <w:r>
            <w:instrText xml:space="preserve"> PAGEREF _Toc67403429 \h </w:instrText>
          </w:r>
          <w:r>
            <w:fldChar w:fldCharType="separate"/>
          </w:r>
          <w:r>
            <w:t>22</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"_Toc67403430" </w:instrText>
          </w:r>
          <w:r>
            <w:fldChar w:fldCharType="separate"/>
          </w:r>
          <w:r>
            <w:rPr>
              <w:rStyle w:val="26"/>
              <w:rFonts w:eastAsia="黑体"/>
              <w:u w:color="000000"/>
            </w:rPr>
            <w:t xml:space="preserve">6.4 </w:t>
          </w:r>
          <w:r>
            <w:rPr>
              <w:rStyle w:val="26"/>
              <w:rFonts w:hint="eastAsia" w:eastAsia="黑体"/>
              <w:u w:color="000000"/>
            </w:rPr>
            <w:t>资格证明文件</w:t>
          </w:r>
          <w:r>
            <w:tab/>
          </w:r>
          <w:r>
            <w:fldChar w:fldCharType="begin"/>
          </w:r>
          <w:r>
            <w:instrText xml:space="preserve"> PAGEREF _Toc67403430 \h </w:instrText>
          </w:r>
          <w:r>
            <w:fldChar w:fldCharType="separate"/>
          </w:r>
          <w:r>
            <w:t>24</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"_Toc67403431" </w:instrText>
          </w:r>
          <w:r>
            <w:fldChar w:fldCharType="separate"/>
          </w:r>
          <w:r>
            <w:rPr>
              <w:rStyle w:val="26"/>
              <w:rFonts w:eastAsia="黑体"/>
              <w:u w:color="000000"/>
            </w:rPr>
            <w:t xml:space="preserve">6.5 </w:t>
          </w:r>
          <w:r>
            <w:rPr>
              <w:rStyle w:val="26"/>
              <w:rFonts w:hint="eastAsia" w:eastAsia="黑体"/>
              <w:u w:color="000000"/>
            </w:rPr>
            <w:t>商务条款响应及偏离表</w:t>
          </w:r>
          <w:r>
            <w:tab/>
          </w:r>
          <w:r>
            <w:fldChar w:fldCharType="begin"/>
          </w:r>
          <w:r>
            <w:instrText xml:space="preserve"> PAGEREF _Toc67403431 \h </w:instrText>
          </w:r>
          <w:r>
            <w:fldChar w:fldCharType="separate"/>
          </w:r>
          <w:r>
            <w:t>27</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"_Toc67403432" </w:instrText>
          </w:r>
          <w:r>
            <w:fldChar w:fldCharType="separate"/>
          </w:r>
          <w:r>
            <w:rPr>
              <w:rStyle w:val="26"/>
              <w:rFonts w:eastAsia="黑体"/>
              <w:u w:color="000000"/>
            </w:rPr>
            <w:t xml:space="preserve">6.6 </w:t>
          </w:r>
          <w:r>
            <w:rPr>
              <w:rStyle w:val="26"/>
              <w:rFonts w:hint="eastAsia" w:eastAsia="黑体"/>
              <w:u w:color="000000"/>
            </w:rPr>
            <w:t>技术参数响应及偏离表</w:t>
          </w:r>
          <w:r>
            <w:tab/>
          </w:r>
          <w:r>
            <w:fldChar w:fldCharType="begin"/>
          </w:r>
          <w:r>
            <w:instrText xml:space="preserve"> PAGEREF _Toc67403432 \h </w:instrText>
          </w:r>
          <w:r>
            <w:fldChar w:fldCharType="separate"/>
          </w:r>
          <w:r>
            <w:t>28</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"_Toc67403433" </w:instrText>
          </w:r>
          <w:r>
            <w:fldChar w:fldCharType="separate"/>
          </w:r>
          <w:r>
            <w:rPr>
              <w:rStyle w:val="26"/>
              <w:rFonts w:eastAsia="黑体"/>
              <w:u w:color="000000"/>
            </w:rPr>
            <w:t xml:space="preserve">6.7 </w:t>
          </w:r>
          <w:r>
            <w:rPr>
              <w:rStyle w:val="26"/>
              <w:rFonts w:hint="eastAsia" w:eastAsia="黑体"/>
              <w:u w:color="000000"/>
            </w:rPr>
            <w:t>技术规范点对点应答</w:t>
          </w:r>
          <w:r>
            <w:tab/>
          </w:r>
          <w:r>
            <w:fldChar w:fldCharType="begin"/>
          </w:r>
          <w:r>
            <w:instrText xml:space="preserve"> PAGEREF _Toc67403433 \h </w:instrText>
          </w:r>
          <w:r>
            <w:fldChar w:fldCharType="separate"/>
          </w:r>
          <w:r>
            <w:t>29</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"_Toc67403434" </w:instrText>
          </w:r>
          <w:r>
            <w:fldChar w:fldCharType="separate"/>
          </w:r>
          <w:r>
            <w:rPr>
              <w:rStyle w:val="26"/>
              <w:rFonts w:eastAsia="黑体"/>
              <w:u w:color="000000"/>
            </w:rPr>
            <w:t xml:space="preserve">6.8 </w:t>
          </w:r>
          <w:r>
            <w:rPr>
              <w:rStyle w:val="26"/>
              <w:rFonts w:hint="eastAsia" w:eastAsia="黑体"/>
              <w:u w:color="000000"/>
            </w:rPr>
            <w:t>投标产品要求</w:t>
          </w:r>
          <w:r>
            <w:tab/>
          </w:r>
          <w:r>
            <w:fldChar w:fldCharType="begin"/>
          </w:r>
          <w:r>
            <w:instrText xml:space="preserve"> PAGEREF _Toc67403434 \h </w:instrText>
          </w:r>
          <w:r>
            <w:fldChar w:fldCharType="separate"/>
          </w:r>
          <w:r>
            <w:t>30</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"_Toc67403435" </w:instrText>
          </w:r>
          <w:r>
            <w:fldChar w:fldCharType="separate"/>
          </w:r>
          <w:r>
            <w:rPr>
              <w:rStyle w:val="26"/>
              <w:rFonts w:eastAsia="黑体"/>
              <w:u w:color="000000"/>
            </w:rPr>
            <w:t xml:space="preserve">6.9 </w:t>
          </w:r>
          <w:r>
            <w:rPr>
              <w:rStyle w:val="26"/>
              <w:rFonts w:hint="eastAsia" w:eastAsia="黑体"/>
              <w:u w:color="000000"/>
            </w:rPr>
            <w:t>技术方案</w:t>
          </w:r>
          <w:r>
            <w:tab/>
          </w:r>
          <w:r>
            <w:fldChar w:fldCharType="begin"/>
          </w:r>
          <w:r>
            <w:instrText xml:space="preserve"> PAGEREF _Toc67403435 \h </w:instrText>
          </w:r>
          <w:r>
            <w:fldChar w:fldCharType="separate"/>
          </w:r>
          <w:r>
            <w:t>31</w:t>
          </w:r>
          <w:r>
            <w:fldChar w:fldCharType="end"/>
          </w:r>
          <w:r>
            <w:fldChar w:fldCharType="end"/>
          </w:r>
        </w:p>
        <w:p>
          <w:pPr>
            <w:pStyle w:val="11"/>
            <w:tabs>
              <w:tab w:val="right" w:leader="dot" w:pos="8777"/>
            </w:tabs>
            <w:rPr>
              <w:rFonts w:asciiTheme="minorHAnsi" w:hAnsiTheme="minorHAnsi" w:eastAsiaTheme="minorEastAsia" w:cstheme="minorBidi"/>
              <w:kern w:val="2"/>
              <w:sz w:val="21"/>
            </w:rPr>
          </w:pPr>
          <w:r>
            <w:fldChar w:fldCharType="begin"/>
          </w:r>
          <w:r>
            <w:instrText xml:space="preserve"> HYPERLINK \l "_Toc67403436" </w:instrText>
          </w:r>
          <w:r>
            <w:fldChar w:fldCharType="separate"/>
          </w:r>
          <w:r>
            <w:rPr>
              <w:rStyle w:val="26"/>
              <w:rFonts w:eastAsia="黑体"/>
              <w:u w:color="000000"/>
            </w:rPr>
            <w:t xml:space="preserve">6.10 </w:t>
          </w:r>
          <w:r>
            <w:rPr>
              <w:rStyle w:val="26"/>
              <w:rFonts w:hint="eastAsia" w:eastAsia="黑体"/>
              <w:u w:color="000000"/>
            </w:rPr>
            <w:t>投标人其它声明及材料</w:t>
          </w:r>
          <w:r>
            <w:tab/>
          </w:r>
          <w:r>
            <w:fldChar w:fldCharType="begin"/>
          </w:r>
          <w:r>
            <w:instrText xml:space="preserve"> PAGEREF _Toc67403436 \h </w:instrText>
          </w:r>
          <w:r>
            <w:fldChar w:fldCharType="separate"/>
          </w:r>
          <w:r>
            <w:t>32</w:t>
          </w:r>
          <w:r>
            <w:fldChar w:fldCharType="end"/>
          </w:r>
          <w:r>
            <w:fldChar w:fldCharType="end"/>
          </w:r>
        </w:p>
        <w:p>
          <w:pPr>
            <w:pStyle w:val="17"/>
          </w:pPr>
          <w:r>
            <w:fldChar w:fldCharType="end"/>
          </w:r>
        </w:p>
      </w:sdtContent>
    </w:sdt>
    <w:p>
      <w:pPr>
        <w:widowControl/>
        <w:jc w:val="left"/>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pPr>
        <w:keepNext/>
        <w:keepLines/>
        <w:spacing w:before="312" w:beforeLines="100" w:after="312" w:afterLines="100" w:line="360" w:lineRule="auto"/>
        <w:jc w:val="center"/>
        <w:outlineLvl w:val="0"/>
        <w:rPr>
          <w:rFonts w:ascii="黑体" w:hAnsi="黑体" w:eastAsia="黑体" w:cs="黑体"/>
          <w:kern w:val="44"/>
          <w:sz w:val="36"/>
          <w:szCs w:val="36"/>
          <w:u w:color="000000"/>
          <w:lang w:val="zh-TW"/>
        </w:rPr>
      </w:pPr>
      <w:bookmarkStart w:id="0" w:name="_Toc"/>
      <w:bookmarkStart w:id="1" w:name="_Toc67403421"/>
      <w:bookmarkStart w:id="2" w:name="_Toc415494523"/>
      <w:bookmarkStart w:id="3" w:name="_Toc448069940"/>
      <w:r>
        <w:rPr>
          <w:rFonts w:hint="eastAsia" w:ascii="黑体" w:hAnsi="黑体" w:eastAsia="黑体" w:cs="黑体"/>
          <w:kern w:val="44"/>
          <w:sz w:val="36"/>
          <w:szCs w:val="36"/>
          <w:u w:color="000000"/>
          <w:lang w:val="zh-TW"/>
        </w:rPr>
        <w:t xml:space="preserve">第一章 </w:t>
      </w:r>
      <w:r>
        <w:rPr>
          <w:rFonts w:ascii="黑体" w:hAnsi="黑体" w:eastAsia="黑体" w:cs="黑体"/>
          <w:kern w:val="44"/>
          <w:sz w:val="36"/>
          <w:szCs w:val="36"/>
          <w:u w:color="000000"/>
          <w:lang w:val="zh-TW"/>
        </w:rPr>
        <w:t xml:space="preserve"> </w:t>
      </w:r>
      <w:r>
        <w:rPr>
          <w:rFonts w:hint="eastAsia" w:ascii="黑体" w:hAnsi="黑体" w:eastAsia="黑体" w:cs="黑体"/>
          <w:kern w:val="44"/>
          <w:sz w:val="36"/>
          <w:szCs w:val="36"/>
          <w:u w:color="000000"/>
          <w:lang w:val="zh-TW"/>
        </w:rPr>
        <w:t>招标</w:t>
      </w:r>
      <w:r>
        <w:rPr>
          <w:rFonts w:ascii="黑体" w:hAnsi="黑体" w:eastAsia="黑体" w:cs="黑体"/>
          <w:kern w:val="44"/>
          <w:sz w:val="36"/>
          <w:szCs w:val="36"/>
          <w:u w:color="000000"/>
          <w:lang w:val="zh-TW"/>
        </w:rPr>
        <w:t>公告</w:t>
      </w:r>
      <w:bookmarkEnd w:id="0"/>
      <w:bookmarkEnd w:id="1"/>
      <w:bookmarkEnd w:id="2"/>
      <w:bookmarkEnd w:id="3"/>
    </w:p>
    <w:p>
      <w:pPr>
        <w:spacing w:line="360" w:lineRule="auto"/>
        <w:ind w:firstLine="482" w:firstLineChars="200"/>
        <w:rPr>
          <w:rFonts w:ascii="Times New Roman" w:hAnsi="Times New Roman" w:cs="Times New Roman"/>
          <w:b/>
          <w:sz w:val="24"/>
          <w:szCs w:val="24"/>
        </w:rPr>
      </w:pPr>
      <w:bookmarkStart w:id="4" w:name="_Toc1"/>
      <w:bookmarkStart w:id="5" w:name="_Toc415494524"/>
      <w:bookmarkStart w:id="6" w:name="_Toc448069941"/>
      <w:r>
        <w:rPr>
          <w:rFonts w:hint="eastAsia" w:ascii="Times New Roman" w:hAnsi="Times New Roman" w:cs="Times New Roman"/>
          <w:b/>
          <w:sz w:val="24"/>
          <w:szCs w:val="24"/>
        </w:rPr>
        <w:t xml:space="preserve">项目概况 </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紫金山实验室态势感知</w:t>
      </w:r>
      <w:r>
        <w:rPr>
          <w:rFonts w:hint="eastAsia" w:ascii="Times New Roman" w:hAnsi="Times New Roman" w:cs="Times New Roman"/>
          <w:sz w:val="24"/>
          <w:szCs w:val="24"/>
        </w:rPr>
        <w:t>招标项目的潜在投标人应在</w:t>
      </w:r>
      <w:r>
        <w:rPr>
          <w:rFonts w:hint="eastAsia" w:ascii="Times New Roman" w:hAnsi="Times New Roman" w:cs="Times New Roman"/>
          <w:b/>
          <w:sz w:val="24"/>
          <w:szCs w:val="24"/>
        </w:rPr>
        <w:t>中通服咨询设计研究院有限公司</w:t>
      </w:r>
      <w:r>
        <w:rPr>
          <w:rFonts w:hint="eastAsia" w:ascii="Times New Roman" w:hAnsi="Times New Roman" w:cs="Times New Roman"/>
          <w:sz w:val="24"/>
          <w:szCs w:val="24"/>
        </w:rPr>
        <w:t>获取招标文件，并</w:t>
      </w:r>
      <w:r>
        <w:rPr>
          <w:rFonts w:hint="eastAsia" w:ascii="Times New Roman" w:hAnsi="Times New Roman" w:cs="Times New Roman"/>
          <w:sz w:val="24"/>
          <w:szCs w:val="24"/>
          <w:highlight w:val="none"/>
        </w:rPr>
        <w:t>于</w:t>
      </w:r>
      <w:r>
        <w:rPr>
          <w:rFonts w:ascii="Times New Roman" w:hAnsi="Times New Roman" w:cs="Times New Roman"/>
          <w:b/>
          <w:sz w:val="24"/>
          <w:szCs w:val="24"/>
          <w:highlight w:val="none"/>
        </w:rPr>
        <w:t>202</w:t>
      </w:r>
      <w:r>
        <w:rPr>
          <w:rFonts w:hint="eastAsia" w:ascii="Times New Roman" w:hAnsi="Times New Roman" w:cs="Times New Roman"/>
          <w:b/>
          <w:sz w:val="24"/>
          <w:szCs w:val="24"/>
          <w:highlight w:val="none"/>
        </w:rPr>
        <w:t>4年</w:t>
      </w:r>
      <w:r>
        <w:rPr>
          <w:rFonts w:hint="eastAsia" w:ascii="Times New Roman" w:hAnsi="Times New Roman" w:cs="Times New Roman"/>
          <w:b/>
          <w:sz w:val="24"/>
          <w:szCs w:val="24"/>
          <w:highlight w:val="none"/>
          <w:lang w:val="en-US" w:eastAsia="zh-CN"/>
        </w:rPr>
        <w:t>5</w:t>
      </w:r>
      <w:r>
        <w:rPr>
          <w:rFonts w:hint="eastAsia" w:ascii="Times New Roman" w:hAnsi="Times New Roman" w:cs="Times New Roman"/>
          <w:b/>
          <w:sz w:val="24"/>
          <w:szCs w:val="24"/>
          <w:highlight w:val="none"/>
        </w:rPr>
        <w:t>月</w:t>
      </w:r>
      <w:r>
        <w:rPr>
          <w:rFonts w:hint="eastAsia" w:ascii="Times New Roman" w:hAnsi="Times New Roman" w:cs="Times New Roman"/>
          <w:b/>
          <w:sz w:val="24"/>
          <w:szCs w:val="24"/>
          <w:highlight w:val="none"/>
          <w:lang w:val="en-US" w:eastAsia="zh-CN"/>
        </w:rPr>
        <w:t>7</w:t>
      </w:r>
      <w:r>
        <w:rPr>
          <w:rFonts w:hint="eastAsia" w:ascii="Times New Roman" w:hAnsi="Times New Roman" w:cs="Times New Roman"/>
          <w:b/>
          <w:sz w:val="24"/>
          <w:szCs w:val="24"/>
          <w:highlight w:val="none"/>
        </w:rPr>
        <w:t>日下午14点30分</w:t>
      </w:r>
      <w:r>
        <w:rPr>
          <w:rFonts w:hint="eastAsia" w:ascii="Times New Roman" w:hAnsi="Times New Roman" w:cs="Times New Roman"/>
          <w:sz w:val="24"/>
          <w:szCs w:val="24"/>
          <w:highlight w:val="none"/>
        </w:rPr>
        <w:t>（北</w:t>
      </w:r>
      <w:r>
        <w:rPr>
          <w:rFonts w:hint="eastAsia" w:ascii="Times New Roman" w:hAnsi="Times New Roman" w:cs="Times New Roman"/>
          <w:sz w:val="24"/>
          <w:szCs w:val="24"/>
        </w:rPr>
        <w:t>京时间）前递交投标文件。</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一、项目基本情况</w:t>
      </w:r>
    </w:p>
    <w:p>
      <w:pPr>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项目编号：PML-ZH-ZB-20240</w:t>
      </w:r>
      <w:r>
        <w:rPr>
          <w:rFonts w:hint="eastAsia" w:ascii="Times New Roman" w:hAnsi="Times New Roman" w:cs="Times New Roman"/>
          <w:sz w:val="24"/>
          <w:szCs w:val="24"/>
          <w:lang w:val="en-US" w:eastAsia="zh-CN"/>
        </w:rPr>
        <w:t>10</w:t>
      </w:r>
    </w:p>
    <w:p>
      <w:pPr>
        <w:spacing w:line="360" w:lineRule="auto"/>
        <w:ind w:left="1679" w:leftChars="228" w:hanging="1200" w:hangingChars="5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rPr>
        <w:t>项目名称：紫金山实验室态势感知</w:t>
      </w:r>
      <w:r>
        <w:rPr>
          <w:rFonts w:hint="eastAsia" w:ascii="Times New Roman" w:hAnsi="Times New Roman" w:cs="Times New Roman"/>
          <w:sz w:val="24"/>
          <w:szCs w:val="24"/>
          <w:lang w:val="en-US" w:eastAsia="zh-CN"/>
        </w:rPr>
        <w:t>项目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预算金额：</w:t>
      </w:r>
      <w:r>
        <w:rPr>
          <w:rFonts w:hint="eastAsia" w:ascii="Times New Roman" w:hAnsi="Times New Roman" w:cs="Times New Roman"/>
          <w:sz w:val="24"/>
          <w:szCs w:val="24"/>
          <w:lang w:val="en-US" w:eastAsia="zh-CN"/>
        </w:rPr>
        <w:t>95</w:t>
      </w:r>
      <w:r>
        <w:rPr>
          <w:rFonts w:hint="eastAsia" w:ascii="Times New Roman" w:hAnsi="Times New Roman" w:cs="Times New Roman"/>
          <w:sz w:val="24"/>
          <w:szCs w:val="24"/>
        </w:rPr>
        <w:t>万元</w:t>
      </w:r>
      <w:r>
        <w:rPr>
          <w:rFonts w:ascii="Times New Roman" w:hAnsi="Times New Roman" w:cs="Times New Roman"/>
          <w:sz w:val="24"/>
          <w:szCs w:val="24"/>
        </w:rPr>
        <w:t>（</w:t>
      </w:r>
      <w:r>
        <w:rPr>
          <w:rFonts w:hint="eastAsia" w:ascii="Times New Roman" w:hAnsi="Times New Roman" w:cs="Times New Roman"/>
          <w:sz w:val="24"/>
          <w:szCs w:val="24"/>
        </w:rPr>
        <w:t>含税</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最高限价：</w:t>
      </w:r>
      <w:r>
        <w:rPr>
          <w:rFonts w:hint="eastAsia" w:ascii="Times New Roman" w:hAnsi="Times New Roman" w:cs="Times New Roman"/>
          <w:sz w:val="24"/>
          <w:szCs w:val="24"/>
          <w:lang w:val="en-US" w:eastAsia="zh-CN"/>
        </w:rPr>
        <w:t>95</w:t>
      </w:r>
      <w:r>
        <w:rPr>
          <w:rFonts w:hint="eastAsia" w:ascii="Times New Roman" w:hAnsi="Times New Roman" w:cs="Times New Roman"/>
          <w:sz w:val="24"/>
          <w:szCs w:val="24"/>
        </w:rPr>
        <w:t>万元</w:t>
      </w:r>
      <w:r>
        <w:rPr>
          <w:rFonts w:ascii="Times New Roman" w:hAnsi="Times New Roman" w:cs="Times New Roman"/>
          <w:sz w:val="24"/>
          <w:szCs w:val="24"/>
        </w:rPr>
        <w:t>（</w:t>
      </w:r>
      <w:r>
        <w:rPr>
          <w:rFonts w:hint="eastAsia" w:ascii="Times New Roman" w:hAnsi="Times New Roman" w:cs="Times New Roman"/>
          <w:sz w:val="24"/>
          <w:szCs w:val="24"/>
        </w:rPr>
        <w:t>含税</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采购需求：</w:t>
      </w:r>
    </w:p>
    <w:tbl>
      <w:tblPr>
        <w:tblStyle w:val="22"/>
        <w:tblW w:w="4999" w:type="pct"/>
        <w:tblInd w:w="0" w:type="dxa"/>
        <w:tblLayout w:type="autofit"/>
        <w:tblCellMar>
          <w:top w:w="0" w:type="dxa"/>
          <w:left w:w="108" w:type="dxa"/>
          <w:bottom w:w="0" w:type="dxa"/>
          <w:right w:w="108" w:type="dxa"/>
        </w:tblCellMar>
      </w:tblPr>
      <w:tblGrid>
        <w:gridCol w:w="2654"/>
        <w:gridCol w:w="6347"/>
      </w:tblGrid>
      <w:tr>
        <w:tblPrEx>
          <w:tblCellMar>
            <w:top w:w="0" w:type="dxa"/>
            <w:left w:w="108" w:type="dxa"/>
            <w:bottom w:w="0" w:type="dxa"/>
            <w:right w:w="108" w:type="dxa"/>
          </w:tblCellMar>
        </w:tblPrEx>
        <w:trPr>
          <w:trHeight w:val="523" w:hRule="atLeast"/>
        </w:trPr>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微软雅黑" w:hAnsi="微软雅黑" w:eastAsia="微软雅黑" w:cs="微软雅黑"/>
                <w:b/>
                <w:bCs/>
                <w:sz w:val="24"/>
                <w:szCs w:val="24"/>
              </w:rPr>
            </w:pPr>
            <w:r>
              <w:rPr>
                <w:rFonts w:hint="eastAsia" w:ascii="微软雅黑" w:hAnsi="微软雅黑" w:eastAsia="微软雅黑" w:cs="微软雅黑"/>
                <w:b/>
                <w:bCs/>
                <w:kern w:val="0"/>
                <w:sz w:val="24"/>
                <w:szCs w:val="24"/>
                <w:lang w:bidi="ar"/>
              </w:rPr>
              <w:t>序号</w:t>
            </w:r>
          </w:p>
        </w:tc>
        <w:tc>
          <w:tcPr>
            <w:tcW w:w="3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微软雅黑" w:hAnsi="微软雅黑" w:eastAsia="微软雅黑" w:cs="微软雅黑"/>
                <w:b/>
                <w:bCs/>
                <w:sz w:val="24"/>
                <w:szCs w:val="24"/>
              </w:rPr>
            </w:pPr>
            <w:r>
              <w:rPr>
                <w:rFonts w:hint="eastAsia" w:ascii="微软雅黑" w:hAnsi="微软雅黑" w:eastAsia="微软雅黑" w:cs="微软雅黑"/>
                <w:b/>
                <w:bCs/>
                <w:kern w:val="0"/>
                <w:sz w:val="24"/>
                <w:szCs w:val="24"/>
                <w:lang w:bidi="ar"/>
              </w:rPr>
              <w:t>类别</w:t>
            </w:r>
          </w:p>
        </w:tc>
      </w:tr>
      <w:tr>
        <w:tblPrEx>
          <w:tblCellMar>
            <w:top w:w="0" w:type="dxa"/>
            <w:left w:w="108" w:type="dxa"/>
            <w:bottom w:w="0" w:type="dxa"/>
            <w:right w:w="108" w:type="dxa"/>
          </w:tblCellMar>
        </w:tblPrEx>
        <w:trPr>
          <w:trHeight w:val="529" w:hRule="atLeast"/>
        </w:trPr>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宋体" w:hAnsi="宋体" w:eastAsia="宋体" w:cs="宋体"/>
                <w:bCs/>
                <w:sz w:val="24"/>
                <w:szCs w:val="24"/>
                <w:lang w:bidi="ar"/>
              </w:rPr>
            </w:pPr>
            <w:r>
              <w:rPr>
                <w:rFonts w:hint="eastAsia" w:ascii="宋体" w:hAnsi="宋体" w:eastAsia="宋体" w:cs="宋体"/>
                <w:bCs/>
                <w:sz w:val="24"/>
                <w:szCs w:val="24"/>
                <w:lang w:bidi="ar"/>
              </w:rPr>
              <w:t>1</w:t>
            </w:r>
          </w:p>
        </w:tc>
        <w:tc>
          <w:tcPr>
            <w:tcW w:w="3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sz w:val="24"/>
                <w:szCs w:val="24"/>
              </w:rPr>
            </w:pPr>
            <w:r>
              <w:rPr>
                <w:rFonts w:hint="eastAsia" w:ascii="宋体" w:hAnsi="宋体" w:eastAsia="宋体" w:cs="宋体"/>
                <w:kern w:val="0"/>
                <w:sz w:val="24"/>
                <w:szCs w:val="24"/>
                <w:lang w:bidi="ar"/>
              </w:rPr>
              <w:t>态势感知平台</w:t>
            </w:r>
          </w:p>
        </w:tc>
      </w:tr>
      <w:tr>
        <w:tblPrEx>
          <w:tblCellMar>
            <w:top w:w="0" w:type="dxa"/>
            <w:left w:w="108" w:type="dxa"/>
            <w:bottom w:w="0" w:type="dxa"/>
            <w:right w:w="108" w:type="dxa"/>
          </w:tblCellMar>
        </w:tblPrEx>
        <w:trPr>
          <w:trHeight w:val="529" w:hRule="atLeast"/>
        </w:trPr>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2</w:t>
            </w:r>
          </w:p>
        </w:tc>
        <w:tc>
          <w:tcPr>
            <w:tcW w:w="3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流量探针平台</w:t>
            </w:r>
          </w:p>
        </w:tc>
      </w:tr>
    </w:tbl>
    <w:p>
      <w:pPr>
        <w:spacing w:line="360" w:lineRule="auto"/>
        <w:ind w:left="959" w:leftChars="228" w:hanging="480" w:hanging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合同履行期限：合同签订后30日内完成供货及安装调试。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本项目不接受联合体投标。</w:t>
      </w:r>
    </w:p>
    <w:p>
      <w:pPr>
        <w:numPr>
          <w:ilvl w:val="0"/>
          <w:numId w:val="3"/>
        </w:numPr>
        <w:spacing w:line="360" w:lineRule="auto"/>
        <w:ind w:firstLine="482" w:firstLineChars="200"/>
        <w:rPr>
          <w:rFonts w:eastAsia="宋体"/>
          <w:b/>
          <w:bCs/>
        </w:rPr>
      </w:pPr>
      <w:r>
        <w:rPr>
          <w:rFonts w:hint="eastAsia" w:ascii="Times New Roman" w:hAnsi="Times New Roman" w:cs="Times New Roman"/>
          <w:b/>
          <w:sz w:val="24"/>
          <w:szCs w:val="24"/>
        </w:rPr>
        <w:t>申请人的资格要求：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1.满足《中华人民共和国政府采购法》第二十二条规定；</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1.1投标人必须是经国家有关部门批准，具有合法经营资质、符合《中华人民共和国政府采购法》第二十二条规定的独立法人或其他组织；</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1.2投标人需提供2022年度或最新一年度的财务状况报告（成立不满一年不需提供）；</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1.3投标人需提供依法缴纳税收和社会保障资金的相关材料；</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1.4投标人具有履行合同所必需的设备和专业技术能力的书面声明；</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1.5投标人在经营活动中没有违法违规记录，近三年内没有被司法部门或行业主管部门处罚，提供书面声明；</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1.6投标人须提供在“信用中国”（www.creditchina.gov.cn）查询的、自本采购公告发布之日至投标截止前的信用记录的截图（截图须加盖公章）；</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1.7拒绝下述投标人参加本次采购活动：</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（1）单位负责人为同一人或者存在直接控股、管理关系的不同投标人；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（2）为采购项目提供整体设计、规范编制或者项目管理、监理、检测等服务的投标人；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（3）投标人被“信用中国”网站（www.creditchina.gov.cn）、“中国政府采购网”(www.ccgp.gov.cn)列入失信被执行人、重大税收违法案件当事人名单、政府采购严重违法失信行为记录名单；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（4）投标人未提供《南京市政府采购投标人信用记录表暨信用承诺书》。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1.8本项目不接收进口产品投标。</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1.9投标人诚信档案管理</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根据《南京市政府采购投标人信用管理工作暂行办法》（宁财规〔2018〕10号）有关规定，凡在南京地区参加政府采购活动的投标人，应当事先登陆“信用南京”(www.njcredit.gov.cn）或“江苏省政府采购网”（www.njgp.gov.cn）主页“政府采购投标人诚信档案”栏目进行注册登记。由于特殊原因未及时注册的投标人可先行获取采购文件，但必须在提交投标（响应）文件截止日2天前办理登记注册手续。</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投标人申请网上注册的，应当按以下程序进行：</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1）登陆“信用南京”或“南京公共采购信息网”网站，点击“政府采购投标人诚信档 案”图标，在弹出的用户登录界面，点击“新用户注册”；</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 在“新用户注册”界面，投标人自行设置用户名、登录密码，如实填写“南京市政府采购投标人诚信档案注册登记表”，根据本办法第十七条规定上传相关资料，并进行信用承诺确认后，提交注册申请；系统审核后，投标人即可登录系统进行相关功能操作。</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注册成功后，投标人参加本次政府采购活动时，在采购文件发布之日起至递交投标文件截止日前，应先登录“信用南京”在线打印其“南京市政府采购投标人信用记录表”， 经法定代表人签名盖章后作为投标文件的组成部分“南京市政府采购投标人信用记录表” 是其参加本次政府采购活动的必备材料。</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南京市政府采购投标人诚信档案管理系统客服电话：025-52718366；投标人可就用户注册与打印“南京市政府采购投标人信用记录表”等事宜进行咨询。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2.落实政府采购政策需满足的资格要求：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本项目按照以下第(4)种方式落实政府采购促进中小企业发展的要求：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（1）本项目整体专门面向中小企业采购货物。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（2）本项目整体专门面向小微企业采购货物。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（3）本项目通过以下第（/） 种方式预留部分采购份额采购中小企业货物：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①要求供应商以联合体形式参加，企业合同金额应当达到的比例为</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②要求供应商进行合同分包，企业合同金额应当达到的比例为</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（4）本项目为非预留份额的采购项目或采购包，执行价格扣除优惠政策，具体详见评标办法与标准。</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3.本项目的特定资格要求：无</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三、获取招标文件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时间</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202</w:t>
      </w:r>
      <w:r>
        <w:rPr>
          <w:rFonts w:hint="eastAsia" w:ascii="Times New Roman" w:hAnsi="Times New Roman" w:cs="Times New Roman"/>
          <w:sz w:val="24"/>
          <w:szCs w:val="24"/>
          <w:highlight w:val="none"/>
        </w:rPr>
        <w:t>4年</w:t>
      </w:r>
      <w:r>
        <w:rPr>
          <w:rFonts w:hint="eastAsia"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rPr>
        <w:t>月</w:t>
      </w:r>
      <w:r>
        <w:rPr>
          <w:rFonts w:hint="eastAsia" w:ascii="Times New Roman" w:hAnsi="Times New Roman" w:cs="Times New Roman"/>
          <w:sz w:val="24"/>
          <w:szCs w:val="24"/>
          <w:highlight w:val="none"/>
          <w:lang w:val="en-US" w:eastAsia="zh-CN"/>
        </w:rPr>
        <w:t>16</w:t>
      </w:r>
      <w:r>
        <w:rPr>
          <w:rFonts w:hint="eastAsia" w:ascii="Times New Roman" w:hAnsi="Times New Roman" w:cs="Times New Roman"/>
          <w:sz w:val="24"/>
          <w:szCs w:val="24"/>
          <w:highlight w:val="none"/>
        </w:rPr>
        <w:t>日至</w:t>
      </w:r>
      <w:r>
        <w:rPr>
          <w:rFonts w:ascii="Times New Roman" w:hAnsi="Times New Roman" w:cs="Times New Roman"/>
          <w:sz w:val="24"/>
          <w:szCs w:val="24"/>
          <w:highlight w:val="none"/>
        </w:rPr>
        <w:t>202</w:t>
      </w:r>
      <w:r>
        <w:rPr>
          <w:rFonts w:hint="eastAsia" w:ascii="Times New Roman" w:hAnsi="Times New Roman" w:cs="Times New Roman"/>
          <w:sz w:val="24"/>
          <w:szCs w:val="24"/>
          <w:highlight w:val="none"/>
        </w:rPr>
        <w:t>4年</w:t>
      </w:r>
      <w:r>
        <w:rPr>
          <w:rFonts w:hint="eastAsia"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rPr>
        <w:t>月</w:t>
      </w:r>
      <w:r>
        <w:rPr>
          <w:rFonts w:hint="eastAsia" w:ascii="Times New Roman" w:hAnsi="Times New Roman" w:cs="Times New Roman"/>
          <w:sz w:val="24"/>
          <w:szCs w:val="24"/>
          <w:highlight w:val="none"/>
          <w:lang w:val="en-US" w:eastAsia="zh-CN"/>
        </w:rPr>
        <w:t>22</w:t>
      </w:r>
      <w:r>
        <w:rPr>
          <w:rFonts w:hint="eastAsia" w:ascii="Times New Roman" w:hAnsi="Times New Roman" w:cs="Times New Roman"/>
          <w:sz w:val="24"/>
          <w:szCs w:val="24"/>
          <w:highlight w:val="none"/>
        </w:rPr>
        <w:t>日，</w:t>
      </w:r>
      <w:r>
        <w:rPr>
          <w:rFonts w:hint="eastAsia" w:ascii="Times New Roman" w:hAnsi="Times New Roman" w:cs="Times New Roman"/>
          <w:sz w:val="24"/>
          <w:szCs w:val="24"/>
        </w:rPr>
        <w:t>每天上午</w:t>
      </w:r>
      <w:r>
        <w:rPr>
          <w:rFonts w:ascii="Times New Roman" w:hAnsi="Times New Roman" w:cs="Times New Roman"/>
          <w:sz w:val="24"/>
          <w:szCs w:val="24"/>
        </w:rPr>
        <w:t>8时30分到11时30分</w:t>
      </w:r>
      <w:r>
        <w:rPr>
          <w:rFonts w:hint="eastAsia" w:ascii="Times New Roman" w:hAnsi="Times New Roman" w:cs="Times New Roman"/>
          <w:sz w:val="24"/>
          <w:szCs w:val="24"/>
        </w:rPr>
        <w:t>，下午</w:t>
      </w:r>
      <w:r>
        <w:rPr>
          <w:rFonts w:ascii="Times New Roman" w:hAnsi="Times New Roman" w:cs="Times New Roman"/>
          <w:sz w:val="24"/>
          <w:szCs w:val="24"/>
        </w:rPr>
        <w:t>14时00分到17时30分</w:t>
      </w:r>
      <w:r>
        <w:rPr>
          <w:rFonts w:hint="eastAsia" w:ascii="Times New Roman" w:hAnsi="Times New Roman" w:cs="Times New Roman"/>
          <w:sz w:val="24"/>
          <w:szCs w:val="24"/>
        </w:rPr>
        <w:t>（北京时间，法定节假日除外）</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地点：线上获取</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方式：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报名需将下述资料盖章扫描件（1份）发邮件至 chenshu_xm.cicdi@chinaccs.cn，进行线上报名（提供</w:t>
      </w:r>
      <w:r>
        <w:rPr>
          <w:rFonts w:hint="eastAsia" w:ascii="Times New Roman" w:hAnsi="Times New Roman" w:cs="Times New Roman"/>
          <w:sz w:val="24"/>
          <w:szCs w:val="24"/>
          <w:lang w:val="en-US" w:eastAsia="zh-CN"/>
        </w:rPr>
        <w:t>招标文件的</w:t>
      </w:r>
      <w:r>
        <w:rPr>
          <w:rFonts w:hint="eastAsia" w:ascii="Times New Roman" w:hAnsi="Times New Roman" w:cs="Times New Roman"/>
          <w:sz w:val="24"/>
          <w:szCs w:val="24"/>
        </w:rPr>
        <w:t>电子档和纸质文件，发邮件时请备注）：</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（1）营业执照</w:t>
      </w:r>
      <w:r>
        <w:rPr>
          <w:rFonts w:ascii="Times New Roman" w:hAnsi="Times New Roman" w:cs="Times New Roman"/>
          <w:sz w:val="24"/>
          <w:szCs w:val="24"/>
        </w:rPr>
        <w:t>复印件</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（2）法人授权委托书和被授权人身份证复印件；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（3）标书费付款凭证。</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售价：</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00元人民币</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汇款账号信息如下：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收款单位：中通服咨询设计研究院有限公司</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开户银行：招商银行南京分行城北支行</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帐    号：12590209571010300005</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转帐事由：</w:t>
      </w:r>
      <w:r>
        <w:rPr>
          <w:rFonts w:hint="eastAsia" w:ascii="Times New Roman" w:hAnsi="Times New Roman" w:cs="Times New Roman"/>
          <w:sz w:val="24"/>
          <w:szCs w:val="24"/>
          <w:lang w:val="en-US" w:eastAsia="zh-CN"/>
        </w:rPr>
        <w:t>紫金山实验室态势感知</w:t>
      </w:r>
      <w:r>
        <w:rPr>
          <w:rFonts w:hint="eastAsia" w:ascii="Times New Roman" w:hAnsi="Times New Roman" w:cs="Times New Roman"/>
          <w:sz w:val="24"/>
          <w:szCs w:val="24"/>
        </w:rPr>
        <w:t>标书费</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四、提交投标文件截止时间、开标时间和地点</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提交投标文件截止时间及开标时间</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202</w:t>
      </w:r>
      <w:r>
        <w:rPr>
          <w:rFonts w:hint="eastAsia" w:ascii="Times New Roman" w:hAnsi="Times New Roman" w:cs="Times New Roman"/>
          <w:sz w:val="24"/>
          <w:szCs w:val="24"/>
          <w:highlight w:val="none"/>
        </w:rPr>
        <w:t>4年</w:t>
      </w: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rPr>
        <w:t>月</w:t>
      </w:r>
      <w:r>
        <w:rPr>
          <w:rFonts w:hint="eastAsia" w:ascii="Times New Roman" w:hAnsi="Times New Roman" w:cs="Times New Roman"/>
          <w:sz w:val="24"/>
          <w:szCs w:val="24"/>
          <w:highlight w:val="none"/>
          <w:lang w:val="en-US" w:eastAsia="zh-CN"/>
        </w:rPr>
        <w:t>7</w:t>
      </w:r>
      <w:r>
        <w:rPr>
          <w:rFonts w:hint="eastAsia" w:ascii="Times New Roman" w:hAnsi="Times New Roman" w:cs="Times New Roman"/>
          <w:sz w:val="24"/>
          <w:szCs w:val="24"/>
          <w:highlight w:val="none"/>
        </w:rPr>
        <w:t>日下午14点30分</w:t>
      </w:r>
      <w:r>
        <w:rPr>
          <w:rFonts w:hint="eastAsia" w:ascii="Times New Roman" w:hAnsi="Times New Roman" w:cs="Times New Roman"/>
          <w:sz w:val="24"/>
          <w:szCs w:val="24"/>
        </w:rPr>
        <w:t>（北京时间）</w:t>
      </w:r>
    </w:p>
    <w:p>
      <w:pPr>
        <w:spacing w:line="360" w:lineRule="auto"/>
        <w:ind w:firstLine="480" w:firstLineChars="200"/>
        <w:rPr>
          <w:rFonts w:ascii="Times New Roman" w:hAnsi="Times New Roman" w:cs="Times New Roman"/>
          <w:sz w:val="24"/>
          <w:szCs w:val="24"/>
          <w:highlight w:val="yellow"/>
        </w:rPr>
      </w:pPr>
      <w:r>
        <w:rPr>
          <w:rFonts w:hint="eastAsia" w:ascii="Times New Roman" w:hAnsi="Times New Roman" w:cs="Times New Roman"/>
          <w:sz w:val="24"/>
          <w:szCs w:val="24"/>
        </w:rPr>
        <w:t>提交投标文件及开标地点：</w:t>
      </w:r>
      <w:r>
        <w:rPr>
          <w:rFonts w:ascii="Times New Roman" w:hAnsi="Times New Roman" w:cs="Times New Roman"/>
          <w:sz w:val="24"/>
          <w:szCs w:val="24"/>
        </w:rPr>
        <w:t>南京市秦淮区中山南路371号</w:t>
      </w:r>
      <w:r>
        <w:rPr>
          <w:rFonts w:hint="eastAsia" w:ascii="Times New Roman" w:hAnsi="Times New Roman" w:cs="Times New Roman"/>
          <w:sz w:val="24"/>
          <w:szCs w:val="24"/>
        </w:rPr>
        <w:t>6</w:t>
      </w:r>
      <w:r>
        <w:rPr>
          <w:rFonts w:ascii="Times New Roman" w:hAnsi="Times New Roman" w:cs="Times New Roman"/>
          <w:sz w:val="24"/>
          <w:szCs w:val="24"/>
        </w:rPr>
        <w:t>楼</w:t>
      </w:r>
      <w:r>
        <w:rPr>
          <w:rFonts w:hint="eastAsia" w:ascii="Times New Roman" w:hAnsi="Times New Roman" w:cs="Times New Roman"/>
          <w:sz w:val="24"/>
          <w:szCs w:val="24"/>
        </w:rPr>
        <w:t>60</w:t>
      </w:r>
      <w:r>
        <w:rPr>
          <w:rFonts w:ascii="Times New Roman" w:hAnsi="Times New Roman" w:cs="Times New Roman"/>
          <w:sz w:val="24"/>
          <w:szCs w:val="24"/>
        </w:rPr>
        <w:t>7会议室</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五、公告期限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自本公告发布之日起5个工作日。</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六、其他补充事宜</w:t>
      </w:r>
    </w:p>
    <w:p>
      <w:pPr>
        <w:spacing w:line="360" w:lineRule="auto"/>
        <w:ind w:firstLine="480" w:firstLineChars="200"/>
        <w:rPr>
          <w:rFonts w:ascii="Times New Roman" w:hAnsi="Times New Roman" w:cs="Times New Roman"/>
          <w:b/>
          <w:sz w:val="24"/>
          <w:szCs w:val="24"/>
          <w:highlight w:val="yellow"/>
        </w:rPr>
      </w:pPr>
      <w:r>
        <w:rPr>
          <w:rFonts w:hint="eastAsia" w:ascii="Times New Roman" w:hAnsi="Times New Roman" w:cs="Times New Roman"/>
          <w:sz w:val="24"/>
          <w:szCs w:val="24"/>
        </w:rPr>
        <w:t>投标文件一式伍份（正本壹份，副本肆份）；电子版一份（U盘单独封装）。</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七、对本次招标提出询问，请按以下方式联系。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1.采购人信息</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名称：紫金山实验室</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地址：南京市江宁区秣周东路9号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联系方式：</w:t>
      </w:r>
      <w:r>
        <w:rPr>
          <w:rFonts w:hint="eastAsia" w:ascii="Times New Roman" w:hAnsi="Times New Roman" w:cs="Times New Roman"/>
          <w:sz w:val="24"/>
          <w:szCs w:val="24"/>
          <w:lang w:val="en-US" w:eastAsia="zh-CN"/>
        </w:rPr>
        <w:t>宋工</w:t>
      </w:r>
      <w:r>
        <w:rPr>
          <w:rFonts w:hint="eastAsia" w:ascii="Times New Roman" w:hAnsi="Times New Roman" w:cs="Times New Roman"/>
          <w:sz w:val="24"/>
          <w:szCs w:val="24"/>
        </w:rPr>
        <w:t xml:space="preserve"> 025-57917091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2.采购代理机构信息</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名称：中通服咨询设计研究院有限公司</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地址：南京市建邺区楠溪江东街58号</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联系方式：陈沭、郑春雅、胡洋、夏宜宁、朱晓琦、周明珠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3.项目联系方式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项目联系人：陈沭</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电话：13913913997 </w:t>
      </w:r>
    </w:p>
    <w:p>
      <w:pPr>
        <w:widowControl/>
        <w:spacing w:line="360" w:lineRule="auto"/>
        <w:ind w:right="720"/>
        <w:jc w:val="center"/>
        <w:rPr>
          <w:rFonts w:ascii="黑体" w:hAnsi="黑体" w:eastAsia="黑体" w:cs="黑体"/>
          <w:kern w:val="44"/>
          <w:sz w:val="36"/>
          <w:szCs w:val="36"/>
          <w:u w:color="000000"/>
          <w:lang w:val="zh-TW"/>
        </w:rPr>
      </w:pPr>
    </w:p>
    <w:p>
      <w:pPr>
        <w:rPr>
          <w:rFonts w:ascii="黑体" w:hAnsi="黑体" w:eastAsia="黑体" w:cs="黑体"/>
          <w:kern w:val="44"/>
          <w:sz w:val="36"/>
          <w:szCs w:val="36"/>
          <w:u w:color="000000"/>
          <w:lang w:val="zh-TW"/>
        </w:rPr>
      </w:pPr>
      <w:bookmarkStart w:id="7" w:name="_Toc67403422"/>
      <w:r>
        <w:rPr>
          <w:rFonts w:ascii="黑体" w:hAnsi="黑体" w:eastAsia="黑体" w:cs="黑体"/>
          <w:kern w:val="44"/>
          <w:sz w:val="36"/>
          <w:szCs w:val="36"/>
          <w:u w:color="000000"/>
          <w:lang w:val="zh-TW"/>
        </w:rPr>
        <w:br w:type="page"/>
      </w:r>
    </w:p>
    <w:p>
      <w:pPr>
        <w:jc w:val="center"/>
        <w:rPr>
          <w:rFonts w:ascii="黑体" w:hAnsi="黑体" w:eastAsia="黑体" w:cs="黑体"/>
          <w:kern w:val="44"/>
          <w:sz w:val="36"/>
          <w:szCs w:val="36"/>
          <w:u w:color="000000"/>
          <w:lang w:val="zh-TW"/>
        </w:rPr>
      </w:pPr>
      <w:r>
        <w:rPr>
          <w:rFonts w:ascii="黑体" w:hAnsi="黑体" w:eastAsia="黑体" w:cs="黑体"/>
          <w:kern w:val="44"/>
          <w:sz w:val="36"/>
          <w:szCs w:val="36"/>
          <w:u w:color="000000"/>
          <w:lang w:val="zh-TW"/>
        </w:rPr>
        <w:t xml:space="preserve">第二章  </w:t>
      </w:r>
      <w:r>
        <w:rPr>
          <w:rFonts w:hint="eastAsia" w:ascii="黑体" w:hAnsi="黑体" w:eastAsia="黑体" w:cs="黑体"/>
          <w:kern w:val="44"/>
          <w:sz w:val="36"/>
          <w:szCs w:val="36"/>
          <w:u w:color="000000"/>
          <w:lang w:val="zh-TW"/>
        </w:rPr>
        <w:t>投标人</w:t>
      </w:r>
      <w:r>
        <w:rPr>
          <w:rFonts w:ascii="黑体" w:hAnsi="黑体" w:eastAsia="黑体" w:cs="黑体"/>
          <w:kern w:val="44"/>
          <w:sz w:val="36"/>
          <w:szCs w:val="36"/>
          <w:u w:color="000000"/>
          <w:lang w:val="zh-TW"/>
        </w:rPr>
        <w:t>须知</w:t>
      </w:r>
      <w:bookmarkEnd w:id="4"/>
      <w:bookmarkEnd w:id="5"/>
      <w:bookmarkEnd w:id="6"/>
      <w:bookmarkEnd w:id="7"/>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一、总则</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l、采购方式</w:t>
      </w:r>
    </w:p>
    <w:p>
      <w:pPr>
        <w:adjustRightInd w:val="0"/>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1.1本次采购采用公开招标方式，本采购文件仅适用于采购公告中所述项目。</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2、合格的投标人</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2.1满足采购公告中投标人资质要求的规定。</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 满足本文件实质性条款的规定。</w:t>
      </w:r>
    </w:p>
    <w:p>
      <w:pPr>
        <w:spacing w:line="360" w:lineRule="exact"/>
        <w:ind w:firstLine="482" w:firstLineChars="200"/>
        <w:rPr>
          <w:rFonts w:ascii="Times New Roman" w:hAnsi="Times New Roman" w:cs="Times New Roman"/>
          <w:b/>
          <w:sz w:val="24"/>
          <w:szCs w:val="24"/>
        </w:rPr>
      </w:pPr>
      <w:r>
        <w:rPr>
          <w:rFonts w:hint="eastAsia" w:ascii="Times New Roman" w:hAnsi="Times New Roman" w:cs="Times New Roman"/>
          <w:b/>
          <w:sz w:val="24"/>
          <w:szCs w:val="24"/>
        </w:rPr>
        <w:t>3、适用法律</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3.1本次采购及由本次采购产生的合同受中华人民共和国有关法律法规制约和保护。</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3.2 政策功能</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3.2.1 促进中小企业发展。在政府采购活动中，供应商提供的货物、工程或者服务符合下列情形的，享受中小企业扶持政策：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（1）在货物采购项目中，货物由中小企业制造，即货物由中小企业生产且使用该中小企业商号或者注册商标；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（2）在工程采购项目中，工程由中小企业承建，即工程施工单位为中小企业；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在货物采购项目中，供应商提供的货物既有中小企业制造货物，也有大型企业制造货物的，不享受中小企业扶持政策。 以联合体形式参加政府采购活动，联合体各方均为中小企业的，联合体视同中小企业。其中，联合体各方均为小微企业的，联合体视同小微企业。 中小企业供应商参加政府采购活动，应当出具《中小企业声明函》，否则不得享受相关中小企业扶持政策。 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3.2.2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3.2.3 促进残疾人就业。残疾人福利性单位提供的产品和服务，在评标时将按照财库〔2017〕141号获得优势，参加投标的残疾人福利性单位，应当提供《残疾人福利性单位声明函》（格式见附件）。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3.2.4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3.2.5 采购的产品属于信息安全产品的，供应商应当选择经国家认证的信息安全产品投标，并提供由中国信息安全认证中心按国家标准认证颁发的有效认证证书。 </w:t>
      </w:r>
    </w:p>
    <w:p>
      <w:pPr>
        <w:spacing w:line="36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 xml:space="preserve">3.2.6 采购的产品属于政府强制采购节能产品的，供应商应当选择依据国家标准中二级能效（水效）指标认证的节能产品投标，并提供有效的节能产品认证证书。 </w:t>
      </w:r>
    </w:p>
    <w:p>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bCs/>
          <w:sz w:val="24"/>
          <w:szCs w:val="24"/>
        </w:rPr>
        <w:t>3.2.7采购的产品属于环境标志产品的,供应商应当选择依据相关标准的最新版本认证的环境标志产品投标,并提供有效的环境标志产品认证证书。</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4、投标费用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4.1投标人应自行承担所有参与投标有关费用，无论投标过程中的做法和结果如何，采购人在任何情况下均无义务和责任承担这些费用。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下浮47%（优惠率）收取。</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5、采购文件的约束力</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5.1投标人一旦下载了本采购文件并参与投标，即被认为接受了本采购文件中的所有条件和规定。</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二、采购文件</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6、采购文件的构成</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6.1采购文件由以下部分组成：</w:t>
      </w:r>
    </w:p>
    <w:p>
      <w:pPr>
        <w:spacing w:line="360" w:lineRule="exact"/>
        <w:ind w:firstLine="360" w:firstLineChars="150"/>
        <w:rPr>
          <w:rFonts w:ascii="Times New Roman" w:hAnsi="Times New Roman" w:cs="Times New Roman"/>
          <w:sz w:val="24"/>
          <w:szCs w:val="24"/>
        </w:rPr>
      </w:pPr>
      <w:r>
        <w:rPr>
          <w:rFonts w:ascii="Times New Roman" w:hAnsi="Times New Roman" w:cs="Times New Roman"/>
          <w:sz w:val="24"/>
          <w:szCs w:val="24"/>
        </w:rPr>
        <w:t>（1）采购公告</w:t>
      </w:r>
    </w:p>
    <w:p>
      <w:pPr>
        <w:spacing w:line="360" w:lineRule="exact"/>
        <w:ind w:firstLine="360" w:firstLineChars="150"/>
        <w:rPr>
          <w:rFonts w:ascii="Times New Roman" w:hAnsi="Times New Roman" w:cs="Times New Roman"/>
          <w:sz w:val="24"/>
          <w:szCs w:val="24"/>
        </w:rPr>
      </w:pPr>
      <w:r>
        <w:rPr>
          <w:rFonts w:ascii="Times New Roman" w:hAnsi="Times New Roman" w:cs="Times New Roman"/>
          <w:sz w:val="24"/>
          <w:szCs w:val="24"/>
        </w:rPr>
        <w:t>（2）投标人须知</w:t>
      </w:r>
    </w:p>
    <w:p>
      <w:pPr>
        <w:spacing w:line="360" w:lineRule="exact"/>
        <w:ind w:firstLine="360" w:firstLineChars="150"/>
        <w:rPr>
          <w:rFonts w:ascii="Times New Roman" w:hAnsi="Times New Roman" w:cs="Times New Roman"/>
          <w:sz w:val="24"/>
          <w:szCs w:val="24"/>
        </w:rPr>
      </w:pPr>
      <w:r>
        <w:rPr>
          <w:rFonts w:ascii="Times New Roman" w:hAnsi="Times New Roman" w:cs="Times New Roman"/>
          <w:sz w:val="24"/>
          <w:szCs w:val="24"/>
        </w:rPr>
        <w:t>（3）合同条款及格式</w:t>
      </w:r>
    </w:p>
    <w:p>
      <w:pPr>
        <w:spacing w:line="360" w:lineRule="exact"/>
        <w:ind w:firstLine="360" w:firstLineChars="150"/>
        <w:rPr>
          <w:rFonts w:ascii="Times New Roman" w:hAnsi="Times New Roman" w:cs="Times New Roman"/>
          <w:sz w:val="24"/>
          <w:szCs w:val="24"/>
        </w:rPr>
      </w:pPr>
      <w:r>
        <w:rPr>
          <w:rFonts w:ascii="Times New Roman" w:hAnsi="Times New Roman" w:cs="Times New Roman"/>
          <w:sz w:val="24"/>
          <w:szCs w:val="24"/>
        </w:rPr>
        <w:t>（4）项目需求</w:t>
      </w:r>
    </w:p>
    <w:p>
      <w:pPr>
        <w:spacing w:line="360" w:lineRule="exact"/>
        <w:ind w:firstLine="360" w:firstLineChars="150"/>
        <w:rPr>
          <w:rFonts w:ascii="Times New Roman" w:hAnsi="Times New Roman" w:cs="Times New Roman"/>
          <w:sz w:val="24"/>
          <w:szCs w:val="24"/>
        </w:rPr>
      </w:pPr>
      <w:r>
        <w:rPr>
          <w:rFonts w:ascii="Times New Roman" w:hAnsi="Times New Roman" w:cs="Times New Roman"/>
          <w:sz w:val="24"/>
          <w:szCs w:val="24"/>
        </w:rPr>
        <w:t>（5）评标方法与评标标准</w:t>
      </w:r>
    </w:p>
    <w:p>
      <w:pPr>
        <w:spacing w:line="360" w:lineRule="exact"/>
        <w:ind w:firstLine="360" w:firstLineChars="150"/>
        <w:rPr>
          <w:rFonts w:ascii="Times New Roman" w:hAnsi="Times New Roman" w:cs="Times New Roman"/>
          <w:sz w:val="24"/>
          <w:szCs w:val="24"/>
        </w:rPr>
      </w:pPr>
      <w:r>
        <w:rPr>
          <w:rFonts w:ascii="Times New Roman" w:hAnsi="Times New Roman" w:cs="Times New Roman"/>
          <w:sz w:val="24"/>
          <w:szCs w:val="24"/>
        </w:rPr>
        <w:t>（6）投标文件格式</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请仔细检查采购文件是否齐全，如有缺漏请立即与联系解决。</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7、采购文件的澄清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任何要求对采购文件进行澄清的投标人，均应在投标截止期前十日前以书面形式通知采购人。</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8、采购文件的修改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8.l在投标截止日期前，无论何种原因，采购人均可主动或在解答投标人提出的澄清问题时对采购文件进行修改。</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8.2采购文件的修改将在“</w:t>
      </w:r>
      <w:r>
        <w:rPr>
          <w:rFonts w:hint="eastAsia" w:ascii="Times New Roman" w:hAnsi="Times New Roman" w:cs="Times New Roman"/>
          <w:sz w:val="24"/>
          <w:szCs w:val="24"/>
        </w:rPr>
        <w:t>江苏政府采购网</w:t>
      </w:r>
      <w:r>
        <w:rPr>
          <w:rFonts w:ascii="Times New Roman" w:hAnsi="Times New Roman" w:cs="Times New Roman"/>
          <w:sz w:val="24"/>
          <w:szCs w:val="24"/>
        </w:rPr>
        <w:t>”网站上公布，并对所有投标人具有约束力。</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三、投标文件的编制</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9、投标语言及度量衡单位</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9.1投标人提供的投标文件以及投标人与采购人就有关投标的所有来往通知、函件和文件均使用</w:t>
      </w:r>
      <w:r>
        <w:rPr>
          <w:rFonts w:ascii="Times New Roman" w:hAnsi="Times New Roman" w:cs="Times New Roman"/>
          <w:b/>
          <w:sz w:val="24"/>
          <w:szCs w:val="24"/>
        </w:rPr>
        <w:t>简体中文</w:t>
      </w:r>
      <w:r>
        <w:rPr>
          <w:rFonts w:ascii="Times New Roman" w:hAnsi="Times New Roman" w:cs="Times New Roman"/>
          <w:sz w:val="24"/>
          <w:szCs w:val="24"/>
        </w:rPr>
        <w:t>。</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9.2除技术性能另有规定外，投标文件所使用的度量衡单位，均采用国家法定计量单位。</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10、投标文件的构成</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投标人编写的投标文件应包括下列部分：</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10.1投标文件目录；</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10.2投标函：须含投标人的开户名称、开户银行、账号、电话、传真、E-mail等联系方式；</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10.3投标人资格证明材料；</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（1）法人或者其他组织的营业执照等证明文件（复印件）；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（2）相关资质证明材料（复印件）；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（3）法人授权委托书（复印件）；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（4）法定代表人的身份证复印件；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（5）授权代表的身份证复印件（开标现场查验原件）；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（6）具有项目必须的技术条件或经营能力的书面声明；</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（7）无违法违规记录声明；</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（8）采购文件中的其他资格性要求（详见采购公告第三条投标人资格要求）。</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上述文件均应加盖公章。</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10.4开标一览表：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（1）投标人应按照采购文件中提供的格式完整、正确地填写开标一览表。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投标人应采用分项报价最终汇总的方式进行，按照采购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（3）报价采取总承包方式，包括所投产品、安装调试、服务、运输、税金及其它有关的为完成本项目发生的所有费用，采购文件中另有规定的除外。国产设备以人民币报价。</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（5）报价必须充分考虑所有可能影响到报价的价格因素，一旦投标结束最终成交，总价将包定，合同期内不予调整。如发生漏、缺、少项，都将被认为是中标人的报价让利行为。</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10.6投标人按照投标文件中商务条款提供交货安装、工期保证等方案以及产品售后服务和质量承诺，并附《商务条款响应及偏离表》；</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10.7投标人的业绩情况；</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10.8投标人认为有必要提供的文件材料；</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10.9投标人应将投标文件按上述顺序分别装订成册。</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11、其它费用处理</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采购文件未列明，而投标单位认为必需的费用也需列入报价。</w:t>
      </w:r>
    </w:p>
    <w:p>
      <w:pPr>
        <w:numPr>
          <w:ilvl w:val="0"/>
          <w:numId w:val="4"/>
        </w:num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投标保证金</w:t>
      </w:r>
    </w:p>
    <w:p>
      <w:pPr>
        <w:spacing w:line="360" w:lineRule="exact"/>
        <w:rPr>
          <w:rFonts w:ascii="Times New Roman" w:hAnsi="Times New Roman" w:cs="Times New Roman"/>
          <w:b/>
          <w:sz w:val="24"/>
          <w:szCs w:val="24"/>
        </w:rPr>
      </w:pPr>
      <w:r>
        <w:rPr>
          <w:rFonts w:hint="eastAsia" w:ascii="Times New Roman" w:hAnsi="Times New Roman" w:cs="Times New Roman"/>
          <w:b/>
          <w:sz w:val="24"/>
          <w:szCs w:val="24"/>
        </w:rPr>
        <w:t xml:space="preserve">    </w:t>
      </w:r>
      <w:r>
        <w:rPr>
          <w:rFonts w:ascii="Times New Roman" w:hAnsi="Times New Roman" w:cs="Times New Roman"/>
          <w:b/>
          <w:sz w:val="24"/>
          <w:szCs w:val="24"/>
        </w:rPr>
        <w:t>本次招标不收取投标保证金</w:t>
      </w:r>
      <w:r>
        <w:rPr>
          <w:rFonts w:hint="eastAsia" w:ascii="Times New Roman" w:hAnsi="Times New Roman" w:cs="Times New Roman"/>
          <w:b/>
          <w:sz w:val="24"/>
          <w:szCs w:val="24"/>
        </w:rPr>
        <w:t>。</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12.1在开标时，对于未按要求提交投标保证金的投标无效。</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12.2投标保证金是为了保护采购人免遭因投标人的不良行为而蒙受的损失，采购人在因投标人的行为遭受损失时，可根据第12.4条的规定没收投标人的投标保证金。</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12.3未中标的投标人的投标保证金，将在中标通知书发出之日起5个工作日内退还，但不计利息。</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12.4下列任何情况发生时，投标保证金将被没收：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(1)投标人在投标有效期内撤回其投标；</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(2)投标人提供的有关资料、资格证明文件被确认是不真实的；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(3)投标人之间被证实有串通（统一哄抬价格）、欺诈行为；</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(4)投标人被证明有妨碍其他人公平竞争、损害采购人或者其他投标人合法权益的；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(5)中标人在规定期限内未能按本规定签订合同；</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(6)中标人在规定期限内不同意交纳履约保证金。</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13、投标有效期</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投标有效期为采购人规定的开标之日后九十(90)天内有效。如果采购人在有效期之内，可向投标人提出延长投标有效期的要求。要求与答复均应采用书面形式。</w:t>
      </w:r>
      <w:r>
        <w:rPr>
          <w:rFonts w:ascii="Times New Roman" w:hAnsi="Times New Roman" w:cs="Times New Roman"/>
          <w:bCs/>
          <w:snapToGrid w:val="0"/>
          <w:kern w:val="21"/>
          <w:sz w:val="24"/>
        </w:rPr>
        <w:t>投标人可以拒绝采购人的这一要求而放弃投标，</w:t>
      </w:r>
      <w:r>
        <w:rPr>
          <w:rFonts w:ascii="Times New Roman" w:hAnsi="Times New Roman" w:cs="Times New Roman"/>
          <w:snapToGrid w:val="0"/>
          <w:kern w:val="21"/>
          <w:sz w:val="24"/>
          <w:szCs w:val="24"/>
        </w:rPr>
        <w:t>采购人在接到投标人书面答复后，将在原投标有效期满后五日内</w:t>
      </w:r>
      <w:r>
        <w:rPr>
          <w:rFonts w:ascii="Times New Roman" w:hAnsi="Times New Roman" w:cs="Times New Roman"/>
          <w:bCs/>
          <w:snapToGrid w:val="0"/>
          <w:kern w:val="21"/>
          <w:sz w:val="24"/>
          <w:szCs w:val="24"/>
        </w:rPr>
        <w:t>无息退还其投标保证金</w:t>
      </w:r>
      <w:r>
        <w:rPr>
          <w:rFonts w:ascii="Times New Roman" w:hAnsi="Times New Roman" w:cs="Times New Roman"/>
          <w:snapToGrid w:val="0"/>
          <w:kern w:val="21"/>
          <w:sz w:val="24"/>
          <w:szCs w:val="24"/>
        </w:rPr>
        <w:t>。</w:t>
      </w:r>
      <w:r>
        <w:rPr>
          <w:rFonts w:ascii="Times New Roman" w:hAnsi="Times New Roman" w:cs="Times New Roman"/>
          <w:bCs/>
          <w:snapToGrid w:val="0"/>
          <w:kern w:val="21"/>
          <w:sz w:val="24"/>
        </w:rPr>
        <w:t>同意延</w:t>
      </w:r>
      <w:r>
        <w:rPr>
          <w:rFonts w:ascii="Times New Roman" w:hAnsi="Times New Roman" w:cs="Times New Roman"/>
          <w:sz w:val="24"/>
          <w:szCs w:val="24"/>
        </w:rPr>
        <w:t>长投标有效期的投标人既不能要求也不允许修改其投标文件。第12条有关投标保证金的没收和退还的规定在延长期内继续有效，同时受投标有效期约束的所有权利与义务均延长至新的有效期。</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14、投标文件份数和签署</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14.l投标文件一式</w:t>
      </w:r>
      <w:r>
        <w:rPr>
          <w:rFonts w:hint="eastAsia" w:ascii="Times New Roman" w:hAnsi="Times New Roman" w:cs="Times New Roman"/>
          <w:sz w:val="24"/>
          <w:szCs w:val="24"/>
        </w:rPr>
        <w:t>五</w:t>
      </w:r>
      <w:r>
        <w:rPr>
          <w:rFonts w:ascii="Times New Roman" w:hAnsi="Times New Roman" w:cs="Times New Roman"/>
          <w:sz w:val="24"/>
          <w:szCs w:val="24"/>
        </w:rPr>
        <w:t>份(正本一份，副本</w:t>
      </w:r>
      <w:r>
        <w:rPr>
          <w:rFonts w:hint="eastAsia" w:ascii="Times New Roman" w:hAnsi="Times New Roman" w:cs="Times New Roman"/>
          <w:sz w:val="24"/>
          <w:szCs w:val="24"/>
        </w:rPr>
        <w:t>四</w:t>
      </w:r>
      <w:r>
        <w:rPr>
          <w:rFonts w:ascii="Times New Roman" w:hAnsi="Times New Roman" w:cs="Times New Roman"/>
          <w:sz w:val="24"/>
          <w:szCs w:val="24"/>
        </w:rPr>
        <w:t>份)。一旦正本和副本不符，以正本为准。 另外提供投标文件电子版一份（PDF格式，可将完成盖章和签字的纸质版投标文件进行彩色扫描，拷贝到U盘中，跟投标文件一起密封提交）。</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四、投标文件的递交</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15、投标文件的密封和标记</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b/>
          <w:i/>
          <w:sz w:val="24"/>
          <w:szCs w:val="24"/>
        </w:rPr>
        <w:t>投标人应将投标文件密封，封口处要贴封签并加盖投标单位公章。</w:t>
      </w:r>
      <w:r>
        <w:rPr>
          <w:rFonts w:ascii="Times New Roman" w:hAnsi="Times New Roman" w:cs="Times New Roman"/>
          <w:sz w:val="24"/>
          <w:szCs w:val="24"/>
        </w:rPr>
        <w:t>不论投标人中标与否，投标文件均不退回。</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16、投标截止日期</w:t>
      </w:r>
    </w:p>
    <w:p>
      <w:pPr>
        <w:spacing w:line="360" w:lineRule="exact"/>
        <w:ind w:firstLine="480" w:firstLineChars="200"/>
        <w:rPr>
          <w:rFonts w:ascii="Times New Roman" w:hAnsi="Times New Roman" w:cs="Times New Roman"/>
          <w:bCs/>
          <w:sz w:val="24"/>
          <w:szCs w:val="24"/>
        </w:rPr>
      </w:pPr>
      <w:r>
        <w:rPr>
          <w:rFonts w:ascii="Times New Roman" w:hAnsi="Times New Roman" w:cs="Times New Roman"/>
          <w:sz w:val="24"/>
          <w:szCs w:val="24"/>
        </w:rPr>
        <w:t>16.1</w:t>
      </w:r>
      <w:r>
        <w:rPr>
          <w:rFonts w:ascii="Times New Roman" w:hAnsi="Times New Roman" w:cs="Times New Roman"/>
          <w:bCs/>
          <w:sz w:val="24"/>
          <w:szCs w:val="24"/>
        </w:rPr>
        <w:t xml:space="preserve"> 采购人收到投标文件的时间不得迟于采购公告中规定的截止时间。</w:t>
      </w:r>
    </w:p>
    <w:p>
      <w:pPr>
        <w:spacing w:line="360" w:lineRule="exact"/>
        <w:ind w:firstLine="480" w:firstLineChars="200"/>
        <w:rPr>
          <w:rFonts w:ascii="Times New Roman" w:hAnsi="Times New Roman" w:cs="Times New Roman"/>
          <w:bCs/>
          <w:sz w:val="24"/>
          <w:szCs w:val="24"/>
        </w:rPr>
      </w:pPr>
      <w:r>
        <w:rPr>
          <w:rFonts w:ascii="Times New Roman" w:hAnsi="Times New Roman" w:cs="Times New Roman"/>
          <w:sz w:val="24"/>
          <w:szCs w:val="24"/>
        </w:rPr>
        <w:t>16.2</w:t>
      </w:r>
      <w:r>
        <w:rPr>
          <w:rFonts w:ascii="Times New Roman" w:hAnsi="Times New Roman" w:cs="Times New Roman"/>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17、迟交的投标文件</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迟交的投标文件将被拒收并原封退回。</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18、投标文件的修改和撤回</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18.1投标人在递交投标书后，在规定的投标截止日期前可以修改或撤回其投标文件。修改文件必须在投标截止时间前送达。</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18.2投标截止日期后不可对其投标文件作任何修改或撤回，否则其投标保证金将被没收。</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五、开标与评标</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19、开标</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19.l采购人将在采购文件中规定的时间和地址组织公开开标。投标人法人代表或授权代表须携本人身份证原件参加，如有必要可以让投标人有一定时间的陈述，或接收评标工作组成员的提问后退场。</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19.2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20、评标过程的保密与公正</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20.2投标人试图影响评标或授予合同方面的任何尝试，可能导致该投标人的标被废弃。</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21、投标的澄清</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21.1评标期间，为有助于对投标文件的审查、评价和比较，评标工作组有权要求投标人对其投标文件进行澄清，但并非对每个投标人都作澄清要求。</w:t>
      </w:r>
    </w:p>
    <w:p>
      <w:pPr>
        <w:spacing w:line="360" w:lineRule="exact"/>
        <w:rPr>
          <w:rFonts w:ascii="Times New Roman" w:hAnsi="Times New Roman" w:cs="Times New Roman"/>
          <w:sz w:val="24"/>
          <w:szCs w:val="24"/>
        </w:rPr>
      </w:pPr>
      <w:r>
        <w:rPr>
          <w:rFonts w:ascii="Times New Roman" w:hAnsi="Times New Roman" w:cs="Times New Roman"/>
          <w:sz w:val="24"/>
          <w:szCs w:val="24"/>
        </w:rPr>
        <w:t xml:space="preserve">    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Times New Roman" w:hAnsi="Times New Roman" w:cs="Times New Roman"/>
          <w:sz w:val="24"/>
          <w:szCs w:val="24"/>
        </w:rPr>
      </w:pPr>
      <w:r>
        <w:rPr>
          <w:rFonts w:ascii="Times New Roman" w:hAnsi="Times New Roman" w:cs="Times New Roman"/>
          <w:sz w:val="24"/>
          <w:szCs w:val="24"/>
        </w:rPr>
        <w:t>21.3 接到澄清要求的投标人如未按规定做出澄清，其风险由投标人自行承担。</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22、对投标文件的初审</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22.1投标文件初审分为资格性检查和符合性检查。</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资格性检查：依据法律法规和采购文件的规定，由采购人对投标文件中的资格证明文件进行审查。资格审查的结论，采购人以书面形式向评标工作组进行反馈。</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符合性检查：依据采购文件的规定，由评标工作组从投标文件的有效性、完整性和对采购文件的响应程度进行审查，以确定是否对采购文件的实质性要求作出响应。</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22.2在详细评标之前，评标工作组将首先审查每份投标文件是否实质性响应了采购文件的要求。实质性响应的投标应该是与采购文件要求的全部条款、条件和规格相符，没有重大偏离或保留的投标。</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22.3如果投标文件实质上没有响应采购文件的要求，评标工作组将予以拒绝，投标人不得通过修改或撤销不合要求的偏离或保留而使其投标成为实质性响应的投标。</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22.4评标工作组将对确定为实质性响应的投标进行进一步审核，看其是否有计算上或累加上的算术错误，修正错误的原则如下：</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 如果用数字表示的金额和用文字表示的金额不一致时，应以文字表示的金额为准进行修正；</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(2)当单价与数量的乘积和总价不一致时，以单价为准进行修正。只有在评标工作组认为单价有明显的小数点错误时，才能以标出的总价为准，并修改单价。</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22.5评标工作组将按上述修正错误的方法调整投标文件中的投标报价，调整后的价格应对投标人具有约束力。如果投标人不接受修正后的价格，则其投标将被拒绝，其投标保证金不予退还。</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22.6评标工作组将允许修正投标文件中不构成重大偏离的、微小的、非正规的、不一致的或不规则的地方，但这些修改不能影响任何投标人相应的名次排列。</w:t>
      </w:r>
    </w:p>
    <w:p>
      <w:pPr>
        <w:shd w:val="clear" w:color="auto" w:fill="FFFFFF"/>
        <w:snapToGrid w:val="0"/>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23、无效投标条款和废标条款</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23.1无效投标条款：</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（1）未按要求交纳投标保证金的；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（2）未按照采购文件规定要求密封、签署、盖章的；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（3）投标人在报价时采用选择性报价的；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（4）投标人不具备采购文件中规定资格要求的；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（5）投标人的报价超过了采购预算或最高限价的；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（6）未通过符合性检查的；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（7）不符合采购文件中规定的其他实质性要求和条件的；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（8）投标文件含有采购人不能接受的附加条件的；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9）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bCs/>
          <w:sz w:val="24"/>
        </w:rPr>
        <w:t>其他法律、法规及本采购文件规定的属无效投标的情形。</w:t>
      </w:r>
    </w:p>
    <w:p>
      <w:pPr>
        <w:spacing w:line="360" w:lineRule="exact"/>
        <w:ind w:left="479" w:leftChars="228"/>
        <w:rPr>
          <w:rFonts w:ascii="Times New Roman" w:hAnsi="Times New Roman" w:cs="Times New Roman"/>
          <w:bCs/>
          <w:sz w:val="24"/>
          <w:szCs w:val="24"/>
        </w:rPr>
      </w:pPr>
      <w:r>
        <w:rPr>
          <w:rFonts w:ascii="Times New Roman" w:hAnsi="Times New Roman" w:cs="Times New Roman"/>
          <w:sz w:val="24"/>
          <w:szCs w:val="24"/>
        </w:rPr>
        <w:t>23.2</w:t>
      </w:r>
      <w:r>
        <w:rPr>
          <w:rFonts w:ascii="Times New Roman" w:hAnsi="Times New Roman" w:cs="Times New Roman"/>
          <w:bCs/>
          <w:sz w:val="24"/>
          <w:szCs w:val="24"/>
        </w:rPr>
        <w:t>废标条款：</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（1）符合专业条件的供应商或者对采购文件作实质响应的投标人不足三家的；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（2）出现影响采购公正的违法、违规行为的；</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（3）因重大变故，采购任务取消的；</w:t>
      </w:r>
    </w:p>
    <w:p>
      <w:pPr>
        <w:spacing w:line="440" w:lineRule="exact"/>
        <w:ind w:left="479" w:leftChars="228"/>
        <w:rPr>
          <w:rFonts w:ascii="Times New Roman" w:hAnsi="Times New Roman" w:cs="Times New Roman"/>
          <w:bCs/>
          <w:sz w:val="24"/>
        </w:rPr>
      </w:pPr>
      <w:r>
        <w:rPr>
          <w:rFonts w:ascii="Times New Roman" w:hAnsi="Times New Roman" w:cs="Times New Roman"/>
          <w:bCs/>
          <w:sz w:val="24"/>
        </w:rPr>
        <w:t>（4）</w:t>
      </w:r>
      <w:r>
        <w:rPr>
          <w:rFonts w:ascii="Times New Roman" w:hAnsi="Times New Roman" w:cs="Times New Roman"/>
          <w:sz w:val="24"/>
          <w:szCs w:val="24"/>
        </w:rPr>
        <w:t>评标工作组</w:t>
      </w:r>
      <w:r>
        <w:rPr>
          <w:rFonts w:ascii="Times New Roman" w:hAnsi="Times New Roman" w:cs="Times New Roman"/>
          <w:bCs/>
          <w:sz w:val="24"/>
        </w:rPr>
        <w:t>会认定采购文件存在歧义、重大缺陷导致评审工作无法进行。</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六、定标</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24、确定中标单位</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24.1评标工作组首先对所有合格投标人按评标办法进行打分，根据综合得分，由高到低排列，向采购人推荐中标候选人。</w:t>
      </w:r>
      <w:r>
        <w:rPr>
          <w:rFonts w:ascii="Times New Roman" w:hAnsi="Times New Roman" w:cs="Times New Roman"/>
          <w:bCs/>
          <w:snapToGrid w:val="0"/>
          <w:kern w:val="21"/>
          <w:sz w:val="24"/>
        </w:rPr>
        <w:t>采购人应根据</w:t>
      </w:r>
      <w:r>
        <w:rPr>
          <w:rFonts w:ascii="Times New Roman" w:hAnsi="Times New Roman" w:cs="Times New Roman"/>
          <w:sz w:val="24"/>
          <w:szCs w:val="24"/>
        </w:rPr>
        <w:t>评标工作组</w:t>
      </w:r>
      <w:r>
        <w:rPr>
          <w:rFonts w:ascii="Times New Roman" w:hAnsi="Times New Roman" w:cs="Times New Roman"/>
          <w:bCs/>
          <w:snapToGrid w:val="0"/>
          <w:kern w:val="21"/>
          <w:sz w:val="24"/>
        </w:rPr>
        <w:t>推荐的中标候选人确定中标人</w:t>
      </w:r>
      <w:r>
        <w:rPr>
          <w:rFonts w:ascii="Times New Roman" w:hAnsi="Times New Roman" w:cs="Times New Roman"/>
          <w:sz w:val="24"/>
          <w:szCs w:val="24"/>
        </w:rPr>
        <w:t>。</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24.2中标人名单将在“</w:t>
      </w:r>
      <w:r>
        <w:rPr>
          <w:rFonts w:hint="eastAsia" w:ascii="Times New Roman" w:hAnsi="Times New Roman" w:cs="Times New Roman"/>
          <w:sz w:val="24"/>
          <w:szCs w:val="24"/>
        </w:rPr>
        <w:t>江苏政府采购网</w:t>
      </w:r>
      <w:r>
        <w:rPr>
          <w:rFonts w:ascii="Times New Roman" w:hAnsi="Times New Roman" w:cs="Times New Roman"/>
          <w:sz w:val="24"/>
          <w:szCs w:val="24"/>
        </w:rPr>
        <w:t>”上进行公示。</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24.3若有充分证据证明，中标人出现下列情况之一的，一经查实，将被取消中标资格：</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（1）提供虚假材料谋取中标的；</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（2）与评审专家、采购人或者其他供应商恶意串通的；</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（3）向评审专家、采购人行贿或者提供其它不正当利益的；</w:t>
      </w:r>
    </w:p>
    <w:p>
      <w:pPr>
        <w:snapToGrid w:val="0"/>
        <w:spacing w:line="360" w:lineRule="exact"/>
        <w:ind w:left="480"/>
        <w:rPr>
          <w:rFonts w:ascii="Times New Roman" w:hAnsi="Times New Roman" w:cs="Times New Roman"/>
          <w:sz w:val="24"/>
          <w:szCs w:val="24"/>
        </w:rPr>
      </w:pPr>
      <w:r>
        <w:rPr>
          <w:rFonts w:ascii="Times New Roman" w:hAnsi="Times New Roman" w:cs="Times New Roman"/>
          <w:sz w:val="24"/>
          <w:szCs w:val="24"/>
        </w:rPr>
        <w:t>（4）恶意竞争，投标总报价明显低于其自身合理成本且又无法提供证明的；</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（5）不满足本采购文件规定的实质性要求，但在评标过程中又未被评标工作组发现的；</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（6）不符合法律、法规的规定的其它情形。</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24.4有下列情形之一的，视为投标人串通投标，投标无效：</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（1）不同投标人的投标文件由同一单位或者个人编制。</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（2）不同投标人委托同一单位或者个人办理投标事宜。</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（3）不同投标人的投标文件载明的项目管理成员或者联系人员为同一人。</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（4）不同投标人的投标文件异常一致或者投标报价呈规律性差异。</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（5）不同投标人的投标文件相互混装。</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（6）不同投标人的投标保证金从同一单位或者个人的账户转出。</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25、质疑处理</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25.1参加投标供应商认为采购文件、采购过程和采购结果使自己的权益受到损害的，可以在知道或应知其权益受到损害之日起7个工作日内，以书面形式向采购人提出质疑。</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（1）对可以质疑的采购文件提出质疑的，为收到采购文件之日或者采购文件公告期限届满之日；</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（2）对采购过程提出质疑的，为各采购程序环节结束之日；</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（3）对中标或者成交结果提出质疑的，为中标或者成交结果公告期限届满之日。</w:t>
      </w:r>
    </w:p>
    <w:p>
      <w:pPr>
        <w:snapToGrid w:val="0"/>
        <w:spacing w:line="360" w:lineRule="exact"/>
        <w:ind w:firstLine="472" w:firstLineChars="197"/>
        <w:rPr>
          <w:rFonts w:ascii="Times New Roman" w:hAnsi="Times New Roman" w:cs="Times New Roman"/>
          <w:sz w:val="24"/>
          <w:szCs w:val="24"/>
        </w:rPr>
      </w:pPr>
      <w:r>
        <w:rPr>
          <w:rFonts w:ascii="Times New Roman" w:hAnsi="Times New Roman" w:cs="Times New Roman"/>
          <w:sz w:val="24"/>
          <w:szCs w:val="24"/>
        </w:rPr>
        <w:t>25.2质疑必须以参加投标供应商法人代表或授权代表（投标文件中所确定的）送达的方式提交，未按上述要求提交的质疑函（含传真、电子邮件等）采购人有权不予受理。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25.3未参加投标的供应商或在投标活动中本身权益未受到损害或从投标活动中受益的供应商所提出的质疑也不予受理。</w:t>
      </w:r>
    </w:p>
    <w:p>
      <w:pPr>
        <w:snapToGrid w:val="0"/>
        <w:spacing w:line="360" w:lineRule="exact"/>
        <w:ind w:firstLine="468" w:firstLineChars="195"/>
        <w:rPr>
          <w:rFonts w:ascii="Times New Roman" w:hAnsi="Times New Roman" w:cs="Times New Roman"/>
          <w:sz w:val="24"/>
          <w:szCs w:val="24"/>
        </w:rPr>
      </w:pPr>
      <w:r>
        <w:rPr>
          <w:rFonts w:ascii="Times New Roman" w:hAnsi="Times New Roman" w:cs="Times New Roman"/>
          <w:sz w:val="24"/>
          <w:szCs w:val="24"/>
        </w:rPr>
        <w:t>25.4投标人提出书面质疑必须有理、有据，不得恶意质疑或提交虚假质疑。否则，采购人将不予受理。</w:t>
      </w:r>
    </w:p>
    <w:p>
      <w:pPr>
        <w:snapToGrid w:val="0"/>
        <w:spacing w:line="360" w:lineRule="exact"/>
        <w:ind w:firstLine="468" w:firstLineChars="195"/>
        <w:rPr>
          <w:rFonts w:ascii="Times New Roman" w:hAnsi="Times New Roman" w:cs="Times New Roman"/>
          <w:sz w:val="24"/>
          <w:szCs w:val="24"/>
        </w:rPr>
      </w:pPr>
      <w:r>
        <w:rPr>
          <w:rFonts w:ascii="Times New Roman" w:hAnsi="Times New Roman" w:cs="Times New Roman"/>
          <w:sz w:val="24"/>
          <w:szCs w:val="24"/>
        </w:rPr>
        <w:t>25.5采购人将在收到投标供应商的书面质疑后在规定时间内作出答复，但答复的内容不得涉及商业秘密。</w:t>
      </w:r>
    </w:p>
    <w:p>
      <w:pPr>
        <w:snapToGrid w:val="0"/>
        <w:spacing w:line="360" w:lineRule="exact"/>
        <w:ind w:firstLine="470" w:firstLineChars="195"/>
        <w:rPr>
          <w:rFonts w:ascii="Times New Roman" w:hAnsi="Times New Roman" w:cs="Times New Roman"/>
          <w:sz w:val="24"/>
          <w:szCs w:val="24"/>
        </w:rPr>
      </w:pPr>
      <w:r>
        <w:rPr>
          <w:rFonts w:ascii="Times New Roman" w:hAnsi="Times New Roman" w:cs="Times New Roman"/>
          <w:b/>
          <w:sz w:val="24"/>
          <w:szCs w:val="24"/>
        </w:rPr>
        <w:t>26、中标通知书</w:t>
      </w:r>
    </w:p>
    <w:p>
      <w:pPr>
        <w:snapToGrid w:val="0"/>
        <w:spacing w:line="360" w:lineRule="exact"/>
        <w:ind w:firstLine="468" w:firstLineChars="195"/>
        <w:rPr>
          <w:rFonts w:ascii="Times New Roman" w:hAnsi="Times New Roman" w:cs="Times New Roman"/>
          <w:sz w:val="24"/>
          <w:szCs w:val="24"/>
        </w:rPr>
      </w:pPr>
      <w:r>
        <w:rPr>
          <w:rFonts w:ascii="Times New Roman" w:hAnsi="Times New Roman" w:cs="Times New Roman"/>
          <w:sz w:val="24"/>
          <w:szCs w:val="24"/>
        </w:rPr>
        <w:t>26.l中标结果质疑期满后，采购人将向中标供应商发出中标通知书。</w:t>
      </w:r>
    </w:p>
    <w:p>
      <w:pPr>
        <w:snapToGrid w:val="0"/>
        <w:spacing w:line="360" w:lineRule="exact"/>
        <w:ind w:firstLine="468" w:firstLineChars="195"/>
        <w:rPr>
          <w:rFonts w:ascii="Times New Roman" w:hAnsi="Times New Roman" w:cs="Times New Roman"/>
          <w:sz w:val="24"/>
          <w:szCs w:val="24"/>
        </w:rPr>
      </w:pPr>
      <w:r>
        <w:rPr>
          <w:rFonts w:ascii="Times New Roman" w:hAnsi="Times New Roman" w:cs="Times New Roman"/>
          <w:sz w:val="24"/>
          <w:szCs w:val="24"/>
        </w:rPr>
        <w:t>26.2 中标人收到中标通知书后，须立即以书面形式回复采购人，确认中标通知书已收到。若无书面回复，则公告后视同中标人已经知悉并同意接受。</w:t>
      </w:r>
    </w:p>
    <w:p>
      <w:pPr>
        <w:snapToGrid w:val="0"/>
        <w:spacing w:line="360" w:lineRule="exact"/>
        <w:ind w:firstLine="468" w:firstLineChars="195"/>
        <w:rPr>
          <w:rFonts w:ascii="Times New Roman" w:hAnsi="Times New Roman" w:cs="Times New Roman"/>
          <w:sz w:val="24"/>
          <w:szCs w:val="24"/>
        </w:rPr>
      </w:pPr>
      <w:r>
        <w:rPr>
          <w:rFonts w:ascii="Times New Roman" w:hAnsi="Times New Roman" w:cs="Times New Roman"/>
          <w:sz w:val="24"/>
          <w:szCs w:val="24"/>
        </w:rPr>
        <w:t>26.3中标通知书将是合同的一个组成部分。对采购人和中标供应商均具有法律效力。中标通知书发出后，采购人改变中标结果的，或者中标供应商放弃中标项目的，应当依法承担法律责任。</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七、授予合同</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27、签订合同</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27.1中标人在</w:t>
      </w:r>
      <w:r>
        <w:rPr>
          <w:rFonts w:ascii="Times New Roman" w:hAnsi="Times New Roman" w:cs="Times New Roman"/>
          <w:snapToGrid w:val="0"/>
          <w:kern w:val="21"/>
          <w:sz w:val="24"/>
          <w:szCs w:val="24"/>
        </w:rPr>
        <w:t>中标通知书发出之日</w:t>
      </w:r>
      <w:r>
        <w:rPr>
          <w:rFonts w:ascii="Times New Roman" w:hAnsi="Times New Roman" w:cs="Times New Roman"/>
          <w:sz w:val="24"/>
          <w:szCs w:val="24"/>
        </w:rPr>
        <w:t>起30日内派代表前来与采购人具体商谈签订合同，若因中标人延误签订合同并由此给采购人造成损失的，中标人应承担赔偿责任。</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27.2采购文件、中标人的投标文件及澄清文件等，均为签订合同的依据。</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27.3签订合同后，</w:t>
      </w:r>
      <w:r>
        <w:rPr>
          <w:rFonts w:ascii="Times New Roman" w:hAnsi="Times New Roman" w:cs="Times New Roman"/>
          <w:b/>
          <w:sz w:val="24"/>
          <w:szCs w:val="24"/>
        </w:rPr>
        <w:t>中标人不得将相关服务进行全部或部分转包。</w:t>
      </w:r>
      <w:r>
        <w:rPr>
          <w:rFonts w:ascii="Times New Roman" w:hAnsi="Times New Roman" w:cs="Times New Roman"/>
          <w:sz w:val="24"/>
          <w:szCs w:val="24"/>
        </w:rPr>
        <w:t>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28、货物的追加和减少</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28.1采购合同履行中，需追加与合同标的相同的货物的，在不改变价格水平、合同及其它条款的前提下，采购人可以与中标人协商签订补充合同，追加量不得超过合同总额的10%。</w:t>
      </w:r>
    </w:p>
    <w:p>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28.2采购结束后，采购人若由于各种客观原因，必须对采购项目所牵涉的服务进行适当的减少时，在双方协商一致的前提下，可以按照中标时价格水平做相应的调减，并据此签订补充合同。</w:t>
      </w:r>
    </w:p>
    <w:p>
      <w:pPr>
        <w:widowControl/>
        <w:spacing w:line="360" w:lineRule="auto"/>
        <w:ind w:firstLine="420" w:firstLineChars="200"/>
        <w:jc w:val="left"/>
        <w:rPr>
          <w:rFonts w:ascii="Times New Roman" w:hAnsi="Times New Roman" w:eastAsia="宋体" w:cs="Times New Roman"/>
        </w:rPr>
      </w:pPr>
    </w:p>
    <w:p>
      <w:pPr>
        <w:widowControl/>
        <w:spacing w:line="360" w:lineRule="auto"/>
        <w:ind w:firstLine="420" w:firstLineChars="200"/>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p>
    <w:p>
      <w:pPr>
        <w:widowControl/>
        <w:jc w:val="left"/>
        <w:rPr>
          <w:rFonts w:ascii="黑体" w:hAnsi="黑体" w:eastAsia="黑体" w:cs="黑体"/>
          <w:kern w:val="44"/>
          <w:sz w:val="36"/>
          <w:szCs w:val="36"/>
          <w:u w:color="000000"/>
          <w:lang w:val="zh-TW"/>
        </w:rPr>
      </w:pPr>
      <w:r>
        <w:rPr>
          <w:rFonts w:ascii="黑体" w:hAnsi="黑体" w:eastAsia="黑体" w:cs="黑体"/>
          <w:kern w:val="44"/>
          <w:sz w:val="36"/>
          <w:szCs w:val="36"/>
          <w:u w:color="000000"/>
          <w:lang w:val="zh-TW"/>
        </w:rPr>
        <w:br w:type="page"/>
      </w:r>
    </w:p>
    <w:p>
      <w:pPr>
        <w:keepNext/>
        <w:keepLines/>
        <w:numPr>
          <w:ilvl w:val="0"/>
          <w:numId w:val="5"/>
        </w:numPr>
        <w:spacing w:before="312" w:beforeLines="100" w:after="312" w:afterLines="100" w:line="360" w:lineRule="auto"/>
        <w:jc w:val="center"/>
        <w:outlineLvl w:val="0"/>
        <w:rPr>
          <w:rFonts w:ascii="黑体" w:hAnsi="黑体" w:eastAsia="黑体" w:cs="黑体"/>
          <w:kern w:val="44"/>
          <w:sz w:val="36"/>
          <w:szCs w:val="36"/>
          <w:u w:color="000000"/>
          <w:lang w:val="zh-TW" w:eastAsia="zh-TW"/>
        </w:rPr>
      </w:pPr>
      <w:bookmarkStart w:id="8" w:name="_Toc67403423"/>
      <w:r>
        <w:rPr>
          <w:rFonts w:ascii="黑体" w:hAnsi="黑体" w:eastAsia="黑体" w:cs="黑体"/>
          <w:kern w:val="44"/>
          <w:sz w:val="36"/>
          <w:szCs w:val="36"/>
          <w:u w:color="000000"/>
          <w:lang w:val="zh-TW"/>
        </w:rPr>
        <w:t xml:space="preserve"> </w:t>
      </w:r>
      <w:r>
        <w:rPr>
          <w:rFonts w:hint="eastAsia" w:ascii="黑体" w:hAnsi="黑体" w:eastAsia="黑体" w:cs="黑体"/>
          <w:kern w:val="44"/>
          <w:sz w:val="36"/>
          <w:szCs w:val="36"/>
          <w:u w:color="000000"/>
          <w:lang w:val="zh-TW" w:eastAsia="zh-TW"/>
        </w:rPr>
        <w:t>合同条款及格式</w:t>
      </w:r>
      <w:bookmarkEnd w:id="8"/>
    </w:p>
    <w:p>
      <w:pPr>
        <w:rPr>
          <w:rFonts w:asciiTheme="minorEastAsia" w:hAnsiTheme="minorEastAsia" w:cstheme="minorEastAsia"/>
          <w:b/>
          <w:bCs/>
          <w:sz w:val="24"/>
          <w:szCs w:val="24"/>
          <w:lang w:bidi="ar"/>
        </w:rPr>
      </w:pPr>
    </w:p>
    <w:p>
      <w:pPr>
        <w:pStyle w:val="18"/>
        <w:rPr>
          <w:lang w:bidi="ar"/>
        </w:rPr>
      </w:pPr>
    </w:p>
    <w:p>
      <w:pPr>
        <w:rPr>
          <w:rFonts w:ascii="宋体" w:hAnsi="宋体"/>
          <w:color w:val="000000" w:themeColor="text1"/>
          <w:sz w:val="44"/>
          <w:szCs w:val="44"/>
          <w14:textFill>
            <w14:solidFill>
              <w14:schemeClr w14:val="tx1"/>
            </w14:solidFill>
          </w14:textFill>
        </w:rPr>
      </w:pPr>
      <w:r>
        <w:rPr>
          <w:color w:val="000000" w:themeColor="text1"/>
          <w14:textFill>
            <w14:solidFill>
              <w14:schemeClr w14:val="tx1"/>
            </w14:solidFill>
          </w14:textFill>
        </w:rPr>
        <w:drawing>
          <wp:inline distT="0" distB="0" distL="0" distR="0">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noChangeArrowheads="1"/>
                    </pic:cNvPicPr>
                  </pic:nvPicPr>
                  <pic:blipFill>
                    <a:blip r:embed="rId8" cstate="print">
                      <a:extLst>
                        <a:ext uri="{28A0092B-C50C-407E-A947-70E740481C1C}">
                          <a14:useLocalDpi xmlns:a14="http://schemas.microsoft.com/office/drawing/2010/main" val="0"/>
                        </a:ext>
                      </a:extLst>
                    </a:blip>
                    <a:srcRect r="3725"/>
                    <a:stretch>
                      <a:fillRect/>
                    </a:stretch>
                  </pic:blipFill>
                  <pic:spPr>
                    <a:xfrm>
                      <a:off x="0" y="0"/>
                      <a:ext cx="1200150" cy="476250"/>
                    </a:xfrm>
                    <a:prstGeom prst="rect">
                      <a:avLst/>
                    </a:prstGeom>
                    <a:noFill/>
                    <a:ln>
                      <a:noFill/>
                    </a:ln>
                  </pic:spPr>
                </pic:pic>
              </a:graphicData>
            </a:graphic>
          </wp:inline>
        </w:drawing>
      </w:r>
    </w:p>
    <w:p>
      <w:pPr>
        <w:spacing w:line="360" w:lineRule="auto"/>
        <w:jc w:val="right"/>
        <w:rPr>
          <w:rFonts w:ascii="方正仿宋_GBK" w:eastAsia="方正仿宋_GBK"/>
          <w:color w:val="000000" w:themeColor="text1"/>
          <w14:textFill>
            <w14:solidFill>
              <w14:schemeClr w14:val="tx1"/>
            </w14:solidFill>
          </w14:textFill>
        </w:rPr>
      </w:pPr>
      <w:r>
        <w:rPr>
          <w:rFonts w:hint="eastAsia" w:ascii="宋体" w:hAnsi="宋体"/>
          <w:color w:val="000000" w:themeColor="text1"/>
          <w:sz w:val="44"/>
          <w:szCs w:val="44"/>
          <w14:textFill>
            <w14:solidFill>
              <w14:schemeClr w14:val="tx1"/>
            </w14:solidFill>
          </w14:textFill>
        </w:rPr>
        <w:t xml:space="preserve"> </w:t>
      </w:r>
      <w:r>
        <w:rPr>
          <w:rFonts w:ascii="宋体" w:hAnsi="宋体"/>
          <w:color w:val="000000" w:themeColor="text1"/>
          <w:sz w:val="44"/>
          <w:szCs w:val="44"/>
          <w14:textFill>
            <w14:solidFill>
              <w14:schemeClr w14:val="tx1"/>
            </w14:solidFill>
          </w14:textFill>
        </w:rPr>
        <w:t xml:space="preserve">     </w:t>
      </w:r>
      <w:r>
        <w:rPr>
          <w:rFonts w:ascii="宋体" w:hAnsi="宋体"/>
          <w:color w:val="000000" w:themeColor="text1"/>
          <w:sz w:val="44"/>
          <w:szCs w:val="44"/>
          <w14:textFill>
            <w14:solidFill>
              <w14:schemeClr w14:val="tx1"/>
            </w14:solidFill>
          </w14:textFill>
        </w:rPr>
        <w:tab/>
      </w:r>
      <w:r>
        <w:rPr>
          <w:color w:val="000000" w:themeColor="text1"/>
          <w:sz w:val="22"/>
          <w14:textFill>
            <w14:solidFill>
              <w14:schemeClr w14:val="tx1"/>
            </w14:solidFill>
          </w14:textFill>
        </w:rPr>
        <w:tab/>
      </w:r>
      <w:r>
        <w:rPr>
          <w:rFonts w:hint="eastAsia" w:ascii="方正仿宋_GBK" w:hAnsi="宋体" w:eastAsia="方正仿宋_GBK"/>
          <w:b/>
          <w:bCs/>
          <w:color w:val="000000" w:themeColor="text1"/>
          <w:sz w:val="32"/>
          <w:szCs w:val="28"/>
          <w14:textFill>
            <w14:solidFill>
              <w14:schemeClr w14:val="tx1"/>
            </w14:solidFill>
          </w14:textFill>
        </w:rPr>
        <w:t>协议编号：【 2024A**00** 】</w:t>
      </w:r>
    </w:p>
    <w:p>
      <w:pPr>
        <w:tabs>
          <w:tab w:val="left" w:pos="7064"/>
        </w:tabs>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货</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物</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采</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购</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合</w:t>
      </w:r>
    </w:p>
    <w:p>
      <w:pPr>
        <w:jc w:val="center"/>
        <w:rPr>
          <w:rFonts w:ascii="宋体" w:hAnsi="宋体"/>
          <w:color w:val="000000" w:themeColor="text1"/>
          <w:sz w:val="44"/>
          <w:szCs w:val="44"/>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同</w:t>
      </w:r>
    </w:p>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ind w:firstLine="1120" w:firstLineChars="400"/>
        <w:rPr>
          <w:rFonts w:ascii="宋体" w:hAnsi="宋体"/>
          <w:color w:val="000000" w:themeColor="text1"/>
          <w:sz w:val="28"/>
          <w:szCs w:val="28"/>
          <w14:textFill>
            <w14:solidFill>
              <w14:schemeClr w14:val="tx1"/>
            </w14:solidFill>
          </w14:textFill>
        </w:rPr>
      </w:pPr>
    </w:p>
    <w:p>
      <w:pPr>
        <w:ind w:left="1400" w:hanging="1400" w:hangingChars="5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紫金山实验室</w:t>
      </w:r>
      <w:r>
        <w:rPr>
          <w:rFonts w:hint="eastAsia" w:ascii="宋体" w:hAnsi="宋体"/>
          <w:color w:val="000000" w:themeColor="text1"/>
          <w:sz w:val="28"/>
          <w:szCs w:val="28"/>
          <w:u w:val="single"/>
          <w:lang w:val="en-US" w:eastAsia="zh-CN"/>
          <w14:textFill>
            <w14:solidFill>
              <w14:schemeClr w14:val="tx1"/>
            </w14:solidFill>
          </w14:textFill>
        </w:rPr>
        <w:t>态势感知</w:t>
      </w:r>
      <w:r>
        <w:rPr>
          <w:rFonts w:hint="eastAsia" w:ascii="宋体" w:hAnsi="宋体"/>
          <w:color w:val="000000" w:themeColor="text1"/>
          <w:sz w:val="28"/>
          <w:szCs w:val="28"/>
          <w:u w:val="single"/>
          <w14:textFill>
            <w14:solidFill>
              <w14:schemeClr w14:val="tx1"/>
            </w14:solidFill>
          </w14:textFill>
        </w:rPr>
        <w:t>项目</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甲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方：</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紫金山实验室</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（采购人）</w:t>
      </w:r>
    </w:p>
    <w:p>
      <w:pP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乙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方：</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（投标人）</w:t>
      </w:r>
    </w:p>
    <w:p>
      <w:pPr>
        <w:widowControl/>
        <w:ind w:firstLine="480" w:firstLineChars="200"/>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根据《中华人民共和国政府采购法》、《中华人民共和国民法典》等法律法规的规定，甲乙双方按照南京市政府采购中心的招标结果签订本合同。</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第一条 合同标的</w:t>
      </w:r>
      <w:r>
        <w:rPr>
          <w:rFonts w:hint="eastAsia" w:asciiTheme="minorEastAsia" w:hAnsiTheme="minorEastAsia"/>
          <w:color w:val="000000" w:themeColor="text1"/>
          <w:sz w:val="24"/>
          <w:szCs w:val="24"/>
          <w:lang w:val="zh-CN"/>
          <w14:textFill>
            <w14:solidFill>
              <w14:schemeClr w14:val="tx1"/>
            </w14:solidFill>
          </w14:textFill>
        </w:rPr>
        <w:t xml:space="preserve">  </w:t>
      </w:r>
    </w:p>
    <w:p>
      <w:pPr>
        <w:snapToGrid w:val="0"/>
        <w:spacing w:line="540" w:lineRule="exact"/>
        <w:contextualSpacing/>
        <w:rPr>
          <w:rFonts w:asciiTheme="minorEastAsia" w:hAnsiTheme="minorEastAsia"/>
          <w:color w:val="000000" w:themeColor="text1"/>
          <w:sz w:val="24"/>
          <w:szCs w:val="24"/>
          <w:lang w:val="zh-CN"/>
          <w14:textFill>
            <w14:solidFill>
              <w14:schemeClr w14:val="tx1"/>
            </w14:solidFill>
          </w14:textFill>
        </w:rPr>
      </w:pP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第二条 合同总价款</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本合同项下货物总价为</w:t>
      </w:r>
      <w:r>
        <w:rPr>
          <w:rFonts w:asciiTheme="minorEastAsia" w:hAnsiTheme="minorEastAsia"/>
          <w:color w:val="000000" w:themeColor="text1"/>
          <w:sz w:val="24"/>
          <w:szCs w:val="24"/>
          <w14:textFill>
            <w14:solidFill>
              <w14:schemeClr w14:val="tx1"/>
            </w14:solidFill>
          </w14:textFill>
        </w:rPr>
        <w:t>人民币</w:t>
      </w:r>
      <w:r>
        <w:rPr>
          <w:rFonts w:asciiTheme="minorEastAsia" w:hAnsiTheme="minorEastAsia"/>
          <w:color w:val="000000" w:themeColor="text1"/>
          <w:sz w:val="24"/>
          <w:szCs w:val="24"/>
          <w:u w:val="single"/>
          <w14:textFill>
            <w14:solidFill>
              <w14:schemeClr w14:val="tx1"/>
            </w14:solidFill>
          </w14:textFill>
        </w:rPr>
        <w:t xml:space="preserve">         元</w:t>
      </w:r>
      <w:r>
        <w:rPr>
          <w:rFonts w:asciiTheme="minorEastAsia" w:hAnsiTheme="minorEastAsia"/>
          <w:color w:val="000000" w:themeColor="text1"/>
          <w:sz w:val="24"/>
          <w:szCs w:val="24"/>
          <w14:textFill>
            <w14:solidFill>
              <w14:schemeClr w14:val="tx1"/>
            </w14:solidFill>
          </w14:textFill>
        </w:rPr>
        <w:t>（大写）（¥   元）</w:t>
      </w:r>
      <w:r>
        <w:rPr>
          <w:rFonts w:hint="eastAsia" w:asciiTheme="minorEastAsia" w:hAnsiTheme="minorEastAsia"/>
          <w:color w:val="000000" w:themeColor="text1"/>
          <w:sz w:val="24"/>
          <w:szCs w:val="24"/>
          <w:lang w:val="zh-CN"/>
          <w14:textFill>
            <w14:solidFill>
              <w14:schemeClr w14:val="tx1"/>
            </w14:solidFill>
          </w14:textFill>
        </w:rPr>
        <w:t>，分项价款详见“附件：分项报价表”。（如有）除此之外，甲方不再向乙方支付任何其他费用。</w:t>
      </w:r>
    </w:p>
    <w:p>
      <w:pPr>
        <w:snapToGrid w:val="0"/>
        <w:spacing w:line="540" w:lineRule="exact"/>
        <w:ind w:firstLine="480" w:firstLineChars="200"/>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本合同总价款还包含乙方应当提供的伴随服务/售后服务费用。</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本合同执行期间合同总价款不变。</w:t>
      </w:r>
    </w:p>
    <w:p>
      <w:pPr>
        <w:snapToGrid w:val="0"/>
        <w:spacing w:line="540" w:lineRule="exact"/>
        <w:ind w:firstLine="472" w:firstLineChars="196"/>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第三条 组成本合同的有关文件</w:t>
      </w:r>
    </w:p>
    <w:p>
      <w:pPr>
        <w:snapToGrid w:val="0"/>
        <w:spacing w:line="540" w:lineRule="exact"/>
        <w:ind w:firstLine="470" w:firstLineChars="196"/>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下列关于南京市政府采购网公开招标文件或本次采购活动方式相适应的文件及有关附件是本合同不可分割的组成部分，与本合同具有同等法律效力，这些文件包括但不限于：</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（1）乙方提供的响应文件和报价表；（2）函件；</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（3）分项报价表；           （4）项目实施方案与服务说明；</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（5）偏离表及说明；         （6）服务承诺；</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（7）中标通知书；           （8）甲乙双方商定的其他文件等。</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第四条 权利保证</w:t>
      </w:r>
    </w:p>
    <w:p>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14:textFill>
            <w14:solidFill>
              <w14:schemeClr w14:val="tx1"/>
            </w14:solidFill>
          </w14:textFill>
        </w:rPr>
      </w:pPr>
      <w:r>
        <w:rPr>
          <w:rFonts w:hint="eastAsia" w:ascii="方正仿宋_GBK" w:eastAsia="方正仿宋_GBK" w:hAnsiTheme="minorEastAsia"/>
          <w:color w:val="000000" w:themeColor="text1"/>
          <w:sz w:val="28"/>
          <w:szCs w:val="28"/>
          <w:lang w:val="zh-CN"/>
          <w14:textFill>
            <w14:solidFill>
              <w14:schemeClr w14:val="tx1"/>
            </w14:solidFill>
          </w14:textFill>
        </w:rPr>
        <w:t>1. 乙方保证对其所供货物享有完全所有权或合法处分权，有权履行本合同，保证甲方在使用采购合同项下货物或其任何一部分在中国境内、合同产品的进口国以及销售国不侵犯任何第三人的权利（包括但不限于知识产权、名称权、肖像权或其他权益）、免受任何第三方提出权利主张。</w:t>
      </w:r>
    </w:p>
    <w:p>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14:textFill>
            <w14:solidFill>
              <w14:schemeClr w14:val="tx1"/>
            </w14:solidFill>
          </w14:textFill>
        </w:rPr>
      </w:pPr>
      <w:r>
        <w:rPr>
          <w:rFonts w:hint="eastAsia" w:ascii="方正仿宋_GBK" w:eastAsia="方正仿宋_GBK" w:hAnsiTheme="minorEastAsia"/>
          <w:color w:val="000000" w:themeColor="text1"/>
          <w:sz w:val="28"/>
          <w:szCs w:val="28"/>
          <w:lang w:val="zh-CN"/>
          <w14:textFill>
            <w14:solidFill>
              <w14:schemeClr w14:val="tx1"/>
            </w14:solidFill>
          </w14:textFill>
        </w:rPr>
        <w:t>2. 乙方同意，如有第三方声称甲方或甲方的客户使用本合同项下货物侵犯了第三方的知识产权或其它权利，乙方须承担有关判决或和解所确定的赔偿金额，并承担甲方因此支出的全部费用（包括但不限于诉讼费、保全费、公证费、律师费、差旅费等）和损失（包括但不限于甲方向其客户承担的赔偿、继续使用费用）。甲方同意，一旦发生此类诉讼或请求，甲方将及时通知乙方，以便乙方获得应有的权利。</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方正仿宋_GBK" w:eastAsia="方正仿宋_GBK" w:hAnsiTheme="minorEastAsia"/>
          <w:color w:val="000000" w:themeColor="text1"/>
          <w:sz w:val="28"/>
          <w:szCs w:val="28"/>
          <w:lang w:val="zh-CN"/>
          <w14:textFill>
            <w14:solidFill>
              <w14:schemeClr w14:val="tx1"/>
            </w14:solidFill>
          </w14:textFill>
        </w:rPr>
        <w:t>3. 经判决或和解协议确认乙方所供货物侵犯第三方权利的，乙方须向甲方承担合同总价20%的违约金；另，除第三方权利人同意甲方或甲方客户继续使用本合同项下货物且乙方已承担继续使用费用外，则乙方须全额退还甲方已付货款。</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第五条 质量保证</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1、乙方所提供的货物的技术规格应与招投标文件规定的技术规格及所附的“技术偏离表”相一致；若技术性能无特殊说明，按国家有关部门颁布的标准及规范为准。</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snapToGrid w:val="0"/>
        <w:spacing w:line="540" w:lineRule="exact"/>
        <w:ind w:firstLine="420"/>
        <w:contextualSpacing/>
        <w:jc w:val="left"/>
        <w:rPr>
          <w:rFonts w:asciiTheme="minorEastAsia" w:hAnsiTheme="minorEastAsia"/>
          <w:color w:val="000000" w:themeColor="text1"/>
          <w:sz w:val="24"/>
          <w:szCs w:val="24"/>
          <w:lang w:val="zh-CN"/>
          <w14:textFill>
            <w14:solidFill>
              <w14:schemeClr w14:val="tx1"/>
            </w14:solidFill>
          </w14:textFill>
        </w:rPr>
      </w:pPr>
      <w:r>
        <w:rPr>
          <w:rFonts w:ascii="方正仿宋_GBK" w:eastAsia="方正仿宋_GBK" w:hAnsiTheme="minorEastAsia"/>
          <w:color w:val="000000" w:themeColor="text1"/>
          <w:sz w:val="28"/>
          <w:szCs w:val="28"/>
          <w:lang w:val="zh-CN"/>
          <w14:textFill>
            <w14:solidFill>
              <w14:schemeClr w14:val="tx1"/>
            </w14:solidFill>
          </w14:textFill>
        </w:rPr>
        <w:t>3</w:t>
      </w:r>
      <w:r>
        <w:rPr>
          <w:rFonts w:hint="eastAsia" w:ascii="方正仿宋_GBK" w:eastAsia="方正仿宋_GBK" w:hAnsiTheme="minorEastAsia"/>
          <w:color w:val="000000" w:themeColor="text1"/>
          <w:sz w:val="28"/>
          <w:szCs w:val="28"/>
          <w:lang w:val="zh-CN"/>
          <w14:textFill>
            <w14:solidFill>
              <w14:schemeClr w14:val="tx1"/>
            </w14:solidFill>
          </w14:textFill>
        </w:rPr>
        <w:t>、在质量保证期内，货物出现质量问题，甲方有权选择要求乙方修理、更换或退货。甲方要求乙方修理、更换，而乙方不能提供无偿修理、更换，或经修理、更换后质量仍不符合约定的，或者甲方要求退货的，乙方应负责退货并赔偿损失。</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第六条 包装要求</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2、每一包装单元内应附详细的装箱单和质量合格凭证。</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第七条 交货和验收</w:t>
      </w:r>
    </w:p>
    <w:p>
      <w:pPr>
        <w:snapToGrid w:val="0"/>
        <w:spacing w:line="540" w:lineRule="exact"/>
        <w:ind w:firstLine="420"/>
        <w:contextualSpacing/>
        <w:rPr>
          <w:rFonts w:asciiTheme="minorEastAsia" w:hAnsiTheme="minorEastAsia"/>
          <w:color w:val="000000" w:themeColor="text1"/>
          <w:sz w:val="24"/>
          <w:szCs w:val="24"/>
          <w:u w:val="single"/>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1、乙方应当在</w:t>
      </w:r>
      <w:r>
        <w:rPr>
          <w:rFonts w:hint="eastAsia" w:asciiTheme="minorEastAsia" w:hAnsiTheme="minorEastAsia"/>
          <w:b/>
          <w:color w:val="000000" w:themeColor="text1"/>
          <w:sz w:val="24"/>
          <w:szCs w:val="24"/>
          <w:lang w:val="zh-CN"/>
          <w14:textFill>
            <w14:solidFill>
              <w14:schemeClr w14:val="tx1"/>
            </w14:solidFill>
          </w14:textFill>
        </w:rPr>
        <w:t>合同签订后</w:t>
      </w:r>
      <w:r>
        <w:rPr>
          <w:rFonts w:hint="eastAsia" w:asciiTheme="minorEastAsia" w:hAnsiTheme="minorEastAsia"/>
          <w:b/>
          <w:color w:val="000000" w:themeColor="text1"/>
          <w:sz w:val="24"/>
          <w:szCs w:val="24"/>
          <w:u w:val="single"/>
          <w:lang w:val="zh-CN"/>
          <w14:textFill>
            <w14:solidFill>
              <w14:schemeClr w14:val="tx1"/>
            </w14:solidFill>
          </w14:textFill>
        </w:rPr>
        <w:t xml:space="preserve">   </w:t>
      </w:r>
      <w:r>
        <w:rPr>
          <w:rFonts w:hint="eastAsia" w:asciiTheme="minorEastAsia" w:hAnsiTheme="minorEastAsia"/>
          <w:b/>
          <w:color w:val="000000" w:themeColor="text1"/>
          <w:sz w:val="24"/>
          <w:szCs w:val="24"/>
          <w:lang w:val="zh-CN"/>
          <w14:textFill>
            <w14:solidFill>
              <w14:schemeClr w14:val="tx1"/>
            </w14:solidFill>
          </w14:textFill>
        </w:rPr>
        <w:t>天内</w:t>
      </w:r>
      <w:r>
        <w:rPr>
          <w:rFonts w:hint="eastAsia" w:asciiTheme="minorEastAsia" w:hAnsiTheme="minorEastAsia"/>
          <w:color w:val="000000" w:themeColor="text1"/>
          <w:sz w:val="24"/>
          <w:szCs w:val="24"/>
          <w:lang w:val="zh-CN"/>
          <w14:textFill>
            <w14:solidFill>
              <w14:schemeClr w14:val="tx1"/>
            </w14:solidFill>
          </w14:textFill>
        </w:rPr>
        <w:t>将货物安装调试完毕交付甲方正常使用（以下简称“交付验收”），地点由甲方指定，货物的所有权自乙方将货物运送至甲方指定地点后转移至甲方。</w:t>
      </w:r>
      <w:r>
        <w:rPr>
          <w:rFonts w:asciiTheme="minorEastAsia" w:hAnsiTheme="minorEastAsia"/>
          <w:color w:val="000000" w:themeColor="text1"/>
          <w:sz w:val="24"/>
          <w:szCs w:val="24"/>
          <w14:textFill>
            <w14:solidFill>
              <w14:schemeClr w14:val="tx1"/>
            </w14:solidFill>
          </w14:textFill>
        </w:rPr>
        <w:t>甲方应当在到货后30天内组织完成安装、培训和验收。</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乙方交付的货物应当完全符合本合同、招标文件和招标响应文件所规定的货物、数量和规格要求。乙方提供的货物不符合招标文件、招标响应和合同规定的，甲方有权拒收货物，由此引起的风险，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3、货物的到货验收包括：型号、规格、数量、外观质量、及货物包装是否完好。到货验收不影响乙方对于货物承担质量保证责任。</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5、货物和系统调试验收的标准：按行业通行标准、厂方出厂标准和乙方投标文件的承诺（详见合同附件载明的标准，并不低于国家相关标准）。</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第八条 售后服务</w:t>
      </w:r>
    </w:p>
    <w:p>
      <w:pPr>
        <w:tabs>
          <w:tab w:val="left" w:pos="1620"/>
        </w:tabs>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1、乙方应按照国家有关法律法规规章和以及合同所附的“服务承诺”提供服务。</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2、除前款规定外，乙方还应提供下列服务：</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（1）货物的现场安装、调试和/或启动监督；</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（2）就货物的安装、启动、运行及维护等对甲方人员进行免费培训。</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3、售后服务的承诺，双方作如下约定：</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3.1 乙方应为甲方提供免费培训服务，并指派专人负责与甲方联系售后服务事宜。</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3.2 所购货物按乙方投标承诺</w:t>
      </w:r>
      <w:r>
        <w:rPr>
          <w:rFonts w:hint="eastAsia" w:asciiTheme="minorEastAsia" w:hAnsiTheme="minorEastAsia"/>
          <w:color w:val="000000" w:themeColor="text1"/>
          <w:sz w:val="24"/>
          <w:szCs w:val="24"/>
          <w14:textFill>
            <w14:solidFill>
              <w14:schemeClr w14:val="tx1"/>
            </w14:solidFill>
          </w14:textFill>
        </w:rPr>
        <w:t>自设备交付验收合格之日起</w:t>
      </w:r>
      <w:r>
        <w:rPr>
          <w:rFonts w:hint="eastAsia" w:asciiTheme="minorEastAsia" w:hAnsiTheme="minorEastAsia"/>
          <w:color w:val="000000" w:themeColor="text1"/>
          <w:sz w:val="24"/>
          <w:szCs w:val="24"/>
          <w:lang w:val="zh-CN"/>
          <w14:textFill>
            <w14:solidFill>
              <w14:schemeClr w14:val="tx1"/>
            </w14:solidFill>
          </w14:textFill>
        </w:rPr>
        <w:t>提供</w:t>
      </w:r>
      <w:r>
        <w:rPr>
          <w:rFonts w:hint="eastAsia" w:asciiTheme="minorEastAsia" w:hAnsiTheme="minorEastAsia"/>
          <w:b/>
          <w:color w:val="000000" w:themeColor="text1"/>
          <w:sz w:val="24"/>
          <w:szCs w:val="24"/>
          <w:u w:val="single"/>
          <w:lang w:val="zh-CN"/>
          <w14:textFill>
            <w14:solidFill>
              <w14:schemeClr w14:val="tx1"/>
            </w14:solidFill>
          </w14:textFill>
        </w:rPr>
        <w:t xml:space="preserve">   </w:t>
      </w:r>
      <w:r>
        <w:rPr>
          <w:rFonts w:hint="eastAsia" w:asciiTheme="minorEastAsia" w:hAnsiTheme="minorEastAsia"/>
          <w:b/>
          <w:color w:val="000000" w:themeColor="text1"/>
          <w:sz w:val="24"/>
          <w:szCs w:val="24"/>
          <w:lang w:val="zh-CN"/>
          <w14:textFill>
            <w14:solidFill>
              <w14:schemeClr w14:val="tx1"/>
            </w14:solidFill>
          </w14:textFill>
        </w:rPr>
        <w:t>年</w:t>
      </w:r>
      <w:r>
        <w:rPr>
          <w:rFonts w:hint="eastAsia" w:asciiTheme="minorEastAsia" w:hAnsiTheme="minorEastAsia"/>
          <w:color w:val="000000" w:themeColor="text1"/>
          <w:sz w:val="24"/>
          <w:szCs w:val="24"/>
          <w:lang w:val="zh-CN"/>
          <w14:textFill>
            <w14:solidFill>
              <w14:schemeClr w14:val="tx1"/>
            </w14:solidFill>
          </w14:textFill>
        </w:rPr>
        <w:t>免费质保服务，该费用计入总价。</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3.3 保修期内，乙方负责对其提供的货物整机进行维修和系统维护，不再收取任何费用，但不可抗力（如火灾、雷击等）造成的故障除外。</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3.4 货物故障报修的响应时间按乙方投标响应文件承诺执行。</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3.5 若货物故障在检修8工作小时后仍无法排除，乙方应在48小时内免费提供不低于故障货物规格型号档次的备用货物供甲方使用，直至故障货物修复。</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3.6 所有货物保修服务方式均为乙方上门保修，即由乙方派员到货物使用现场维修，由此产生的一切费用均由乙方承担。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3.7 保修期后的货物维护由双方协商再定。</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3.8 保修期内如乙方未能按约提供维护服务，或如遇紧急情况甲方与乙方无法取得联系或乙方无法及时安排的，甲方可自行委托第三方机构提供维护服务或租用类似设备，实际发生费用由乙方承担，可直接从应付乙方费用中扣除</w:t>
      </w:r>
      <w:r>
        <w:rPr>
          <w:rFonts w:hint="eastAsia" w:asciiTheme="minorEastAsia" w:hAnsiTheme="minorEastAsia"/>
          <w:color w:val="000000" w:themeColor="text1"/>
          <w:sz w:val="24"/>
          <w:szCs w:val="24"/>
          <w14:textFill>
            <w14:solidFill>
              <w14:schemeClr w14:val="tx1"/>
            </w14:solidFill>
          </w14:textFill>
        </w:rPr>
        <w:t>或乙方另行支付甲方</w:t>
      </w:r>
      <w:r>
        <w:rPr>
          <w:rFonts w:hint="eastAsia" w:asciiTheme="minorEastAsia" w:hAnsiTheme="minorEastAsia"/>
          <w:color w:val="000000" w:themeColor="text1"/>
          <w:sz w:val="24"/>
          <w:szCs w:val="24"/>
          <w:lang w:val="zh-CN"/>
          <w14:textFill>
            <w14:solidFill>
              <w14:schemeClr w14:val="tx1"/>
            </w14:solidFill>
          </w14:textFill>
        </w:rPr>
        <w:t>。</w:t>
      </w:r>
    </w:p>
    <w:p>
      <w:pPr>
        <w:snapToGrid w:val="0"/>
        <w:spacing w:line="540" w:lineRule="exact"/>
        <w:ind w:firstLine="420"/>
        <w:contextualSpacing/>
        <w:rPr>
          <w:rFonts w:asciiTheme="minorEastAsia" w:hAnsiTheme="minorEastAsia"/>
          <w:b/>
          <w:bCs/>
          <w:i/>
          <w:i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第九条 合同款支付</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1、本合同项下所有款项均以人民币支付。</w:t>
      </w:r>
    </w:p>
    <w:p>
      <w:pPr>
        <w:snapToGrid w:val="0"/>
        <w:spacing w:line="540" w:lineRule="exact"/>
        <w:ind w:firstLine="420"/>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r>
        <w:rPr>
          <w:rFonts w:hint="eastAsia" w:asciiTheme="minorEastAsia" w:hAnsiTheme="minorEastAsia"/>
          <w:b/>
          <w:color w:val="000000" w:themeColor="text1"/>
          <w:sz w:val="24"/>
          <w:szCs w:val="24"/>
          <w:highlight w:val="none"/>
          <w:lang w:val="zh-CN"/>
          <w14:textFill>
            <w14:solidFill>
              <w14:schemeClr w14:val="tx1"/>
            </w14:solidFill>
          </w14:textFill>
        </w:rPr>
        <w:t>、付款方式：</w:t>
      </w:r>
      <w:r>
        <w:rPr>
          <w:rFonts w:hint="eastAsia" w:asciiTheme="minorEastAsia" w:hAnsiTheme="minorEastAsia"/>
          <w:b/>
          <w:color w:val="000000" w:themeColor="text1"/>
          <w:sz w:val="24"/>
          <w:szCs w:val="24"/>
          <w:highlight w:val="none"/>
          <w14:textFill>
            <w14:solidFill>
              <w14:schemeClr w14:val="tx1"/>
            </w14:solidFill>
          </w14:textFill>
        </w:rPr>
        <w:t xml:space="preserve"> </w:t>
      </w:r>
    </w:p>
    <w:p>
      <w:pPr>
        <w:snapToGrid w:val="0"/>
        <w:spacing w:line="540" w:lineRule="exact"/>
        <w:ind w:firstLine="240" w:firstLineChars="100"/>
        <w:contextualSpacing/>
        <w:rPr>
          <w:rFonts w:hint="eastAsia" w:asciiTheme="minorEastAsia" w:hAnsiTheme="minorEastAsia"/>
          <w:color w:val="000000" w:themeColor="text1"/>
          <w:sz w:val="24"/>
          <w:szCs w:val="24"/>
          <w:lang w:bidi="ar"/>
          <w14:textFill>
            <w14:solidFill>
              <w14:schemeClr w14:val="tx1"/>
            </w14:solidFill>
          </w14:textFill>
        </w:rPr>
      </w:pPr>
      <w:r>
        <w:rPr>
          <w:rFonts w:hint="eastAsia" w:asciiTheme="minorEastAsia" w:hAnsiTheme="minorEastAsia"/>
          <w:color w:val="000000" w:themeColor="text1"/>
          <w:sz w:val="24"/>
          <w:szCs w:val="24"/>
          <w:lang w:bidi="ar"/>
          <w14:textFill>
            <w14:solidFill>
              <w14:schemeClr w14:val="tx1"/>
            </w14:solidFill>
          </w14:textFill>
        </w:rPr>
        <w:t>甲乙双方签订合同生效后，货到验收合格后支付95%合同款，正常运行一年后支付5%合同款。</w:t>
      </w:r>
    </w:p>
    <w:p>
      <w:pPr>
        <w:snapToGrid w:val="0"/>
        <w:spacing w:line="540" w:lineRule="exact"/>
        <w:ind w:firstLine="240" w:firstLineChars="10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在甲方支付验收款前，乙方先行向甲方开具全额增值税发票，否则甲方有权迟延支付相应款项且不影响乙方履行本合同项下的义务。</w:t>
      </w:r>
    </w:p>
    <w:p>
      <w:pPr>
        <w:snapToGrid w:val="0"/>
        <w:spacing w:line="540" w:lineRule="exact"/>
        <w:ind w:firstLine="240" w:firstLineChars="100"/>
        <w:contextualSpacing/>
      </w:pPr>
      <w:r>
        <w:rPr>
          <w:rFonts w:hint="eastAsia" w:asciiTheme="minorEastAsia" w:hAnsiTheme="minorEastAsia"/>
          <w:color w:val="000000" w:themeColor="text1"/>
          <w:sz w:val="24"/>
          <w:szCs w:val="24"/>
          <w:lang w:val="zh-CN"/>
          <w14:textFill>
            <w14:solidFill>
              <w14:schemeClr w14:val="tx1"/>
            </w14:solidFill>
          </w14:textFill>
        </w:rPr>
        <w:t>满足合同约定支付条件的，</w:t>
      </w:r>
      <w:r>
        <w:rPr>
          <w:rFonts w:hint="eastAsia" w:asciiTheme="minorEastAsia" w:hAnsiTheme="minorEastAsia"/>
          <w:color w:val="000000" w:themeColor="text1"/>
          <w:sz w:val="24"/>
          <w:szCs w:val="24"/>
          <w14:textFill>
            <w14:solidFill>
              <w14:schemeClr w14:val="tx1"/>
            </w14:solidFill>
          </w14:textFill>
        </w:rPr>
        <w:t>甲方</w:t>
      </w:r>
      <w:r>
        <w:rPr>
          <w:rFonts w:hint="eastAsia" w:asciiTheme="minorEastAsia" w:hAnsiTheme="minorEastAsia"/>
          <w:color w:val="000000" w:themeColor="text1"/>
          <w:sz w:val="24"/>
          <w:szCs w:val="24"/>
          <w:lang w:val="zh-CN"/>
          <w14:textFill>
            <w14:solidFill>
              <w14:schemeClr w14:val="tx1"/>
            </w14:solidFill>
          </w14:textFill>
        </w:rPr>
        <w:t>收到</w:t>
      </w:r>
      <w:r>
        <w:rPr>
          <w:rFonts w:hint="eastAsia" w:asciiTheme="minorEastAsia" w:hAnsiTheme="minorEastAsia"/>
          <w:color w:val="000000" w:themeColor="text1"/>
          <w:sz w:val="24"/>
          <w:szCs w:val="24"/>
          <w14:textFill>
            <w14:solidFill>
              <w14:schemeClr w14:val="tx1"/>
            </w14:solidFill>
          </w14:textFill>
        </w:rPr>
        <w:t>乙方</w:t>
      </w:r>
      <w:r>
        <w:rPr>
          <w:rFonts w:hint="eastAsia" w:asciiTheme="minorEastAsia" w:hAnsiTheme="minorEastAsia"/>
          <w:color w:val="000000" w:themeColor="text1"/>
          <w:sz w:val="24"/>
          <w:szCs w:val="24"/>
          <w:lang w:val="zh-CN"/>
          <w14:textFill>
            <w14:solidFill>
              <w14:schemeClr w14:val="tx1"/>
            </w14:solidFill>
          </w14:textFill>
        </w:rPr>
        <w:t>发票后</w:t>
      </w:r>
      <w:r>
        <w:rPr>
          <w:rFonts w:hint="eastAsia" w:asciiTheme="minorEastAsia" w:hAnsiTheme="minorEastAsia"/>
          <w:color w:val="000000" w:themeColor="text1"/>
          <w:sz w:val="24"/>
          <w:szCs w:val="24"/>
          <w14:textFill>
            <w14:solidFill>
              <w14:schemeClr w14:val="tx1"/>
            </w14:solidFill>
          </w14:textFill>
        </w:rPr>
        <w:t>30</w:t>
      </w:r>
      <w:r>
        <w:rPr>
          <w:rFonts w:hint="eastAsia" w:asciiTheme="minorEastAsia" w:hAnsiTheme="minorEastAsia"/>
          <w:color w:val="000000" w:themeColor="text1"/>
          <w:sz w:val="24"/>
          <w:szCs w:val="24"/>
          <w:lang w:val="zh-CN"/>
          <w14:textFill>
            <w14:solidFill>
              <w14:schemeClr w14:val="tx1"/>
            </w14:solidFill>
          </w14:textFill>
        </w:rPr>
        <w:t>日内， 将资金支付到合同约定的</w:t>
      </w:r>
      <w:r>
        <w:rPr>
          <w:rFonts w:hint="eastAsia" w:asciiTheme="minorEastAsia" w:hAnsiTheme="minorEastAsia"/>
          <w:color w:val="000000" w:themeColor="text1"/>
          <w:sz w:val="24"/>
          <w:szCs w:val="24"/>
          <w14:textFill>
            <w14:solidFill>
              <w14:schemeClr w14:val="tx1"/>
            </w14:solidFill>
          </w14:textFill>
        </w:rPr>
        <w:t>乙方</w:t>
      </w:r>
      <w:r>
        <w:rPr>
          <w:rFonts w:hint="eastAsia" w:asciiTheme="minorEastAsia" w:hAnsiTheme="minorEastAsia"/>
          <w:color w:val="000000" w:themeColor="text1"/>
          <w:sz w:val="24"/>
          <w:szCs w:val="24"/>
          <w:lang w:val="zh-CN"/>
          <w14:textFill>
            <w14:solidFill>
              <w14:schemeClr w14:val="tx1"/>
            </w14:solidFill>
          </w14:textFill>
        </w:rPr>
        <w:t>账户。</w:t>
      </w:r>
    </w:p>
    <w:p>
      <w:pPr>
        <w:spacing w:line="54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甲方开票信息：</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单位名称：紫金山实验室</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税号：12320100MB19771475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开户银行、账号：中国建设银行股份有限公司南京九龙湖分理处32050159604400000585</w:t>
      </w:r>
    </w:p>
    <w:p>
      <w:pPr>
        <w:spacing w:line="54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乙方账户信息：</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开户名：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开户行：</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账  号：</w:t>
      </w:r>
    </w:p>
    <w:p>
      <w:pPr>
        <w:pStyle w:val="12"/>
        <w:snapToGrid w:val="0"/>
        <w:spacing w:line="540" w:lineRule="exact"/>
        <w:ind w:left="451" w:leftChars="100" w:hanging="241" w:hangingChars="100"/>
        <w:contextualSpacing/>
        <w:rPr>
          <w:rFonts w:asciiTheme="minorEastAsia" w:hAnsiTheme="minorEastAsia" w:eastAsia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b/>
          <w:bCs/>
          <w:color w:val="000000" w:themeColor="text1"/>
          <w:sz w:val="24"/>
          <w:szCs w:val="24"/>
          <w:lang w:val="zh-CN"/>
          <w14:textFill>
            <w14:solidFill>
              <w14:schemeClr w14:val="tx1"/>
            </w14:solidFill>
          </w14:textFill>
        </w:rPr>
        <w:t>第十一条 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１、甲方无正当理由拒收货物、拒付货物款的，甲方向乙方偿付合同总价的5%违约金。</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２、甲方未按合同规定的期限向乙方支付货款的，每逾期1天甲方向乙方偿付欠款总额的</w:t>
      </w:r>
      <w:r>
        <w:rPr>
          <w:rFonts w:cs="宋体"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‰滞纳金，但累计滞纳金总额不超过欠款总额的5%。</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３、如乙方不能交付货物、完成安装调试的，甲方有权要求乙方支付合同总价5%的违约金。</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４、乙方逾期交付的，每逾期1天，乙方向甲方偿付合同总额的</w:t>
      </w:r>
      <w:r>
        <w:rPr>
          <w:rFonts w:cs="宋体"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‰的滞纳金。如乙方逾期交付达</w:t>
      </w:r>
      <w:r>
        <w:rPr>
          <w:rFonts w:cs="宋体" w:asciiTheme="minorEastAsia" w:hAnsiTheme="minorEastAsia"/>
          <w:color w:val="000000" w:themeColor="text1"/>
          <w:sz w:val="24"/>
          <w:szCs w:val="24"/>
          <w14:textFill>
            <w14:solidFill>
              <w14:schemeClr w14:val="tx1"/>
            </w14:solidFill>
          </w14:textFill>
        </w:rPr>
        <w:t>30</w:t>
      </w:r>
      <w:r>
        <w:rPr>
          <w:rFonts w:hint="eastAsia" w:cs="宋体" w:asciiTheme="minorEastAsia" w:hAnsiTheme="minorEastAsia"/>
          <w:color w:val="000000" w:themeColor="text1"/>
          <w:sz w:val="24"/>
          <w:szCs w:val="24"/>
          <w:lang w:val="zh-CN"/>
          <w14:textFill>
            <w14:solidFill>
              <w14:schemeClr w14:val="tx1"/>
            </w14:solidFill>
          </w14:textFill>
        </w:rPr>
        <w:t>天，甲方有权解除合同，解除合同的通知自到达乙方时生效，乙方应向甲方另行支付合同总价款</w:t>
      </w:r>
      <w:r>
        <w:rPr>
          <w:rFonts w:cs="宋体" w:asciiTheme="minorEastAsia" w:hAnsiTheme="minorEastAsia"/>
          <w:color w:val="000000" w:themeColor="text1"/>
          <w:sz w:val="24"/>
          <w:szCs w:val="24"/>
          <w14:textFill>
            <w14:solidFill>
              <w14:schemeClr w14:val="tx1"/>
            </w14:solidFill>
          </w14:textFill>
        </w:rPr>
        <w:t>5</w:t>
      </w:r>
      <w:r>
        <w:rPr>
          <w:rFonts w:hint="eastAsia" w:cs="宋体" w:asciiTheme="minorEastAsia" w:hAnsiTheme="minorEastAsia"/>
          <w:color w:val="000000" w:themeColor="text1"/>
          <w:sz w:val="24"/>
          <w:szCs w:val="24"/>
          <w:lang w:val="zh-CN"/>
          <w14:textFill>
            <w14:solidFill>
              <w14:schemeClr w14:val="tx1"/>
            </w14:solidFill>
          </w14:textFill>
        </w:rPr>
        <w:t>%违约金并赔偿给甲方造成全部损失。</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５、乙方所交付的货物品种、型号、规格不符合合同规定的，甲方有权拒收。甲方拒收的，乙方应向甲方支付货款总额5%的违约金。甲方未拒收的，发现后将向有关部门反映，并责成乙方按照采购结果提供货物和服务，同时视情况给予暂停一至三年参加南京市政府采购活动的处理。</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６、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7、乙方未按本合同的规定和“服务承诺”提供售后服务的，应按合同总价款的</w:t>
      </w:r>
      <w:r>
        <w:rPr>
          <w:rFonts w:cs="宋体" w:asciiTheme="minorEastAsia" w:hAnsiTheme="minorEastAsia"/>
          <w:color w:val="000000" w:themeColor="text1"/>
          <w:sz w:val="24"/>
          <w:szCs w:val="24"/>
          <w:lang w:val="zh-CN"/>
          <w14:textFill>
            <w14:solidFill>
              <w14:schemeClr w14:val="tx1"/>
            </w14:solidFill>
          </w14:textFill>
        </w:rPr>
        <w:t>10</w:t>
      </w:r>
      <w:r>
        <w:rPr>
          <w:rFonts w:hint="eastAsia" w:cs="宋体" w:asciiTheme="minorEastAsia" w:hAnsiTheme="minorEastAsia"/>
          <w:color w:val="000000" w:themeColor="text1"/>
          <w:sz w:val="24"/>
          <w:szCs w:val="24"/>
          <w:lang w:val="zh-CN"/>
          <w14:textFill>
            <w14:solidFill>
              <w14:schemeClr w14:val="tx1"/>
            </w14:solidFill>
          </w14:textFill>
        </w:rPr>
        <w:t>‰向甲方承担违约责任。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8、乙方在承担上述4-7款一项或多项违约责任后，仍应继续履行合同规定的义务（甲方解除合同的除外）。甲方未能及时追究乙方的任何一项违约责任并不表明甲方放弃追究乙方该项或其他违约责任。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9、乙方投标属虚假承诺，或经权威部门监测提供的货物不能满足招投标文件要求，或是由于乙方的过错造成合同无法继续履行的，乙方应向甲方支付不少于合同总价30%赔偿金。</w:t>
      </w:r>
    </w:p>
    <w:p>
      <w:pPr>
        <w:widowControl/>
        <w:snapToGrid w:val="0"/>
        <w:spacing w:line="540" w:lineRule="exact"/>
        <w:ind w:firstLine="420"/>
        <w:contextualSpacing/>
        <w:jc w:val="left"/>
        <w:rPr>
          <w:rFonts w:ascii="方正仿宋_GBK" w:eastAsia="方正仿宋_GBK" w:cs="宋体" w:hAnsiTheme="minorEastAsia"/>
          <w:color w:val="000000" w:themeColor="text1"/>
          <w:kern w:val="0"/>
          <w:sz w:val="28"/>
          <w:szCs w:val="28"/>
          <w:lang w:val="zh-CN"/>
          <w14:textFill>
            <w14:solidFill>
              <w14:schemeClr w14:val="tx1"/>
            </w14:solidFill>
          </w14:textFill>
        </w:rPr>
      </w:pPr>
      <w:r>
        <w:rPr>
          <w:rFonts w:hint="eastAsia" w:ascii="方正仿宋_GBK" w:eastAsia="方正仿宋_GBK" w:cs="宋体" w:hAnsiTheme="minorEastAsia"/>
          <w:color w:val="000000" w:themeColor="text1"/>
          <w:kern w:val="0"/>
          <w:sz w:val="28"/>
          <w:szCs w:val="28"/>
          <w:lang w:val="zh-CN"/>
          <w14:textFill>
            <w14:solidFill>
              <w14:schemeClr w14:val="tx1"/>
            </w14:solidFill>
          </w14:textFill>
        </w:rPr>
        <w:t>1</w:t>
      </w:r>
      <w:r>
        <w:rPr>
          <w:rFonts w:ascii="方正仿宋_GBK" w:eastAsia="方正仿宋_GBK" w:cs="宋体" w:hAnsiTheme="minorEastAsia"/>
          <w:color w:val="000000" w:themeColor="text1"/>
          <w:kern w:val="0"/>
          <w:sz w:val="28"/>
          <w:szCs w:val="28"/>
          <w:lang w:val="zh-CN"/>
          <w14:textFill>
            <w14:solidFill>
              <w14:schemeClr w14:val="tx1"/>
            </w14:solidFill>
          </w14:textFill>
        </w:rPr>
        <w:t>0</w:t>
      </w:r>
      <w:r>
        <w:rPr>
          <w:rFonts w:hint="eastAsia" w:ascii="方正仿宋_GBK" w:eastAsia="方正仿宋_GBK" w:cs="宋体" w:hAnsiTheme="minorEastAsia"/>
          <w:color w:val="000000" w:themeColor="text1"/>
          <w:kern w:val="0"/>
          <w:sz w:val="28"/>
          <w:szCs w:val="28"/>
          <w:lang w:val="zh-CN"/>
          <w14:textFill>
            <w14:solidFill>
              <w14:schemeClr w14:val="tx1"/>
            </w14:solidFill>
          </w14:textFill>
        </w:rPr>
        <w:t>、违约方须承担守约方因追索权利产生的一切费用（包括诉讼费、保全费、保全担保保险费、律师费、差旅费、公证费、鉴定费等）。</w:t>
      </w:r>
    </w:p>
    <w:p>
      <w:pPr>
        <w:pStyle w:val="21"/>
        <w:ind w:firstLine="480"/>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第十二条 合同的变更和终止</w:t>
      </w:r>
    </w:p>
    <w:p>
      <w:pPr>
        <w:widowControl/>
        <w:snapToGrid w:val="0"/>
        <w:spacing w:line="540" w:lineRule="exact"/>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、除《政府采购法》第49条以及第</w:t>
      </w:r>
      <w:r>
        <w:rPr>
          <w:rFonts w:hint="eastAsia" w:asciiTheme="minorEastAsia" w:hAnsiTheme="minorEastAsia"/>
          <w:color w:val="000000" w:themeColor="text1"/>
          <w:sz w:val="24"/>
          <w:szCs w:val="24"/>
          <w:lang w:val="zh-CN"/>
          <w14:textFill>
            <w14:solidFill>
              <w14:schemeClr w14:val="tx1"/>
            </w14:solidFill>
          </w14:textFill>
        </w:rPr>
        <w:t>50</w:t>
      </w:r>
      <w:r>
        <w:rPr>
          <w:rFonts w:hint="eastAsia" w:cs="宋体" w:asciiTheme="minorEastAsia" w:hAnsiTheme="minorEastAsia"/>
          <w:color w:val="000000" w:themeColor="text1"/>
          <w:sz w:val="24"/>
          <w:szCs w:val="24"/>
          <w:lang w:val="zh-CN"/>
          <w14:textFill>
            <w14:solidFill>
              <w14:schemeClr w14:val="tx1"/>
            </w14:solidFill>
          </w14:textFill>
        </w:rPr>
        <w:t>条第二款规定的情形外，本合同一经签订，甲乙双方不得擅自变更、中止或终止合同。</w:t>
      </w:r>
    </w:p>
    <w:p>
      <w:pPr>
        <w:widowControl/>
        <w:snapToGrid w:val="0"/>
        <w:spacing w:line="540" w:lineRule="exact"/>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w:t>
      </w:r>
      <w:r>
        <w:rPr>
          <w:rFonts w:hint="eastAsia" w:cs="宋体"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除发生法律规定的不能预见、不能避免并不能克服的客观情况外，甲乙双方不得放弃或拒绝履行合同。乙方放弃或拒绝履行合同，保证金（如有）不予退还，在三年内不得参加南京市政府采购活动。</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第十三条 合同的转让</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乙方不得部分或全部转让其应履行的合同义务或其享有的合同权利。</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第十四条 争议的解决</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1、因货物的质量问题发生争议的，一方可邀请国家认可的质量检测机构对货物质量进行鉴定。货物符合标准的，鉴定费由甲方承担；货物不符合质量标准的，鉴定费由乙方承担。</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2、因履行本合同引起的或与本合同有关的争议，甲、乙双方应首先通过友好协商解决，如果协商不能解决争议，则向甲方所在地有管辖权的人民法院提起诉讼解决争议。</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3、在诉讼或仲裁期间，本合同应继续履行。</w:t>
      </w:r>
    </w:p>
    <w:p>
      <w:pPr>
        <w:pStyle w:val="21"/>
        <w:ind w:firstLine="560"/>
        <w:rPr>
          <w:rFonts w:cs="宋体" w:asciiTheme="minorEastAsia" w:hAnsiTheme="minorEastAsia"/>
          <w:color w:val="000000" w:themeColor="text1"/>
          <w:sz w:val="24"/>
          <w:szCs w:val="24"/>
          <w:lang w:val="zh-CN"/>
          <w14:textFill>
            <w14:solidFill>
              <w14:schemeClr w14:val="tx1"/>
            </w14:solidFill>
          </w14:textFill>
        </w:rPr>
      </w:pPr>
      <w:r>
        <w:rPr>
          <w:rFonts w:hint="eastAsia" w:ascii="方正仿宋_GBK" w:eastAsia="方正仿宋_GBK" w:cs="宋体" w:hAnsiTheme="minorEastAsia"/>
          <w:color w:val="000000" w:themeColor="text1"/>
          <w:kern w:val="0"/>
          <w:sz w:val="28"/>
          <w:szCs w:val="28"/>
          <w:lang w:val="zh-CN"/>
          <w14:textFill>
            <w14:solidFill>
              <w14:schemeClr w14:val="tx1"/>
            </w14:solidFill>
          </w14:textFill>
        </w:rPr>
        <w:t>4、双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 xml:space="preserve">第十五条 诚实信用 </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乙方应诚实信用，严格按照招投标文件要求和投标承诺履行合同，不向甲方进行商业贿赂或者提供不正当利益。</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第十六条 合同生效及其他</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1、本合同自双方盖章之日起生效。</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2、本合同一式</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w:t>
      </w:r>
      <w:r>
        <w:rPr>
          <w:rFonts w:cs="宋体" w:asciiTheme="minorEastAsia" w:hAnsiTheme="minorEastAsia"/>
          <w:color w:val="000000" w:themeColor="text1"/>
          <w:sz w:val="24"/>
          <w:szCs w:val="24"/>
          <w:u w:val="single"/>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份，甲方执肆份，乙方执</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w:t>
      </w:r>
      <w:r>
        <w:rPr>
          <w:rFonts w:cs="宋体" w:asciiTheme="minorEastAsia" w:hAnsiTheme="minorEastAsia"/>
          <w:color w:val="000000" w:themeColor="text1"/>
          <w:sz w:val="24"/>
          <w:szCs w:val="24"/>
          <w:u w:val="single"/>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份，招标公司执壹份，具有同等法律效力。</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3、本合同应按照中华人民共和国大陆地区现行有效的法律进行解释。</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（以下无正文）</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pStyle w:val="21"/>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1"/>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1"/>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1"/>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1"/>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widowControl/>
        <w:jc w:val="left"/>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br w:type="page"/>
      </w:r>
    </w:p>
    <w:p>
      <w:pPr>
        <w:widowControl/>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（本页系编号    《货物采购合同》签署页，无正文）</w:t>
      </w:r>
    </w:p>
    <w:p>
      <w:pPr>
        <w:widowControl/>
        <w:jc w:val="left"/>
        <w:rPr>
          <w:rFonts w:cs="宋体" w:asciiTheme="minorEastAsia" w:hAnsiTheme="minorEastAsia"/>
          <w:color w:val="000000" w:themeColor="text1"/>
          <w:sz w:val="24"/>
          <w:szCs w:val="24"/>
          <w:lang w:val="zh-CN"/>
          <w14:textFill>
            <w14:solidFill>
              <w14:schemeClr w14:val="tx1"/>
            </w14:solidFill>
          </w14:textFill>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甲    方：紫金山实验室   </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（盖章）</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法人代表:尤肖虎</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地址:南京市江宁区秣周东路9号</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邮编:         </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授权代表（签字）:</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签订日期：     年   月  日</w:t>
            </w:r>
          </w:p>
        </w:tc>
        <w:tc>
          <w:tcPr>
            <w:tcW w:w="4261" w:type="dxa"/>
          </w:tcPr>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乙    方：   </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（盖章）</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法人代表:</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邮编:</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授权代表（签字）：</w:t>
            </w:r>
          </w:p>
          <w:p>
            <w:pPr>
              <w:keepNext w:val="0"/>
              <w:keepLines w:val="0"/>
              <w:suppressLineNumbers w:val="0"/>
              <w:spacing w:before="0" w:beforeAutospacing="0" w:after="0" w:afterAutospacing="0"/>
              <w:ind w:left="0" w:right="0"/>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签订日期：     年   月  日</w:t>
            </w:r>
          </w:p>
        </w:tc>
      </w:tr>
    </w:tbl>
    <w:p>
      <w:pPr>
        <w:spacing w:line="360" w:lineRule="auto"/>
        <w:rPr>
          <w:rFonts w:ascii="仿宋" w:hAnsi="仿宋" w:eastAsia="仿宋" w:cs="仿宋"/>
          <w:sz w:val="24"/>
          <w:szCs w:val="24"/>
        </w:rPr>
      </w:pPr>
    </w:p>
    <w:p>
      <w:pPr>
        <w:spacing w:line="360" w:lineRule="auto"/>
        <w:rPr>
          <w:rFonts w:ascii="仿宋" w:hAnsi="仿宋" w:eastAsia="仿宋" w:cs="仿宋"/>
          <w:kern w:val="0"/>
          <w:sz w:val="24"/>
          <w:szCs w:val="24"/>
        </w:rPr>
      </w:pPr>
    </w:p>
    <w:p>
      <w:pPr>
        <w:spacing w:line="360" w:lineRule="auto"/>
        <w:rPr>
          <w:rFonts w:ascii="仿宋" w:hAnsi="仿宋" w:eastAsia="仿宋" w:cs="仿宋"/>
          <w:kern w:val="0"/>
          <w:sz w:val="24"/>
          <w:szCs w:val="24"/>
        </w:rPr>
      </w:pPr>
    </w:p>
    <w:p>
      <w:pPr>
        <w:rPr>
          <w:rFonts w:asciiTheme="minorEastAsia" w:hAnsiTheme="minorEastAsia" w:cstheme="minorEastAsia"/>
          <w:b/>
          <w:bCs/>
          <w:sz w:val="24"/>
          <w:szCs w:val="24"/>
          <w:lang w:bidi="ar"/>
        </w:rPr>
      </w:pPr>
    </w:p>
    <w:p>
      <w:pPr>
        <w:rPr>
          <w:rFonts w:asciiTheme="minorEastAsia" w:hAnsiTheme="minorEastAsia" w:cstheme="minorEastAsia"/>
          <w:b/>
          <w:bCs/>
          <w:sz w:val="24"/>
          <w:szCs w:val="24"/>
          <w:lang w:bidi="ar"/>
        </w:rPr>
      </w:pPr>
      <w:r>
        <w:rPr>
          <w:rFonts w:hint="eastAsia" w:asciiTheme="minorEastAsia" w:hAnsiTheme="minorEastAsia" w:cstheme="minorEastAsia"/>
          <w:b/>
          <w:bCs/>
          <w:sz w:val="24"/>
          <w:szCs w:val="24"/>
          <w:lang w:bidi="ar"/>
        </w:rPr>
        <w:br w:type="page"/>
      </w:r>
    </w:p>
    <w:p>
      <w:pPr>
        <w:keepNext/>
        <w:keepLines/>
        <w:numPr>
          <w:ilvl w:val="0"/>
          <w:numId w:val="5"/>
        </w:numPr>
        <w:spacing w:before="312" w:beforeLines="100" w:after="312" w:afterLines="100" w:line="360" w:lineRule="auto"/>
        <w:jc w:val="center"/>
        <w:outlineLvl w:val="0"/>
        <w:rPr>
          <w:rFonts w:ascii="黑体" w:hAnsi="黑体" w:eastAsia="黑体" w:cs="黑体"/>
          <w:kern w:val="44"/>
          <w:sz w:val="36"/>
          <w:szCs w:val="36"/>
          <w:u w:color="000000"/>
        </w:rPr>
      </w:pPr>
      <w:bookmarkStart w:id="9" w:name="_Toc67403425"/>
      <w:r>
        <w:rPr>
          <w:rFonts w:hint="eastAsia" w:ascii="黑体" w:hAnsi="黑体" w:eastAsia="黑体" w:cs="黑体"/>
          <w:kern w:val="44"/>
          <w:sz w:val="36"/>
          <w:szCs w:val="36"/>
          <w:u w:color="000000"/>
        </w:rPr>
        <w:t>项目需求</w:t>
      </w:r>
    </w:p>
    <w:p>
      <w:pPr>
        <w:widowControl/>
        <w:numPr>
          <w:ilvl w:val="0"/>
          <w:numId w:val="6"/>
        </w:numPr>
        <w:jc w:val="left"/>
        <w:outlineLvl w:val="0"/>
        <w:rPr>
          <w:rFonts w:ascii="宋体" w:hAnsi="宋体" w:eastAsia="宋体" w:cs="Times New Roman"/>
          <w:b/>
          <w:kern w:val="0"/>
          <w:sz w:val="30"/>
          <w:szCs w:val="30"/>
          <w:lang w:val="en-GB" w:eastAsia="nl-NL"/>
        </w:rPr>
      </w:pPr>
      <w:r>
        <w:rPr>
          <w:rFonts w:hint="eastAsia" w:ascii="宋体" w:hAnsi="宋体" w:eastAsia="宋体" w:cs="Times New Roman"/>
          <w:b/>
          <w:kern w:val="0"/>
          <w:sz w:val="28"/>
          <w:szCs w:val="28"/>
          <w:lang w:val="en-GB" w:eastAsia="nl-NL"/>
        </w:rPr>
        <w:t>必要性</w:t>
      </w:r>
    </w:p>
    <w:p>
      <w:pPr>
        <w:pStyle w:val="54"/>
        <w:widowControl/>
        <w:numPr>
          <w:ilvl w:val="1"/>
          <w:numId w:val="7"/>
        </w:numPr>
        <w:outlineLvl w:val="1"/>
        <w:rPr>
          <w:rFonts w:ascii="宋体" w:hAnsi="宋体" w:eastAsia="宋体" w:cs="Times New Roman"/>
          <w:b/>
          <w:kern w:val="0"/>
          <w:sz w:val="28"/>
          <w:szCs w:val="28"/>
          <w:lang w:val="en-GB"/>
        </w:rPr>
      </w:pPr>
      <w:r>
        <w:rPr>
          <w:rFonts w:hint="eastAsia" w:ascii="宋体" w:hAnsi="宋体" w:eastAsia="宋体" w:cs="Times New Roman"/>
          <w:b/>
          <w:kern w:val="0"/>
          <w:sz w:val="24"/>
          <w:szCs w:val="24"/>
          <w:lang w:val="en-GB"/>
        </w:rPr>
        <w:t>需求背景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宋体" w:hAnsi="宋体" w:eastAsia="宋体" w:cs="Times New Roman"/>
          <w:kern w:val="0"/>
          <w:sz w:val="24"/>
          <w:szCs w:val="24"/>
        </w:rPr>
      </w:pPr>
      <w:r>
        <w:rPr>
          <w:rFonts w:hint="eastAsia" w:ascii="宋体" w:hAnsi="宋体" w:eastAsia="宋体" w:cs="Times New Roman"/>
          <w:kern w:val="0"/>
          <w:sz w:val="24"/>
          <w:szCs w:val="24"/>
        </w:rPr>
        <w:t>实验室网络安全建设工作已开展一段时间，现主干网设备中计划或已完成部署了IPS、EDR、防病毒网关，WAF等防护类设备，及APT检测设备。经过一段时间的使用，此类设备的确加强了实验室日常网络使用的安全性；但毕竟属于防护类设备，都基于已知、已有的规则库/特征库进行匹配和防护，防御能力分散，威胁检测能力不足，态势感知是一种基于环境的、动态、整体地洞悉安全风险的能力，是以安全大数据为基础，结合实验室各家安全产品的能力，从全局视角提升对安全威胁的发现识别、理解分析、响应处置能力的一种方式，能够联动其他设备，全局分析并提升安全运维的能力。因此需要采购一套态势感知平台，并结合实验室已有的安全设备，打造一个综合性的安全检测及运维管理平台。</w:t>
      </w:r>
    </w:p>
    <w:p>
      <w:pPr>
        <w:pStyle w:val="54"/>
        <w:widowControl/>
        <w:numPr>
          <w:ilvl w:val="1"/>
          <w:numId w:val="7"/>
        </w:numPr>
        <w:outlineLvl w:val="1"/>
        <w:rPr>
          <w:rFonts w:ascii="宋体" w:hAnsi="宋体" w:eastAsia="宋体" w:cs="Times New Roman"/>
          <w:b/>
          <w:kern w:val="0"/>
          <w:sz w:val="28"/>
          <w:szCs w:val="28"/>
          <w:lang w:val="en-GB"/>
        </w:rPr>
      </w:pPr>
      <w:r>
        <w:rPr>
          <w:rFonts w:hint="eastAsia" w:ascii="宋体" w:hAnsi="宋体" w:eastAsia="宋体" w:cs="Times New Roman"/>
          <w:b/>
          <w:kern w:val="0"/>
          <w:sz w:val="24"/>
          <w:szCs w:val="24"/>
          <w:lang w:val="en-GB"/>
        </w:rPr>
        <w:t>态势感知需求调研报告</w:t>
      </w:r>
    </w:p>
    <w:p>
      <w:pPr>
        <w:pStyle w:val="21"/>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实验室作为承载国家重大科研项目的建设基地，经过5年的发展，陆陆续续有一批科研示范平台，应用测试研发平台部署在1楼的信息化机房，其对于这些科研应用展示平台，研发平台，需要实验室完善的安全防护及运维能力。除了现在已有的骨干网络的安全防护设备外，实验室需要一个全局的监控，预测，管理及运维平台。态势感知可以做到：</w:t>
      </w:r>
    </w:p>
    <w:p>
      <w:pPr>
        <w:pStyle w:val="21"/>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检测：提供网络安全持续监控能力，及时发现各种攻击威胁与异常，特别是针对性攻击。 </w:t>
      </w:r>
    </w:p>
    <w:p>
      <w:pPr>
        <w:pStyle w:val="21"/>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分析、响应：建立威胁可视化及分析能力，对威胁的影响范围、攻击路径、目的、手段进行快速研判，目的是有效的安全决策和响应。</w:t>
      </w:r>
    </w:p>
    <w:p>
      <w:pPr>
        <w:pStyle w:val="21"/>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预测、预防：建立风险通报和威胁预警机制，全面掌握攻击者目的、技术、攻击工具等信息。</w:t>
      </w:r>
    </w:p>
    <w:p>
      <w:pPr>
        <w:pStyle w:val="21"/>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防御：利用掌握的攻击者相关目的、技术、攻击工具等情报，完善防御体系。</w:t>
      </w:r>
    </w:p>
    <w:p>
      <w:pPr>
        <w:pStyle w:val="21"/>
        <w:spacing w:line="360" w:lineRule="auto"/>
        <w:ind w:firstLine="480"/>
        <w:rPr>
          <w:rFonts w:ascii="宋体" w:hAnsi="宋体" w:eastAsia="宋体" w:cs="Times New Roman"/>
          <w:kern w:val="0"/>
          <w:sz w:val="24"/>
          <w:szCs w:val="24"/>
        </w:rPr>
      </w:pPr>
      <w:r>
        <w:rPr>
          <w:rFonts w:hint="eastAsia" w:ascii="宋体" w:hAnsi="宋体" w:eastAsia="宋体" w:cs="Times New Roman"/>
          <w:kern w:val="0"/>
          <w:sz w:val="24"/>
          <w:szCs w:val="24"/>
        </w:rPr>
        <w:t>通过态势感知项目的建设，能够更加直观且全面地管理数据中心及办公网络的安全，为实验室的网络安全增加一道保障。</w:t>
      </w:r>
    </w:p>
    <w:p>
      <w:pPr>
        <w:pStyle w:val="21"/>
      </w:pPr>
    </w:p>
    <w:p>
      <w:pPr>
        <w:widowControl/>
        <w:numPr>
          <w:ilvl w:val="0"/>
          <w:numId w:val="6"/>
        </w:numPr>
        <w:jc w:val="left"/>
        <w:outlineLvl w:val="0"/>
        <w:rPr>
          <w:rFonts w:ascii="宋体" w:hAnsi="宋体" w:eastAsia="宋体" w:cs="Times New Roman"/>
          <w:b/>
          <w:kern w:val="0"/>
          <w:sz w:val="30"/>
          <w:szCs w:val="30"/>
          <w:lang w:val="en-GB" w:eastAsia="nl-NL"/>
        </w:rPr>
      </w:pPr>
      <w:r>
        <w:rPr>
          <w:rFonts w:hint="eastAsia" w:ascii="宋体" w:hAnsi="宋体" w:eastAsia="宋体" w:cs="Times New Roman"/>
          <w:b/>
          <w:kern w:val="0"/>
          <w:sz w:val="28"/>
          <w:szCs w:val="28"/>
          <w:lang w:val="en-GB"/>
        </w:rPr>
        <w:t>态势感知参数</w:t>
      </w:r>
    </w:p>
    <w:p>
      <w:pPr>
        <w:pStyle w:val="21"/>
        <w:rPr>
          <w:rFonts w:hint="eastAsia" w:asciiTheme="minorEastAsia" w:hAnsiTheme="minorEastAsia" w:eastAsiaTheme="minorEastAsia" w:cstheme="minorEastAsia"/>
          <w:sz w:val="24"/>
          <w:szCs w:val="24"/>
          <w:lang w:val="en-GB" w:eastAsia="nl-NL"/>
        </w:rPr>
      </w:pPr>
      <w:r>
        <w:rPr>
          <w:rFonts w:hint="eastAsia" w:asciiTheme="minorEastAsia" w:hAnsiTheme="minorEastAsia" w:eastAsiaTheme="minorEastAsia" w:cstheme="minorEastAsia"/>
          <w:sz w:val="24"/>
          <w:szCs w:val="24"/>
          <w:lang w:val="en-GB" w:eastAsia="nl-NL"/>
        </w:rPr>
        <w:t>本项目需求中标“★”号技术要求的指标为核心指标项，必须满足，有一条不满足视为无效投标。“▲”项为重要指标项，与其他未做标记项如负偏离均将扣除相应分值，扣完为止。</w:t>
      </w:r>
    </w:p>
    <w:p>
      <w:pPr>
        <w:pStyle w:val="21"/>
        <w:rPr>
          <w:lang w:val="en-GB" w:eastAsia="nl-NL"/>
        </w:rPr>
      </w:pPr>
      <w:r>
        <w:rPr>
          <w:rFonts w:hint="eastAsia" w:asciiTheme="minorEastAsia" w:hAnsiTheme="minorEastAsia" w:eastAsiaTheme="minorEastAsia" w:cstheme="minorEastAsia"/>
          <w:sz w:val="24"/>
          <w:szCs w:val="24"/>
          <w:lang w:val="en-GB" w:eastAsia="nl-NL"/>
        </w:rPr>
        <w:t>★和▲的技术要求，投标人需提供产品技术支持材料(不限于白皮书、产品界面截图、彩页、手册、检测报告等并加盖公章</w:t>
      </w:r>
      <w:r>
        <w:rPr>
          <w:rFonts w:hint="eastAsia" w:asciiTheme="minorEastAsia" w:hAnsiTheme="minorEastAsia" w:cstheme="minorEastAsia"/>
          <w:sz w:val="24"/>
          <w:szCs w:val="24"/>
          <w:lang w:val="en-GB" w:eastAsia="zh-CN"/>
        </w:rPr>
        <w:t>，</w:t>
      </w:r>
      <w:r>
        <w:rPr>
          <w:rFonts w:hint="eastAsia" w:asciiTheme="minorEastAsia" w:hAnsiTheme="minorEastAsia" w:cstheme="minorEastAsia"/>
          <w:sz w:val="24"/>
          <w:szCs w:val="24"/>
          <w:lang w:val="en-US" w:eastAsia="zh-CN"/>
        </w:rPr>
        <w:t>如提供资质证书复印件作为证明材料，需提供原件备查。</w:t>
      </w:r>
      <w:r>
        <w:rPr>
          <w:rFonts w:hint="eastAsia" w:asciiTheme="minorEastAsia" w:hAnsiTheme="minorEastAsia" w:eastAsiaTheme="minorEastAsia" w:cstheme="minorEastAsia"/>
          <w:sz w:val="24"/>
          <w:szCs w:val="24"/>
          <w:lang w:val="en-GB" w:eastAsia="nl-NL"/>
        </w:rPr>
        <w:t>)，一般项如有单独说明的，也需按要求提供未提供技术支持资料的，评审时不予认可。</w:t>
      </w:r>
    </w:p>
    <w:p>
      <w:pPr>
        <w:pStyle w:val="54"/>
        <w:widowControl/>
        <w:numPr>
          <w:ilvl w:val="0"/>
          <w:numId w:val="0"/>
        </w:numPr>
        <w:ind w:left="420" w:leftChars="0"/>
        <w:outlineLvl w:val="1"/>
        <w:rPr>
          <w:rFonts w:ascii="宋体" w:hAnsi="宋体" w:eastAsia="宋体" w:cs="Times New Roman"/>
          <w:b/>
          <w:kern w:val="0"/>
          <w:sz w:val="28"/>
          <w:szCs w:val="28"/>
          <w:lang w:val="en-GB"/>
        </w:rPr>
      </w:pPr>
      <w:r>
        <w:rPr>
          <w:rFonts w:hint="eastAsia" w:ascii="宋体" w:hAnsi="宋体" w:eastAsia="宋体" w:cs="Times New Roman"/>
          <w:b/>
          <w:kern w:val="0"/>
          <w:sz w:val="24"/>
          <w:szCs w:val="24"/>
          <w:lang w:val="en-GB"/>
        </w:rPr>
        <w:t>2.1态势感知平台</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32" w:type="pct"/>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
                <w:bCs/>
                <w:kern w:val="0"/>
                <w:sz w:val="21"/>
                <w:szCs w:val="21"/>
                <w:shd w:val="clear" w:color="auto" w:fill="auto"/>
              </w:rPr>
            </w:pPr>
            <w:r>
              <w:rPr>
                <w:rFonts w:hint="eastAsia" w:asciiTheme="minorEastAsia" w:hAnsiTheme="minorEastAsia" w:eastAsiaTheme="minorEastAsia" w:cstheme="minorEastAsia"/>
                <w:b/>
                <w:bCs/>
                <w:kern w:val="0"/>
                <w:sz w:val="21"/>
                <w:szCs w:val="21"/>
                <w:shd w:val="clear" w:color="auto" w:fill="auto"/>
              </w:rPr>
              <w:t>指标项</w:t>
            </w:r>
          </w:p>
        </w:tc>
        <w:tc>
          <w:tcPr>
            <w:tcW w:w="4167" w:type="pct"/>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
                <w:bCs/>
                <w:kern w:val="0"/>
                <w:sz w:val="21"/>
                <w:szCs w:val="21"/>
                <w:shd w:val="clear" w:color="auto" w:fill="auto"/>
              </w:rPr>
            </w:pPr>
            <w:r>
              <w:rPr>
                <w:rFonts w:hint="eastAsia" w:asciiTheme="minorEastAsia" w:hAnsiTheme="minorEastAsia" w:eastAsiaTheme="minorEastAsia" w:cstheme="minorEastAsia"/>
                <w:b/>
                <w:bCs/>
                <w:kern w:val="0"/>
                <w:sz w:val="21"/>
                <w:szCs w:val="21"/>
                <w:shd w:val="clear" w:color="auto" w:fill="auto"/>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硬件要求</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sz w:val="21"/>
                <w:szCs w:val="21"/>
              </w:rPr>
              <w:t>标准机架2U设备，冗余电源，物理CPU≥2颗，每颗CPU≥24核 ，内存≥256GB，配置企业级存储磁盘总容量≥64TB；网口要求</w:t>
            </w:r>
            <w:r>
              <w:rPr>
                <w:rFonts w:hint="eastAsia" w:asciiTheme="minorEastAsia" w:hAnsiTheme="minorEastAsia" w:eastAsiaTheme="minorEastAsia" w:cstheme="minorEastAsia"/>
                <w:bCs/>
                <w:kern w:val="0"/>
                <w:sz w:val="21"/>
                <w:szCs w:val="21"/>
              </w:rPr>
              <w:t>：千兆电口≥4，万兆光口≥2，千兆管理电口≥1，数据采集和处理性能≥15000EPS。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安全态势可视化</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以攻击者的维度进行分析，对攻击者进行画像，画像内容包括地理位置信息、国家信息、所属组织、使用的攻击手段、攻击的所有资产。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kern w:val="0"/>
                <w:sz w:val="21"/>
                <w:szCs w:val="21"/>
              </w:rPr>
              <w:t>支持以图形化大屏的综合监控展示，包括但不限于实时威胁态势图、安全事件统计、漏洞与风险统计、资产状态概览、系统和应用性能监控等，并提供定制化仪表板，以实现全面、直观的网络安全监控和分析</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按照对外业务流量可视、横向流量可视、外联流量可视等开放的业务流量情况，支持展示对外网开放的业务流量情况，包括应用流量和协议端口流量，支持横向流量展示服务器流量排行和最活跃源主机排行，支持全球地图展示整体外联流量情况，支持基于内网位置进行筛选并开启大屏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可视化的形式展示威胁的影响面，通过大数据分析和关联检索技术，能够直观的看到失陷主机的威胁影响面，支持通过首页搜索框输入IP/域名/URL/端口/通信对进行搜索，同时支持基于列表模式展示横向攻击、违规访问、风险访问、可疑行为、正常访问等详细信息，支持入口点溯源功能，分析出首次失陷、疑似入口点、首次遭受攻击等信息，帮助管理人员及时了解威胁的影响，并找到攻击入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监测中心</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Cs/>
                <w:kern w:val="0"/>
                <w:sz w:val="21"/>
                <w:szCs w:val="21"/>
              </w:rPr>
              <w:t>应具备高级告警监控功能，能够全面展示告警的详细信息，包括告警基础数据、受影响的受害者、潜在的攻击者、相应的处置措施以及完整的举证内容。平台应支持受害者和攻击者信息的ATT&amp;CK矩阵视图。此外，ATT&amp;CK矩阵的布局设计应灵活，并允许用户根据需要选择查看全部技术类别或特定的子技术类别等。这些功能应确保用户能够全面、深入地了解告警详情，从而做出有效的安全决策和响应。（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支持EBA实体行为分析，可对DGA解析请求、C&amp;C域名待进行一键搜索，查看基本信息、相关样本、关联URL、可视化分析、域名解析、注册信息、关联域名、数字证书等</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分析中心</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平台内置包括规则模型、关联模型、统计模型、情报模型等安全分析模型，用户根据实际需求对上述模型进行添加、编辑、删除、复制等</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满足用户对告警级别的调整，平台通过自定义配置过滤条件对告警级别进行调整，并支持选择适用不同的组织架构</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▲支持时间序列、贝叶斯、随机森林等长周期高级机器学习算法</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tabs>
                <w:tab w:val="left" w:pos="1665"/>
              </w:tabs>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▲支持智能检索语句分析，支持检索语句的中文、英文、拼音智能联想，支持逻辑运算符与字段值的自动提示补全；支持将检索语句一键翻译为中文，提高可读性；保留搜索语句历史记录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态势感知平台应具备全面的取证分析能力，能够在聚合场景下提供、攻击流向图、攻击趋势分析、攻击链分布图和实体信息取证等功能。平台应展示攻击者和受害者的威胁情报以及相关资产信息，同时允许用户查看会话的详细信息，包括但不限于检测和响应等基础数据。此外，平台应支持查看会话相关的告警情况，并提供添加白名单、发布预警和生成工单等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实现实体间网络互访关系的多级钻取，支持通过端口、协议、异常访问类型、攻击链等过滤关联关系，支持实体间网络互访关系的多级钻取，通过“一键溯源”按钮进行威胁关系的自动拓展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0"/>
                <w:sz w:val="21"/>
                <w:szCs w:val="21"/>
              </w:rPr>
              <w:t>（提供产品界面截图或者其他可以证明的材料，并加盖公章）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为方便运维，支持检索条件自定义分组保存，一个分组可包含多个搜索条件，搜索条件可直接点击打开</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支持风险端口访问分析，能自定义风险端口，且能自定义白名单。（提供产品界面截图或者其他可以证明的材料，并加盖公章）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支持自定义配置安全事件分析场景，可对安全告警的任意字段进行聚合分析，支持的聚合的字段不少于400个，支持分析结果导出</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支持对任意线索的自定义拓线及溯源取证分析，支持以可视化分析画布形式展示拓线过程并支持结果快照导出；支持对于给定线索的溯源结果展示，包括但不限于攻击溯源、失陷主机分析、暴力破解分析、弱口令分析等</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对各类告警进行加白处理的功能，以适应不同安全场景和业务需求。加白参数应包括但不限于受害IP（单个IP或IP段）、攻击IP（单个IP或IP段）、威胁情报IOC/规则ID、威胁名称、X-Forwarded-For（XFF）代理信息、统一资源标识符（URI）、域名、目的端口、源IP（单个IP或IP段）、目的IP（单个IP或IP段）、payload数据以及HTTP Referer头字段等关键要素。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应包含对多种远程工具的分析支持能力，确保能够识别并监控包括pcAnywhere、UltraVNC、Chrome Remote Desktop、Oray、TeamViewer等在内的常见远程桌面连接工具。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支持基于可视化的形式展示威胁的影响面，通过大数据分析和关联检索技术，能够直观的看到失陷主机攻击了谁，被谁攻击了，帮助管理人员及时了解威胁的影响，并制定有效的处置动作</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勒索专项检测页面，对勒索主题的安全告警进行展示和管理，支持以勒索病毒的感染途径/方式为维度进行分类，包括勒索常用端口、勒索常用漏洞、RDP爆破、感染勒索病毒、黑客勒索攻击、勒索C&amp;C通信等维度，支持展示受害资产以及受害资产攻击数Top5，支持以列表的形式展示勒索事件，包括最近发生时间、威胁描述、威胁定性、勒索风险、威胁等级、受害者IP、攻击次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挖矿专项检测页面，支持基于规则的本地挖矿检测和基于主动探测技术的云端挖矿检测，支持挖矿实时检测播报本地和云端的挖矿检测分析结果，支持基于攻击阶段展示挖矿主机数量，支持以列表的形式展示挖矿事件，包括最近发生时间、威胁描述、威胁定性、挖矿阶段、威胁等级、受害者IP、攻击次数、威胁情报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响应中心</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支持通过单条告警、聚合告警添加白名单，快速过滤误报；白名单配置可自定义过滤条件及作用的组织架构，白名单生效时间设置包括长期生效和定期生效，新建白名单策略可将最近7天告警标记为已处置-误报；支持白名单策略状态的开启、关闭，并统计策略本日匹配次数</w:t>
            </w:r>
            <w:r>
              <w:rPr>
                <w:rFonts w:hint="eastAsia" w:asciiTheme="minorEastAsia" w:hAnsiTheme="minorEastAsia" w:eastAsiaTheme="minorEastAsia" w:cstheme="minorEastAsia"/>
                <w:kern w:val="0"/>
                <w:sz w:val="21"/>
                <w:szCs w:val="21"/>
                <w:lang w:eastAsia="zh-CN"/>
              </w:rPr>
              <w:t>。（提供产品界面截图或者其他可以证明的材料，并加盖公章）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支持通过任务看板查看自动响应任务的数量、任务状态占比、任务趋势；以时间轴方式展示任务进行状态，并可查看每个阶段任务运行的详细信息</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告警订阅，支持通过邮件、短信、钉钉、微信等进行消息通知</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态势感知平台必须具备先进的SOAR能力，包括与现有安全基础设施的无缝集成、自动化工作流执行、快速响应机制、以及对大量安全数据的分析处理能力。平台应提供一个直观的用户界面，用于监控和管理自动化响应，并确保符合行业标准和法规要求。（提供产品界面截图或者其他可以证明的材料，并加盖公章）</w:t>
            </w:r>
          </w:p>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（2）供应商应提供全面的技术支持和培训服务，确保用户能够有效地使用SOAR平台，并根据组织的安全需求进行免费定制和免费扩展。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运营中心</w:t>
            </w:r>
          </w:p>
        </w:tc>
        <w:tc>
          <w:tcPr>
            <w:tcW w:w="4167" w:type="pc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本地情报库支持离线导入和手动添加；情报库支持以情报源、IoC、IoC类型、置信度、情报类型、危害等级、是否过期等多条件组合查询；查询结果支持批量导出、删除</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支持选择生成报告的时间范围、显示TOP、导出文件类型、报告名称；支持自定义报告统计条件，包括统计业务范围、威胁等级、处置状态、告警结果等；报告统计内容支持自定义选择，包括重点安全风险、专家建议和指导、平台运行优化建议、详细检查结果和修复建议；支持已导出的历史报告WORD 和 Html支持在线编辑</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支持用户自定义编辑报告模板，选择的相应报表组成要展示的报告内容</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内置平台运营简报、安全分析运营、风险资产等多种报告模板</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资产中心</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责任人管理功能，可对资产进行全生命周期管理，包括自动识别资产、入库审核、离线资产识别、自动识别资产图库、手动导入资产退库、自定义资产名称等。针对自动识别资产退库功能，可设置全局退库时间，数据更新时间。支持主机资产分级管理，责任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接入平台的所有探针进行统一运维监控，可实时查看和管理每个探针的关键信息，包括但不限于注册时间、绑定的设备IP地址、当前运行的版本信息、数据上送频率和量、探针的资源使用情况（如CPU、内存和磁盘使用率）以及网络流量情况。平台不应通过许可证来限制探针的使用数量，而应根据系统的实际处理能力来动态决定可支持的探针数量和整体的处理性能，如对探针使用数量采用了许可证方式，请书面承诺此模块将提供永久不限制授权。（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支持跨三层取mac地址，识别资产mac地址，并能够解决不同资产IP冲突问题，以及DHCP场景IP变更的问题。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安全设备资产管理支持一键访问设备的管理界面、大屏投屏演示及设备原始日志，支持查看设备在线状态</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终端管理（Agent）</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支持与主流终端安全产品实现高效的数据同步，确保实时共享终端安全状态信息、完整事件日志记录以及最新的威胁情报数据。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检测到威胁时，即时触发自动化响应流程，包括但不限于快速隔离受感染终端、精准阻断恶意网络通信、告警触发与通知、工单生成与流转，以实现威胁的即时遏制、有效防御和及时通知。（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▲支持对终端原始日志和原始告警的存储和展示，在原始告警中可一键进程溯源，溯源进程、文件、注册表、网络、驱动等信息的链接关系</w:t>
            </w:r>
            <w:r>
              <w:rPr>
                <w:rFonts w:hint="eastAsia" w:asciiTheme="minorEastAsia" w:hAnsiTheme="minorEastAsia" w:eastAsiaTheme="minorEastAsia" w:cstheme="minorEastAsia"/>
                <w:kern w:val="0"/>
                <w:sz w:val="21"/>
                <w:szCs w:val="21"/>
                <w:lang w:eastAsia="zh-CN"/>
              </w:rPr>
              <w:t>。（提供产品界面截图或者其他可以证明的材料，并加盖公章）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资质能力</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▲态势感知平台通过中国信通院NTA/NDR类产品类先进网络安全能力评估证书，提供证书复印件并加盖公章</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态势感知平台获得全球IPv6测试中心官方IPv6 ready Logo认证证书，提供证书复印件并加盖公章</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▲态势感知平台通过中国合格评定国家认可委员会CNAS合格性监测，并提供CNAS出具的检验测试报告，提供测试报告复印件并加盖公章</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32"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平台管理</w:t>
            </w: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用户登录支持多因子认证，认证方式包括动态令牌认证、短信验证码认证，认证策略支持个性化配置，包括两种认证方式同时满足或满足一种等，登录绑定支持多IP同时登录或指定IP登录</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支持自定义产品中英文名称及产品、公司logo、自定义大屏名称</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both"/>
              <w:textAlignment w:val="auto"/>
              <w:rPr>
                <w:rFonts w:hint="eastAsia" w:asciiTheme="minorEastAsia" w:hAnsiTheme="minorEastAsia" w:eastAsiaTheme="minorEastAsia" w:cstheme="minorEastAsia"/>
                <w:bCs/>
                <w:kern w:val="0"/>
                <w:sz w:val="21"/>
                <w:szCs w:val="21"/>
              </w:rPr>
            </w:pPr>
          </w:p>
        </w:tc>
        <w:tc>
          <w:tcPr>
            <w:tcW w:w="416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平台开放API接口，第三方平台可通过OpenAPI获取平台的安全分析、安全运维、探针统一管理、模型管理、联动策略等接口信息进行对接</w:t>
            </w:r>
            <w:r>
              <w:rPr>
                <w:rFonts w:hint="eastAsia" w:asciiTheme="minorEastAsia" w:hAnsiTheme="minorEastAsia" w:eastAsiaTheme="minorEastAsia" w:cstheme="minorEastAsia"/>
                <w:kern w:val="0"/>
                <w:sz w:val="21"/>
                <w:szCs w:val="21"/>
                <w:lang w:eastAsia="zh-CN"/>
              </w:rPr>
              <w:t>。</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1"/>
        <w:rPr>
          <w:rFonts w:ascii="宋体" w:hAnsi="宋体" w:eastAsia="宋体" w:cs="Times New Roman"/>
          <w:b/>
          <w:kern w:val="0"/>
          <w:sz w:val="28"/>
          <w:szCs w:val="28"/>
          <w:lang w:val="en-GB"/>
        </w:rPr>
      </w:pPr>
      <w:r>
        <w:rPr>
          <w:rFonts w:hint="eastAsia" w:ascii="宋体" w:hAnsi="宋体" w:eastAsia="宋体" w:cs="Times New Roman"/>
          <w:b/>
          <w:kern w:val="0"/>
          <w:sz w:val="24"/>
          <w:szCs w:val="24"/>
          <w:lang w:val="en-GB"/>
        </w:rPr>
        <w:t>2.2流量探针平台</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741" w:type="pct"/>
            <w:shd w:val="clear" w:color="000000" w:fill="FFFFFF" w:themeFill="background1"/>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指标项</w:t>
            </w:r>
          </w:p>
        </w:tc>
        <w:tc>
          <w:tcPr>
            <w:tcW w:w="4258" w:type="pct"/>
            <w:shd w:val="clear" w:color="000000" w:fill="D9D9D9"/>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1"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硬件要求</w:t>
            </w: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1"/>
                <w:szCs w:val="21"/>
              </w:rPr>
              <w:t>★2U物理设备，内存≥32G，硬盘可用容量≥2T（RAID1模式下），千兆端口≥6个，千兆光口≥4个（带模块），冗余电源，吞吐量≥5Gbps。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1"/>
                <w:szCs w:val="21"/>
              </w:rPr>
              <w:t>综合能力</w:t>
            </w: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支持多种方式进行流量采集，包含但不限于旁路镜像采集，离线采集，agent流量采集等方式。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支持数据包去重功能，在原始流量存在重复包的情况下能够自动剔除重复的数据包，确保分析结果的准确性，数据包去重功能不影响设备的处理性能</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支持GTP、PFCP、NGAP等5G协议解析和审计</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支持非标端口下的常规协议自动识别、解析和威胁检测功能，包括HTTP/FTP/IMAP/SMTP/POP3/SSL/SMB/RDP等</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支持私网IP地址或网段的地理位置配置，在风险信息中按实际配置数据，展示对应IP地址的地理位置信息。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支持自定义弱口令规则配置（最短口令长度、最少字符类型数），自定义新增弱密码及其检测类型</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支持自定义HTTP登录行为的用户名获取来源，包括但不限于请求头、URL、Cookie、POST-body；支持自定义配置状态码、返回内容与登录成功/失败状态的绑定关系</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支持自定义启用/禁用暴力破解模型；并支持自定义配置模型统计周期、登录次数、聚合维度、检测机制等参数</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支持IP、端口、SMB、Radmin、ICMP、ARP、传输层协议和漏洞扫描行为检测</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支持镜像流量检测web流量中是否存在可截获的口令信息，分析web业务系统是否存在明文传输情况，避免因明文传输导致信息泄露的风险。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支持HTTP密码明文传输和HTTP 密码Base64传输检测，能识别出登录页面URL、账户和明文密码</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支持检测恶意邮件检测，可定位具体的收件人账号、发件人账号、恶意邮件数量、邮件附件是否包含病毒。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支持对流量、流量中会话、流量中数据包、流量中异常告警进行统计，且流量统计支持查看各网口流量和Agent流量，支持查看1个月内流量情况</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应具备灵活的风险查询功能，支持一键切换至运营模式或专业模式，以适应不同安全研判场景的需求，其中模式名称可由不同厂商根据其产品特性自定义，不作强制要求，但需具备如下基本能力：在运营模式下，用户可以便捷地根据事件类型、风险级别、攻击状态、规则ID、回放包ID、报文细节、CVE/CNNVD编号等常用条件进行快速筛选；专业模式则提供高级的多语法组合查询功能，并内置数据窃取、恶意文件投递、内部横向扩散等多种高级查询模板，同时允许用户根据历史筛选条件创建并保存自定义查询模板，以便于后期的高效查询和使用。（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支持自定义协议和端口，满足特殊场景下的流量抓取。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支持通过设备对流量进行抓包分析，可定义抓包流量双向或单向、数量、IP地址、端口或协议类型。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支持将存储的数据包与告警关联并提供下载便于取证。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支持上传PCAP包进行回放分析，可查看每个数据包产生的告警数量和告警详细信息</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Web攻击检测</w:t>
            </w: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支持Websocket通信的HTTP、HTTPS（需要导入服务器私钥证书）协议解析，检测WEB攻击</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支持SQL注入、命令注入、跨站脚本、代码注入、WEB扫描或爬虫、网页篡改、系统/服务配置不当、SSRF攻击检测、XXE注入检测</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支持通过智能语义分析引擎，对XSS跨站脚本、SQL注入攻击和OGNL注入攻击进行检测</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包含30种以上的深度检测模块，可支持shiro反序列化、蚁剑、哥斯拉、冰蝎3.0、冰蝎4.0等检测能力，且能识别如shootback、TunnaProxy、dnscat2、reGeorg、reDuh、CobaltStrike等隧道通信工具</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支持基于工具特征的WEBSHELL检测，能通过系统调用、系统配置、文件的操作来及时发现威胁；如：中国菜刀、小马上传工具、小马生成器等</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支持基于IP和域名的旁路阻断，能够在实时镜像的流量中发现恶意IP并实现实时阻断，支持24小时/7天/最近30天/永久或者自定义时间阻断威胁。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管理功能</w:t>
            </w: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支持资产风险及健康度评估，支持对资产活跃程度分类，支持对资产分组，可配置资产IP所属的组织和网段，以展示资产层级关系。可自定义配置资产分组属性</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支持管控接入探针的统一升级，可展示当前所有接入探针的规则库日期、是否过期等，并支持禁用指定探针的升级</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支持账号的新增、删除、启用、禁用等，支持免登陆及单点登录设置，支持可信IP设置。支持角色的管理范围及页面权限的收敛设置。支持系统管理员、安全管理员和安全审计员三个管理员角色。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支持第三方Radius服务器认证登录和管理功能</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支持自定义NAT转换前的IP字段名和字段位置，最多支持5个，并支持对字段名进行优先级排序；可配置不会被NAT转换的代理服务器资产IP</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▲产品内置的排错平台可对系统进行深度配置和排错，支持一键检测故障、配置核对、表分区检查、表检测、信息收集等功能。（提供产品界面截图或者其他可以证明的材料，并加盖公章）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内置URL库、IPS漏洞特征识别库、应用识别库、WEB应用防护识别库、僵尸网络识别库、实时漏洞分析识别库、白名单库</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根据不同的风险信息，提供风险分析和处置建议知识库</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支持自定义外送字段名称和值</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支持流量抓包分析，基于五元组灵活抓取数据包，可定义配置源IP、源端口、目的IP和目的端口、传输层协议以及标签类型（vlan、mpls）选择添加抓包任务，接口额外提供标签选项，帮助安全工程师高效分析威胁。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支持通过SNMP协议对设备的系统资源进行监控、通过SNMP-TRAP外发系统相关资源信息，至少包括内存、交换空间、CPU、系统分区、数据分区、和入库缓冲分区等</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资质能力</w:t>
            </w: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▲流量探针产品通过中国合格评定国家认可委员会CNAS合格性检测，并提供具备中国合格评定国家认可委员会CNAS出具的检验检测报告，提供测试报告复印件并加盖公章</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流量探针产品具备网络安全专用产品安全检测证书（APT安全监测产品）</w:t>
            </w:r>
            <w:r>
              <w:rPr>
                <w:rFonts w:hint="eastAsia" w:asciiTheme="minorEastAsia" w:hAnsiTheme="minorEastAsia" w:eastAsiaTheme="minorEastAsia" w:cstheme="minorEastAsia"/>
                <w:bCs/>
                <w:kern w:val="0"/>
                <w:sz w:val="21"/>
                <w:szCs w:val="21"/>
                <w:lang w:eastAsia="zh-CN"/>
              </w:rPr>
              <w:t>。</w:t>
            </w:r>
            <w:r>
              <w:rPr>
                <w:rFonts w:hint="eastAsia" w:asciiTheme="minorEastAsia" w:hAnsiTheme="minorEastAsia" w:eastAsiaTheme="minorEastAsia" w:cstheme="minorEastAsia"/>
                <w:bCs/>
                <w:kern w:val="0"/>
                <w:sz w:val="21"/>
                <w:szCs w:val="21"/>
              </w:rPr>
              <w:t>（提供证书复印件并加盖公章）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▲流量探针产品具备符合GB/T 20945-2013技术标准的ISCCC增强级认证（安全审计类-增强级）证书</w:t>
            </w:r>
            <w:r>
              <w:rPr>
                <w:rFonts w:hint="eastAsia" w:asciiTheme="minorEastAsia" w:hAnsiTheme="minorEastAsia" w:eastAsiaTheme="minorEastAsia" w:cstheme="minorEastAsia"/>
                <w:bCs/>
                <w:kern w:val="0"/>
                <w:sz w:val="21"/>
                <w:szCs w:val="21"/>
                <w:lang w:eastAsia="zh-CN"/>
              </w:rPr>
              <w:t>。</w:t>
            </w:r>
            <w:r>
              <w:rPr>
                <w:rFonts w:hint="eastAsia" w:asciiTheme="minorEastAsia" w:hAnsiTheme="minorEastAsia" w:eastAsiaTheme="minorEastAsia" w:cstheme="minorEastAsia"/>
                <w:bCs/>
                <w:kern w:val="0"/>
                <w:sz w:val="21"/>
                <w:szCs w:val="21"/>
              </w:rPr>
              <w:t>（提供证书复印件并加盖公章）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1" w:type="pct"/>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日志报表</w:t>
            </w: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支持KAFKA、syslog、ftp、sftp等数据外送方式。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支持对KAFKA、syslog发送的风险信息进行AES、SM4加密传输</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rPr>
              <w:t>KAFKA服务器配置支持SASL认证和Kerberos认证；KAFKA数据传输支持明文或SSL加密</w:t>
            </w:r>
            <w:r>
              <w:rPr>
                <w:rFonts w:hint="eastAsia" w:asciiTheme="minorEastAsia" w:hAnsiTheme="minorEastAsia" w:eastAsiaTheme="minorEastAsia" w:cstheme="minorEastAsia"/>
                <w:bCs/>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41" w:type="pct"/>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Cs/>
                <w:kern w:val="0"/>
                <w:sz w:val="21"/>
                <w:szCs w:val="21"/>
              </w:rPr>
            </w:pPr>
          </w:p>
        </w:tc>
        <w:tc>
          <w:tcPr>
            <w:tcW w:w="4258"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设备产生的数据重要程度至少分为3级，可自定义配置不同级别数据的清理比重。</w:t>
            </w:r>
          </w:p>
        </w:tc>
      </w:tr>
    </w:tbl>
    <w:p>
      <w:pPr>
        <w:widowControl/>
        <w:numPr>
          <w:ilvl w:val="0"/>
          <w:numId w:val="6"/>
        </w:numPr>
        <w:jc w:val="left"/>
        <w:outlineLvl w:val="0"/>
      </w:pPr>
      <w:r>
        <w:rPr>
          <w:rFonts w:hint="eastAsia" w:ascii="宋体" w:hAnsi="宋体" w:eastAsia="宋体" w:cs="Times New Roman"/>
          <w:b/>
          <w:kern w:val="0"/>
          <w:sz w:val="28"/>
          <w:szCs w:val="28"/>
          <w:lang w:val="en-GB"/>
        </w:rPr>
        <w:t>商务要求</w:t>
      </w:r>
      <w:bookmarkStart w:id="10" w:name="_Hlk62579461"/>
    </w:p>
    <w:p>
      <w:pPr>
        <w:widowControl/>
        <w:numPr>
          <w:ilvl w:val="0"/>
          <w:numId w:val="0"/>
        </w:numPr>
        <w:jc w:val="left"/>
        <w:outlineLvl w:val="0"/>
        <w:rPr>
          <w:sz w:val="21"/>
          <w:szCs w:val="21"/>
        </w:rPr>
      </w:pPr>
      <w:r>
        <w:rPr>
          <w:rFonts w:hint="eastAsia" w:ascii="宋体" w:hAnsi="宋体" w:eastAsia="宋体" w:cs="Times New Roman"/>
          <w:b/>
          <w:kern w:val="0"/>
          <w:sz w:val="21"/>
          <w:szCs w:val="21"/>
          <w:lang w:val="en-GB"/>
        </w:rPr>
        <w:t>（所有“商务要求”须在《商务条款响应及偏离表》中逐一明确是否响应或偏离）</w:t>
      </w:r>
    </w:p>
    <w:p>
      <w:pPr>
        <w:pStyle w:val="54"/>
        <w:widowControl/>
        <w:numPr>
          <w:ilvl w:val="1"/>
          <w:numId w:val="0"/>
        </w:numPr>
        <w:ind w:firstLine="482" w:firstLineChars="200"/>
        <w:outlineLvl w:val="1"/>
      </w:pPr>
      <w:r>
        <w:rPr>
          <w:rFonts w:hint="eastAsia" w:ascii="宋体" w:hAnsi="宋体" w:eastAsia="宋体" w:cs="Times New Roman"/>
          <w:b/>
          <w:kern w:val="0"/>
          <w:sz w:val="24"/>
          <w:szCs w:val="24"/>
          <w:lang w:val="en-US" w:eastAsia="zh-CN" w:bidi="ar-SA"/>
        </w:rPr>
        <w:t>3</w:t>
      </w:r>
      <w:r>
        <w:rPr>
          <w:rFonts w:hint="default" w:ascii="宋体" w:hAnsi="宋体" w:eastAsia="宋体" w:cs="Times New Roman"/>
          <w:b/>
          <w:kern w:val="0"/>
          <w:sz w:val="24"/>
          <w:szCs w:val="24"/>
          <w:lang w:val="en-US" w:eastAsia="en-US" w:bidi="ar-SA"/>
        </w:rPr>
        <w:t>.1</w:t>
      </w:r>
      <w:r>
        <w:rPr>
          <w:rFonts w:hint="eastAsia" w:ascii="宋体" w:hAnsi="宋体" w:eastAsia="宋体" w:cs="Times New Roman"/>
          <w:b/>
          <w:kern w:val="0"/>
          <w:sz w:val="24"/>
          <w:szCs w:val="24"/>
          <w:lang w:val="en-GB" w:eastAsia="zh-CN" w:bidi="ar-SA"/>
        </w:rPr>
        <w:t>质保及售后要求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bookmarkStart w:id="11" w:name="_Hlk62579295"/>
      <w:r>
        <w:rPr>
          <w:rFonts w:hint="eastAsia" w:asciiTheme="minorEastAsia" w:hAnsiTheme="minorEastAsia" w:eastAsiaTheme="minorEastAsia" w:cstheme="minorEastAsia"/>
          <w:sz w:val="24"/>
          <w:szCs w:val="24"/>
        </w:rPr>
        <w:t>★3.1.1提供不少于</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年原厂免费质保服务（期限均自双方验收合格之日起算）。所有产品及配件必须原厂整机出厂，不得在出厂后改配。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供应商需在投标文件中提供书面承诺函并加盖供应商公章，承诺函格式自拟，内容须完全包含采购人要求的质保服务内容。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3.1.2质保期内，对其提供的货物进行维修和系统维护，不再收取任何费用；但由于人为原因（过流，过压，过载，或者人为操作不当造成的原因）和不可抗力（如火灾、雷击等）造成的故障除外。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3.1.3质保期内，提供365天×24小时电话或远程支持服务。对实际操作过程中遇到的实际问题，免费提供技术支持，对于无法在2个工作日内远程解决的问题，须指派技术工程师到指定现场解决问题，或者提供备机，并将有问题的设备送回原厂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rPr>
      </w:pPr>
      <w:r>
        <w:rPr>
          <w:rFonts w:hint="eastAsia" w:asciiTheme="minorEastAsia" w:hAnsiTheme="minorEastAsia" w:eastAsiaTheme="minorEastAsia" w:cstheme="minorEastAsia"/>
          <w:sz w:val="24"/>
          <w:szCs w:val="24"/>
          <w:shd w:val="clear" w:color="auto" w:fill="FFFFFF"/>
        </w:rPr>
        <w:t>3.1.4质保期后，供应商对维修事项按成本价收取配件费用，免收工时费。</w:t>
      </w:r>
    </w:p>
    <w:bookmarkEnd w:id="11"/>
    <w:p>
      <w:pPr>
        <w:spacing w:before="0" w:beforeLines="-2147483648" w:after="0" w:afterLines="-2147483648" w:line="360" w:lineRule="exact"/>
        <w:ind w:left="0" w:firstLine="482" w:firstLineChars="200"/>
      </w:pPr>
      <w:r>
        <w:rPr>
          <w:rFonts w:hint="eastAsia" w:ascii="宋体" w:hAnsi="宋体" w:eastAsia="宋体" w:cs="Times New Roman"/>
          <w:b/>
          <w:kern w:val="0"/>
          <w:sz w:val="24"/>
          <w:szCs w:val="24"/>
          <w:lang w:val="en-US" w:eastAsia="zh-CN" w:bidi="ar-SA"/>
        </w:rPr>
        <w:t>3.2 验收标准（验收方式）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货物到货后，双方组织有关人员按照国家和行业相关标准、合同、投标招标文件及投标过程中的有关材料、投标产品技术手册进行现场验收。验收人员按照合同书和装箱清单逐一查验货物的数量和型号是否相符，配件、说明书及其它技术资料是否配套，质量、性能是否合格。货物以及配件的验收，应在货物到达现场30日内完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验收时发现不符合质量要求，供应商须无条件予以退换，采购人不接受维修方式。退换发生的费用均由供应商自行承担，且不影响合同的正常履行，因此造成的不能按时履约属于供应商违约。如在验收中发现双方均无法认定的争议，可聘请双方认可的具有国家认可检测资质的第三方检测机构予以检测，费用按双方约定处理。</w:t>
      </w:r>
    </w:p>
    <w:p>
      <w:pPr>
        <w:spacing w:before="0" w:beforeLines="-2147483648" w:after="0" w:afterLines="-2147483648" w:line="360" w:lineRule="exact"/>
        <w:ind w:left="0" w:firstLine="482" w:firstLineChars="200"/>
        <w:rPr>
          <w:rFonts w:hint="eastAsia" w:ascii="宋体" w:hAnsi="宋体" w:eastAsia="宋体" w:cs="Times New Roman"/>
          <w:b/>
          <w:kern w:val="0"/>
          <w:sz w:val="24"/>
          <w:szCs w:val="24"/>
          <w:lang w:val="en-US" w:eastAsia="zh-CN" w:bidi="ar-SA"/>
        </w:rPr>
      </w:pPr>
      <w:r>
        <w:rPr>
          <w:rFonts w:hint="eastAsia" w:ascii="宋体" w:hAnsi="宋体" w:eastAsia="宋体" w:cs="Times New Roman"/>
          <w:b/>
          <w:kern w:val="0"/>
          <w:sz w:val="24"/>
          <w:szCs w:val="24"/>
          <w:lang w:val="en-US" w:eastAsia="zh-CN" w:bidi="ar-SA"/>
        </w:rPr>
        <w:t>3.3 交付（安装）要求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3.3.1交付时间（供货期）：合同签订后</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rPr>
        <w:t>日内完成供货</w:t>
      </w:r>
      <w:r>
        <w:rPr>
          <w:rFonts w:hint="eastAsia" w:asciiTheme="minorEastAsia" w:hAnsiTheme="minorEastAsia" w:cstheme="minorEastAsia"/>
          <w:sz w:val="24"/>
          <w:szCs w:val="24"/>
          <w:lang w:val="en-US" w:eastAsia="zh-CN"/>
        </w:rPr>
        <w:t>及安装调试</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交付地点（供货地点）：采购人指定地点。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供应商负责提供合同中所有软件、硬件设备，供应商负责将上述所有设备免费运送至采购人指定位置后，首先对所有硬件、软件进行免费测试（包括所有软、硬件功能），在确认符合要求的情况下免费现场安装、检查、测试及优化，直至满足交付使用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3.3.4所提供产品的附属设备、资料均完整，如网线、串口线、用户手册、安装手册，保证提供给采购人的是一套完整的设备。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3.3.5所提供硬件设备/软件都是原厂原装，且产品是交付前最新生产并未被使用过的全新产品，同时具有在中国境内的合法使用权。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3.3.6投标人需承诺如项目中标，将严格按照甲方项目进度要求，由乙方牵头完成态势感知平台与实验室现有安全设备完成联动对接工作，包括奇安信防火墙、天融信防火墙、安恒EDR、长亭WAF、绿盟入侵防护系统等，此对接工作相关费用包含在项目投标总费用中，无额外任何费用产生，相关对接工作需在合同签订后30日内完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投标人投标时需提供服务承诺函，并加盖</w:t>
      </w:r>
      <w:r>
        <w:rPr>
          <w:rFonts w:hint="eastAsia" w:asciiTheme="minorEastAsia" w:hAnsi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rPr>
        <w:t>公章</w:t>
      </w:r>
      <w:r>
        <w:rPr>
          <w:rFonts w:hint="eastAsia" w:asciiTheme="minorEastAsia" w:hAnsiTheme="minorEastAsia" w:cstheme="minorEastAsia"/>
          <w:sz w:val="24"/>
          <w:szCs w:val="24"/>
          <w:lang w:eastAsia="zh-CN"/>
        </w:rPr>
        <w:t>）</w:t>
      </w:r>
    </w:p>
    <w:p>
      <w:pPr>
        <w:spacing w:before="0" w:beforeLines="-2147483648" w:after="0" w:afterLines="-2147483648" w:line="360" w:lineRule="exact"/>
        <w:ind w:firstLine="241" w:firstLineChars="100"/>
      </w:pPr>
      <w:r>
        <w:rPr>
          <w:rFonts w:hint="eastAsia" w:ascii="宋体" w:hAnsi="宋体" w:eastAsia="宋体" w:cs="Times New Roman"/>
          <w:b/>
          <w:kern w:val="0"/>
          <w:sz w:val="24"/>
          <w:szCs w:val="24"/>
          <w:lang w:val="en-US" w:eastAsia="zh-CN" w:bidi="ar-SA"/>
        </w:rPr>
        <w:t>★3.4 知识产权要求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rPr>
        <w:t>投标人应保证采购人在使用其中标后的投标产品（包含相应服务）或其任何一部分时不受第三方提出侵犯其知识产权（如专利权、版权、商标权、著作权或其他权利）的主张或起诉。一旦出现被主张或认定侵权而引起的法律和经济纠纷，投标供应商应承担所有法律责任带来的全部最终不利后果。</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投标人投标时需提供服务承诺函，并加盖</w:t>
      </w:r>
      <w:r>
        <w:rPr>
          <w:rFonts w:hint="eastAsia" w:asciiTheme="minorEastAsia" w:hAnsi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rPr>
        <w:t>公章</w:t>
      </w:r>
      <w:r>
        <w:rPr>
          <w:rFonts w:hint="eastAsia" w:asciiTheme="minorEastAsia" w:hAnsiTheme="minorEastAsia" w:cstheme="minorEastAsia"/>
          <w:sz w:val="24"/>
          <w:szCs w:val="24"/>
          <w:lang w:eastAsia="zh-CN"/>
        </w:rPr>
        <w:t>）</w:t>
      </w:r>
    </w:p>
    <w:p>
      <w:pPr>
        <w:spacing w:before="0" w:beforeLines="-2147483648" w:after="0" w:afterLines="-2147483648" w:line="360" w:lineRule="exact"/>
        <w:ind w:firstLine="482" w:firstLineChars="200"/>
      </w:pPr>
      <w:r>
        <w:rPr>
          <w:rFonts w:hint="eastAsia" w:ascii="宋体" w:hAnsi="宋体" w:eastAsia="宋体" w:cs="Times New Roman"/>
          <w:b/>
          <w:kern w:val="0"/>
          <w:sz w:val="24"/>
          <w:szCs w:val="24"/>
          <w:lang w:val="en-US" w:eastAsia="zh-CN" w:bidi="ar-SA"/>
        </w:rPr>
        <w:t>3.5付款方式</w:t>
      </w:r>
    </w:p>
    <w:p>
      <w:pPr>
        <w:pStyle w:val="21"/>
        <w:keepNext w:val="0"/>
        <w:keepLines w:val="0"/>
        <w:pageBreakBefore w:val="0"/>
        <w:widowControl w:val="0"/>
        <w:kinsoku/>
        <w:wordWrap/>
        <w:overflowPunct/>
        <w:topLinePunct w:val="0"/>
        <w:autoSpaceDE/>
        <w:autoSpaceDN/>
        <w:bidi w:val="0"/>
        <w:adjustRightInd/>
        <w:snapToGrid/>
        <w:spacing w:line="360" w:lineRule="exact"/>
        <w:textAlignment w:val="auto"/>
        <w:rPr>
          <w:color w:val="FF0000"/>
        </w:rPr>
      </w:pPr>
      <w:r>
        <w:rPr>
          <w:rFonts w:hint="eastAsia" w:asciiTheme="minorEastAsia" w:hAnsiTheme="minorEastAsia" w:eastAsiaTheme="minorEastAsia" w:cstheme="minorEastAsia"/>
          <w:sz w:val="24"/>
          <w:szCs w:val="24"/>
        </w:rPr>
        <w:t>甲乙双方签订合同生效后，货到验收合格后支付95%合同款，正常运行一年后支付5%合同款。</w:t>
      </w:r>
      <w:bookmarkStart w:id="47" w:name="_GoBack"/>
      <w:bookmarkEnd w:id="47"/>
    </w:p>
    <w:p>
      <w:pPr>
        <w:spacing w:before="0" w:beforeLines="-2147483648" w:after="0" w:afterLines="-2147483648" w:line="360" w:lineRule="exact"/>
        <w:ind w:firstLine="482" w:firstLineChars="200"/>
      </w:pPr>
      <w:r>
        <w:rPr>
          <w:rFonts w:hint="eastAsia" w:ascii="宋体" w:hAnsi="宋体" w:eastAsia="宋体" w:cs="Times New Roman"/>
          <w:b/>
          <w:kern w:val="0"/>
          <w:sz w:val="24"/>
          <w:szCs w:val="24"/>
          <w:lang w:val="en-US" w:eastAsia="zh-CN" w:bidi="ar-SA"/>
        </w:rPr>
        <w:t>3.6  关于报价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000000"/>
          <w:szCs w:val="24"/>
        </w:rPr>
      </w:pPr>
      <w:r>
        <w:rPr>
          <w:rFonts w:hint="eastAsia"/>
          <w:sz w:val="24"/>
          <w:szCs w:val="24"/>
        </w:rPr>
        <w:t>该项目预算为全口径预算，包含了本项目所需的产品制造或服务提供过程中可能发生的所有费用，包括但不限于所投产品全部费用、安装调试费、安装中的相关费用、外贸公司进口代理费用（含办理免税手续费用）、国际国内运输（至采购人指定地点）及保险费用、运行维护费用、全部税金、培训、售后服务、进口产品因汇率波动产生的汇总损益以及采购人项目预算已包含的项目论证、评审等各项相关费用。本次采购响应供应商的报价应包括为完成本项目发生的上述所有费用及采购代理服务费用，成交后采购人除按成交价格支付采购资金以外，不再另行支付任何费用。</w:t>
      </w:r>
    </w:p>
    <w:p>
      <w:pPr>
        <w:spacing w:line="360" w:lineRule="exact"/>
        <w:ind w:firstLine="241" w:firstLineChars="100"/>
        <w:rPr>
          <w:rFonts w:ascii="宋体" w:hAnsi="宋体"/>
          <w:bCs/>
          <w:iCs/>
          <w:sz w:val="24"/>
          <w:szCs w:val="21"/>
        </w:rPr>
      </w:pPr>
      <w:r>
        <w:rPr>
          <w:rFonts w:hint="eastAsia" w:ascii="宋体" w:hAnsi="宋体" w:eastAsia="宋体" w:cs="Times New Roman"/>
          <w:b/>
          <w:kern w:val="0"/>
          <w:sz w:val="24"/>
          <w:szCs w:val="24"/>
          <w:lang w:val="en-US" w:eastAsia="zh-CN" w:bidi="ar-SA"/>
        </w:rPr>
        <w:t>★3.7 真实投标要求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cstheme="minorEastAsia"/>
          <w:b/>
          <w:bCs/>
          <w:sz w:val="24"/>
          <w:szCs w:val="24"/>
          <w:lang w:eastAsia="zh-CN"/>
        </w:rPr>
      </w:pPr>
      <w:r>
        <w:rPr>
          <w:rFonts w:hint="eastAsia"/>
          <w:sz w:val="24"/>
          <w:szCs w:val="24"/>
        </w:rPr>
        <w:t>投标人承诺所有投标内容为真实有效投标，如投标人中标后经查发现虚假投标内容，取消投标人中标资格，并承担因投标人虚假投标造成的采购方损失。</w:t>
      </w:r>
      <w:bookmarkEnd w:id="10"/>
      <w:r>
        <w:rPr>
          <w:rFonts w:hint="eastAsia" w:asciiTheme="minorEastAsia" w:hAnsiTheme="minorEastAsia" w:cstheme="minorEastAsia"/>
          <w:b/>
          <w:bCs/>
          <w:sz w:val="24"/>
          <w:szCs w:val="24"/>
          <w:lang w:eastAsia="zh-CN"/>
        </w:rPr>
        <w:t>（投标人投标时需提供服务承诺函，并加盖投标人公章）</w:t>
      </w:r>
    </w:p>
    <w:p>
      <w:pPr>
        <w:rPr>
          <w:rFonts w:ascii="黑体" w:hAnsi="黑体" w:eastAsia="黑体" w:cs="黑体"/>
          <w:kern w:val="44"/>
          <w:sz w:val="36"/>
          <w:szCs w:val="36"/>
          <w:u w:color="000000"/>
          <w:lang w:val="zh-TW"/>
        </w:rPr>
      </w:pPr>
      <w:r>
        <w:rPr>
          <w:rFonts w:ascii="黑体" w:hAnsi="黑体" w:eastAsia="黑体" w:cs="黑体"/>
          <w:kern w:val="44"/>
          <w:sz w:val="36"/>
          <w:szCs w:val="36"/>
          <w:u w:color="000000"/>
          <w:lang w:val="zh-TW"/>
        </w:rPr>
        <w:br w:type="page"/>
      </w:r>
    </w:p>
    <w:p>
      <w:pPr>
        <w:keepNext/>
        <w:keepLines/>
        <w:spacing w:before="312" w:beforeLines="100" w:after="312" w:afterLines="100" w:line="360" w:lineRule="auto"/>
        <w:jc w:val="center"/>
        <w:outlineLvl w:val="0"/>
        <w:rPr>
          <w:rFonts w:ascii="黑体" w:hAnsi="黑体" w:eastAsia="黑体" w:cs="黑体"/>
          <w:kern w:val="44"/>
          <w:sz w:val="36"/>
          <w:szCs w:val="36"/>
          <w:u w:color="000000"/>
          <w:lang w:val="zh-TW"/>
        </w:rPr>
      </w:pPr>
      <w:r>
        <w:rPr>
          <w:rFonts w:ascii="黑体" w:hAnsi="黑体" w:eastAsia="黑体" w:cs="黑体"/>
          <w:kern w:val="44"/>
          <w:sz w:val="36"/>
          <w:szCs w:val="36"/>
          <w:u w:color="000000"/>
          <w:lang w:val="zh-TW"/>
        </w:rPr>
        <w:t>第</w:t>
      </w:r>
      <w:r>
        <w:rPr>
          <w:rFonts w:hint="eastAsia" w:ascii="黑体" w:hAnsi="黑体" w:eastAsia="黑体" w:cs="黑体"/>
          <w:kern w:val="44"/>
          <w:sz w:val="36"/>
          <w:szCs w:val="36"/>
          <w:u w:color="000000"/>
          <w:lang w:val="zh-TW"/>
        </w:rPr>
        <w:t>五</w:t>
      </w:r>
      <w:r>
        <w:rPr>
          <w:rFonts w:ascii="黑体" w:hAnsi="黑体" w:eastAsia="黑体" w:cs="黑体"/>
          <w:kern w:val="44"/>
          <w:sz w:val="36"/>
          <w:szCs w:val="36"/>
          <w:u w:color="000000"/>
          <w:lang w:val="zh-TW"/>
        </w:rPr>
        <w:t xml:space="preserve">章  </w:t>
      </w:r>
      <w:r>
        <w:rPr>
          <w:rFonts w:hint="eastAsia" w:ascii="黑体" w:hAnsi="黑体" w:eastAsia="黑体" w:cs="黑体"/>
          <w:kern w:val="44"/>
          <w:sz w:val="36"/>
          <w:szCs w:val="36"/>
          <w:u w:color="000000"/>
          <w:lang w:val="zh-TW"/>
        </w:rPr>
        <w:t>评标方法与评标标准</w:t>
      </w:r>
      <w:bookmarkEnd w:id="9"/>
    </w:p>
    <w:p>
      <w:pPr>
        <w:spacing w:line="36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评标委员会将对确定为实质性响应招标文件要求的投标文件进行评价和比较，评标采用综合评分法。对未中标人，将不作任何解释。</w:t>
      </w:r>
    </w:p>
    <w:p>
      <w:pPr>
        <w:spacing w:line="36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采用综合评分法的，按评审后综合得分由高到低顺序排列。综合得分相同的，按投标报价由低到高顺序排列。综合得分且投标报价相同的，按技术指标优劣顺序排列。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982"/>
        <w:gridCol w:w="6683"/>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6"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545"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评审项</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评分标准</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06"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545"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报价</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满足招标文件要求且投标总价格最低的投标报价为评标基准价A，其价格分为</w:t>
            </w:r>
            <w:r>
              <w:rPr>
                <w:rFonts w:hint="eastAsia" w:asciiTheme="minorEastAsia" w:hAnsiTheme="minorEastAsia" w:eastAsiaTheme="minorEastAsia" w:cstheme="minorEastAsia"/>
                <w:color w:val="000000"/>
                <w:kern w:val="0"/>
                <w:sz w:val="24"/>
                <w:szCs w:val="24"/>
                <w:lang w:val="en-US" w:eastAsia="zh-CN"/>
              </w:rPr>
              <w:t>42</w:t>
            </w:r>
            <w:r>
              <w:rPr>
                <w:rFonts w:hint="eastAsia" w:asciiTheme="minorEastAsia" w:hAnsiTheme="minorEastAsia" w:eastAsiaTheme="minorEastAsia" w:cstheme="minorEastAsia"/>
                <w:color w:val="000000"/>
                <w:kern w:val="0"/>
                <w:sz w:val="24"/>
                <w:szCs w:val="24"/>
              </w:rPr>
              <w:t>分。其他投标人的投标总报价得分统一按下列公式计算：投标总报价得分=（评标基准价A/投标报价）×</w:t>
            </w:r>
            <w:r>
              <w:rPr>
                <w:rFonts w:hint="eastAsia" w:asciiTheme="minorEastAsia" w:hAnsiTheme="minorEastAsia" w:eastAsiaTheme="minorEastAsia" w:cstheme="minorEastAsia"/>
                <w:color w:val="000000"/>
                <w:kern w:val="0"/>
                <w:sz w:val="24"/>
                <w:szCs w:val="24"/>
                <w:lang w:val="en-US" w:eastAsia="zh-CN"/>
              </w:rPr>
              <w:t>42</w:t>
            </w:r>
            <w:r>
              <w:rPr>
                <w:rFonts w:hint="eastAsia" w:asciiTheme="minorEastAsia" w:hAnsiTheme="minorEastAsia" w:eastAsiaTheme="minorEastAsia" w:cstheme="minorEastAsia"/>
                <w:color w:val="000000"/>
                <w:kern w:val="0"/>
                <w:sz w:val="24"/>
                <w:szCs w:val="24"/>
              </w:rPr>
              <w:t>。</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306"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545"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技术参数响应</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完全响应招标文件技术要求，或优于招标文件要求的得</w:t>
            </w:r>
            <w:r>
              <w:rPr>
                <w:rFonts w:hint="eastAsia" w:asciiTheme="minorEastAsia" w:hAnsiTheme="minorEastAsia" w:cstheme="minorEastAsia"/>
                <w:color w:val="000000"/>
                <w:kern w:val="0"/>
                <w:sz w:val="24"/>
                <w:szCs w:val="24"/>
                <w:lang w:val="en-US" w:eastAsia="zh-CN"/>
              </w:rPr>
              <w:t>44</w:t>
            </w:r>
            <w:r>
              <w:rPr>
                <w:rFonts w:hint="eastAsia" w:asciiTheme="minorEastAsia" w:hAnsiTheme="minorEastAsia" w:eastAsiaTheme="minorEastAsia" w:cstheme="minorEastAsia"/>
                <w:color w:val="000000"/>
                <w:kern w:val="0"/>
                <w:sz w:val="24"/>
                <w:szCs w:val="24"/>
              </w:rPr>
              <w:t>分。</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技术参数中加★项为必须满足项，如有任意一项不满足视为无效投标；</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加▲标项每有一项负偏离扣</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分；</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其他项每有一项负偏离扣</w:t>
            </w:r>
            <w:r>
              <w:rPr>
                <w:rFonts w:hint="eastAsia" w:asciiTheme="minorEastAsia" w:hAnsiTheme="minorEastAsia" w:eastAsiaTheme="minorEastAsia" w:cstheme="minorEastAsia"/>
                <w:color w:val="000000"/>
                <w:kern w:val="0"/>
                <w:sz w:val="24"/>
                <w:szCs w:val="24"/>
                <w:lang w:val="en-US" w:eastAsia="zh-CN"/>
              </w:rPr>
              <w:t>0.5</w:t>
            </w:r>
            <w:r>
              <w:rPr>
                <w:rFonts w:hint="eastAsia" w:asciiTheme="minorEastAsia" w:hAnsiTheme="minorEastAsia" w:eastAsiaTheme="minorEastAsia" w:cstheme="minorEastAsia"/>
                <w:color w:val="000000"/>
                <w:kern w:val="0"/>
                <w:sz w:val="24"/>
                <w:szCs w:val="24"/>
              </w:rPr>
              <w:t>分，扣完为止。</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人需按照本采购文件第四章的具体功能技术要求等，在“技术参数响应及偏离表”等中如实详细填列所投产品的参数及承诺，并按采购文件要求提供相应证明材料并在偏离表中标明所在页码，未提供者评标委员会有权做负偏离处理。</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306"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54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项目团队人员要求</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因本项目涉及到跟目前现有的安全设备联动对接，投标人需为本项目组建现场服务支撑团队：</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项目经理要求：本项目团队经理同时具有CISSP（信息系统安全专业认证）、OSCE3（进攻性安全专家认证） 、OSCP（渗透测试专家证书）、OSWP（无线安全专家认证）、OSWA（ WEB评估师认证）、CSERE（网络安全应急响应工程师认证）、CCSK（云安全知识认证），任意满足4个，得4分，满足3个，得3分，满足2个，得2分，其他情况得0分。（提供相关有效证书复印件及近三个月的社保缴纳证明，加盖公章）。</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54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除项目经理外，项目组其他成员应具有应急响应工程师认证证书（CSERE）的，每有一位项目组成员满足得0.5分，最高得1分，没有不得分（提供相关有效证书复印件及近三个月的社保缴纳证明，加盖公章）。</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306"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4</w:t>
            </w:r>
          </w:p>
        </w:tc>
        <w:tc>
          <w:tcPr>
            <w:tcW w:w="545"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投标人资质</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投标人具备以下资质要求：</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）具有CCIA信息系统业务安全服务资质证书得1分，不满足不得分。</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同时具有CCRC信息安全服务资质认证证书(安全集成)、CCRC信息安全服务资质认证证书(安全运维)、CCRC信息安全服务资质认证证书(软件安全开发)及CCRC信息安全服务资质认证证书(应急处理)四项认证证书，得2分，如不具有四项认证证书但具有不低于两个认证证书，得1分。</w:t>
            </w:r>
          </w:p>
          <w:p>
            <w:pPr>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注：必须提供有效证书复印件或扫描件加盖公章（原件备查），不提供不得分。</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306"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5</w:t>
            </w:r>
          </w:p>
        </w:tc>
        <w:tc>
          <w:tcPr>
            <w:tcW w:w="545" w:type="pct"/>
            <w:shd w:val="clear" w:color="auto" w:fill="auto"/>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实施方案</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需提供项目实施方案</w:t>
            </w:r>
          </w:p>
          <w:p>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方案细致全面、合理，完全响应需求，技术可行性强得3分；较为完整，基本响应需求得2分；不完整、响应度低、技术可行性较低得1分；未提供不得分。</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06"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6</w:t>
            </w:r>
          </w:p>
        </w:tc>
        <w:tc>
          <w:tcPr>
            <w:tcW w:w="545" w:type="pct"/>
            <w:shd w:val="clear" w:color="auto" w:fill="auto"/>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售后服务方案</w:t>
            </w:r>
          </w:p>
        </w:tc>
        <w:tc>
          <w:tcPr>
            <w:tcW w:w="3710"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需提供符合本项目实际需求的售后服务方案</w:t>
            </w:r>
          </w:p>
          <w:p>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根据方案合理性、全面性等进行综合评分，</w:t>
            </w:r>
            <w:r>
              <w:rPr>
                <w:rFonts w:hint="eastAsia" w:asciiTheme="minorEastAsia" w:hAnsiTheme="minorEastAsia" w:eastAsiaTheme="minorEastAsia" w:cstheme="minorEastAsia"/>
                <w:color w:val="000000"/>
                <w:kern w:val="0"/>
                <w:sz w:val="24"/>
                <w:szCs w:val="24"/>
                <w:lang w:val="en-US" w:eastAsia="zh-CN"/>
              </w:rPr>
              <w:t>方案合理、全面</w:t>
            </w:r>
            <w:r>
              <w:rPr>
                <w:rFonts w:hint="eastAsia" w:asciiTheme="minorEastAsia" w:hAnsiTheme="minorEastAsia" w:eastAsiaTheme="minorEastAsia" w:cstheme="minorEastAsia"/>
                <w:color w:val="000000"/>
                <w:kern w:val="0"/>
                <w:sz w:val="24"/>
                <w:szCs w:val="24"/>
              </w:rPr>
              <w:t>的得3分；</w:t>
            </w:r>
            <w:r>
              <w:rPr>
                <w:rFonts w:hint="eastAsia" w:asciiTheme="minorEastAsia" w:hAnsiTheme="minorEastAsia" w:eastAsiaTheme="minorEastAsia" w:cstheme="minorEastAsia"/>
                <w:color w:val="000000"/>
                <w:kern w:val="0"/>
                <w:sz w:val="24"/>
                <w:szCs w:val="24"/>
                <w:lang w:val="en-US" w:eastAsia="zh-CN"/>
              </w:rPr>
              <w:t>方案较为合理、基本全面</w:t>
            </w:r>
            <w:r>
              <w:rPr>
                <w:rFonts w:hint="eastAsia" w:asciiTheme="minorEastAsia" w:hAnsiTheme="minorEastAsia" w:eastAsiaTheme="minorEastAsia" w:cstheme="minorEastAsia"/>
                <w:color w:val="000000"/>
                <w:kern w:val="0"/>
                <w:sz w:val="24"/>
                <w:szCs w:val="24"/>
              </w:rPr>
              <w:t>的得2分；</w:t>
            </w:r>
            <w:r>
              <w:rPr>
                <w:rFonts w:hint="eastAsia" w:asciiTheme="minorEastAsia" w:hAnsiTheme="minorEastAsia" w:eastAsiaTheme="minorEastAsia" w:cstheme="minorEastAsia"/>
                <w:color w:val="000000"/>
                <w:kern w:val="0"/>
                <w:sz w:val="24"/>
                <w:szCs w:val="24"/>
                <w:lang w:val="en-US" w:eastAsia="zh-CN"/>
              </w:rPr>
              <w:t>方案不合理、缺漏项过多</w:t>
            </w:r>
            <w:r>
              <w:rPr>
                <w:rFonts w:hint="eastAsia" w:asciiTheme="minorEastAsia" w:hAnsiTheme="minorEastAsia" w:eastAsiaTheme="minorEastAsia" w:cstheme="minorEastAsia"/>
                <w:color w:val="000000"/>
                <w:kern w:val="0"/>
                <w:sz w:val="24"/>
                <w:szCs w:val="24"/>
              </w:rPr>
              <w:t>的得1分；未提供不得分。</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3</w:t>
            </w:r>
          </w:p>
        </w:tc>
      </w:tr>
    </w:tbl>
    <w:p>
      <w:pPr>
        <w:ind w:firstLine="420" w:firstLineChars="200"/>
        <w:rPr>
          <w:rFonts w:ascii="宋体" w:hAnsi="宋体" w:eastAsia="宋体" w:cs="Times New Roman"/>
          <w:szCs w:val="21"/>
        </w:rPr>
      </w:pPr>
      <w:r>
        <w:rPr>
          <w:rFonts w:hint="eastAsia" w:ascii="宋体" w:hAnsi="宋体" w:eastAsia="宋体" w:cs="Times New Roman"/>
          <w:szCs w:val="21"/>
        </w:rPr>
        <w:t>说明：</w:t>
      </w:r>
    </w:p>
    <w:p>
      <w:pPr>
        <w:ind w:firstLine="420" w:firstLineChars="200"/>
        <w:rPr>
          <w:rFonts w:ascii="宋体" w:hAnsi="宋体" w:eastAsia="宋体" w:cs="Times New Roman"/>
          <w:szCs w:val="21"/>
        </w:rPr>
      </w:pPr>
      <w:r>
        <w:rPr>
          <w:rFonts w:hint="eastAsia" w:ascii="宋体" w:hAnsi="宋体" w:eastAsia="宋体" w:cs="Times New Roman"/>
          <w:szCs w:val="21"/>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pPr>
        <w:ind w:firstLine="420" w:firstLineChars="200"/>
        <w:rPr>
          <w:rFonts w:ascii="宋体" w:hAnsi="宋体" w:eastAsia="宋体" w:cs="Times New Roman"/>
          <w:szCs w:val="21"/>
        </w:rPr>
      </w:pPr>
      <w:r>
        <w:rPr>
          <w:rFonts w:hint="eastAsia" w:ascii="宋体" w:hAnsi="宋体" w:eastAsia="宋体" w:cs="Times New Roman"/>
          <w:szCs w:val="21"/>
        </w:rPr>
        <w:t>2、小微企业的价格扣除</w:t>
      </w:r>
    </w:p>
    <w:p>
      <w:pPr>
        <w:ind w:firstLine="420" w:firstLineChars="200"/>
        <w:rPr>
          <w:rFonts w:ascii="宋体" w:hAnsi="宋体" w:eastAsia="宋体" w:cs="Times New Roman"/>
          <w:szCs w:val="21"/>
        </w:rPr>
      </w:pPr>
      <w:r>
        <w:rPr>
          <w:rFonts w:hint="eastAsia" w:ascii="宋体" w:hAnsi="宋体" w:eastAsia="宋体" w:cs="Times New Roman"/>
          <w:szCs w:val="21"/>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pPr>
        <w:ind w:firstLine="420" w:firstLineChars="200"/>
        <w:rPr>
          <w:rFonts w:ascii="宋体" w:hAnsi="宋体" w:eastAsia="宋体" w:cs="Times New Roman"/>
          <w:szCs w:val="21"/>
        </w:rPr>
      </w:pPr>
      <w:r>
        <w:rPr>
          <w:rFonts w:hint="eastAsia" w:ascii="宋体" w:hAnsi="宋体" w:eastAsia="宋体" w:cs="Times New Roman"/>
          <w:szCs w:val="21"/>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pPr>
        <w:ind w:firstLine="420" w:firstLineChars="200"/>
        <w:rPr>
          <w:rFonts w:ascii="宋体" w:hAnsi="宋体" w:eastAsia="宋体" w:cs="Times New Roman"/>
          <w:szCs w:val="21"/>
        </w:rPr>
      </w:pPr>
      <w:r>
        <w:rPr>
          <w:rFonts w:hint="eastAsia" w:ascii="宋体" w:hAnsi="宋体" w:eastAsia="宋体" w:cs="Times New Roman"/>
          <w:szCs w:val="21"/>
        </w:rPr>
        <w:t>3、监狱和戒毒企业的价格扣除</w:t>
      </w:r>
    </w:p>
    <w:p>
      <w:pPr>
        <w:ind w:firstLine="420" w:firstLineChars="200"/>
        <w:rPr>
          <w:rFonts w:ascii="宋体" w:hAnsi="宋体" w:eastAsia="宋体" w:cs="Times New Roman"/>
          <w:szCs w:val="21"/>
        </w:rPr>
      </w:pPr>
      <w:r>
        <w:rPr>
          <w:rFonts w:hint="eastAsia" w:ascii="宋体" w:hAnsi="宋体" w:eastAsia="宋体" w:cs="Times New Roman"/>
          <w:szCs w:val="21"/>
        </w:rPr>
        <w:t>3.1. 本项目对监狱和戒毒企业（简称监狱企业），给予等同于小微企业的价格扣除，用扣除后的价格参与评审。</w:t>
      </w:r>
    </w:p>
    <w:p>
      <w:pPr>
        <w:ind w:firstLine="420" w:firstLineChars="200"/>
        <w:rPr>
          <w:rFonts w:ascii="宋体" w:hAnsi="宋体" w:eastAsia="宋体" w:cs="Times New Roman"/>
          <w:szCs w:val="21"/>
        </w:rPr>
      </w:pPr>
      <w:r>
        <w:rPr>
          <w:rFonts w:hint="eastAsia" w:ascii="宋体" w:hAnsi="宋体" w:eastAsia="宋体" w:cs="Times New Roman"/>
          <w:szCs w:val="21"/>
        </w:rPr>
        <w:t>3.2. 监狱企业需提供由省级以上监狱管理局、戒毒管理局（含新疆生产建设兵团）出具的属于监狱企业的证明文件。</w:t>
      </w:r>
    </w:p>
    <w:p>
      <w:pPr>
        <w:ind w:firstLine="420" w:firstLineChars="200"/>
        <w:rPr>
          <w:rFonts w:ascii="宋体" w:hAnsi="宋体" w:eastAsia="宋体" w:cs="Times New Roman"/>
          <w:szCs w:val="21"/>
        </w:rPr>
      </w:pPr>
      <w:r>
        <w:rPr>
          <w:rFonts w:hint="eastAsia" w:ascii="宋体" w:hAnsi="宋体" w:eastAsia="宋体" w:cs="Times New Roman"/>
          <w:szCs w:val="21"/>
        </w:rPr>
        <w:t>3.3. 监狱企业标准请参照《关于政府采购支持监狱企业发展有关问题的通知》（财库[2014]68号）。</w:t>
      </w:r>
    </w:p>
    <w:p>
      <w:pPr>
        <w:ind w:firstLine="420" w:firstLineChars="200"/>
        <w:rPr>
          <w:rFonts w:ascii="宋体" w:hAnsi="宋体" w:eastAsia="宋体" w:cs="Times New Roman"/>
          <w:szCs w:val="21"/>
        </w:rPr>
      </w:pPr>
      <w:r>
        <w:rPr>
          <w:rFonts w:hint="eastAsia" w:ascii="宋体" w:hAnsi="宋体" w:eastAsia="宋体" w:cs="Times New Roman"/>
          <w:szCs w:val="21"/>
        </w:rPr>
        <w:t>4、残疾人福利性单位的价格扣除</w:t>
      </w:r>
    </w:p>
    <w:p>
      <w:pPr>
        <w:ind w:firstLine="420" w:firstLineChars="200"/>
        <w:rPr>
          <w:rFonts w:ascii="宋体" w:hAnsi="宋体" w:eastAsia="宋体" w:cs="Times New Roman"/>
          <w:szCs w:val="21"/>
        </w:rPr>
      </w:pPr>
      <w:r>
        <w:rPr>
          <w:rFonts w:hint="eastAsia" w:ascii="宋体" w:hAnsi="宋体" w:eastAsia="宋体" w:cs="Times New Roman"/>
          <w:szCs w:val="21"/>
        </w:rPr>
        <w:t>4.1. 本项目对残疾人福利性单位，给予等同于小微企业的价格扣除，用扣除后的价格参与评审。</w:t>
      </w:r>
    </w:p>
    <w:p>
      <w:pPr>
        <w:ind w:firstLine="420" w:firstLineChars="200"/>
        <w:rPr>
          <w:rFonts w:ascii="宋体" w:hAnsi="宋体" w:eastAsia="宋体" w:cs="Times New Roman"/>
          <w:szCs w:val="21"/>
        </w:rPr>
      </w:pPr>
      <w:r>
        <w:rPr>
          <w:rFonts w:hint="eastAsia" w:ascii="宋体" w:hAnsi="宋体" w:eastAsia="宋体" w:cs="Times New Roman"/>
          <w:szCs w:val="21"/>
        </w:rPr>
        <w:t>4.2. 残疾人福利单位需按照招标文件的要求提供《残疾人福利性单位声明函》。</w:t>
      </w:r>
    </w:p>
    <w:p>
      <w:pPr>
        <w:ind w:firstLine="420" w:firstLineChars="200"/>
        <w:rPr>
          <w:rFonts w:ascii="宋体" w:hAnsi="宋体" w:eastAsia="宋体" w:cs="Times New Roman"/>
          <w:szCs w:val="21"/>
        </w:rPr>
      </w:pPr>
      <w:r>
        <w:rPr>
          <w:rFonts w:hint="eastAsia" w:ascii="宋体" w:hAnsi="宋体" w:eastAsia="宋体" w:cs="Times New Roman"/>
          <w:szCs w:val="21"/>
        </w:rPr>
        <w:t>4.3. 残疾人福利单位标准请参照《关于促进残疾人就业政府采购政策的通知》（财库〔2017〕141号）。</w:t>
      </w:r>
    </w:p>
    <w:p>
      <w:pPr>
        <w:ind w:firstLine="420" w:firstLineChars="200"/>
        <w:rPr>
          <w:rFonts w:ascii="黑体" w:hAnsi="黑体" w:eastAsia="黑体" w:cs="黑体"/>
          <w:kern w:val="44"/>
          <w:sz w:val="36"/>
          <w:szCs w:val="36"/>
          <w:u w:color="000000"/>
          <w:lang w:val="zh-TW"/>
        </w:rPr>
      </w:pPr>
      <w:r>
        <w:rPr>
          <w:rFonts w:hint="eastAsia" w:ascii="宋体" w:hAnsi="宋体" w:eastAsia="宋体" w:cs="Times New Roman"/>
          <w:szCs w:val="21"/>
        </w:rPr>
        <w:t>5、监狱企业、残疾人福利单位属于小型、微型企业的，不重复享受政策。</w:t>
      </w:r>
    </w:p>
    <w:p>
      <w:pPr>
        <w:widowControl/>
        <w:jc w:val="left"/>
        <w:rPr>
          <w:rFonts w:ascii="黑体" w:hAnsi="黑体" w:eastAsia="黑体" w:cs="黑体"/>
          <w:kern w:val="44"/>
          <w:sz w:val="36"/>
          <w:szCs w:val="36"/>
          <w:u w:color="000000"/>
          <w:lang w:val="zh-TW"/>
        </w:rPr>
      </w:pPr>
      <w:bookmarkStart w:id="12" w:name="_Toc67403426"/>
      <w:r>
        <w:rPr>
          <w:rFonts w:ascii="黑体" w:hAnsi="黑体" w:eastAsia="黑体" w:cs="黑体"/>
          <w:kern w:val="44"/>
          <w:sz w:val="36"/>
          <w:szCs w:val="36"/>
          <w:u w:color="000000"/>
          <w:lang w:val="zh-TW"/>
        </w:rPr>
        <w:br w:type="page"/>
      </w:r>
    </w:p>
    <w:p>
      <w:pPr>
        <w:keepNext/>
        <w:keepLines/>
        <w:spacing w:before="312" w:beforeLines="100" w:after="312" w:afterLines="100" w:line="360" w:lineRule="auto"/>
        <w:jc w:val="center"/>
        <w:outlineLvl w:val="0"/>
        <w:rPr>
          <w:rFonts w:ascii="黑体" w:hAnsi="黑体" w:eastAsia="黑体" w:cs="黑体"/>
          <w:kern w:val="44"/>
          <w:sz w:val="36"/>
          <w:szCs w:val="36"/>
          <w:u w:color="000000"/>
          <w:lang w:val="zh-TW"/>
        </w:rPr>
      </w:pPr>
      <w:r>
        <w:rPr>
          <w:rFonts w:ascii="黑体" w:hAnsi="黑体" w:eastAsia="黑体" w:cs="黑体"/>
          <w:kern w:val="44"/>
          <w:sz w:val="36"/>
          <w:szCs w:val="36"/>
          <w:u w:color="000000"/>
          <w:lang w:val="zh-TW"/>
        </w:rPr>
        <w:t>第</w:t>
      </w:r>
      <w:r>
        <w:rPr>
          <w:rFonts w:hint="eastAsia" w:ascii="黑体" w:hAnsi="黑体" w:eastAsia="黑体" w:cs="黑体"/>
          <w:kern w:val="44"/>
          <w:sz w:val="36"/>
          <w:szCs w:val="36"/>
          <w:u w:color="000000"/>
          <w:lang w:val="zh-TW"/>
        </w:rPr>
        <w:t>六</w:t>
      </w:r>
      <w:r>
        <w:rPr>
          <w:rFonts w:ascii="黑体" w:hAnsi="黑体" w:eastAsia="黑体" w:cs="黑体"/>
          <w:kern w:val="44"/>
          <w:sz w:val="36"/>
          <w:szCs w:val="36"/>
          <w:u w:color="000000"/>
          <w:lang w:val="zh-TW"/>
        </w:rPr>
        <w:t xml:space="preserve">章  </w:t>
      </w:r>
      <w:r>
        <w:rPr>
          <w:rFonts w:hint="eastAsia" w:ascii="黑体" w:hAnsi="黑体" w:eastAsia="黑体" w:cs="黑体"/>
          <w:kern w:val="44"/>
          <w:sz w:val="36"/>
          <w:szCs w:val="36"/>
          <w:u w:color="000000"/>
          <w:lang w:val="zh-TW"/>
        </w:rPr>
        <w:t>投标文件格式</w:t>
      </w:r>
      <w:bookmarkEnd w:id="12"/>
    </w:p>
    <w:p>
      <w:pPr>
        <w:spacing w:line="360" w:lineRule="auto"/>
        <w:jc w:val="right"/>
        <w:rPr>
          <w:rFonts w:ascii="黑体" w:hAnsi="黑体" w:eastAsia="PMingLiU" w:cs="宋体"/>
          <w:sz w:val="36"/>
          <w:szCs w:val="36"/>
          <w:lang w:val="zh-TW"/>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pPr>
        <w:spacing w:line="360" w:lineRule="auto"/>
        <w:rPr>
          <w:rFonts w:ascii="黑体" w:hAnsi="黑体" w:eastAsia="PMingLiU" w:cs="宋体"/>
          <w:sz w:val="36"/>
          <w:szCs w:val="36"/>
          <w:u w:val="single" w:color="000000"/>
          <w:lang w:val="zh-TW"/>
        </w:rPr>
      </w:pPr>
    </w:p>
    <w:p>
      <w:pPr>
        <w:spacing w:line="360" w:lineRule="auto"/>
        <w:rPr>
          <w:rFonts w:ascii="黑体" w:hAnsi="黑体" w:eastAsia="PMingLiU" w:cs="宋体"/>
          <w:sz w:val="36"/>
          <w:szCs w:val="36"/>
          <w:u w:val="single" w:color="000000"/>
          <w:lang w:val="zh-TW"/>
        </w:rPr>
      </w:pPr>
    </w:p>
    <w:p>
      <w:pPr>
        <w:spacing w:line="360" w:lineRule="auto"/>
        <w:jc w:val="center"/>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44"/>
          <w:szCs w:val="44"/>
          <w:lang w:val="en-US" w:eastAsia="zh-CN"/>
        </w:rPr>
        <w:t>紫金山实验室态势感知项目</w:t>
      </w:r>
    </w:p>
    <w:p>
      <w:pPr>
        <w:pStyle w:val="21"/>
        <w:rPr>
          <w:rFonts w:hint="default"/>
          <w:lang w:val="en-US" w:eastAsia="zh-CN"/>
        </w:rPr>
      </w:pPr>
    </w:p>
    <w:p>
      <w:pPr>
        <w:spacing w:line="360" w:lineRule="auto"/>
        <w:ind w:firstLine="1800" w:firstLineChars="500"/>
        <w:rPr>
          <w:rFonts w:hint="default" w:ascii="黑体" w:hAnsi="黑体" w:eastAsia="黑体" w:cs="仿宋_GB2312"/>
          <w:sz w:val="36"/>
          <w:szCs w:val="36"/>
          <w:u w:color="000000"/>
          <w:lang w:val="en-US" w:eastAsia="zh-CN"/>
        </w:rPr>
      </w:pPr>
      <w:r>
        <w:rPr>
          <w:rFonts w:ascii="Times New Roman" w:hAnsi="Times New Roman" w:eastAsia="黑体" w:cs="Times New Roman"/>
          <w:sz w:val="36"/>
          <w:szCs w:val="36"/>
          <w:u w:color="000000"/>
        </w:rPr>
        <w:t>项目编号：</w:t>
      </w:r>
      <w:r>
        <w:rPr>
          <w:rFonts w:hint="eastAsia" w:ascii="Times New Roman" w:hAnsi="Times New Roman" w:eastAsia="黑体" w:cs="Times New Roman"/>
          <w:sz w:val="36"/>
          <w:szCs w:val="36"/>
          <w:u w:color="000000"/>
        </w:rPr>
        <w:t>PML-ZH-ZB-20240</w:t>
      </w:r>
      <w:r>
        <w:rPr>
          <w:rFonts w:hint="eastAsia" w:ascii="Times New Roman" w:hAnsi="Times New Roman" w:eastAsia="黑体" w:cs="Times New Roman"/>
          <w:sz w:val="36"/>
          <w:szCs w:val="36"/>
          <w:u w:color="000000"/>
          <w:lang w:val="en-US" w:eastAsia="zh-CN"/>
        </w:rPr>
        <w:t>10</w:t>
      </w:r>
    </w:p>
    <w:p>
      <w:pPr>
        <w:spacing w:line="360" w:lineRule="auto"/>
        <w:jc w:val="center"/>
        <w:rPr>
          <w:rFonts w:ascii="黑体" w:hAnsi="黑体" w:eastAsia="黑体" w:cs="仿宋_GB2312"/>
          <w:sz w:val="36"/>
          <w:szCs w:val="36"/>
          <w:u w:color="000000"/>
        </w:rPr>
      </w:pPr>
    </w:p>
    <w:p>
      <w:pPr>
        <w:spacing w:after="120"/>
        <w:jc w:val="center"/>
        <w:rPr>
          <w:rFonts w:ascii="黑体" w:hAnsi="黑体" w:eastAsia="黑体" w:cs="黑体"/>
          <w:sz w:val="52"/>
          <w:szCs w:val="52"/>
          <w:u w:color="000000"/>
        </w:rPr>
      </w:pPr>
      <w:r>
        <w:rPr>
          <w:rFonts w:hint="eastAsia" w:ascii="黑体" w:hAnsi="黑体" w:eastAsia="黑体" w:cs="黑体"/>
          <w:sz w:val="52"/>
          <w:szCs w:val="52"/>
          <w:u w:color="000000"/>
          <w:lang w:val="zh-TW"/>
        </w:rPr>
        <w:t>投标</w:t>
      </w:r>
      <w:r>
        <w:rPr>
          <w:rFonts w:ascii="黑体" w:hAnsi="黑体" w:eastAsia="黑体" w:cs="黑体"/>
          <w:sz w:val="52"/>
          <w:szCs w:val="52"/>
          <w:u w:color="000000"/>
          <w:lang w:val="zh-TW"/>
        </w:rPr>
        <w:t>文件</w:t>
      </w:r>
    </w:p>
    <w:p>
      <w:pPr>
        <w:spacing w:line="360" w:lineRule="auto"/>
        <w:jc w:val="center"/>
        <w:rPr>
          <w:rFonts w:ascii="黑体" w:hAnsi="黑体" w:eastAsia="黑体" w:cs="仿宋_GB2312"/>
          <w:b/>
          <w:bCs/>
          <w:sz w:val="28"/>
          <w:szCs w:val="28"/>
          <w:u w:color="000000"/>
        </w:rPr>
      </w:pPr>
    </w:p>
    <w:p>
      <w:pPr>
        <w:spacing w:line="360" w:lineRule="auto"/>
        <w:jc w:val="center"/>
        <w:rPr>
          <w:rFonts w:ascii="黑体" w:hAnsi="黑体" w:eastAsia="黑体" w:cs="仿宋_GB2312"/>
          <w:b/>
          <w:bCs/>
          <w:sz w:val="28"/>
          <w:szCs w:val="28"/>
          <w:u w:color="000000"/>
        </w:rPr>
      </w:pPr>
    </w:p>
    <w:p>
      <w:pPr>
        <w:spacing w:line="360" w:lineRule="auto"/>
        <w:jc w:val="center"/>
        <w:rPr>
          <w:rFonts w:ascii="黑体" w:hAnsi="黑体" w:eastAsia="黑体" w:cs="仿宋_GB2312"/>
          <w:b/>
          <w:bCs/>
          <w:sz w:val="28"/>
          <w:szCs w:val="28"/>
          <w:u w:color="000000"/>
        </w:rPr>
      </w:pPr>
    </w:p>
    <w:p>
      <w:pPr>
        <w:spacing w:line="360" w:lineRule="auto"/>
        <w:jc w:val="center"/>
        <w:rPr>
          <w:rFonts w:ascii="黑体" w:hAnsi="黑体" w:eastAsia="黑体" w:cs="仿宋_GB2312"/>
          <w:b/>
          <w:bCs/>
          <w:sz w:val="28"/>
          <w:szCs w:val="28"/>
          <w:u w:color="000000"/>
        </w:rPr>
      </w:pPr>
    </w:p>
    <w:p>
      <w:pPr>
        <w:spacing w:line="360" w:lineRule="auto"/>
        <w:jc w:val="center"/>
        <w:rPr>
          <w:rFonts w:ascii="黑体" w:hAnsi="黑体" w:eastAsia="黑体" w:cs="仿宋_GB2312"/>
          <w:b/>
          <w:bCs/>
          <w:sz w:val="28"/>
          <w:szCs w:val="28"/>
          <w:u w:color="000000"/>
        </w:rPr>
      </w:pPr>
    </w:p>
    <w:p>
      <w:pPr>
        <w:spacing w:line="360" w:lineRule="auto"/>
        <w:jc w:val="center"/>
        <w:rPr>
          <w:rFonts w:ascii="黑体" w:hAnsi="黑体" w:eastAsia="黑体" w:cs="黑体"/>
          <w:sz w:val="28"/>
          <w:szCs w:val="28"/>
          <w:u w:color="000000"/>
        </w:rPr>
      </w:pPr>
      <w:r>
        <w:rPr>
          <w:rFonts w:hint="eastAsia" w:ascii="黑体" w:hAnsi="黑体" w:eastAsia="黑体" w:cs="黑体"/>
          <w:sz w:val="28"/>
          <w:szCs w:val="28"/>
          <w:u w:color="000000"/>
          <w:lang w:val="zh-TW"/>
        </w:rPr>
        <w:t>投标人</w:t>
      </w:r>
      <w:r>
        <w:rPr>
          <w:rFonts w:ascii="黑体" w:hAnsi="黑体" w:eastAsia="黑体" w:cs="黑体"/>
          <w:sz w:val="28"/>
          <w:szCs w:val="28"/>
          <w:u w:color="000000"/>
          <w:lang w:val="zh-TW"/>
        </w:rPr>
        <w:t>：</w:t>
      </w:r>
      <w:r>
        <w:rPr>
          <w:rFonts w:hint="eastAsia" w:ascii="黑体" w:hAnsi="黑体" w:eastAsia="黑体" w:cs="黑体"/>
          <w:sz w:val="28"/>
          <w:szCs w:val="28"/>
          <w:u w:val="single"/>
          <w:lang w:val="zh-TW"/>
        </w:rPr>
        <w:t xml:space="preserve">     </w:t>
      </w:r>
      <w:r>
        <w:rPr>
          <w:rFonts w:ascii="黑体" w:hAnsi="黑体" w:eastAsia="PMingLiU" w:cs="黑体"/>
          <w:sz w:val="28"/>
          <w:szCs w:val="28"/>
          <w:u w:val="single"/>
          <w:lang w:val="zh-TW"/>
        </w:rPr>
        <w:t xml:space="preserve">   </w:t>
      </w:r>
      <w:r>
        <w:rPr>
          <w:rFonts w:hint="eastAsia" w:ascii="黑体" w:hAnsi="黑体" w:eastAsia="黑体" w:cs="黑体"/>
          <w:sz w:val="28"/>
          <w:szCs w:val="28"/>
          <w:u w:val="single"/>
          <w:lang w:val="zh-TW"/>
        </w:rPr>
        <w:t xml:space="preserve">               </w:t>
      </w:r>
      <w:r>
        <w:rPr>
          <w:rFonts w:ascii="黑体" w:hAnsi="黑体" w:eastAsia="黑体" w:cs="黑体"/>
          <w:sz w:val="28"/>
          <w:szCs w:val="28"/>
          <w:u w:color="000000"/>
          <w:lang w:val="zh-TW"/>
        </w:rPr>
        <w:t>（盖单位章）</w:t>
      </w:r>
    </w:p>
    <w:p>
      <w:pPr>
        <w:spacing w:line="360" w:lineRule="auto"/>
        <w:jc w:val="center"/>
        <w:rPr>
          <w:rFonts w:ascii="黑体" w:hAnsi="黑体" w:eastAsia="黑体" w:cs="黑体"/>
          <w:sz w:val="28"/>
          <w:szCs w:val="28"/>
          <w:u w:val="single" w:color="000000"/>
        </w:rPr>
      </w:pPr>
      <w:r>
        <w:rPr>
          <w:rFonts w:ascii="黑体" w:hAnsi="黑体" w:eastAsia="黑体" w:cs="黑体"/>
          <w:sz w:val="28"/>
          <w:szCs w:val="28"/>
          <w:u w:color="000000"/>
          <w:lang w:val="zh-TW"/>
        </w:rPr>
        <w:t>法定代表人或其委托代理人：</w:t>
      </w:r>
      <w:r>
        <w:rPr>
          <w:rFonts w:hint="eastAsia" w:ascii="黑体" w:hAnsi="黑体" w:eastAsia="黑体" w:cs="黑体"/>
          <w:sz w:val="28"/>
          <w:szCs w:val="28"/>
          <w:u w:val="single"/>
          <w:lang w:val="zh-TW"/>
        </w:rPr>
        <w:t xml:space="preserve">         </w:t>
      </w:r>
      <w:r>
        <w:rPr>
          <w:rFonts w:ascii="黑体" w:hAnsi="黑体" w:eastAsia="黑体" w:cs="黑体"/>
          <w:sz w:val="28"/>
          <w:szCs w:val="28"/>
          <w:u w:color="000000"/>
          <w:lang w:val="zh-TW"/>
        </w:rPr>
        <w:t>（签字）</w:t>
      </w:r>
    </w:p>
    <w:p>
      <w:pPr>
        <w:spacing w:line="360" w:lineRule="auto"/>
        <w:jc w:val="center"/>
        <w:rPr>
          <w:rFonts w:ascii="黑体" w:hAnsi="黑体" w:eastAsia="黑体" w:cs="仿宋_GB2312"/>
          <w:sz w:val="28"/>
          <w:szCs w:val="28"/>
          <w:u w:val="single" w:color="000000"/>
        </w:rPr>
      </w:pPr>
      <w:r>
        <w:rPr>
          <w:rFonts w:ascii="黑体" w:hAnsi="黑体" w:eastAsia="黑体" w:cs="黑体"/>
          <w:sz w:val="28"/>
          <w:szCs w:val="28"/>
          <w:u w:val="single" w:color="000000"/>
        </w:rPr>
        <w:t xml:space="preserve">       </w:t>
      </w:r>
      <w:r>
        <w:rPr>
          <w:rFonts w:ascii="黑体" w:hAnsi="黑体" w:eastAsia="黑体" w:cs="黑体"/>
          <w:sz w:val="28"/>
          <w:szCs w:val="28"/>
          <w:u w:color="000000"/>
          <w:lang w:val="zh-TW"/>
        </w:rPr>
        <w:t>年</w:t>
      </w:r>
      <w:r>
        <w:rPr>
          <w:rFonts w:hint="eastAsia" w:ascii="黑体" w:hAnsi="黑体" w:eastAsia="黑体" w:cs="黑体"/>
          <w:sz w:val="28"/>
          <w:szCs w:val="28"/>
          <w:u w:val="single"/>
          <w:lang w:val="zh-TW"/>
        </w:rPr>
        <w:t xml:space="preserve">    </w:t>
      </w:r>
      <w:r>
        <w:rPr>
          <w:rFonts w:ascii="黑体" w:hAnsi="黑体" w:eastAsia="黑体" w:cs="黑体"/>
          <w:sz w:val="28"/>
          <w:szCs w:val="28"/>
          <w:u w:color="000000"/>
          <w:lang w:val="zh-TW"/>
        </w:rPr>
        <w:t>月</w:t>
      </w:r>
      <w:r>
        <w:rPr>
          <w:rFonts w:hint="eastAsia" w:ascii="黑体" w:hAnsi="黑体" w:eastAsia="黑体" w:cs="黑体"/>
          <w:sz w:val="28"/>
          <w:szCs w:val="28"/>
          <w:u w:val="single"/>
          <w:lang w:val="zh-TW"/>
        </w:rPr>
        <w:t xml:space="preserve">     </w:t>
      </w:r>
      <w:r>
        <w:rPr>
          <w:rFonts w:ascii="黑体" w:hAnsi="黑体" w:eastAsia="黑体" w:cs="黑体"/>
          <w:sz w:val="28"/>
          <w:szCs w:val="28"/>
          <w:u w:color="000000"/>
          <w:lang w:val="zh-TW"/>
        </w:rPr>
        <w:t>日</w:t>
      </w:r>
    </w:p>
    <w:p>
      <w:pPr>
        <w:widowControl/>
        <w:jc w:val="left"/>
        <w:rPr>
          <w:rFonts w:ascii="Times New Roman" w:hAnsi="Times New Roman" w:eastAsia="宋体" w:cs="Times New Roman"/>
        </w:rPr>
      </w:pPr>
      <w:r>
        <w:rPr>
          <w:rFonts w:ascii="Times New Roman" w:hAnsi="Times New Roman" w:eastAsia="宋体" w:cs="Times New Roman"/>
        </w:rPr>
        <w:br w:type="page"/>
      </w:r>
    </w:p>
    <w:p>
      <w:pPr>
        <w:spacing w:line="360" w:lineRule="auto"/>
        <w:jc w:val="center"/>
        <w:rPr>
          <w:rFonts w:ascii="黑体" w:hAnsi="黑体" w:eastAsia="黑体" w:cs="Times New Roman"/>
          <w:sz w:val="28"/>
          <w:szCs w:val="28"/>
        </w:rPr>
      </w:pPr>
      <w:r>
        <w:rPr>
          <w:rFonts w:hint="eastAsia" w:ascii="黑体" w:hAnsi="黑体" w:eastAsia="黑体" w:cs="Times New Roman"/>
          <w:sz w:val="28"/>
          <w:szCs w:val="28"/>
        </w:rPr>
        <w:t>资格性和符合性检查响应对照及评分索引表</w:t>
      </w:r>
    </w:p>
    <w:p>
      <w:pPr>
        <w:spacing w:before="156" w:beforeLines="50" w:after="156" w:afterLines="50"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投标人全称（加盖公章）：</w:t>
      </w:r>
      <w:r>
        <w:rPr>
          <w:rFonts w:hint="eastAsia" w:ascii="Times New Roman" w:hAnsi="Times New Roman" w:eastAsia="宋体" w:cs="Times New Roman"/>
          <w:sz w:val="24"/>
          <w:szCs w:val="24"/>
          <w:u w:val="single"/>
        </w:rPr>
        <w:t xml:space="preserve">                            </w:t>
      </w:r>
    </w:p>
    <w:tbl>
      <w:tblPr>
        <w:tblStyle w:val="2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pPr>
              <w:snapToGrid w:val="0"/>
              <w:spacing w:line="240" w:lineRule="atLeast"/>
              <w:jc w:val="center"/>
              <w:rPr>
                <w:rFonts w:ascii="Times New Roman" w:hAnsi="Times New Roman" w:eastAsia="宋体" w:cs="Times New Roman"/>
                <w:b/>
              </w:rPr>
            </w:pPr>
            <w:r>
              <w:rPr>
                <w:rFonts w:ascii="Times New Roman" w:hAnsi="Times New Roman" w:eastAsia="宋体" w:cs="Times New Roman"/>
                <w:b/>
              </w:rPr>
              <w:t>序号</w:t>
            </w:r>
          </w:p>
        </w:tc>
        <w:tc>
          <w:tcPr>
            <w:tcW w:w="4838" w:type="dxa"/>
            <w:vAlign w:val="center"/>
          </w:tcPr>
          <w:p>
            <w:pPr>
              <w:snapToGrid w:val="0"/>
              <w:spacing w:line="240" w:lineRule="atLeast"/>
              <w:jc w:val="center"/>
              <w:rPr>
                <w:rFonts w:ascii="Times New Roman" w:hAnsi="Times New Roman" w:eastAsia="宋体" w:cs="Times New Roman"/>
                <w:b/>
              </w:rPr>
            </w:pPr>
            <w:r>
              <w:rPr>
                <w:rFonts w:ascii="Times New Roman" w:hAnsi="Times New Roman" w:eastAsia="宋体" w:cs="Times New Roman"/>
                <w:b/>
              </w:rPr>
              <w:t>资格性和符合性检查响应内容</w:t>
            </w:r>
          </w:p>
        </w:tc>
        <w:tc>
          <w:tcPr>
            <w:tcW w:w="1756" w:type="dxa"/>
            <w:vAlign w:val="center"/>
          </w:tcPr>
          <w:p>
            <w:pPr>
              <w:snapToGrid w:val="0"/>
              <w:spacing w:line="240" w:lineRule="atLeast"/>
              <w:jc w:val="center"/>
              <w:rPr>
                <w:rFonts w:ascii="Times New Roman" w:hAnsi="Times New Roman" w:eastAsia="宋体" w:cs="Times New Roman"/>
                <w:b/>
              </w:rPr>
            </w:pPr>
            <w:r>
              <w:rPr>
                <w:rFonts w:ascii="Times New Roman" w:hAnsi="Times New Roman" w:eastAsia="宋体" w:cs="Times New Roman"/>
                <w:b/>
              </w:rPr>
              <w:t>是否响应</w:t>
            </w:r>
          </w:p>
          <w:p>
            <w:pPr>
              <w:snapToGrid w:val="0"/>
              <w:spacing w:line="240" w:lineRule="atLeast"/>
              <w:jc w:val="center"/>
              <w:rPr>
                <w:rFonts w:ascii="Times New Roman" w:hAnsi="Times New Roman" w:eastAsia="宋体" w:cs="Times New Roman"/>
                <w:b/>
              </w:rPr>
            </w:pPr>
            <w:r>
              <w:rPr>
                <w:rFonts w:ascii="Times New Roman" w:hAnsi="Times New Roman" w:eastAsia="宋体" w:cs="Times New Roman"/>
                <w:b/>
              </w:rPr>
              <w:t>（填是或者否）</w:t>
            </w:r>
          </w:p>
        </w:tc>
        <w:tc>
          <w:tcPr>
            <w:tcW w:w="1738" w:type="dxa"/>
            <w:vAlign w:val="center"/>
          </w:tcPr>
          <w:p>
            <w:pPr>
              <w:snapToGrid w:val="0"/>
              <w:spacing w:line="240" w:lineRule="atLeast"/>
              <w:jc w:val="center"/>
              <w:rPr>
                <w:rFonts w:ascii="Times New Roman" w:hAnsi="Times New Roman" w:eastAsia="宋体" w:cs="Times New Roman"/>
                <w:b/>
              </w:rPr>
            </w:pPr>
            <w:r>
              <w:rPr>
                <w:rFonts w:ascii="Times New Roman" w:hAnsi="Times New Roman" w:eastAsia="宋体" w:cs="Times New Roman"/>
                <w:b/>
              </w:rPr>
              <w:t>投标文件中的</w:t>
            </w:r>
          </w:p>
          <w:p>
            <w:pPr>
              <w:snapToGrid w:val="0"/>
              <w:spacing w:line="240" w:lineRule="atLeast"/>
              <w:jc w:val="center"/>
              <w:rPr>
                <w:rFonts w:ascii="Times New Roman" w:hAnsi="Times New Roman" w:eastAsia="宋体" w:cs="Times New Roman"/>
                <w:b/>
              </w:rPr>
            </w:pPr>
            <w:r>
              <w:rPr>
                <w:rFonts w:ascii="Times New Roman" w:hAnsi="Times New Roman" w:eastAsia="宋体" w:cs="Times New Roman"/>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38" w:type="dxa"/>
            <w:vAlign w:val="center"/>
          </w:tcPr>
          <w:p>
            <w:pPr>
              <w:spacing w:line="480" w:lineRule="exact"/>
              <w:rPr>
                <w:rFonts w:ascii="Times New Roman" w:hAnsi="Times New Roman" w:eastAsia="宋体" w:cs="Times New Roman"/>
                <w:iCs/>
              </w:rPr>
            </w:pPr>
          </w:p>
        </w:tc>
        <w:tc>
          <w:tcPr>
            <w:tcW w:w="1756" w:type="dxa"/>
            <w:vAlign w:val="center"/>
          </w:tcPr>
          <w:p>
            <w:pPr>
              <w:rPr>
                <w:rFonts w:ascii="Times New Roman" w:hAnsi="Times New Roman" w:eastAsia="宋体" w:cs="Times New Roman"/>
                <w:b/>
              </w:rPr>
            </w:pPr>
          </w:p>
        </w:tc>
        <w:tc>
          <w:tcPr>
            <w:tcW w:w="1738" w:type="dxa"/>
            <w:vAlign w:val="center"/>
          </w:tcPr>
          <w:p>
            <w:pPr>
              <w:rPr>
                <w:rFonts w:ascii="Times New Roman" w:hAnsi="Times New Roman" w:eastAsia="宋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38" w:type="dxa"/>
            <w:vAlign w:val="center"/>
          </w:tcPr>
          <w:p>
            <w:pPr>
              <w:snapToGrid w:val="0"/>
              <w:spacing w:before="50" w:after="156" w:afterLines="50"/>
              <w:rPr>
                <w:rFonts w:ascii="Times New Roman" w:hAnsi="Times New Roman" w:eastAsia="宋体" w:cs="Times New Roman"/>
                <w:b/>
                <w:sz w:val="28"/>
                <w:szCs w:val="28"/>
              </w:rPr>
            </w:pPr>
          </w:p>
        </w:tc>
        <w:tc>
          <w:tcPr>
            <w:tcW w:w="1756" w:type="dxa"/>
            <w:vAlign w:val="center"/>
          </w:tcPr>
          <w:p>
            <w:pPr>
              <w:rPr>
                <w:rFonts w:ascii="Times New Roman" w:hAnsi="Times New Roman" w:eastAsia="宋体" w:cs="Times New Roman"/>
              </w:rPr>
            </w:pPr>
          </w:p>
        </w:tc>
        <w:tc>
          <w:tcPr>
            <w:tcW w:w="1738" w:type="dxa"/>
            <w:vAlign w:val="center"/>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38" w:type="dxa"/>
            <w:vAlign w:val="center"/>
          </w:tcPr>
          <w:p>
            <w:pPr>
              <w:spacing w:line="480" w:lineRule="exact"/>
              <w:rPr>
                <w:rFonts w:ascii="Times New Roman" w:hAnsi="Times New Roman" w:eastAsia="宋体" w:cs="Times New Roman"/>
                <w:iCs/>
              </w:rPr>
            </w:pPr>
          </w:p>
        </w:tc>
        <w:tc>
          <w:tcPr>
            <w:tcW w:w="1756" w:type="dxa"/>
            <w:vAlign w:val="center"/>
          </w:tcPr>
          <w:p>
            <w:pPr>
              <w:rPr>
                <w:rFonts w:ascii="Times New Roman" w:hAnsi="Times New Roman" w:eastAsia="宋体" w:cs="Times New Roman"/>
              </w:rPr>
            </w:pPr>
          </w:p>
        </w:tc>
        <w:tc>
          <w:tcPr>
            <w:tcW w:w="1738" w:type="dxa"/>
            <w:vAlign w:val="center"/>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838" w:type="dxa"/>
            <w:vAlign w:val="center"/>
          </w:tcPr>
          <w:p>
            <w:pPr>
              <w:spacing w:line="360" w:lineRule="auto"/>
              <w:rPr>
                <w:rFonts w:ascii="Times New Roman" w:hAnsi="Times New Roman" w:eastAsia="宋体" w:cs="Times New Roman"/>
                <w:iCs/>
              </w:rPr>
            </w:pPr>
          </w:p>
        </w:tc>
        <w:tc>
          <w:tcPr>
            <w:tcW w:w="1756" w:type="dxa"/>
            <w:vAlign w:val="center"/>
          </w:tcPr>
          <w:p>
            <w:pPr>
              <w:rPr>
                <w:rFonts w:ascii="Times New Roman" w:hAnsi="Times New Roman" w:eastAsia="宋体" w:cs="Times New Roman"/>
              </w:rPr>
            </w:pPr>
          </w:p>
        </w:tc>
        <w:tc>
          <w:tcPr>
            <w:tcW w:w="1738" w:type="dxa"/>
            <w:vAlign w:val="center"/>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4838" w:type="dxa"/>
            <w:vAlign w:val="center"/>
          </w:tcPr>
          <w:p>
            <w:pPr>
              <w:snapToGrid w:val="0"/>
              <w:spacing w:line="590" w:lineRule="atLeast"/>
              <w:rPr>
                <w:rFonts w:ascii="Times New Roman" w:hAnsi="Times New Roman" w:eastAsia="宋体" w:cs="Times New Roman"/>
                <w:iCs/>
              </w:rPr>
            </w:pPr>
          </w:p>
        </w:tc>
        <w:tc>
          <w:tcPr>
            <w:tcW w:w="1756" w:type="dxa"/>
            <w:vAlign w:val="center"/>
          </w:tcPr>
          <w:p>
            <w:pPr>
              <w:rPr>
                <w:rFonts w:ascii="Times New Roman" w:hAnsi="Times New Roman" w:eastAsia="宋体" w:cs="Times New Roman"/>
              </w:rPr>
            </w:pPr>
          </w:p>
        </w:tc>
        <w:tc>
          <w:tcPr>
            <w:tcW w:w="1738" w:type="dxa"/>
            <w:vAlign w:val="center"/>
          </w:tcPr>
          <w:p>
            <w:pPr>
              <w:rPr>
                <w:rFonts w:ascii="Times New Roman" w:hAnsi="Times New Roman" w:eastAsia="宋体"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评分项</w:t>
            </w: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在投标文件中的页码位置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rPr>
            </w:pPr>
          </w:p>
        </w:tc>
      </w:tr>
    </w:tbl>
    <w:p>
      <w:pPr>
        <w:spacing w:line="360" w:lineRule="auto"/>
        <w:jc w:val="left"/>
        <w:rPr>
          <w:rFonts w:ascii="Times New Roman" w:hAnsi="Times New Roman" w:eastAsia="宋体" w:cs="Times New Roman"/>
        </w:rPr>
      </w:pPr>
    </w:p>
    <w:p>
      <w:pPr>
        <w:spacing w:line="360" w:lineRule="auto"/>
        <w:jc w:val="left"/>
        <w:rPr>
          <w:rFonts w:ascii="Times New Roman" w:hAnsi="Times New Roman" w:eastAsia="宋体" w:cs="Times New Roman"/>
        </w:rPr>
      </w:pPr>
    </w:p>
    <w:p>
      <w:pPr>
        <w:jc w:val="left"/>
        <w:rPr>
          <w:rFonts w:ascii="Times New Roman" w:hAnsi="Times New Roman" w:eastAsia="宋体" w:cs="Times New Roman"/>
        </w:rPr>
      </w:pPr>
      <w:r>
        <w:rPr>
          <w:rFonts w:ascii="Times New Roman" w:hAnsi="Times New Roman" w:eastAsia="宋体" w:cs="Times New Roman"/>
        </w:rPr>
        <w:br w:type="page"/>
      </w:r>
    </w:p>
    <w:p>
      <w:pPr>
        <w:spacing w:before="312" w:beforeLines="100" w:after="312" w:afterLines="100" w:line="360" w:lineRule="auto"/>
        <w:jc w:val="center"/>
        <w:rPr>
          <w:rFonts w:ascii="黑体" w:hAnsi="黑体" w:eastAsia="黑体" w:cs="Arial Unicode MS"/>
          <w:sz w:val="36"/>
          <w:szCs w:val="36"/>
          <w:u w:color="000000"/>
        </w:rPr>
      </w:pPr>
      <w:r>
        <w:rPr>
          <w:rFonts w:hint="eastAsia" w:ascii="黑体" w:hAnsi="黑体" w:eastAsia="黑体" w:cs="宋体"/>
          <w:sz w:val="36"/>
          <w:szCs w:val="36"/>
          <w:u w:color="000000"/>
          <w:lang w:val="zh-TW"/>
        </w:rPr>
        <w:t>目  录</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一、投标函</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二、投标</w:t>
      </w:r>
      <w:r>
        <w:rPr>
          <w:rFonts w:ascii="Times New Roman" w:hAnsi="Times New Roman" w:eastAsia="宋体" w:cs="Times New Roman"/>
          <w:sz w:val="24"/>
          <w:szCs w:val="24"/>
          <w:u w:color="000000"/>
        </w:rPr>
        <w:t>一览表</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三、法人授权书</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四、资格证明文件</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五、商务条款响应及偏离表</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六、技术参数响应及偏离表</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七、技术</w:t>
      </w:r>
      <w:r>
        <w:rPr>
          <w:rFonts w:ascii="Times New Roman" w:hAnsi="Times New Roman" w:eastAsia="宋体" w:cs="Times New Roman"/>
          <w:sz w:val="24"/>
          <w:szCs w:val="24"/>
          <w:u w:color="000000"/>
        </w:rPr>
        <w:t>规范点对点应答</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八、投标产品</w:t>
      </w:r>
      <w:r>
        <w:rPr>
          <w:rFonts w:ascii="Times New Roman" w:hAnsi="Times New Roman" w:eastAsia="宋体" w:cs="Times New Roman"/>
          <w:sz w:val="24"/>
          <w:szCs w:val="24"/>
          <w:u w:color="000000"/>
        </w:rPr>
        <w:t>要求</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九</w:t>
      </w:r>
      <w:r>
        <w:rPr>
          <w:rFonts w:ascii="Times New Roman" w:hAnsi="Times New Roman" w:eastAsia="宋体" w:cs="Times New Roman"/>
          <w:sz w:val="24"/>
          <w:szCs w:val="24"/>
          <w:u w:color="000000"/>
        </w:rPr>
        <w:t>、</w:t>
      </w:r>
      <w:r>
        <w:rPr>
          <w:rFonts w:hint="eastAsia" w:ascii="Times New Roman" w:hAnsi="Times New Roman" w:eastAsia="宋体" w:cs="Times New Roman"/>
          <w:sz w:val="24"/>
          <w:szCs w:val="24"/>
          <w:u w:color="000000"/>
        </w:rPr>
        <w:t>技术方案</w:t>
      </w:r>
    </w:p>
    <w:p>
      <w:pPr>
        <w:spacing w:line="36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十、投标人其它声明及材料</w:t>
      </w:r>
    </w:p>
    <w:p>
      <w:pPr>
        <w:spacing w:line="360" w:lineRule="auto"/>
        <w:rPr>
          <w:rFonts w:ascii="宋体" w:hAnsi="宋体" w:eastAsia="宋体" w:cs="Arial Unicode MS"/>
          <w:sz w:val="28"/>
          <w:szCs w:val="28"/>
          <w:u w:color="000000"/>
        </w:rPr>
      </w:pPr>
    </w:p>
    <w:p>
      <w:pPr>
        <w:jc w:val="left"/>
        <w:rPr>
          <w:rFonts w:ascii="Times New Roman" w:hAnsi="Times New Roman" w:eastAsia="宋体" w:cs="Times New Roman"/>
        </w:rPr>
      </w:pPr>
      <w:r>
        <w:rPr>
          <w:rFonts w:ascii="Times New Roman" w:hAnsi="Times New Roman" w:eastAsia="宋体" w:cs="Times New Roman"/>
        </w:rPr>
        <w:br w:type="page"/>
      </w:r>
    </w:p>
    <w:p>
      <w:pPr>
        <w:tabs>
          <w:tab w:val="left" w:pos="576"/>
        </w:tabs>
        <w:spacing w:before="156" w:beforeLines="50" w:after="156" w:afterLines="50" w:line="360" w:lineRule="auto"/>
        <w:outlineLvl w:val="2"/>
        <w:rPr>
          <w:rFonts w:ascii="Times New Roman" w:hAnsi="Times New Roman" w:eastAsia="黑体" w:cs="Times New Roman"/>
          <w:sz w:val="24"/>
          <w:szCs w:val="24"/>
          <w:u w:color="000000"/>
        </w:rPr>
      </w:pPr>
      <w:bookmarkStart w:id="13" w:name="_Toc415494574"/>
      <w:bookmarkStart w:id="14" w:name="_Toc448069988"/>
      <w:bookmarkStart w:id="15" w:name="_Toc50"/>
      <w:bookmarkStart w:id="16" w:name="_Toc11859491"/>
      <w:bookmarkStart w:id="17" w:name="_Toc67403427"/>
      <w:r>
        <w:rPr>
          <w:rFonts w:ascii="Times New Roman" w:hAnsi="Times New Roman" w:eastAsia="黑体" w:cs="Times New Roman"/>
          <w:sz w:val="24"/>
          <w:szCs w:val="24"/>
          <w:u w:color="000000"/>
        </w:rPr>
        <w:t xml:space="preserve">6.1 </w:t>
      </w:r>
      <w:bookmarkEnd w:id="13"/>
      <w:bookmarkEnd w:id="14"/>
      <w:bookmarkEnd w:id="15"/>
      <w:r>
        <w:rPr>
          <w:rFonts w:hint="eastAsia" w:ascii="Times New Roman" w:hAnsi="Times New Roman" w:eastAsia="黑体" w:cs="Times New Roman"/>
          <w:sz w:val="24"/>
          <w:szCs w:val="24"/>
          <w:u w:color="000000"/>
        </w:rPr>
        <w:t>投标函</w:t>
      </w:r>
      <w:bookmarkEnd w:id="16"/>
      <w:bookmarkEnd w:id="17"/>
    </w:p>
    <w:p>
      <w:pPr>
        <w:snapToGrid w:val="0"/>
        <w:spacing w:line="360" w:lineRule="auto"/>
        <w:jc w:val="center"/>
        <w:rPr>
          <w:rFonts w:ascii="黑体" w:hAnsi="黑体" w:eastAsia="黑体" w:cs="Times New Roman"/>
          <w:sz w:val="28"/>
          <w:szCs w:val="24"/>
          <w:u w:color="000000"/>
          <w:lang w:val="zh-TW"/>
        </w:rPr>
      </w:pPr>
      <w:r>
        <w:rPr>
          <w:rFonts w:hint="eastAsia" w:ascii="黑体" w:hAnsi="黑体" w:eastAsia="黑体" w:cs="Times New Roman"/>
          <w:sz w:val="28"/>
          <w:szCs w:val="24"/>
          <w:u w:color="000000"/>
          <w:lang w:val="zh-TW"/>
        </w:rPr>
        <w:t>投标函</w:t>
      </w:r>
    </w:p>
    <w:p>
      <w:pPr>
        <w:pStyle w:val="42"/>
        <w:spacing w:before="0" w:after="0" w:line="300" w:lineRule="auto"/>
        <w:ind w:firstLine="0"/>
        <w:rPr>
          <w:rFonts w:hint="default" w:ascii="Times New Roman" w:hAnsi="Times New Roman" w:eastAsia="宋体"/>
          <w:kern w:val="2"/>
          <w:szCs w:val="21"/>
          <w:lang w:val="en-US" w:eastAsia="zh-CN"/>
        </w:rPr>
      </w:pPr>
      <w:r>
        <w:rPr>
          <w:rFonts w:ascii="Times New Roman" w:hAnsi="Times New Roman"/>
          <w:kern w:val="2"/>
          <w:szCs w:val="21"/>
        </w:rPr>
        <w:t>致：</w:t>
      </w:r>
      <w:r>
        <w:rPr>
          <w:rFonts w:hint="eastAsia" w:ascii="Times New Roman" w:hAnsi="Times New Roman"/>
          <w:kern w:val="2"/>
          <w:szCs w:val="21"/>
          <w:lang w:val="en-US" w:eastAsia="zh-CN"/>
        </w:rPr>
        <w:t>紫金山实验室</w:t>
      </w:r>
    </w:p>
    <w:p>
      <w:pPr>
        <w:pStyle w:val="42"/>
        <w:spacing w:before="0" w:after="0" w:line="300" w:lineRule="auto"/>
        <w:ind w:firstLineChars="200"/>
        <w:rPr>
          <w:rFonts w:ascii="Times New Roman" w:hAnsi="Times New Roman"/>
          <w:kern w:val="2"/>
          <w:szCs w:val="21"/>
        </w:rPr>
      </w:pPr>
      <w:r>
        <w:rPr>
          <w:rFonts w:ascii="Times New Roman" w:hAnsi="Times New Roman"/>
          <w:kern w:val="2"/>
          <w:szCs w:val="21"/>
        </w:rPr>
        <w:t>根据贵方</w:t>
      </w:r>
      <w:r>
        <w:rPr>
          <w:rFonts w:hint="eastAsia" w:ascii="Times New Roman" w:hAnsi="Times New Roman"/>
          <w:kern w:val="2"/>
          <w:szCs w:val="21"/>
          <w:u w:val="single"/>
          <w:lang w:val="en-US" w:eastAsia="zh-CN"/>
        </w:rPr>
        <w:t>紫金山实验室态势感知项目</w:t>
      </w:r>
      <w:r>
        <w:rPr>
          <w:rFonts w:hint="eastAsia" w:ascii="Times New Roman" w:hAnsi="Times New Roman"/>
          <w:kern w:val="2"/>
          <w:szCs w:val="21"/>
          <w:u w:val="single"/>
        </w:rPr>
        <w:t>（</w:t>
      </w:r>
      <w:r>
        <w:rPr>
          <w:rFonts w:ascii="Times New Roman" w:hAnsi="Times New Roman"/>
          <w:kern w:val="2"/>
          <w:szCs w:val="21"/>
          <w:u w:val="single"/>
        </w:rPr>
        <w:t>项目编号</w:t>
      </w:r>
      <w:r>
        <w:rPr>
          <w:rFonts w:hint="eastAsia" w:ascii="Times New Roman" w:hAnsi="Times New Roman"/>
          <w:kern w:val="2"/>
          <w:szCs w:val="21"/>
          <w:u w:val="single"/>
        </w:rPr>
        <w:t>：PML-ZH-ZB-20240</w:t>
      </w:r>
      <w:r>
        <w:rPr>
          <w:rFonts w:hint="eastAsia" w:ascii="Times New Roman" w:hAnsi="Times New Roman"/>
          <w:kern w:val="2"/>
          <w:szCs w:val="21"/>
          <w:u w:val="single"/>
          <w:lang w:val="en-US" w:eastAsia="zh-CN"/>
        </w:rPr>
        <w:t>10</w:t>
      </w:r>
      <w:r>
        <w:rPr>
          <w:rFonts w:hint="eastAsia" w:ascii="Times New Roman" w:hAnsi="Times New Roman"/>
          <w:kern w:val="2"/>
          <w:szCs w:val="21"/>
          <w:u w:val="single"/>
        </w:rPr>
        <w:t>）</w:t>
      </w:r>
      <w:r>
        <w:rPr>
          <w:rFonts w:ascii="Times New Roman" w:hAnsi="Times New Roman"/>
          <w:kern w:val="2"/>
          <w:szCs w:val="21"/>
        </w:rPr>
        <w:t>的采购文件，正式授权下述签字人____________</w:t>
      </w:r>
      <w:r>
        <w:rPr>
          <w:rFonts w:hint="eastAsia" w:ascii="Times New Roman" w:hAnsi="Times New Roman"/>
          <w:kern w:val="2"/>
          <w:szCs w:val="21"/>
        </w:rPr>
        <w:t>（</w:t>
      </w:r>
      <w:r>
        <w:rPr>
          <w:rFonts w:ascii="Times New Roman" w:hAnsi="Times New Roman"/>
          <w:kern w:val="2"/>
          <w:szCs w:val="21"/>
        </w:rPr>
        <w:t>姓名和职务</w:t>
      </w:r>
      <w:r>
        <w:rPr>
          <w:rFonts w:hint="eastAsia" w:ascii="Times New Roman" w:hAnsi="Times New Roman"/>
          <w:kern w:val="2"/>
          <w:szCs w:val="21"/>
        </w:rPr>
        <w:t>）</w:t>
      </w:r>
      <w:r>
        <w:rPr>
          <w:rFonts w:ascii="Times New Roman" w:hAnsi="Times New Roman"/>
          <w:kern w:val="2"/>
          <w:szCs w:val="21"/>
        </w:rPr>
        <w:t>代表我方____________（投标人的名称），全权处理本次项目投标的有关事宜。</w:t>
      </w:r>
    </w:p>
    <w:p>
      <w:pPr>
        <w:pStyle w:val="42"/>
        <w:spacing w:before="0" w:after="0" w:line="300" w:lineRule="auto"/>
        <w:ind w:firstLineChars="200"/>
        <w:rPr>
          <w:rFonts w:ascii="Times New Roman" w:hAnsi="Times New Roman"/>
          <w:kern w:val="2"/>
          <w:szCs w:val="21"/>
        </w:rPr>
      </w:pPr>
      <w:r>
        <w:rPr>
          <w:rFonts w:ascii="Times New Roman" w:hAnsi="Times New Roman"/>
          <w:kern w:val="2"/>
          <w:szCs w:val="21"/>
        </w:rPr>
        <w:t>据此函，</w:t>
      </w:r>
      <w:r>
        <w:rPr>
          <w:rFonts w:hint="eastAsia" w:ascii="Times New Roman" w:hAnsi="Times New Roman"/>
          <w:kern w:val="2"/>
          <w:szCs w:val="21"/>
        </w:rPr>
        <w:t>投标</w:t>
      </w:r>
      <w:r>
        <w:rPr>
          <w:rFonts w:ascii="Times New Roman" w:hAnsi="Times New Roman"/>
          <w:kern w:val="2"/>
          <w:szCs w:val="21"/>
        </w:rPr>
        <w:t>人宣布同意如下：</w:t>
      </w:r>
    </w:p>
    <w:p>
      <w:pPr>
        <w:pStyle w:val="42"/>
        <w:spacing w:before="0" w:after="0" w:line="300" w:lineRule="auto"/>
        <w:rPr>
          <w:rFonts w:ascii="Times New Roman" w:hAnsi="Times New Roman"/>
          <w:kern w:val="2"/>
          <w:szCs w:val="21"/>
        </w:rPr>
      </w:pPr>
      <w:r>
        <w:rPr>
          <w:rFonts w:ascii="Times New Roman" w:hAnsi="Times New Roman"/>
          <w:kern w:val="2"/>
          <w:szCs w:val="21"/>
        </w:rPr>
        <w:t>1.按采购文件规定的各项要求，向买方提供所需货物与服务。</w:t>
      </w:r>
    </w:p>
    <w:p>
      <w:pPr>
        <w:pStyle w:val="42"/>
        <w:spacing w:before="0" w:after="0" w:line="300" w:lineRule="auto"/>
        <w:ind w:firstLineChars="200"/>
        <w:rPr>
          <w:rFonts w:ascii="Times New Roman" w:hAnsi="Times New Roman"/>
          <w:kern w:val="2"/>
          <w:szCs w:val="21"/>
        </w:rPr>
      </w:pPr>
      <w:r>
        <w:rPr>
          <w:rFonts w:ascii="Times New Roman" w:hAnsi="Times New Roman"/>
          <w:kern w:val="2"/>
          <w:szCs w:val="21"/>
        </w:rPr>
        <w:t>2.我们完全理解贵方不一定将合同授予最低报价的投标人。</w:t>
      </w:r>
    </w:p>
    <w:p>
      <w:pPr>
        <w:pStyle w:val="42"/>
        <w:spacing w:before="0" w:after="0" w:line="300" w:lineRule="auto"/>
        <w:ind w:firstLineChars="200"/>
        <w:rPr>
          <w:rFonts w:ascii="Times New Roman" w:hAnsi="Times New Roman"/>
          <w:kern w:val="2"/>
          <w:szCs w:val="21"/>
        </w:rPr>
      </w:pPr>
      <w:r>
        <w:rPr>
          <w:rFonts w:ascii="Times New Roman" w:hAnsi="Times New Roman"/>
          <w:kern w:val="2"/>
          <w:szCs w:val="21"/>
        </w:rPr>
        <w:t>3.我们已详细审核全部采购文件及其有效补充文件，我们知道必须放弃提出含糊不清或误解问题的权利。</w:t>
      </w:r>
    </w:p>
    <w:p>
      <w:pPr>
        <w:pStyle w:val="42"/>
        <w:spacing w:before="0" w:after="0" w:line="300" w:lineRule="auto"/>
        <w:rPr>
          <w:rFonts w:ascii="Times New Roman" w:hAnsi="Times New Roman"/>
          <w:kern w:val="2"/>
          <w:szCs w:val="21"/>
        </w:rPr>
      </w:pPr>
      <w:r>
        <w:rPr>
          <w:rFonts w:ascii="Times New Roman" w:hAnsi="Times New Roman"/>
          <w:kern w:val="2"/>
          <w:szCs w:val="21"/>
        </w:rPr>
        <w:t>4.我们同意从规定的开标日期起遵循本投标文件，并在规定的投标有效期期满之前均具有约束力。</w:t>
      </w:r>
    </w:p>
    <w:p>
      <w:pPr>
        <w:pStyle w:val="42"/>
        <w:spacing w:before="0" w:after="0" w:line="300" w:lineRule="auto"/>
        <w:rPr>
          <w:rFonts w:ascii="Times New Roman" w:hAnsi="Times New Roman"/>
          <w:kern w:val="2"/>
          <w:szCs w:val="21"/>
        </w:rPr>
      </w:pPr>
      <w:r>
        <w:rPr>
          <w:rFonts w:ascii="Times New Roman" w:hAnsi="Times New Roman"/>
          <w:kern w:val="2"/>
          <w:szCs w:val="21"/>
        </w:rPr>
        <w:t>5.如果在开标后规定的投标有效期内撤回投标或中标后拒绝签订合同，我们的投标保证金可被贵方没收。</w:t>
      </w:r>
    </w:p>
    <w:p>
      <w:pPr>
        <w:pStyle w:val="42"/>
        <w:spacing w:before="0" w:after="0" w:line="300" w:lineRule="auto"/>
        <w:rPr>
          <w:rFonts w:ascii="Times New Roman" w:hAnsi="Times New Roman"/>
          <w:kern w:val="2"/>
          <w:szCs w:val="21"/>
        </w:rPr>
      </w:pPr>
      <w:r>
        <w:rPr>
          <w:rFonts w:ascii="Times New Roman" w:hAnsi="Times New Roman"/>
          <w:kern w:val="2"/>
          <w:szCs w:val="21"/>
        </w:rPr>
        <w:t>6.同意向贵方提供贵方可能另外要求的与投标有关的任何证据或资料，并保证我方已提供和将要提供的文件是真实的、准确的。</w:t>
      </w:r>
    </w:p>
    <w:p>
      <w:pPr>
        <w:pStyle w:val="42"/>
        <w:spacing w:before="0" w:after="0" w:line="300" w:lineRule="auto"/>
        <w:rPr>
          <w:rFonts w:ascii="Times New Roman" w:hAnsi="Times New Roman"/>
          <w:kern w:val="2"/>
          <w:szCs w:val="21"/>
        </w:rPr>
      </w:pPr>
      <w:r>
        <w:rPr>
          <w:rFonts w:ascii="Times New Roman" w:hAnsi="Times New Roman"/>
          <w:kern w:val="2"/>
          <w:szCs w:val="21"/>
        </w:rPr>
        <w:t>7.一旦我方中标,我方将根据采购文件的规定，严格履行合同的责任和义务,并保证在采购文件规定的时间完成项目，交付买方验收、使用。</w:t>
      </w:r>
    </w:p>
    <w:p>
      <w:pPr>
        <w:pStyle w:val="42"/>
        <w:spacing w:before="0" w:after="0" w:line="300" w:lineRule="auto"/>
        <w:ind w:firstLineChars="200"/>
        <w:rPr>
          <w:rFonts w:ascii="Times New Roman" w:hAnsi="Times New Roman"/>
          <w:kern w:val="2"/>
          <w:szCs w:val="21"/>
        </w:rPr>
      </w:pPr>
      <w:r>
        <w:rPr>
          <w:rFonts w:ascii="Times New Roman" w:hAnsi="Times New Roman"/>
          <w:kern w:val="2"/>
          <w:szCs w:val="21"/>
        </w:rPr>
        <w:t>8.遵守采购文件中要求的收费项目和标准。</w:t>
      </w:r>
    </w:p>
    <w:p>
      <w:pPr>
        <w:pStyle w:val="42"/>
        <w:spacing w:before="0" w:after="0" w:line="300" w:lineRule="auto"/>
        <w:ind w:firstLineChars="200"/>
        <w:rPr>
          <w:rFonts w:ascii="Times New Roman" w:hAnsi="Times New Roman"/>
          <w:kern w:val="2"/>
          <w:szCs w:val="21"/>
        </w:rPr>
      </w:pPr>
      <w:r>
        <w:rPr>
          <w:rFonts w:ascii="Times New Roman" w:hAnsi="Times New Roman"/>
          <w:kern w:val="2"/>
          <w:szCs w:val="21"/>
        </w:rPr>
        <w:t>9.与本投标有关的正式通讯地址为：</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地        址：</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邮        编：</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电        话：</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传        真：</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投标人开户行：</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 xml:space="preserve">账        户： </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 xml:space="preserve">投标人授权代表姓名（签字）： </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 xml:space="preserve">投标人名称（公章）： </w:t>
      </w:r>
    </w:p>
    <w:p>
      <w:pPr>
        <w:pStyle w:val="42"/>
        <w:spacing w:before="0" w:after="0" w:line="300" w:lineRule="auto"/>
        <w:ind w:left="420" w:leftChars="200" w:firstLineChars="200"/>
        <w:rPr>
          <w:rFonts w:ascii="Times New Roman" w:hAnsi="Times New Roman"/>
          <w:kern w:val="2"/>
          <w:szCs w:val="21"/>
        </w:rPr>
      </w:pPr>
      <w:r>
        <w:rPr>
          <w:rFonts w:ascii="Times New Roman" w:hAnsi="Times New Roman"/>
          <w:kern w:val="2"/>
          <w:szCs w:val="21"/>
        </w:rPr>
        <w:t>日        期：________年____月____日</w:t>
      </w:r>
    </w:p>
    <w:p>
      <w:pPr>
        <w:snapToGrid w:val="0"/>
        <w:spacing w:line="360" w:lineRule="auto"/>
        <w:jc w:val="right"/>
        <w:rPr>
          <w:rFonts w:ascii="宋体" w:hAnsi="宋体" w:eastAsia="宋体" w:cs="宋体"/>
          <w:szCs w:val="21"/>
          <w:u w:color="000000"/>
        </w:rPr>
      </w:pPr>
    </w:p>
    <w:p>
      <w:pPr>
        <w:spacing w:line="360" w:lineRule="auto"/>
        <w:jc w:val="right"/>
        <w:rPr>
          <w:rFonts w:ascii="宋体" w:hAnsi="宋体" w:eastAsia="宋体" w:cs="宋体"/>
          <w:szCs w:val="21"/>
          <w:u w:color="000000"/>
        </w:rPr>
      </w:pPr>
    </w:p>
    <w:p>
      <w:pPr>
        <w:jc w:val="left"/>
        <w:rPr>
          <w:rFonts w:ascii="Times New Roman" w:hAnsi="Times New Roman" w:eastAsia="宋体" w:cs="Times New Roman"/>
        </w:rPr>
      </w:pPr>
      <w:r>
        <w:rPr>
          <w:rFonts w:ascii="Times New Roman" w:hAnsi="Times New Roman" w:eastAsia="宋体" w:cs="Times New Roman"/>
        </w:rPr>
        <w:br w:type="page"/>
      </w:r>
    </w:p>
    <w:p>
      <w:pPr>
        <w:tabs>
          <w:tab w:val="left" w:pos="576"/>
        </w:tabs>
        <w:spacing w:before="156" w:beforeLines="50" w:after="156" w:afterLines="50" w:line="360" w:lineRule="auto"/>
        <w:outlineLvl w:val="2"/>
        <w:rPr>
          <w:rFonts w:ascii="Times New Roman" w:hAnsi="Times New Roman" w:eastAsia="黑体" w:cs="Times New Roman"/>
          <w:sz w:val="24"/>
          <w:szCs w:val="24"/>
          <w:u w:color="000000"/>
        </w:rPr>
      </w:pPr>
      <w:bookmarkStart w:id="18" w:name="_Toc67403428"/>
      <w:bookmarkStart w:id="19" w:name="_Toc415494579"/>
      <w:bookmarkStart w:id="20" w:name="_Toc11859492"/>
      <w:bookmarkStart w:id="21" w:name="_Toc448069992"/>
      <w:bookmarkStart w:id="22" w:name="_Toc51"/>
      <w:bookmarkStart w:id="23" w:name="_Toc448069989"/>
      <w:bookmarkStart w:id="24" w:name="_Toc415494575"/>
      <w:bookmarkStart w:id="25" w:name="_Toc452541709"/>
      <w:r>
        <w:rPr>
          <w:rFonts w:ascii="Times New Roman" w:hAnsi="Times New Roman" w:eastAsia="黑体" w:cs="Times New Roman"/>
          <w:sz w:val="24"/>
          <w:szCs w:val="24"/>
          <w:u w:color="000000"/>
        </w:rPr>
        <w:t xml:space="preserve">6.2 </w:t>
      </w:r>
      <w:r>
        <w:rPr>
          <w:rFonts w:hint="eastAsia" w:ascii="Times New Roman" w:hAnsi="Times New Roman" w:eastAsia="黑体" w:cs="Times New Roman"/>
          <w:sz w:val="24"/>
          <w:szCs w:val="24"/>
          <w:u w:color="000000"/>
        </w:rPr>
        <w:t>投标一览表</w:t>
      </w:r>
      <w:bookmarkEnd w:id="18"/>
      <w:bookmarkEnd w:id="19"/>
      <w:bookmarkEnd w:id="20"/>
      <w:bookmarkEnd w:id="21"/>
    </w:p>
    <w:p>
      <w:pPr>
        <w:snapToGrid w:val="0"/>
        <w:spacing w:line="360" w:lineRule="auto"/>
        <w:jc w:val="center"/>
        <w:rPr>
          <w:rFonts w:ascii="黑体" w:hAnsi="黑体" w:eastAsia="黑体" w:cs="Times New Roman"/>
          <w:sz w:val="28"/>
          <w:szCs w:val="24"/>
          <w:u w:color="000000"/>
        </w:rPr>
      </w:pPr>
      <w:r>
        <w:rPr>
          <w:rFonts w:hint="eastAsia" w:ascii="黑体" w:hAnsi="黑体" w:eastAsia="黑体" w:cs="Times New Roman"/>
          <w:sz w:val="28"/>
          <w:szCs w:val="24"/>
          <w:u w:color="000000"/>
          <w:lang w:val="zh-TW"/>
        </w:rPr>
        <w:t>投标一览表</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投标人全称（加盖公章）：</w:t>
      </w:r>
    </w:p>
    <w:p>
      <w:pPr>
        <w:adjustRightInd w:val="0"/>
        <w:snapToGrid w:val="0"/>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项目名称：</w:t>
      </w:r>
      <w:r>
        <w:rPr>
          <w:rFonts w:hint="eastAsia" w:ascii="Times New Roman" w:hAnsi="Times New Roman" w:cs="Times New Roman"/>
          <w:sz w:val="24"/>
          <w:szCs w:val="24"/>
        </w:rPr>
        <w:t>紫金山实验室态势感知项目</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项目编号：</w:t>
      </w:r>
      <w:r>
        <w:rPr>
          <w:rFonts w:hint="eastAsia" w:ascii="Times New Roman" w:hAnsi="Times New Roman" w:cs="Times New Roman"/>
          <w:sz w:val="24"/>
          <w:szCs w:val="24"/>
        </w:rPr>
        <w:t>PML-ZH-ZB-2024010</w:t>
      </w:r>
    </w:p>
    <w:tbl>
      <w:tblPr>
        <w:tblStyle w:val="22"/>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3637"/>
        <w:gridCol w:w="3184"/>
        <w:gridCol w:w="2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jc w:val="center"/>
        </w:trPr>
        <w:tc>
          <w:tcPr>
            <w:tcW w:w="203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b/>
                <w:sz w:val="24"/>
                <w:szCs w:val="24"/>
                <w:u w:color="000000"/>
              </w:rPr>
            </w:pPr>
            <w:r>
              <w:rPr>
                <w:rFonts w:hint="eastAsia" w:ascii="Times New Roman" w:hAnsi="Times New Roman" w:eastAsia="宋体" w:cs="Times New Roman"/>
                <w:b/>
                <w:sz w:val="24"/>
                <w:szCs w:val="24"/>
                <w:u w:color="000000"/>
              </w:rPr>
              <w:t>品名</w:t>
            </w:r>
          </w:p>
        </w:tc>
        <w:tc>
          <w:tcPr>
            <w:tcW w:w="178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adjustRightInd w:val="0"/>
              <w:snapToGrid w:val="0"/>
              <w:jc w:val="center"/>
              <w:rPr>
                <w:rFonts w:ascii="Times New Roman" w:hAnsi="Times New Roman" w:eastAsia="宋体" w:cs="Times New Roman"/>
                <w:b/>
                <w:sz w:val="24"/>
                <w:szCs w:val="24"/>
                <w:u w:color="000000"/>
                <w:lang w:val="zh-TW"/>
              </w:rPr>
            </w:pPr>
            <w:r>
              <w:rPr>
                <w:rFonts w:hint="eastAsia" w:ascii="Times New Roman" w:hAnsi="Times New Roman" w:eastAsia="宋体" w:cs="Times New Roman"/>
                <w:b/>
                <w:sz w:val="24"/>
                <w:szCs w:val="24"/>
                <w:u w:color="000000"/>
                <w:lang w:val="zh-TW"/>
              </w:rPr>
              <w:t>投标报价</w:t>
            </w:r>
          </w:p>
          <w:p>
            <w:pPr>
              <w:widowControl/>
              <w:adjustRightInd w:val="0"/>
              <w:snapToGrid w:val="0"/>
              <w:jc w:val="center"/>
              <w:rPr>
                <w:rFonts w:ascii="Times New Roman" w:hAnsi="Times New Roman"/>
                <w:color w:val="000000"/>
                <w:sz w:val="24"/>
                <w:szCs w:val="24"/>
              </w:rPr>
            </w:pPr>
            <w:r>
              <w:rPr>
                <w:rFonts w:ascii="Times New Roman" w:hAnsi="Times New Roman"/>
                <w:b/>
                <w:color w:val="000000"/>
                <w:sz w:val="24"/>
                <w:szCs w:val="24"/>
              </w:rPr>
              <w:t>（</w:t>
            </w:r>
            <w:r>
              <w:rPr>
                <w:rFonts w:hint="eastAsia" w:ascii="Times New Roman" w:hAnsi="Times New Roman"/>
                <w:b/>
                <w:color w:val="000000"/>
                <w:sz w:val="24"/>
                <w:szCs w:val="24"/>
              </w:rPr>
              <w:t>元，</w:t>
            </w:r>
            <w:r>
              <w:rPr>
                <w:rFonts w:ascii="Times New Roman" w:hAnsi="Times New Roman"/>
                <w:b/>
                <w:color w:val="000000"/>
                <w:sz w:val="24"/>
                <w:szCs w:val="24"/>
              </w:rPr>
              <w:t>含税）</w:t>
            </w:r>
          </w:p>
        </w:tc>
        <w:tc>
          <w:tcPr>
            <w:tcW w:w="118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b/>
                <w:sz w:val="24"/>
                <w:szCs w:val="24"/>
                <w:u w:color="000000"/>
              </w:rPr>
            </w:pPr>
            <w:r>
              <w:rPr>
                <w:rFonts w:hint="eastAsia" w:ascii="Times New Roman" w:hAnsi="Times New Roman" w:eastAsia="宋体" w:cs="Times New Roman"/>
                <w:b/>
                <w:sz w:val="24"/>
                <w:szCs w:val="24"/>
                <w:u w:color="000000"/>
                <w:lang w:val="zh-TW" w:eastAsia="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6" w:hRule="atLeast"/>
          <w:jc w:val="center"/>
        </w:trPr>
        <w:tc>
          <w:tcPr>
            <w:tcW w:w="203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pStyle w:val="46"/>
              <w:ind w:firstLine="0" w:firstLineChars="0"/>
              <w:jc w:val="center"/>
              <w:rPr>
                <w:color w:val="000000" w:themeColor="text1"/>
                <w14:textFill>
                  <w14:solidFill>
                    <w14:schemeClr w14:val="tx1"/>
                  </w14:solidFill>
                </w14:textFill>
              </w:rPr>
            </w:pPr>
            <w:r>
              <w:rPr>
                <w:rFonts w:hint="eastAsia" w:ascii="宋体" w:hAnsi="宋体" w:cs="宋体"/>
                <w:color w:val="000000"/>
                <w:sz w:val="22"/>
                <w:szCs w:val="22"/>
                <w:lang w:bidi="ar"/>
              </w:rPr>
              <w:t>态势感知平台</w:t>
            </w:r>
          </w:p>
        </w:tc>
        <w:tc>
          <w:tcPr>
            <w:tcW w:w="178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p>
        </w:tc>
        <w:tc>
          <w:tcPr>
            <w:tcW w:w="118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6" w:hRule="atLeast"/>
          <w:jc w:val="center"/>
        </w:trPr>
        <w:tc>
          <w:tcPr>
            <w:tcW w:w="203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pStyle w:val="46"/>
              <w:ind w:firstLine="0" w:firstLineChars="0"/>
              <w:jc w:val="center"/>
              <w:rPr>
                <w:rFonts w:hint="eastAsia" w:ascii="宋体" w:hAnsi="宋体" w:cs="宋体"/>
                <w:color w:val="000000"/>
                <w:sz w:val="22"/>
                <w:szCs w:val="22"/>
                <w:lang w:bidi="ar"/>
              </w:rPr>
            </w:pPr>
            <w:r>
              <w:rPr>
                <w:rFonts w:hint="eastAsia" w:ascii="宋体" w:hAnsi="宋体" w:cs="宋体"/>
                <w:color w:val="000000"/>
                <w:sz w:val="22"/>
                <w:szCs w:val="22"/>
                <w:lang w:bidi="ar"/>
              </w:rPr>
              <w:t>流量探针平台</w:t>
            </w:r>
          </w:p>
        </w:tc>
        <w:tc>
          <w:tcPr>
            <w:tcW w:w="178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p>
        </w:tc>
        <w:tc>
          <w:tcPr>
            <w:tcW w:w="118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6" w:hRule="atLeast"/>
          <w:jc w:val="center"/>
        </w:trPr>
        <w:tc>
          <w:tcPr>
            <w:tcW w:w="203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pStyle w:val="46"/>
              <w:ind w:firstLine="0" w:firstLineChars="0"/>
              <w:jc w:val="center"/>
              <w:rPr>
                <w:rFonts w:hint="eastAsia" w:ascii="宋体" w:hAnsi="宋体" w:eastAsia="宋体" w:cs="宋体"/>
                <w:color w:val="000000"/>
                <w:sz w:val="22"/>
                <w:szCs w:val="22"/>
                <w:lang w:val="en-US" w:eastAsia="zh-CN" w:bidi="ar"/>
              </w:rPr>
            </w:pPr>
            <w:r>
              <w:rPr>
                <w:rFonts w:hint="eastAsia" w:ascii="宋体" w:hAnsi="宋体" w:cs="宋体"/>
                <w:color w:val="000000"/>
                <w:sz w:val="22"/>
                <w:szCs w:val="22"/>
                <w:lang w:val="en-US" w:eastAsia="zh-CN" w:bidi="ar"/>
              </w:rPr>
              <w:t>合计</w:t>
            </w:r>
          </w:p>
        </w:tc>
        <w:tc>
          <w:tcPr>
            <w:tcW w:w="178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p>
        </w:tc>
        <w:tc>
          <w:tcPr>
            <w:tcW w:w="118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6" w:hRule="atLeast"/>
          <w:jc w:val="center"/>
        </w:trPr>
        <w:tc>
          <w:tcPr>
            <w:tcW w:w="203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pStyle w:val="46"/>
              <w:ind w:firstLine="0" w:firstLineChars="0"/>
              <w:jc w:val="center"/>
              <w:rPr>
                <w:rFonts w:ascii="宋体" w:hAnsi="宋体" w:cs="宋体"/>
                <w:color w:val="000000"/>
                <w:sz w:val="22"/>
                <w:szCs w:val="22"/>
                <w:lang w:bidi="ar"/>
              </w:rPr>
            </w:pPr>
            <w:r>
              <w:rPr>
                <w:rFonts w:hint="eastAsia" w:ascii="宋体" w:hAnsi="宋体" w:cs="宋体"/>
                <w:color w:val="000000"/>
                <w:sz w:val="22"/>
                <w:szCs w:val="22"/>
                <w:lang w:bidi="ar"/>
              </w:rPr>
              <w:t>是否为小微企业</w:t>
            </w:r>
          </w:p>
        </w:tc>
        <w:tc>
          <w:tcPr>
            <w:tcW w:w="2966" w:type="pct"/>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center"/>
              <w:rPr>
                <w:rFonts w:ascii="Times New Roman" w:hAnsi="Times New Roman" w:eastAsia="宋体" w:cs="Times New Roman"/>
                <w:kern w:val="0"/>
                <w:sz w:val="24"/>
                <w:szCs w:val="24"/>
                <w:u w:color="000000"/>
              </w:rPr>
            </w:pPr>
            <w:r>
              <w:rPr>
                <w:rFonts w:hint="eastAsia" w:ascii="Times New Roman" w:hAnsi="Times New Roman" w:eastAsia="宋体" w:cs="Times New Roman"/>
                <w:kern w:val="0"/>
                <w:sz w:val="24"/>
                <w:szCs w:val="24"/>
                <w:u w:color="000000"/>
              </w:rPr>
              <w:t xml:space="preserve">    </w:t>
            </w:r>
            <w:r>
              <w:rPr>
                <w:rFonts w:hint="eastAsia" w:ascii="Times New Roman" w:hAnsi="Times New Roman" w:eastAsia="宋体" w:cs="Times New Roman"/>
                <w:kern w:val="0"/>
                <w:sz w:val="24"/>
                <w:szCs w:val="24"/>
                <w:u w:val="single" w:color="auto"/>
              </w:rPr>
              <w:t xml:space="preserve">                </w:t>
            </w:r>
            <w:r>
              <w:rPr>
                <w:rFonts w:hint="eastAsia" w:ascii="Times New Roman" w:hAnsi="Times New Roman" w:eastAsia="宋体" w:cs="Times New Roman"/>
                <w:kern w:val="0"/>
                <w:sz w:val="24"/>
                <w:szCs w:val="24"/>
                <w:u w:color="000000"/>
              </w:rPr>
              <w:t>（填写“是”或“否）</w:t>
            </w:r>
          </w:p>
        </w:tc>
      </w:tr>
    </w:tbl>
    <w:p>
      <w:pPr>
        <w:adjustRightInd w:val="0"/>
        <w:snapToGrid w:val="0"/>
        <w:rPr>
          <w:rFonts w:ascii="宋体" w:hAnsi="宋体"/>
          <w:sz w:val="24"/>
          <w:szCs w:val="24"/>
        </w:rPr>
      </w:pPr>
    </w:p>
    <w:p>
      <w:pPr>
        <w:adjustRightInd w:val="0"/>
        <w:snapToGrid w:val="0"/>
        <w:spacing w:line="360" w:lineRule="auto"/>
        <w:jc w:val="righ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 xml:space="preserve"> </w:t>
      </w:r>
      <w:r>
        <w:rPr>
          <w:rFonts w:ascii="宋体" w:hAnsi="宋体"/>
          <w:sz w:val="24"/>
          <w:szCs w:val="24"/>
          <w:u w:val="single"/>
        </w:rPr>
        <w:t xml:space="preserve">              </w:t>
      </w:r>
    </w:p>
    <w:p>
      <w:pPr>
        <w:adjustRightInd w:val="0"/>
        <w:snapToGrid w:val="0"/>
        <w:spacing w:line="360" w:lineRule="auto"/>
        <w:ind w:firstLine="5880" w:firstLineChars="245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填写说明：</w:t>
      </w:r>
    </w:p>
    <w:p>
      <w:pPr>
        <w:adjustRightInd w:val="0"/>
        <w:snapToGrid w:val="0"/>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1、投标一览表必须加盖投标单位公章，并单独装在小信封内于投标截止时间前与投标文件一起递交。</w:t>
      </w:r>
    </w:p>
    <w:p>
      <w:pPr>
        <w:adjustRightInd w:val="0"/>
        <w:snapToGrid w:val="0"/>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2、“供应商是否属于小微型企业”栏内填写“是”或“否”。如填写“是”，供应商需提供《中小企业声明函》、《残疾人福利性单位声明函》、《属于监狱企业的证明文件》。</w:t>
      </w:r>
    </w:p>
    <w:p>
      <w:pPr>
        <w:adjustRightInd w:val="0"/>
        <w:snapToGrid w:val="0"/>
        <w:spacing w:line="440" w:lineRule="exact"/>
        <w:ind w:firstLine="420" w:firstLineChars="200"/>
        <w:rPr>
          <w:rFonts w:ascii="Times New Roman" w:hAnsi="Times New Roman" w:cs="Times New Roman"/>
          <w:sz w:val="24"/>
          <w:szCs w:val="24"/>
        </w:rPr>
      </w:pPr>
      <w:r>
        <w:rPr>
          <w:rFonts w:hint="eastAsia" w:asciiTheme="minorEastAsia" w:hAnsiTheme="minorEastAsia" w:cstheme="minorEastAsia"/>
          <w:szCs w:val="21"/>
        </w:rPr>
        <w:t>3、投标报价超过最高限价将否决投标。报价保留小数点后两位。</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分项报价表</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投标人全称（公章）：</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项目名称：</w:t>
      </w:r>
      <w:r>
        <w:rPr>
          <w:rFonts w:hint="eastAsia" w:asciiTheme="minorEastAsia" w:hAnsiTheme="minorEastAsia" w:cstheme="minorEastAsia"/>
          <w:color w:val="000000" w:themeColor="text1"/>
          <w:sz w:val="24"/>
          <w:szCs w:val="24"/>
          <w:u w:val="single"/>
          <w14:textFill>
            <w14:solidFill>
              <w14:schemeClr w14:val="tx1"/>
            </w14:solidFill>
          </w14:textFill>
        </w:rPr>
        <w:t>紫金山实验室态势感知项目</w:t>
      </w:r>
    </w:p>
    <w:tbl>
      <w:tblPr>
        <w:tblStyle w:val="2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65"/>
        <w:gridCol w:w="1265"/>
        <w:gridCol w:w="1265"/>
        <w:gridCol w:w="705"/>
        <w:gridCol w:w="561"/>
        <w:gridCol w:w="785"/>
        <w:gridCol w:w="785"/>
        <w:gridCol w:w="785"/>
        <w:gridCol w:w="785"/>
        <w:gridCol w:w="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品名</w:t>
            </w:r>
          </w:p>
        </w:tc>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规格型号</w:t>
            </w:r>
          </w:p>
        </w:tc>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配置参数</w:t>
            </w:r>
          </w:p>
        </w:tc>
        <w:tc>
          <w:tcPr>
            <w:tcW w:w="70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生产厂家</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预估数量</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单价</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税率</w:t>
            </w:r>
          </w:p>
        </w:tc>
        <w:tc>
          <w:tcPr>
            <w:tcW w:w="43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总价</w:t>
            </w:r>
          </w:p>
        </w:tc>
        <w:tc>
          <w:tcPr>
            <w:tcW w:w="439" w:type="pct"/>
            <w:tcBorders>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43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50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合计</w:t>
            </w:r>
          </w:p>
        </w:tc>
        <w:tc>
          <w:tcPr>
            <w:tcW w:w="2498" w:type="pct"/>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大写（小写）</w:t>
            </w:r>
          </w:p>
        </w:tc>
      </w:tr>
    </w:tbl>
    <w:p>
      <w:pPr>
        <w:shd w:val="clear" w:color="auto" w:fill="FFFFFF"/>
        <w:snapToGrid w:val="0"/>
        <w:spacing w:line="360" w:lineRule="auto"/>
        <w:ind w:firstLine="3720" w:firstLineChars="1550"/>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法定代表人（授权代表）签字：</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p>
    <w:p>
      <w:pPr>
        <w:adjustRightInd w:val="0"/>
        <w:snapToGrid w:val="0"/>
        <w:spacing w:line="360" w:lineRule="auto"/>
        <w:ind w:firstLine="5520" w:firstLineChars="2300"/>
        <w:rPr>
          <w:rFonts w:ascii="宋体" w:hAnsi="宋体"/>
          <w:color w:val="000000" w:themeColor="text1"/>
          <w:szCs w:val="21"/>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日期：</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w:t>
      </w:r>
    </w:p>
    <w:p>
      <w:pPr>
        <w:shd w:val="clear" w:color="auto" w:fill="FFFFFF"/>
        <w:snapToGrid w:val="0"/>
        <w:rPr>
          <w:rFonts w:ascii="Times New Roman" w:hAnsi="Times New Roman" w:cs="Times New Roman"/>
          <w:color w:val="000000" w:themeColor="text1"/>
          <w:szCs w:val="21"/>
          <w14:textFill>
            <w14:solidFill>
              <w14:schemeClr w14:val="tx1"/>
            </w14:solidFill>
          </w14:textFill>
        </w:rPr>
      </w:pPr>
    </w:p>
    <w:p>
      <w:pPr>
        <w:shd w:val="clear" w:color="auto" w:fill="FFFFFF"/>
        <w:snapToGrid w:val="0"/>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1、单价和总价均应</w:t>
      </w:r>
      <w:r>
        <w:rPr>
          <w:rFonts w:hint="eastAsia" w:ascii="Times New Roman" w:hAnsi="Times New Roman" w:cs="Times New Roman"/>
          <w:color w:val="000000" w:themeColor="text1"/>
          <w:szCs w:val="21"/>
          <w14:textFill>
            <w14:solidFill>
              <w14:schemeClr w14:val="tx1"/>
            </w14:solidFill>
          </w14:textFill>
        </w:rPr>
        <w:t>包括但不限于所投产品全部费用、安装调试费、安装中的相关费用运行维护费用、全部税金、培训、售后服务、进口产品因汇率波动产生的汇总损益、及其他有关的为完成本项目发生的所有费用，招标文件中另有规定的除外</w:t>
      </w:r>
      <w:r>
        <w:rPr>
          <w:rFonts w:ascii="Times New Roman" w:hAnsi="Times New Roman" w:cs="Times New Roman"/>
          <w:color w:val="000000" w:themeColor="text1"/>
          <w:szCs w:val="21"/>
          <w14:textFill>
            <w14:solidFill>
              <w14:schemeClr w14:val="tx1"/>
            </w14:solidFill>
          </w14:textFill>
        </w:rPr>
        <w:t>；</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2、如果单价和总价不符时，以单价为准；</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3、请提供本采购文件要求设备详细的配置清单及分项报价，包括标准件及选购件；</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4、定型产品须在表中标明所提供的设备品牌、规格型号及原产地；加工定制产品需在表中标明主要部件的名称、型号及原产地。</w:t>
      </w:r>
    </w:p>
    <w:p>
      <w:pPr>
        <w:adjustRightInd w:val="0"/>
        <w:snapToGrid w:val="0"/>
        <w:spacing w:line="440" w:lineRule="exact"/>
        <w:ind w:firstLine="420" w:firstLineChars="200"/>
        <w:rPr>
          <w:rFonts w:ascii="Times New Roman" w:hAnsi="Times New Roman" w:cs="Times New Roman"/>
          <w:sz w:val="24"/>
          <w:szCs w:val="24"/>
        </w:rPr>
      </w:pPr>
      <w:r>
        <w:rPr>
          <w:rFonts w:ascii="Times New Roman" w:hAnsi="Times New Roman" w:cs="Times New Roman"/>
          <w:color w:val="000000" w:themeColor="text1"/>
          <w:szCs w:val="21"/>
          <w14:textFill>
            <w14:solidFill>
              <w14:schemeClr w14:val="tx1"/>
            </w14:solidFill>
          </w14:textFill>
        </w:rPr>
        <w:t>5、本项目为货物类采购，投标人所填写的税率应当按照国家标准的货物税率进行填写。</w:t>
      </w:r>
    </w:p>
    <w:p>
      <w:pPr>
        <w:adjustRightInd w:val="0"/>
        <w:snapToGrid w:val="0"/>
        <w:spacing w:line="440" w:lineRule="exact"/>
        <w:ind w:firstLine="480" w:firstLineChars="200"/>
        <w:rPr>
          <w:rFonts w:ascii="Times New Roman" w:hAnsi="Times New Roman" w:cs="Times New Roman"/>
          <w:sz w:val="24"/>
          <w:szCs w:val="24"/>
        </w:rPr>
      </w:pPr>
    </w:p>
    <w:p>
      <w:pPr>
        <w:rPr>
          <w:rFonts w:ascii="Times New Roman" w:hAnsi="Times New Roman" w:eastAsia="黑体" w:cs="Times New Roman"/>
          <w:sz w:val="24"/>
          <w:szCs w:val="24"/>
          <w:u w:color="000000"/>
        </w:rPr>
      </w:pPr>
      <w:bookmarkStart w:id="26" w:name="_Toc55"/>
      <w:bookmarkStart w:id="27" w:name="_Toc448069993"/>
      <w:bookmarkStart w:id="28" w:name="_Toc415494580"/>
      <w:bookmarkStart w:id="29" w:name="_Toc11859493"/>
      <w:r>
        <w:rPr>
          <w:rFonts w:ascii="Times New Roman" w:hAnsi="Times New Roman" w:eastAsia="黑体" w:cs="Times New Roman"/>
          <w:sz w:val="24"/>
          <w:szCs w:val="24"/>
          <w:u w:color="000000"/>
        </w:rPr>
        <w:br w:type="page"/>
      </w:r>
    </w:p>
    <w:p>
      <w:pPr>
        <w:tabs>
          <w:tab w:val="left" w:pos="576"/>
        </w:tabs>
        <w:spacing w:before="156" w:beforeLines="50" w:after="156" w:afterLines="50" w:line="360" w:lineRule="auto"/>
        <w:outlineLvl w:val="2"/>
        <w:rPr>
          <w:rFonts w:ascii="Times New Roman" w:hAnsi="Times New Roman" w:eastAsia="黑体" w:cs="Times New Roman"/>
          <w:sz w:val="24"/>
          <w:szCs w:val="24"/>
          <w:u w:color="000000"/>
        </w:rPr>
      </w:pPr>
      <w:bookmarkStart w:id="30" w:name="_Toc67403429"/>
      <w:r>
        <w:rPr>
          <w:rFonts w:ascii="Times New Roman" w:hAnsi="Times New Roman" w:eastAsia="黑体" w:cs="Times New Roman"/>
          <w:sz w:val="24"/>
          <w:szCs w:val="24"/>
          <w:u w:color="000000"/>
        </w:rPr>
        <w:t xml:space="preserve">6.3 </w:t>
      </w:r>
      <w:r>
        <w:rPr>
          <w:rFonts w:hint="eastAsia" w:ascii="Times New Roman" w:hAnsi="Times New Roman" w:eastAsia="黑体" w:cs="Times New Roman"/>
          <w:sz w:val="24"/>
          <w:szCs w:val="24"/>
          <w:u w:color="000000"/>
        </w:rPr>
        <w:t>法定代表人授权委托书</w:t>
      </w:r>
      <w:bookmarkEnd w:id="26"/>
      <w:bookmarkEnd w:id="27"/>
      <w:bookmarkEnd w:id="28"/>
      <w:bookmarkEnd w:id="29"/>
      <w:bookmarkEnd w:id="30"/>
    </w:p>
    <w:p>
      <w:pPr>
        <w:spacing w:before="312" w:beforeLines="100" w:after="312" w:afterLines="100" w:line="360" w:lineRule="auto"/>
        <w:jc w:val="center"/>
        <w:rPr>
          <w:rFonts w:ascii="黑体" w:hAnsi="黑体" w:eastAsia="黑体" w:cs="Times New Roman Bold"/>
          <w:sz w:val="28"/>
          <w:szCs w:val="28"/>
          <w:u w:color="000000"/>
        </w:rPr>
      </w:pPr>
      <w:r>
        <w:rPr>
          <w:rFonts w:hint="eastAsia" w:ascii="黑体" w:hAnsi="黑体" w:eastAsia="黑体" w:cs="宋体"/>
          <w:bCs/>
          <w:sz w:val="28"/>
          <w:szCs w:val="28"/>
          <w:u w:color="000000"/>
          <w:lang w:val="zh-TW"/>
        </w:rPr>
        <w:t>法定</w:t>
      </w:r>
      <w:r>
        <w:rPr>
          <w:rFonts w:ascii="黑体" w:hAnsi="黑体" w:eastAsia="黑体" w:cs="宋体"/>
          <w:bCs/>
          <w:sz w:val="28"/>
          <w:szCs w:val="28"/>
          <w:u w:color="000000"/>
          <w:lang w:val="zh-TW"/>
        </w:rPr>
        <w:t>代表人</w:t>
      </w:r>
      <w:r>
        <w:rPr>
          <w:rFonts w:hint="eastAsia" w:ascii="黑体" w:hAnsi="黑体" w:eastAsia="黑体" w:cs="宋体"/>
          <w:bCs/>
          <w:sz w:val="28"/>
          <w:szCs w:val="28"/>
          <w:u w:color="000000"/>
          <w:lang w:val="zh-TW"/>
        </w:rPr>
        <w:t>授权委托书</w:t>
      </w:r>
    </w:p>
    <w:p>
      <w:pPr>
        <w:shd w:val="clear" w:color="auto" w:fill="FFFFFF"/>
        <w:snapToGrid w:val="0"/>
        <w:spacing w:line="360" w:lineRule="auto"/>
        <w:ind w:firstLine="482"/>
        <w:rPr>
          <w:rFonts w:ascii="Times New Roman" w:hAnsi="Times New Roman" w:cs="Times New Roman"/>
          <w:bCs/>
          <w:sz w:val="24"/>
          <w:szCs w:val="24"/>
        </w:rPr>
      </w:pPr>
      <w:r>
        <w:rPr>
          <w:rFonts w:ascii="Times New Roman" w:hAnsi="Times New Roman" w:cs="Times New Roman"/>
          <w:bCs/>
          <w:sz w:val="24"/>
          <w:szCs w:val="24"/>
        </w:rPr>
        <w:t>本授权书声明：____________（</w:t>
      </w:r>
      <w:r>
        <w:rPr>
          <w:rFonts w:hint="eastAsia" w:ascii="Times New Roman" w:hAnsi="Times New Roman" w:cs="Times New Roman"/>
          <w:bCs/>
          <w:sz w:val="24"/>
          <w:szCs w:val="24"/>
        </w:rPr>
        <w:t>投标人</w:t>
      </w:r>
      <w:r>
        <w:rPr>
          <w:rFonts w:ascii="Times New Roman" w:hAnsi="Times New Roman" w:cs="Times New Roman"/>
          <w:bCs/>
          <w:sz w:val="24"/>
          <w:szCs w:val="24"/>
        </w:rPr>
        <w:t>名称）授权________________（被授权人的姓名、职务）为我方就</w:t>
      </w:r>
      <w:r>
        <w:rPr>
          <w:rFonts w:hint="eastAsia" w:ascii="Times New Roman" w:hAnsi="Times New Roman" w:cs="Times New Roman"/>
          <w:bCs/>
          <w:sz w:val="24"/>
          <w:szCs w:val="24"/>
          <w:u w:val="single"/>
        </w:rPr>
        <w:t>紫金山实验室态势感知项目</w:t>
      </w:r>
      <w:r>
        <w:rPr>
          <w:rFonts w:ascii="Times New Roman" w:hAnsi="Times New Roman" w:cs="Times New Roman"/>
          <w:bCs/>
          <w:sz w:val="24"/>
          <w:szCs w:val="24"/>
        </w:rPr>
        <w:t>（</w:t>
      </w:r>
      <w:r>
        <w:rPr>
          <w:rFonts w:hint="eastAsia" w:ascii="Times New Roman" w:hAnsi="Times New Roman" w:cs="Times New Roman"/>
          <w:bCs/>
          <w:sz w:val="24"/>
          <w:szCs w:val="24"/>
        </w:rPr>
        <w:t>项目</w:t>
      </w:r>
      <w:r>
        <w:rPr>
          <w:rFonts w:ascii="Times New Roman" w:hAnsi="Times New Roman" w:cs="Times New Roman"/>
          <w:bCs/>
          <w:sz w:val="24"/>
          <w:szCs w:val="24"/>
        </w:rPr>
        <w:t>编号</w:t>
      </w:r>
      <w:r>
        <w:rPr>
          <w:rFonts w:hint="eastAsia" w:ascii="Times New Roman" w:hAnsi="Times New Roman" w:cs="Times New Roman"/>
          <w:bCs/>
          <w:sz w:val="24"/>
          <w:szCs w:val="24"/>
        </w:rPr>
        <w:t>：</w:t>
      </w:r>
      <w:r>
        <w:rPr>
          <w:rFonts w:hint="eastAsia"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）采购活动的合法代理人，以本单位名义全权处理一切与该项目采购有关的事务。</w:t>
      </w:r>
    </w:p>
    <w:p>
      <w:pPr>
        <w:shd w:val="clear" w:color="auto" w:fill="FFFFFF"/>
        <w:snapToGrid w:val="0"/>
        <w:spacing w:line="360" w:lineRule="auto"/>
        <w:ind w:firstLine="482"/>
        <w:rPr>
          <w:rFonts w:ascii="Times New Roman" w:hAnsi="Times New Roman" w:cs="Times New Roman"/>
          <w:bCs/>
          <w:sz w:val="24"/>
          <w:szCs w:val="24"/>
        </w:rPr>
      </w:pPr>
      <w:r>
        <w:rPr>
          <w:rFonts w:ascii="Times New Roman" w:hAnsi="Times New Roman" w:cs="Times New Roman"/>
          <w:bCs/>
          <w:sz w:val="24"/>
          <w:szCs w:val="24"/>
        </w:rPr>
        <w:t>本授权书于______年____月____日起生效，特此声明。</w:t>
      </w:r>
    </w:p>
    <w:p>
      <w:pPr>
        <w:shd w:val="clear" w:color="auto" w:fill="FFFFFF"/>
        <w:snapToGrid w:val="0"/>
        <w:spacing w:line="360" w:lineRule="auto"/>
        <w:ind w:firstLine="480"/>
        <w:rPr>
          <w:rFonts w:ascii="Times New Roman" w:hAnsi="Times New Roman" w:cs="Times New Roman"/>
          <w:bCs/>
        </w:rPr>
      </w:pPr>
    </w:p>
    <w:p>
      <w:pPr>
        <w:shd w:val="clear" w:color="auto" w:fill="FFFFFF"/>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授权单位盖章：_________________________________</w:t>
      </w:r>
    </w:p>
    <w:p>
      <w:pPr>
        <w:shd w:val="clear" w:color="auto" w:fill="FFFFFF"/>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单位名称：_____________________________________</w:t>
      </w:r>
    </w:p>
    <w:p>
      <w:pPr>
        <w:shd w:val="clear" w:color="auto" w:fill="FFFFFF"/>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法人签字：_____________________________________</w:t>
      </w:r>
    </w:p>
    <w:p>
      <w:pPr>
        <w:shd w:val="clear" w:color="auto" w:fill="FFFFFF"/>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代理人（被授权人）签字：_______________________</w:t>
      </w:r>
    </w:p>
    <w:p>
      <w:pPr>
        <w:shd w:val="clear" w:color="auto" w:fill="FFFFFF"/>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职    务：_____________________________________</w:t>
      </w:r>
    </w:p>
    <w:p>
      <w:pPr>
        <w:shd w:val="clear" w:color="auto" w:fill="FFFFFF"/>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hint="eastAsia" w:ascii="Times New Roman" w:hAnsi="Times New Roman" w:cs="Times New Roman"/>
          <w:bCs/>
          <w:sz w:val="24"/>
          <w:szCs w:val="24"/>
        </w:rPr>
        <w:t xml:space="preserve"> </w:t>
      </w:r>
      <w:r>
        <w:rPr>
          <w:rFonts w:ascii="Times New Roman" w:hAnsi="Times New Roman" w:cs="Times New Roman"/>
          <w:bCs/>
          <w:sz w:val="24"/>
          <w:szCs w:val="24"/>
        </w:rPr>
        <w:t>地址：</w:t>
      </w:r>
      <w:r>
        <w:rPr>
          <w:rFonts w:ascii="Times New Roman" w:hAnsi="Times New Roman" w:cs="Times New Roman"/>
          <w:bCs/>
          <w:sz w:val="24"/>
          <w:szCs w:val="24"/>
          <w:u w:val="single"/>
        </w:rPr>
        <w:t xml:space="preserve">                                         </w:t>
      </w:r>
    </w:p>
    <w:p>
      <w:pPr>
        <w:shd w:val="clear" w:color="auto" w:fill="FFFFFF"/>
        <w:snapToGrid w:val="0"/>
        <w:spacing w:line="360" w:lineRule="auto"/>
        <w:rPr>
          <w:rFonts w:ascii="Times New Roman" w:hAnsi="Times New Roman" w:cs="Times New Roman"/>
          <w:sz w:val="24"/>
          <w:szCs w:val="24"/>
        </w:rPr>
      </w:pPr>
      <w:r>
        <w:rPr>
          <w:rFonts w:ascii="Times New Roman" w:hAnsi="Times New Roman" w:cs="Times New Roman"/>
          <w:bCs/>
          <w:sz w:val="24"/>
          <w:szCs w:val="24"/>
        </w:rPr>
        <w:t xml:space="preserve">         日期：______年____月____日</w:t>
      </w:r>
    </w:p>
    <w:p>
      <w:pPr>
        <w:spacing w:line="360" w:lineRule="auto"/>
        <w:rPr>
          <w:rFonts w:ascii="宋体" w:hAnsi="宋体" w:eastAsia="宋体" w:cs="宋体"/>
          <w:b/>
          <w:bCs/>
          <w:kern w:val="11"/>
          <w:szCs w:val="21"/>
          <w:u w:val="single" w:color="000000"/>
          <w:lang w:val="zh-TW"/>
        </w:rPr>
      </w:pPr>
    </w:p>
    <w:p>
      <w:pPr>
        <w:spacing w:line="360" w:lineRule="auto"/>
        <w:ind w:right="420"/>
        <w:rPr>
          <w:rFonts w:ascii="宋体" w:hAnsi="宋体" w:eastAsia="PMingLiU" w:cs="宋体"/>
          <w:szCs w:val="21"/>
          <w:u w:color="000000"/>
          <w:lang w:val="zh-TW"/>
        </w:rPr>
      </w:pPr>
    </w:p>
    <w:p>
      <w:pPr>
        <w:spacing w:line="360" w:lineRule="auto"/>
        <w:ind w:right="420"/>
        <w:rPr>
          <w:rFonts w:ascii="宋体" w:hAnsi="宋体" w:eastAsia="宋体" w:cs="宋体"/>
          <w:b/>
          <w:szCs w:val="21"/>
          <w:u w:color="000000"/>
          <w:lang w:val="zh-TW"/>
        </w:rPr>
      </w:pPr>
      <w:r>
        <w:rPr>
          <w:rFonts w:hint="eastAsia" w:ascii="宋体" w:hAnsi="宋体" w:eastAsia="宋体" w:cs="宋体"/>
          <w:b/>
          <w:szCs w:val="21"/>
          <w:u w:color="000000"/>
          <w:lang w:val="zh-TW"/>
        </w:rPr>
        <w:t>注：代理人应持本授权书参加投标，并提供一份原件在投标文件中。</w:t>
      </w:r>
    </w:p>
    <w:p>
      <w:pPr>
        <w:spacing w:line="360" w:lineRule="auto"/>
        <w:ind w:right="420"/>
        <w:rPr>
          <w:rFonts w:ascii="宋体" w:hAnsi="宋体" w:eastAsia="宋体" w:cs="宋体"/>
          <w:szCs w:val="21"/>
          <w:u w:color="000000"/>
        </w:rPr>
      </w:pPr>
    </w:p>
    <w:p>
      <w:pPr>
        <w:jc w:val="left"/>
        <w:rPr>
          <w:rFonts w:ascii="宋体" w:hAnsi="宋体" w:eastAsia="宋体" w:cs="宋体"/>
          <w:szCs w:val="21"/>
          <w:u w:color="000000"/>
        </w:rPr>
      </w:pPr>
      <w:r>
        <w:rPr>
          <w:rFonts w:ascii="宋体" w:hAnsi="宋体" w:eastAsia="宋体" w:cs="宋体"/>
          <w:szCs w:val="21"/>
          <w:u w:color="000000"/>
        </w:rPr>
        <w:br w:type="page"/>
      </w:r>
    </w:p>
    <w:p>
      <w:pPr>
        <w:snapToGrid w:val="0"/>
        <w:spacing w:line="360" w:lineRule="auto"/>
        <w:ind w:firstLine="482"/>
        <w:rPr>
          <w:rFonts w:ascii="宋体" w:hAnsi="宋体" w:eastAsia="PMingLiU" w:cs="宋体"/>
          <w:sz w:val="24"/>
          <w:szCs w:val="24"/>
          <w:u w:color="000000"/>
          <w:lang w:val="zh-TW"/>
        </w:rPr>
      </w:pPr>
      <w:r>
        <w:rPr>
          <w:rFonts w:hint="eastAsia" w:ascii="宋体" w:hAnsi="宋体" w:eastAsia="宋体" w:cs="宋体"/>
          <w:sz w:val="24"/>
          <w:szCs w:val="24"/>
          <w:u w:color="000000"/>
          <w:lang w:val="zh-TW"/>
        </w:rPr>
        <w:t>附：</w:t>
      </w:r>
      <w:r>
        <w:rPr>
          <w:rFonts w:ascii="Times New Roman" w:hAnsi="Times New Roman" w:cs="Times New Roman"/>
          <w:bCs/>
          <w:sz w:val="24"/>
          <w:szCs w:val="24"/>
        </w:rPr>
        <w:t>法人</w:t>
      </w:r>
      <w:r>
        <w:rPr>
          <w:rFonts w:hint="eastAsia" w:ascii="宋体" w:hAnsi="宋体" w:eastAsia="宋体" w:cs="宋体"/>
          <w:sz w:val="24"/>
          <w:szCs w:val="24"/>
          <w:u w:color="000000"/>
          <w:lang w:val="zh-TW"/>
        </w:rPr>
        <w:t>身份证复印件（需同时提供正面及背面）</w:t>
      </w:r>
    </w:p>
    <w:tbl>
      <w:tblPr>
        <w:tblStyle w:val="22"/>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Times New Roman" w:hAnsi="Times New Roman" w:cs="Times New Roman"/>
                <w:bCs/>
                <w:sz w:val="24"/>
                <w:szCs w:val="24"/>
              </w:rPr>
              <w:t>法人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Times New Roman" w:hAnsi="Times New Roman" w:cs="Times New Roman"/>
                <w:bCs/>
                <w:sz w:val="24"/>
                <w:szCs w:val="24"/>
              </w:rPr>
              <w:t>法人</w:t>
            </w:r>
            <w:r>
              <w:rPr>
                <w:rFonts w:hint="eastAsia" w:ascii="宋体" w:hAnsi="宋体"/>
                <w:color w:val="000000" w:themeColor="text1"/>
                <w:sz w:val="24"/>
                <w:szCs w:val="24"/>
                <w14:textFill>
                  <w14:solidFill>
                    <w14:schemeClr w14:val="tx1"/>
                  </w14:solidFill>
                </w14:textFill>
              </w:rPr>
              <w:t>身份证复印件背面</w:t>
            </w:r>
          </w:p>
        </w:tc>
      </w:tr>
    </w:tbl>
    <w:p>
      <w:pPr>
        <w:snapToGrid w:val="0"/>
        <w:spacing w:line="360" w:lineRule="auto"/>
        <w:ind w:firstLine="482"/>
        <w:rPr>
          <w:rFonts w:ascii="宋体" w:hAnsi="宋体" w:eastAsia="PMingLiU" w:cs="宋体"/>
          <w:sz w:val="24"/>
          <w:szCs w:val="24"/>
          <w:u w:color="000000"/>
        </w:rPr>
      </w:pPr>
    </w:p>
    <w:p>
      <w:pPr>
        <w:snapToGrid w:val="0"/>
        <w:spacing w:line="360" w:lineRule="auto"/>
        <w:ind w:firstLine="482"/>
        <w:rPr>
          <w:rFonts w:ascii="宋体" w:hAnsi="宋体" w:eastAsia="PMingLiU" w:cs="宋体"/>
          <w:sz w:val="24"/>
          <w:szCs w:val="24"/>
          <w:u w:color="000000"/>
        </w:rPr>
      </w:pPr>
    </w:p>
    <w:p>
      <w:pPr>
        <w:snapToGrid w:val="0"/>
        <w:spacing w:line="360" w:lineRule="auto"/>
        <w:ind w:firstLine="482"/>
        <w:rPr>
          <w:rFonts w:ascii="宋体" w:hAnsi="宋体" w:eastAsia="PMingLiU" w:cs="宋体"/>
          <w:sz w:val="24"/>
          <w:szCs w:val="24"/>
          <w:u w:color="000000"/>
          <w:lang w:val="zh-TW"/>
        </w:rPr>
      </w:pPr>
      <w:r>
        <w:rPr>
          <w:rFonts w:hint="eastAsia" w:ascii="宋体" w:hAnsi="宋体" w:eastAsia="宋体" w:cs="宋体"/>
          <w:sz w:val="24"/>
          <w:szCs w:val="24"/>
          <w:u w:color="000000"/>
          <w:lang w:val="zh-TW"/>
        </w:rPr>
        <w:t>附：委托代理人身份证复印件（需同时提供正面及背面）</w:t>
      </w:r>
    </w:p>
    <w:tbl>
      <w:tblPr>
        <w:tblStyle w:val="22"/>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eastAsia="宋体" w:cs="宋体"/>
                <w:sz w:val="24"/>
                <w:szCs w:val="24"/>
                <w:u w:color="000000"/>
                <w:lang w:val="zh-TW"/>
              </w:rPr>
              <w:t>代理人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eastAsia="宋体" w:cs="宋体"/>
                <w:sz w:val="24"/>
                <w:szCs w:val="24"/>
                <w:u w:color="000000"/>
                <w:lang w:val="zh-TW"/>
              </w:rPr>
              <w:t>代理人</w:t>
            </w:r>
            <w:r>
              <w:rPr>
                <w:rFonts w:hint="eastAsia" w:ascii="宋体" w:hAnsi="宋体"/>
                <w:color w:val="000000" w:themeColor="text1"/>
                <w:sz w:val="24"/>
                <w:szCs w:val="24"/>
                <w14:textFill>
                  <w14:solidFill>
                    <w14:schemeClr w14:val="tx1"/>
                  </w14:solidFill>
                </w14:textFill>
              </w:rPr>
              <w:t>身份证复印件背面</w:t>
            </w:r>
          </w:p>
        </w:tc>
      </w:tr>
    </w:tbl>
    <w:p>
      <w:pPr>
        <w:spacing w:line="360" w:lineRule="auto"/>
        <w:ind w:right="420"/>
        <w:rPr>
          <w:rFonts w:ascii="宋体" w:hAnsi="宋体" w:eastAsia="宋体" w:cs="宋体"/>
          <w:szCs w:val="21"/>
          <w:u w:color="000000"/>
        </w:rPr>
      </w:pPr>
    </w:p>
    <w:p>
      <w:pPr>
        <w:spacing w:line="360" w:lineRule="auto"/>
        <w:ind w:right="420"/>
        <w:rPr>
          <w:rFonts w:ascii="宋体" w:hAnsi="宋体" w:eastAsia="宋体" w:cs="宋体"/>
          <w:szCs w:val="21"/>
          <w:u w:color="000000"/>
        </w:rPr>
      </w:pPr>
    </w:p>
    <w:p>
      <w:pPr>
        <w:jc w:val="left"/>
        <w:rPr>
          <w:rFonts w:ascii="Times New Roman" w:hAnsi="Times New Roman" w:eastAsia="宋体" w:cs="Times New Roman"/>
        </w:rPr>
      </w:pPr>
      <w:r>
        <w:rPr>
          <w:rFonts w:ascii="Times New Roman" w:hAnsi="Times New Roman" w:eastAsia="宋体" w:cs="Times New Roman"/>
        </w:rPr>
        <w:br w:type="page"/>
      </w:r>
    </w:p>
    <w:p>
      <w:pPr>
        <w:tabs>
          <w:tab w:val="left" w:pos="576"/>
        </w:tabs>
        <w:spacing w:before="156" w:beforeLines="50" w:after="156" w:afterLines="50" w:line="360" w:lineRule="auto"/>
        <w:outlineLvl w:val="2"/>
        <w:rPr>
          <w:rFonts w:ascii="Times New Roman" w:hAnsi="Times New Roman" w:eastAsia="黑体" w:cs="Times New Roman"/>
          <w:sz w:val="24"/>
          <w:szCs w:val="24"/>
          <w:u w:color="000000"/>
        </w:rPr>
      </w:pPr>
      <w:bookmarkStart w:id="31" w:name="_Toc56"/>
      <w:bookmarkStart w:id="32" w:name="_Toc67403430"/>
      <w:bookmarkStart w:id="33" w:name="_Toc448069994"/>
      <w:bookmarkStart w:id="34" w:name="_Toc11859494"/>
      <w:bookmarkStart w:id="35" w:name="_Toc415494581"/>
      <w:r>
        <w:rPr>
          <w:rFonts w:ascii="Times New Roman" w:hAnsi="Times New Roman" w:eastAsia="黑体" w:cs="Times New Roman"/>
          <w:sz w:val="24"/>
          <w:szCs w:val="24"/>
          <w:u w:color="000000"/>
        </w:rPr>
        <w:t>6.4 资格证明文件</w:t>
      </w:r>
      <w:bookmarkEnd w:id="31"/>
      <w:bookmarkEnd w:id="32"/>
      <w:bookmarkEnd w:id="33"/>
      <w:bookmarkEnd w:id="34"/>
      <w:bookmarkEnd w:id="35"/>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文件1 法人或者其他组织的营业执照等证明文件（复印件）</w:t>
      </w:r>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文件2 财务状况报告（复印件）</w:t>
      </w:r>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w:t>
      </w:r>
      <w:r>
        <w:rPr>
          <w:rFonts w:ascii="Times New Roman" w:hAnsi="Times New Roman" w:eastAsia="宋体" w:cs="Times New Roman"/>
          <w:sz w:val="24"/>
          <w:szCs w:val="24"/>
          <w:u w:color="FF0000"/>
        </w:rPr>
        <w:t xml:space="preserve">3 </w:t>
      </w:r>
      <w:r>
        <w:rPr>
          <w:rFonts w:hint="eastAsia" w:ascii="Times New Roman" w:hAnsi="Times New Roman" w:eastAsia="宋体" w:cs="Times New Roman"/>
          <w:sz w:val="24"/>
          <w:szCs w:val="24"/>
          <w:u w:color="FF0000"/>
        </w:rPr>
        <w:t>依法缴纳税收和社会保障资金的相关材料（复印件）</w:t>
      </w:r>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w:t>
      </w:r>
      <w:r>
        <w:rPr>
          <w:rFonts w:ascii="Times New Roman" w:hAnsi="Times New Roman" w:eastAsia="宋体" w:cs="Times New Roman"/>
          <w:sz w:val="24"/>
          <w:szCs w:val="24"/>
          <w:u w:color="FF0000"/>
        </w:rPr>
        <w:t>4</w:t>
      </w:r>
      <w:r>
        <w:rPr>
          <w:rFonts w:hint="eastAsia" w:ascii="Times New Roman" w:hAnsi="Times New Roman" w:eastAsia="宋体" w:cs="Times New Roman"/>
          <w:sz w:val="24"/>
          <w:szCs w:val="24"/>
          <w:u w:color="FF0000"/>
        </w:rPr>
        <w:t xml:space="preserve"> 具备履行合同所必需的设备和专业技术能力的书面声明（原件）</w:t>
      </w:r>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w:t>
      </w:r>
      <w:r>
        <w:rPr>
          <w:rFonts w:ascii="Times New Roman" w:hAnsi="Times New Roman" w:eastAsia="宋体" w:cs="Times New Roman"/>
          <w:sz w:val="24"/>
          <w:szCs w:val="24"/>
          <w:u w:color="FF0000"/>
        </w:rPr>
        <w:t xml:space="preserve">5 </w:t>
      </w:r>
      <w:r>
        <w:rPr>
          <w:rFonts w:hint="eastAsia" w:ascii="Times New Roman" w:hAnsi="Times New Roman" w:eastAsia="宋体" w:cs="Times New Roman"/>
          <w:sz w:val="24"/>
          <w:szCs w:val="24"/>
          <w:u w:color="FF0000"/>
        </w:rPr>
        <w:t>无违法违规记录声明（原件）</w:t>
      </w:r>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w:t>
      </w:r>
      <w:r>
        <w:rPr>
          <w:rFonts w:ascii="Times New Roman" w:hAnsi="Times New Roman" w:eastAsia="宋体" w:cs="Times New Roman"/>
          <w:sz w:val="24"/>
          <w:szCs w:val="24"/>
          <w:u w:color="FF0000"/>
        </w:rPr>
        <w:t xml:space="preserve">6 </w:t>
      </w:r>
      <w:r>
        <w:rPr>
          <w:rFonts w:hint="eastAsia" w:ascii="Times New Roman" w:hAnsi="Times New Roman" w:eastAsia="宋体" w:cs="Times New Roman"/>
          <w:sz w:val="24"/>
          <w:szCs w:val="24"/>
          <w:u w:color="FF0000"/>
        </w:rPr>
        <w:t>自招标公告发布之日至投标截止前的“信用中国”（www.creditchina.gov.cn）或“诚信江苏”（www.jscredit.gov.cn）或中国政府采购网（www.ccgp.gov.cn）查询的信用记录截图证明（加盖公章），证明未被列入失信被执行人、重大税收违法案件当事人名单、政府采购严重失信行为记录名单</w:t>
      </w:r>
    </w:p>
    <w:p>
      <w:pPr>
        <w:spacing w:line="360" w:lineRule="auto"/>
        <w:ind w:firstLine="480" w:firstLineChars="200"/>
        <w:rPr>
          <w:rFonts w:ascii="Times New Roman" w:hAnsi="Times New Roman" w:eastAsia="宋体" w:cs="Times New Roman"/>
          <w:sz w:val="24"/>
          <w:szCs w:val="24"/>
          <w:u w:color="FF0000"/>
        </w:rPr>
      </w:pPr>
      <w:r>
        <w:rPr>
          <w:rFonts w:hint="eastAsia" w:ascii="Times New Roman" w:hAnsi="Times New Roman" w:eastAsia="宋体" w:cs="Times New Roman"/>
          <w:sz w:val="24"/>
          <w:szCs w:val="24"/>
          <w:u w:color="FF0000"/>
        </w:rPr>
        <w:t>文件</w:t>
      </w:r>
      <w:r>
        <w:rPr>
          <w:rFonts w:ascii="Times New Roman" w:hAnsi="Times New Roman" w:eastAsia="宋体" w:cs="Times New Roman"/>
          <w:sz w:val="24"/>
          <w:szCs w:val="24"/>
          <w:u w:color="FF0000"/>
        </w:rPr>
        <w:t>7</w:t>
      </w:r>
      <w:r>
        <w:rPr>
          <w:rFonts w:hint="eastAsia" w:ascii="Times New Roman" w:hAnsi="Times New Roman" w:eastAsia="宋体" w:cs="Times New Roman"/>
          <w:sz w:val="24"/>
          <w:szCs w:val="24"/>
          <w:u w:color="FF0000"/>
        </w:rPr>
        <w:t xml:space="preserve"> 招标文件中的其他实质性要求</w:t>
      </w:r>
    </w:p>
    <w:p>
      <w:pPr>
        <w:spacing w:line="360" w:lineRule="auto"/>
        <w:ind w:firstLine="420" w:firstLineChars="200"/>
        <w:rPr>
          <w:rFonts w:ascii="Times New Roman" w:hAnsi="Times New Roman" w:eastAsia="宋体" w:cs="Times New Roman"/>
          <w:szCs w:val="21"/>
          <w:u w:color="FF0000"/>
        </w:rPr>
      </w:pPr>
    </w:p>
    <w:p>
      <w:pPr>
        <w:spacing w:line="360" w:lineRule="auto"/>
        <w:ind w:firstLine="420" w:firstLineChars="200"/>
        <w:rPr>
          <w:rFonts w:ascii="Times New Roman" w:hAnsi="Times New Roman" w:eastAsia="宋体" w:cs="Times New Roman"/>
          <w:szCs w:val="21"/>
          <w:u w:color="FF0000"/>
        </w:rPr>
      </w:pPr>
    </w:p>
    <w:p>
      <w:pPr>
        <w:jc w:val="left"/>
        <w:rPr>
          <w:rFonts w:ascii="Times New Roman" w:hAnsi="Times New Roman" w:eastAsia="宋体" w:cs="Times New Roman"/>
          <w:szCs w:val="21"/>
          <w:u w:color="FF0000"/>
        </w:rPr>
      </w:pPr>
      <w:r>
        <w:rPr>
          <w:rFonts w:ascii="Times New Roman" w:hAnsi="Times New Roman" w:eastAsia="宋体" w:cs="Times New Roman"/>
          <w:szCs w:val="21"/>
          <w:u w:color="FF0000"/>
        </w:rPr>
        <w:br w:type="page"/>
      </w:r>
    </w:p>
    <w:p>
      <w:pPr>
        <w:spacing w:before="156" w:beforeLines="50" w:after="156" w:afterLines="50" w:line="360" w:lineRule="auto"/>
        <w:jc w:val="center"/>
        <w:rPr>
          <w:rFonts w:ascii="黑体" w:hAnsi="黑体" w:eastAsia="黑体" w:cs="Times New Roman"/>
          <w:sz w:val="28"/>
          <w:szCs w:val="21"/>
          <w:u w:color="FF0000"/>
        </w:rPr>
      </w:pPr>
      <w:r>
        <w:rPr>
          <w:rFonts w:hint="eastAsia" w:ascii="黑体" w:hAnsi="黑体" w:eastAsia="黑体" w:cs="Times New Roman"/>
          <w:sz w:val="28"/>
          <w:szCs w:val="21"/>
          <w:u w:color="FF0000"/>
        </w:rPr>
        <w:t>具备履行合同所必需的设备和专业技术能力的书面声明</w:t>
      </w:r>
    </w:p>
    <w:p>
      <w:pPr>
        <w:spacing w:line="460" w:lineRule="exact"/>
        <w:ind w:firstLine="492"/>
        <w:rPr>
          <w:rFonts w:ascii="Times New Roman" w:hAnsi="Times New Roman" w:cs="Times New Roman"/>
          <w:bCs/>
          <w:sz w:val="24"/>
          <w:szCs w:val="24"/>
        </w:rPr>
      </w:pPr>
      <w:r>
        <w:rPr>
          <w:rFonts w:ascii="Times New Roman" w:hAnsi="Times New Roman" w:cs="Times New Roman"/>
          <w:bCs/>
          <w:sz w:val="24"/>
          <w:szCs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Times New Roman" w:hAnsi="Times New Roman" w:cs="Times New Roman"/>
          <w:bCs/>
          <w:sz w:val="24"/>
          <w:szCs w:val="24"/>
        </w:rPr>
      </w:pPr>
      <w:r>
        <w:rPr>
          <w:rFonts w:ascii="Times New Roman" w:hAnsi="Times New Roman" w:cs="Times New Roman"/>
          <w:bCs/>
          <w:sz w:val="24"/>
          <w:szCs w:val="24"/>
        </w:rPr>
        <w:t>主要设备有：  。</w:t>
      </w:r>
    </w:p>
    <w:p>
      <w:pPr>
        <w:spacing w:line="460" w:lineRule="exact"/>
        <w:ind w:firstLine="492"/>
        <w:rPr>
          <w:rFonts w:ascii="Times New Roman" w:hAnsi="Times New Roman" w:cs="Times New Roman"/>
          <w:bCs/>
          <w:sz w:val="24"/>
          <w:szCs w:val="24"/>
        </w:rPr>
      </w:pPr>
      <w:r>
        <w:rPr>
          <w:rFonts w:ascii="Times New Roman" w:hAnsi="Times New Roman" w:cs="Times New Roman"/>
          <w:bCs/>
          <w:sz w:val="24"/>
          <w:szCs w:val="24"/>
        </w:rPr>
        <w:t>主要专业技术能力有：   。</w:t>
      </w:r>
    </w:p>
    <w:p>
      <w:pPr>
        <w:spacing w:line="460" w:lineRule="exact"/>
        <w:ind w:firstLine="492"/>
        <w:rPr>
          <w:rFonts w:ascii="Times New Roman" w:hAnsi="Times New Roman" w:cs="Times New Roman"/>
          <w:bCs/>
          <w:sz w:val="24"/>
          <w:szCs w:val="24"/>
        </w:rPr>
      </w:pPr>
    </w:p>
    <w:p>
      <w:pPr>
        <w:adjustRightInd w:val="0"/>
        <w:snapToGrid w:val="0"/>
        <w:spacing w:line="420" w:lineRule="exact"/>
        <w:ind w:firstLine="480" w:firstLineChars="2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声明人：</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p>
    <w:p>
      <w:pPr>
        <w:adjustRightInd w:val="0"/>
        <w:snapToGrid w:val="0"/>
        <w:spacing w:line="42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                             法定代表人</w:t>
      </w:r>
      <w:r>
        <w:rPr>
          <w:rFonts w:ascii="Times New Roman" w:hAnsi="Times New Roman" w:cs="Times New Roman"/>
          <w:bCs/>
          <w:sz w:val="24"/>
          <w:szCs w:val="24"/>
        </w:rPr>
        <w:t>（被授权人）</w:t>
      </w:r>
      <w:r>
        <w:rPr>
          <w:rFonts w:ascii="Times New Roman" w:hAnsi="Times New Roman" w:cs="Times New Roman"/>
          <w:sz w:val="24"/>
          <w:szCs w:val="24"/>
        </w:rPr>
        <w:t>签字：</w:t>
      </w:r>
      <w:r>
        <w:rPr>
          <w:rFonts w:ascii="Times New Roman" w:hAnsi="Times New Roman" w:cs="Times New Roman"/>
          <w:sz w:val="24"/>
          <w:szCs w:val="24"/>
          <w:u w:val="single"/>
        </w:rPr>
        <w:t xml:space="preserve">             </w:t>
      </w:r>
    </w:p>
    <w:p>
      <w:pPr>
        <w:spacing w:line="460" w:lineRule="exact"/>
        <w:ind w:firstLine="3960" w:firstLineChars="1650"/>
        <w:rPr>
          <w:rFonts w:ascii="Times New Roman" w:hAnsi="Times New Roman" w:cs="Times New Roman"/>
          <w:bCs/>
          <w:sz w:val="24"/>
          <w:szCs w:val="24"/>
        </w:rPr>
      </w:pPr>
      <w:r>
        <w:rPr>
          <w:rFonts w:ascii="Times New Roman" w:hAnsi="Times New Roman" w:cs="Times New Roman"/>
          <w:bCs/>
          <w:sz w:val="24"/>
          <w:szCs w:val="24"/>
        </w:rPr>
        <w:t>日期：</w:t>
      </w:r>
      <w:r>
        <w:rPr>
          <w:rFonts w:ascii="Times New Roman" w:hAnsi="Times New Roman" w:cs="Times New Roman"/>
          <w:bCs/>
          <w:sz w:val="24"/>
          <w:szCs w:val="24"/>
          <w:u w:val="single"/>
        </w:rPr>
        <w:t xml:space="preserve">       </w:t>
      </w:r>
      <w:r>
        <w:rPr>
          <w:rFonts w:ascii="Times New Roman" w:hAnsi="Times New Roman" w:cs="Times New Roman"/>
          <w:bCs/>
          <w:sz w:val="24"/>
          <w:szCs w:val="24"/>
        </w:rPr>
        <w:t>年</w:t>
      </w:r>
      <w:r>
        <w:rPr>
          <w:rFonts w:ascii="Times New Roman" w:hAnsi="Times New Roman" w:cs="Times New Roman"/>
          <w:bCs/>
          <w:sz w:val="24"/>
          <w:szCs w:val="24"/>
          <w:u w:val="single"/>
        </w:rPr>
        <w:t xml:space="preserve">    </w:t>
      </w:r>
      <w:r>
        <w:rPr>
          <w:rFonts w:ascii="Times New Roman" w:hAnsi="Times New Roman" w:cs="Times New Roman"/>
          <w:bCs/>
          <w:sz w:val="24"/>
          <w:szCs w:val="24"/>
        </w:rPr>
        <w:t>月</w:t>
      </w:r>
      <w:r>
        <w:rPr>
          <w:rFonts w:ascii="Times New Roman" w:hAnsi="Times New Roman" w:cs="Times New Roman"/>
          <w:bCs/>
          <w:sz w:val="24"/>
          <w:szCs w:val="24"/>
          <w:u w:val="single"/>
        </w:rPr>
        <w:t xml:space="preserve">    </w:t>
      </w:r>
      <w:r>
        <w:rPr>
          <w:rFonts w:ascii="Times New Roman" w:hAnsi="Times New Roman" w:cs="Times New Roman"/>
          <w:bCs/>
          <w:sz w:val="24"/>
          <w:szCs w:val="24"/>
        </w:rPr>
        <w:t>日</w:t>
      </w:r>
    </w:p>
    <w:p>
      <w:pPr>
        <w:spacing w:line="460" w:lineRule="exact"/>
        <w:rPr>
          <w:rFonts w:ascii="Times New Roman" w:hAnsi="Times New Roman" w:cs="Times New Roman"/>
          <w:bCs/>
          <w:sz w:val="24"/>
          <w:szCs w:val="24"/>
        </w:rPr>
      </w:pPr>
    </w:p>
    <w:p>
      <w:pPr>
        <w:spacing w:line="360" w:lineRule="auto"/>
        <w:ind w:firstLine="480" w:firstLineChars="200"/>
        <w:rPr>
          <w:rFonts w:ascii="Times New Roman" w:hAnsi="Times New Roman" w:eastAsia="宋体" w:cs="Times New Roman"/>
          <w:sz w:val="24"/>
          <w:szCs w:val="24"/>
          <w:u w:color="FF0000"/>
        </w:rPr>
      </w:pPr>
    </w:p>
    <w:p>
      <w:pPr>
        <w:spacing w:line="360" w:lineRule="auto"/>
        <w:ind w:firstLine="420" w:firstLineChars="200"/>
        <w:rPr>
          <w:rFonts w:ascii="Times New Roman" w:hAnsi="Times New Roman" w:eastAsia="宋体" w:cs="Times New Roman"/>
          <w:szCs w:val="21"/>
          <w:u w:color="FF0000"/>
        </w:rPr>
      </w:pPr>
    </w:p>
    <w:p>
      <w:pPr>
        <w:jc w:val="left"/>
        <w:rPr>
          <w:rFonts w:ascii="Times New Roman" w:hAnsi="Times New Roman" w:eastAsia="宋体" w:cs="Times New Roman"/>
          <w:szCs w:val="21"/>
          <w:u w:color="FF0000"/>
        </w:rPr>
      </w:pPr>
      <w:r>
        <w:rPr>
          <w:rFonts w:ascii="Times New Roman" w:hAnsi="Times New Roman" w:eastAsia="宋体" w:cs="Times New Roman"/>
          <w:szCs w:val="21"/>
          <w:u w:color="FF0000"/>
        </w:rPr>
        <w:br w:type="page"/>
      </w:r>
    </w:p>
    <w:p>
      <w:pPr>
        <w:adjustRightInd w:val="0"/>
        <w:snapToGrid w:val="0"/>
        <w:spacing w:before="156" w:beforeLines="50" w:after="156" w:afterLines="50" w:line="360" w:lineRule="auto"/>
        <w:jc w:val="center"/>
        <w:rPr>
          <w:rFonts w:ascii="黑体" w:hAnsi="黑体" w:eastAsia="黑体" w:cs="Times New Roman"/>
          <w:sz w:val="28"/>
          <w:szCs w:val="28"/>
        </w:rPr>
      </w:pPr>
      <w:r>
        <w:rPr>
          <w:rFonts w:ascii="黑体" w:hAnsi="黑体" w:eastAsia="黑体" w:cs="Times New Roman"/>
          <w:sz w:val="28"/>
          <w:szCs w:val="28"/>
        </w:rPr>
        <w:t>无违法违规记录声明</w:t>
      </w:r>
    </w:p>
    <w:p>
      <w:pPr>
        <w:adjustRightInd w:val="0"/>
        <w:snapToGrid w:val="0"/>
        <w:spacing w:line="420" w:lineRule="exact"/>
        <w:ind w:firstLine="480" w:firstLineChars="200"/>
        <w:rPr>
          <w:rFonts w:ascii="Times New Roman" w:hAnsi="Times New Roman" w:cs="Times New Roman"/>
          <w:sz w:val="24"/>
          <w:szCs w:val="24"/>
        </w:rPr>
      </w:pPr>
      <w:r>
        <w:rPr>
          <w:rFonts w:ascii="Times New Roman" w:hAnsi="Times New Roman" w:cs="Times New Roman"/>
          <w:sz w:val="24"/>
          <w:szCs w:val="24"/>
        </w:rPr>
        <w:t>本单位在经营活动中没有违法违规记录，近三年内没有被司法部门或行业主管部门处罚，无被政府职能部门认定有行贿和欺诈行为。</w:t>
      </w:r>
    </w:p>
    <w:p>
      <w:pPr>
        <w:adjustRightInd w:val="0"/>
        <w:snapToGrid w:val="0"/>
        <w:spacing w:line="420" w:lineRule="exact"/>
        <w:ind w:firstLine="480" w:firstLineChars="200"/>
        <w:rPr>
          <w:rFonts w:ascii="Times New Roman" w:hAnsi="Times New Roman" w:cs="Times New Roman"/>
          <w:sz w:val="24"/>
          <w:szCs w:val="24"/>
        </w:rPr>
      </w:pPr>
      <w:r>
        <w:rPr>
          <w:rFonts w:ascii="Times New Roman" w:hAnsi="Times New Roman" w:cs="Times New Roman"/>
          <w:sz w:val="24"/>
          <w:szCs w:val="24"/>
        </w:rPr>
        <w:t>特此声明</w:t>
      </w:r>
      <w:r>
        <w:rPr>
          <w:rFonts w:hint="eastAsia" w:ascii="Times New Roman" w:hAnsi="Times New Roman" w:cs="Times New Roman"/>
          <w:sz w:val="24"/>
          <w:szCs w:val="24"/>
        </w:rPr>
        <w:t>。</w:t>
      </w:r>
    </w:p>
    <w:p>
      <w:pPr>
        <w:adjustRightInd w:val="0"/>
        <w:snapToGrid w:val="0"/>
        <w:spacing w:line="420" w:lineRule="exact"/>
        <w:ind w:firstLine="480" w:firstLineChars="200"/>
        <w:rPr>
          <w:rFonts w:ascii="Times New Roman" w:hAnsi="Times New Roman" w:cs="Times New Roman"/>
          <w:sz w:val="24"/>
          <w:szCs w:val="24"/>
        </w:rPr>
      </w:pPr>
    </w:p>
    <w:p>
      <w:pPr>
        <w:adjustRightInd w:val="0"/>
        <w:snapToGrid w:val="0"/>
        <w:spacing w:line="420" w:lineRule="exact"/>
        <w:ind w:firstLine="480" w:firstLineChars="2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声明人：</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p>
    <w:p>
      <w:pPr>
        <w:adjustRightInd w:val="0"/>
        <w:snapToGrid w:val="0"/>
        <w:spacing w:line="42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                             法定代表人</w:t>
      </w:r>
      <w:r>
        <w:rPr>
          <w:rFonts w:ascii="Times New Roman" w:hAnsi="Times New Roman" w:cs="Times New Roman"/>
          <w:bCs/>
          <w:sz w:val="24"/>
          <w:szCs w:val="24"/>
        </w:rPr>
        <w:t>（被授权人）</w:t>
      </w:r>
      <w:r>
        <w:rPr>
          <w:rFonts w:ascii="Times New Roman" w:hAnsi="Times New Roman" w:cs="Times New Roman"/>
          <w:sz w:val="24"/>
          <w:szCs w:val="24"/>
        </w:rPr>
        <w:t>签字：</w:t>
      </w:r>
      <w:r>
        <w:rPr>
          <w:rFonts w:ascii="Times New Roman" w:hAnsi="Times New Roman" w:cs="Times New Roman"/>
          <w:sz w:val="24"/>
          <w:szCs w:val="24"/>
          <w:u w:val="single"/>
        </w:rPr>
        <w:t xml:space="preserve">             </w:t>
      </w:r>
    </w:p>
    <w:p>
      <w:pPr>
        <w:spacing w:line="460" w:lineRule="exact"/>
        <w:ind w:firstLine="3960" w:firstLineChars="1650"/>
        <w:rPr>
          <w:rFonts w:ascii="Times New Roman" w:hAnsi="Times New Roman" w:cs="Times New Roman"/>
          <w:bCs/>
          <w:sz w:val="24"/>
          <w:szCs w:val="24"/>
        </w:rPr>
      </w:pPr>
      <w:r>
        <w:rPr>
          <w:rFonts w:ascii="Times New Roman" w:hAnsi="Times New Roman" w:cs="Times New Roman"/>
          <w:bCs/>
          <w:sz w:val="24"/>
          <w:szCs w:val="24"/>
        </w:rPr>
        <w:t>日期：</w:t>
      </w:r>
      <w:r>
        <w:rPr>
          <w:rFonts w:ascii="Times New Roman" w:hAnsi="Times New Roman" w:cs="Times New Roman"/>
          <w:bCs/>
          <w:sz w:val="24"/>
          <w:szCs w:val="24"/>
          <w:u w:val="single"/>
        </w:rPr>
        <w:t xml:space="preserve">       </w:t>
      </w:r>
      <w:r>
        <w:rPr>
          <w:rFonts w:ascii="Times New Roman" w:hAnsi="Times New Roman" w:cs="Times New Roman"/>
          <w:bCs/>
          <w:sz w:val="24"/>
          <w:szCs w:val="24"/>
        </w:rPr>
        <w:t>年</w:t>
      </w:r>
      <w:r>
        <w:rPr>
          <w:rFonts w:ascii="Times New Roman" w:hAnsi="Times New Roman" w:cs="Times New Roman"/>
          <w:bCs/>
          <w:sz w:val="24"/>
          <w:szCs w:val="24"/>
          <w:u w:val="single"/>
        </w:rPr>
        <w:t xml:space="preserve">    </w:t>
      </w:r>
      <w:r>
        <w:rPr>
          <w:rFonts w:ascii="Times New Roman" w:hAnsi="Times New Roman" w:cs="Times New Roman"/>
          <w:bCs/>
          <w:sz w:val="24"/>
          <w:szCs w:val="24"/>
        </w:rPr>
        <w:t>月</w:t>
      </w:r>
      <w:r>
        <w:rPr>
          <w:rFonts w:ascii="Times New Roman" w:hAnsi="Times New Roman" w:cs="Times New Roman"/>
          <w:bCs/>
          <w:sz w:val="24"/>
          <w:szCs w:val="24"/>
          <w:u w:val="single"/>
        </w:rPr>
        <w:t xml:space="preserve">    </w:t>
      </w:r>
      <w:r>
        <w:rPr>
          <w:rFonts w:ascii="Times New Roman" w:hAnsi="Times New Roman" w:cs="Times New Roman"/>
          <w:bCs/>
          <w:sz w:val="24"/>
          <w:szCs w:val="24"/>
        </w:rPr>
        <w:t>日</w:t>
      </w:r>
    </w:p>
    <w:p>
      <w:pPr>
        <w:spacing w:line="360" w:lineRule="auto"/>
        <w:ind w:firstLine="420" w:firstLineChars="200"/>
        <w:rPr>
          <w:rFonts w:ascii="Times New Roman" w:hAnsi="Times New Roman" w:eastAsia="宋体" w:cs="Times New Roman"/>
          <w:szCs w:val="21"/>
          <w:u w:color="FF0000"/>
        </w:rPr>
      </w:pPr>
    </w:p>
    <w:p>
      <w:pPr>
        <w:spacing w:line="360" w:lineRule="auto"/>
        <w:ind w:firstLine="420" w:firstLineChars="200"/>
        <w:rPr>
          <w:rFonts w:ascii="Times New Roman" w:hAnsi="Times New Roman" w:eastAsia="宋体" w:cs="Times New Roman"/>
          <w:szCs w:val="21"/>
          <w:u w:color="FF0000"/>
        </w:rPr>
      </w:pPr>
    </w:p>
    <w:p>
      <w:pPr>
        <w:jc w:val="left"/>
        <w:rPr>
          <w:rFonts w:ascii="Times New Roman" w:hAnsi="Times New Roman" w:eastAsia="宋体" w:cs="Times New Roman"/>
          <w:szCs w:val="21"/>
          <w:u w:color="FF0000"/>
        </w:rPr>
      </w:pPr>
      <w:r>
        <w:rPr>
          <w:rFonts w:ascii="Times New Roman" w:hAnsi="Times New Roman" w:eastAsia="黑体" w:cs="Times New Roman"/>
          <w:sz w:val="24"/>
          <w:szCs w:val="24"/>
          <w:u w:color="000000"/>
        </w:rPr>
        <w:br w:type="page"/>
      </w:r>
    </w:p>
    <w:p>
      <w:pPr>
        <w:tabs>
          <w:tab w:val="left" w:pos="576"/>
        </w:tabs>
        <w:spacing w:before="156" w:beforeLines="50" w:after="156" w:afterLines="50" w:line="360" w:lineRule="auto"/>
        <w:outlineLvl w:val="2"/>
        <w:rPr>
          <w:rFonts w:ascii="Times New Roman" w:hAnsi="Times New Roman" w:eastAsia="黑体" w:cs="Times New Roman"/>
          <w:sz w:val="24"/>
          <w:szCs w:val="24"/>
          <w:u w:color="000000"/>
        </w:rPr>
      </w:pPr>
      <w:bookmarkStart w:id="36" w:name="_Toc11859495"/>
      <w:bookmarkStart w:id="37" w:name="_Toc67403431"/>
      <w:r>
        <w:rPr>
          <w:rFonts w:ascii="Times New Roman" w:hAnsi="Times New Roman" w:eastAsia="黑体" w:cs="Times New Roman"/>
          <w:sz w:val="24"/>
          <w:szCs w:val="24"/>
          <w:u w:color="000000"/>
        </w:rPr>
        <w:t xml:space="preserve">6.5 </w:t>
      </w:r>
      <w:r>
        <w:rPr>
          <w:rFonts w:hint="eastAsia" w:ascii="Times New Roman" w:hAnsi="Times New Roman" w:eastAsia="黑体" w:cs="Times New Roman"/>
          <w:sz w:val="24"/>
          <w:szCs w:val="24"/>
          <w:u w:color="000000"/>
        </w:rPr>
        <w:t>商务条款响应及偏离表</w:t>
      </w:r>
      <w:bookmarkEnd w:id="36"/>
      <w:bookmarkEnd w:id="37"/>
    </w:p>
    <w:p>
      <w:pPr>
        <w:spacing w:before="156" w:beforeLines="50" w:after="156" w:afterLines="50" w:line="360" w:lineRule="auto"/>
        <w:jc w:val="center"/>
        <w:rPr>
          <w:rFonts w:ascii="黑体" w:hAnsi="黑体" w:eastAsia="黑体" w:cs="Times New Roman"/>
          <w:bCs/>
          <w:sz w:val="28"/>
          <w:szCs w:val="28"/>
          <w:u w:color="000000"/>
          <w:lang w:val="zh-TW"/>
        </w:rPr>
      </w:pPr>
      <w:r>
        <w:rPr>
          <w:rFonts w:hint="eastAsia" w:ascii="黑体" w:hAnsi="黑体" w:eastAsia="黑体" w:cs="Times New Roman"/>
          <w:bCs/>
          <w:sz w:val="28"/>
          <w:szCs w:val="28"/>
          <w:u w:color="000000"/>
          <w:lang w:val="zh-TW"/>
        </w:rPr>
        <w:t>商务条款响应及偏离表</w:t>
      </w:r>
    </w:p>
    <w:p>
      <w:pPr>
        <w:spacing w:line="360" w:lineRule="auto"/>
        <w:rPr>
          <w:rFonts w:ascii="Times New Roman" w:hAnsi="Times New Roman" w:cs="Times New Roman"/>
          <w:sz w:val="24"/>
          <w:szCs w:val="24"/>
        </w:rPr>
      </w:pPr>
      <w:r>
        <w:rPr>
          <w:rFonts w:ascii="Times New Roman" w:hAnsi="Times New Roman" w:cs="Times New Roman"/>
          <w:sz w:val="24"/>
          <w:szCs w:val="24"/>
        </w:rPr>
        <w:t>投标人全称</w:t>
      </w:r>
      <w:r>
        <w:rPr>
          <w:rFonts w:hint="eastAsia" w:ascii="Times New Roman" w:hAnsi="Times New Roman" w:cs="Times New Roman"/>
          <w:sz w:val="24"/>
          <w:szCs w:val="24"/>
        </w:rPr>
        <w:t>（</w:t>
      </w:r>
      <w:r>
        <w:rPr>
          <w:rFonts w:ascii="Times New Roman" w:hAnsi="Times New Roman" w:cs="Times New Roman"/>
          <w:sz w:val="24"/>
          <w:szCs w:val="24"/>
        </w:rPr>
        <w:t>公章</w:t>
      </w:r>
      <w:r>
        <w:rPr>
          <w:rFonts w:hint="eastAsia" w:ascii="Times New Roman" w:hAnsi="Times New Roman" w:cs="Times New Roman"/>
          <w:sz w:val="24"/>
          <w:szCs w:val="24"/>
        </w:rPr>
        <w:t>）：</w:t>
      </w:r>
      <w:r>
        <w:rPr>
          <w:rFonts w:ascii="Times New Roman" w:hAnsi="Times New Roman" w:cs="Times New Roman"/>
          <w:sz w:val="24"/>
          <w:szCs w:val="24"/>
          <w:u w:val="single"/>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项目名称：</w:t>
      </w:r>
      <w:r>
        <w:rPr>
          <w:rFonts w:hint="eastAsia" w:ascii="Times New Roman" w:hAnsi="Times New Roman" w:cs="Times New Roman"/>
          <w:sz w:val="24"/>
          <w:szCs w:val="24"/>
          <w:u w:val="single"/>
        </w:rPr>
        <w:t>紫金山实验室态势感知项目</w:t>
      </w:r>
    </w:p>
    <w:tbl>
      <w:tblPr>
        <w:tblStyle w:val="2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序号</w:t>
            </w:r>
          </w:p>
        </w:tc>
        <w:tc>
          <w:tcPr>
            <w:tcW w:w="2976" w:type="dxa"/>
            <w:vAlign w:val="center"/>
          </w:tcPr>
          <w:p>
            <w:pPr>
              <w:pStyle w:val="44"/>
              <w:widowControl w:val="0"/>
              <w:snapToGrid w:val="0"/>
              <w:jc w:val="center"/>
              <w:rPr>
                <w:rFonts w:ascii="Times New Roman" w:cs="Times New Roman"/>
                <w:color w:val="auto"/>
              </w:rPr>
            </w:pPr>
            <w:r>
              <w:rPr>
                <w:rFonts w:ascii="Times New Roman" w:cs="Times New Roman"/>
                <w:color w:val="auto"/>
              </w:rPr>
              <w:t>项目</w:t>
            </w:r>
          </w:p>
        </w:tc>
        <w:tc>
          <w:tcPr>
            <w:tcW w:w="1985" w:type="dxa"/>
            <w:vAlign w:val="center"/>
          </w:tcPr>
          <w:p>
            <w:pPr>
              <w:pStyle w:val="44"/>
              <w:widowControl w:val="0"/>
              <w:snapToGrid w:val="0"/>
              <w:jc w:val="center"/>
              <w:rPr>
                <w:rFonts w:ascii="Times New Roman" w:cs="Times New Roman"/>
                <w:color w:val="auto"/>
              </w:rPr>
            </w:pPr>
            <w:r>
              <w:rPr>
                <w:rFonts w:ascii="Times New Roman" w:cs="Times New Roman"/>
                <w:color w:val="auto"/>
              </w:rPr>
              <w:t>采购文件要求</w:t>
            </w:r>
          </w:p>
        </w:tc>
        <w:tc>
          <w:tcPr>
            <w:tcW w:w="1843" w:type="dxa"/>
            <w:vAlign w:val="center"/>
          </w:tcPr>
          <w:p>
            <w:pPr>
              <w:pStyle w:val="44"/>
              <w:widowControl w:val="0"/>
              <w:snapToGrid w:val="0"/>
              <w:jc w:val="center"/>
              <w:rPr>
                <w:rFonts w:ascii="Times New Roman" w:cs="Times New Roman"/>
                <w:color w:val="auto"/>
              </w:rPr>
            </w:pPr>
            <w:r>
              <w:rPr>
                <w:rFonts w:ascii="Times New Roman" w:cs="Times New Roman"/>
                <w:color w:val="auto"/>
              </w:rPr>
              <w:t>投标人的承诺或说明</w:t>
            </w:r>
          </w:p>
        </w:tc>
        <w:tc>
          <w:tcPr>
            <w:tcW w:w="1687" w:type="dxa"/>
            <w:vAlign w:val="center"/>
          </w:tcPr>
          <w:p>
            <w:pPr>
              <w:pStyle w:val="44"/>
              <w:widowControl w:val="0"/>
              <w:snapToGrid w:val="0"/>
              <w:jc w:val="center"/>
              <w:rPr>
                <w:rFonts w:ascii="Times New Roman" w:cs="Times New Roman"/>
                <w:color w:val="auto"/>
              </w:rPr>
            </w:pPr>
            <w:r>
              <w:rPr>
                <w:rFonts w:ascii="Times New Roman" w:cs="Times New Roman"/>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1</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2</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3</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4</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5</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6</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7</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8</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4"/>
              <w:widowControl w:val="0"/>
              <w:snapToGrid w:val="0"/>
              <w:jc w:val="center"/>
              <w:rPr>
                <w:rFonts w:ascii="Times New Roman" w:cs="Times New Roman"/>
                <w:color w:val="auto"/>
              </w:rPr>
            </w:pPr>
            <w:r>
              <w:rPr>
                <w:rFonts w:ascii="Times New Roman" w:cs="Times New Roman"/>
                <w:color w:val="auto"/>
              </w:rPr>
              <w:t>9</w:t>
            </w:r>
          </w:p>
        </w:tc>
        <w:tc>
          <w:tcPr>
            <w:tcW w:w="2976" w:type="dxa"/>
            <w:vAlign w:val="center"/>
          </w:tcPr>
          <w:p>
            <w:pPr>
              <w:pStyle w:val="44"/>
              <w:widowControl w:val="0"/>
              <w:snapToGrid w:val="0"/>
              <w:jc w:val="center"/>
              <w:rPr>
                <w:rFonts w:ascii="Times New Roman" w:cs="Times New Roman"/>
                <w:color w:val="auto"/>
              </w:rPr>
            </w:pPr>
          </w:p>
        </w:tc>
        <w:tc>
          <w:tcPr>
            <w:tcW w:w="1985" w:type="dxa"/>
            <w:vAlign w:val="center"/>
          </w:tcPr>
          <w:p>
            <w:pPr>
              <w:pStyle w:val="44"/>
              <w:widowControl w:val="0"/>
              <w:snapToGrid w:val="0"/>
              <w:jc w:val="center"/>
              <w:rPr>
                <w:rFonts w:ascii="Times New Roman" w:cs="Times New Roman"/>
                <w:color w:val="auto"/>
              </w:rPr>
            </w:pPr>
          </w:p>
        </w:tc>
        <w:tc>
          <w:tcPr>
            <w:tcW w:w="1843" w:type="dxa"/>
            <w:vAlign w:val="center"/>
          </w:tcPr>
          <w:p>
            <w:pPr>
              <w:pStyle w:val="44"/>
              <w:widowControl w:val="0"/>
              <w:snapToGrid w:val="0"/>
              <w:jc w:val="center"/>
              <w:rPr>
                <w:rFonts w:ascii="Times New Roman" w:cs="Times New Roman"/>
                <w:color w:val="auto"/>
              </w:rPr>
            </w:pPr>
          </w:p>
        </w:tc>
        <w:tc>
          <w:tcPr>
            <w:tcW w:w="1687" w:type="dxa"/>
            <w:vAlign w:val="center"/>
          </w:tcPr>
          <w:p>
            <w:pPr>
              <w:pStyle w:val="44"/>
              <w:widowControl w:val="0"/>
              <w:snapToGrid w:val="0"/>
              <w:jc w:val="center"/>
              <w:rPr>
                <w:rFonts w:ascii="Times New Roman" w:cs="Times New Roman"/>
                <w:color w:val="auto"/>
              </w:rPr>
            </w:pPr>
          </w:p>
        </w:tc>
      </w:tr>
    </w:tbl>
    <w:p>
      <w:pPr>
        <w:pStyle w:val="44"/>
        <w:widowControl w:val="0"/>
        <w:spacing w:line="360" w:lineRule="auto"/>
        <w:ind w:firstLine="4320" w:firstLineChars="1800"/>
        <w:rPr>
          <w:rFonts w:ascii="Times New Roman" w:cs="Times New Roman"/>
          <w:color w:val="auto"/>
          <w:u w:val="single"/>
        </w:rPr>
      </w:pPr>
      <w:r>
        <w:rPr>
          <w:rFonts w:ascii="Times New Roman" w:cs="Times New Roman"/>
          <w:color w:val="auto"/>
        </w:rPr>
        <w:t>法定代表人（授权代表）签字：</w:t>
      </w:r>
      <w:r>
        <w:rPr>
          <w:rFonts w:ascii="Times New Roman" w:cs="Times New Roman"/>
          <w:color w:val="auto"/>
          <w:u w:val="single"/>
        </w:rPr>
        <w:t xml:space="preserve">         </w:t>
      </w:r>
    </w:p>
    <w:p>
      <w:pPr>
        <w:pStyle w:val="44"/>
        <w:widowControl w:val="0"/>
        <w:spacing w:line="360" w:lineRule="auto"/>
        <w:ind w:firstLine="5640" w:firstLineChars="2350"/>
        <w:rPr>
          <w:rFonts w:ascii="Times New Roman" w:cs="Times New Roman"/>
          <w:color w:val="auto"/>
          <w:u w:val="single"/>
        </w:rPr>
      </w:pPr>
      <w:r>
        <w:rPr>
          <w:rFonts w:ascii="Times New Roman" w:cs="Times New Roman"/>
          <w:bCs/>
        </w:rPr>
        <w:t>日期：</w:t>
      </w:r>
      <w:r>
        <w:rPr>
          <w:rFonts w:ascii="Times New Roman" w:cs="Times New Roman"/>
          <w:bCs/>
          <w:u w:val="single"/>
        </w:rPr>
        <w:t xml:space="preserve">       </w:t>
      </w:r>
      <w:r>
        <w:rPr>
          <w:rFonts w:ascii="Times New Roman" w:cs="Times New Roman"/>
          <w:bCs/>
        </w:rPr>
        <w:t>年</w:t>
      </w:r>
      <w:r>
        <w:rPr>
          <w:rFonts w:ascii="Times New Roman" w:cs="Times New Roman"/>
          <w:bCs/>
          <w:u w:val="single"/>
        </w:rPr>
        <w:t xml:space="preserve">    </w:t>
      </w:r>
      <w:r>
        <w:rPr>
          <w:rFonts w:ascii="Times New Roman" w:cs="Times New Roman"/>
          <w:bCs/>
        </w:rPr>
        <w:t>月</w:t>
      </w:r>
      <w:r>
        <w:rPr>
          <w:rFonts w:ascii="Times New Roman" w:cs="Times New Roman"/>
          <w:bCs/>
          <w:u w:val="single"/>
        </w:rPr>
        <w:t xml:space="preserve">    </w:t>
      </w:r>
      <w:r>
        <w:rPr>
          <w:rFonts w:ascii="Times New Roman" w:cs="Times New Roman"/>
          <w:bCs/>
        </w:rPr>
        <w:t>日</w:t>
      </w:r>
    </w:p>
    <w:p>
      <w:pPr>
        <w:adjustRightInd w:val="0"/>
        <w:snapToGrid w:val="0"/>
        <w:spacing w:line="400" w:lineRule="exact"/>
        <w:ind w:left="693" w:hanging="693" w:hangingChars="330"/>
        <w:rPr>
          <w:rFonts w:ascii="Times New Roman" w:hAnsi="Times New Roman" w:cs="Times New Roman"/>
          <w:szCs w:val="21"/>
        </w:rPr>
      </w:pPr>
      <w:r>
        <w:rPr>
          <w:rFonts w:ascii="Times New Roman" w:hAnsi="Times New Roman" w:cs="Times New Roman"/>
          <w:szCs w:val="21"/>
        </w:rPr>
        <w:t>注：</w:t>
      </w:r>
    </w:p>
    <w:p>
      <w:pPr>
        <w:pStyle w:val="41"/>
        <w:spacing w:line="400" w:lineRule="exact"/>
        <w:ind w:firstLine="420"/>
        <w:rPr>
          <w:sz w:val="21"/>
        </w:rPr>
      </w:pPr>
      <w:r>
        <w:rPr>
          <w:sz w:val="21"/>
        </w:rPr>
        <w:t>1．投标人应当逐条对照招标文件合同条款，就投标文件对合同条款存在的偏差与例外逐条做出说明；</w:t>
      </w:r>
    </w:p>
    <w:p>
      <w:pPr>
        <w:pStyle w:val="41"/>
        <w:spacing w:line="400" w:lineRule="exact"/>
        <w:ind w:firstLine="420"/>
        <w:rPr>
          <w:sz w:val="21"/>
        </w:rPr>
      </w:pPr>
      <w:r>
        <w:rPr>
          <w:sz w:val="21"/>
        </w:rPr>
        <w:t>2．如投标文件对合同条款无任何偏差，投标人仅需在本偏离表中填写“无偏离”即可。</w:t>
      </w:r>
    </w:p>
    <w:p>
      <w:pPr>
        <w:pStyle w:val="41"/>
        <w:spacing w:line="400" w:lineRule="exact"/>
        <w:ind w:firstLine="420"/>
        <w:rPr>
          <w:sz w:val="21"/>
        </w:rPr>
      </w:pPr>
      <w:r>
        <w:rPr>
          <w:sz w:val="21"/>
        </w:rPr>
        <w:t>3. 投标人未填写该表则表示完全满足招标文件合同条款要求。</w:t>
      </w:r>
    </w:p>
    <w:p>
      <w:pPr>
        <w:spacing w:line="360" w:lineRule="auto"/>
        <w:ind w:firstLine="420" w:firstLineChars="200"/>
        <w:rPr>
          <w:rFonts w:ascii="Times New Roman" w:hAnsi="Times New Roman" w:eastAsia="宋体" w:cs="Times New Roman"/>
          <w:szCs w:val="21"/>
          <w:u w:color="FF0000"/>
        </w:rPr>
      </w:pPr>
    </w:p>
    <w:p>
      <w:pPr>
        <w:jc w:val="left"/>
        <w:rPr>
          <w:rFonts w:ascii="Times New Roman" w:hAnsi="Times New Roman" w:eastAsia="黑体" w:cs="Times New Roman"/>
          <w:sz w:val="24"/>
          <w:szCs w:val="24"/>
          <w:u w:color="000000"/>
        </w:rPr>
      </w:pPr>
      <w:r>
        <w:rPr>
          <w:rFonts w:ascii="Times New Roman" w:hAnsi="Times New Roman" w:eastAsia="黑体" w:cs="Times New Roman"/>
          <w:sz w:val="24"/>
          <w:szCs w:val="24"/>
          <w:u w:color="000000"/>
        </w:rPr>
        <w:br w:type="page"/>
      </w:r>
      <w:bookmarkStart w:id="38" w:name="_Toc11859496"/>
      <w:bookmarkStart w:id="39" w:name="_Toc67403432"/>
      <w:r>
        <w:rPr>
          <w:rFonts w:ascii="Times New Roman" w:hAnsi="Times New Roman" w:eastAsia="黑体" w:cs="Times New Roman"/>
          <w:sz w:val="24"/>
          <w:szCs w:val="24"/>
          <w:u w:color="000000"/>
        </w:rPr>
        <w:t xml:space="preserve">6.6 </w:t>
      </w:r>
      <w:r>
        <w:rPr>
          <w:rFonts w:hint="eastAsia" w:ascii="Times New Roman" w:hAnsi="Times New Roman" w:eastAsia="黑体" w:cs="Times New Roman"/>
          <w:sz w:val="24"/>
          <w:szCs w:val="24"/>
          <w:u w:color="000000"/>
        </w:rPr>
        <w:t>技术参数响应及偏离表</w:t>
      </w:r>
      <w:bookmarkEnd w:id="38"/>
      <w:bookmarkEnd w:id="39"/>
    </w:p>
    <w:p>
      <w:pPr>
        <w:spacing w:before="156" w:beforeLines="50" w:after="156" w:afterLines="50" w:line="360" w:lineRule="auto"/>
        <w:jc w:val="center"/>
        <w:rPr>
          <w:rFonts w:ascii="黑体" w:hAnsi="黑体" w:eastAsia="黑体" w:cs="Times New Roman"/>
          <w:bCs/>
          <w:sz w:val="28"/>
          <w:szCs w:val="28"/>
          <w:u w:color="000000"/>
          <w:lang w:val="zh-TW"/>
        </w:rPr>
      </w:pPr>
      <w:r>
        <w:rPr>
          <w:rFonts w:hint="eastAsia" w:ascii="黑体" w:hAnsi="黑体" w:eastAsia="黑体" w:cs="Times New Roman"/>
          <w:bCs/>
          <w:sz w:val="28"/>
          <w:szCs w:val="28"/>
          <w:u w:color="000000"/>
          <w:lang w:val="zh-TW"/>
        </w:rPr>
        <w:t>技术参数响应及偏离表</w:t>
      </w:r>
    </w:p>
    <w:p>
      <w:pPr>
        <w:spacing w:line="360" w:lineRule="auto"/>
        <w:rPr>
          <w:rFonts w:ascii="Times New Roman" w:hAnsi="Times New Roman" w:cs="Times New Roman"/>
          <w:sz w:val="24"/>
          <w:szCs w:val="24"/>
        </w:rPr>
      </w:pPr>
      <w:r>
        <w:rPr>
          <w:rFonts w:ascii="Times New Roman" w:hAnsi="Times New Roman" w:cs="Times New Roman"/>
          <w:sz w:val="24"/>
          <w:szCs w:val="24"/>
        </w:rPr>
        <w:t>投标人全称</w:t>
      </w:r>
      <w:r>
        <w:rPr>
          <w:rFonts w:hint="eastAsia" w:ascii="Times New Roman" w:hAnsi="Times New Roman" w:cs="Times New Roman"/>
          <w:sz w:val="24"/>
          <w:szCs w:val="24"/>
        </w:rPr>
        <w:t>（</w:t>
      </w:r>
      <w:r>
        <w:rPr>
          <w:rFonts w:ascii="Times New Roman" w:hAnsi="Times New Roman" w:cs="Times New Roman"/>
          <w:sz w:val="24"/>
          <w:szCs w:val="24"/>
        </w:rPr>
        <w:t>公章</w:t>
      </w:r>
      <w:r>
        <w:rPr>
          <w:rFonts w:hint="eastAsia" w:ascii="Times New Roman" w:hAnsi="Times New Roman" w:cs="Times New Roman"/>
          <w:sz w:val="24"/>
          <w:szCs w:val="24"/>
        </w:rPr>
        <w:t>）：</w:t>
      </w:r>
      <w:r>
        <w:rPr>
          <w:rFonts w:ascii="Times New Roman" w:hAnsi="Times New Roman" w:cs="Times New Roman"/>
          <w:sz w:val="24"/>
          <w:szCs w:val="24"/>
          <w:u w:val="single"/>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项目名称：</w:t>
      </w:r>
      <w:r>
        <w:rPr>
          <w:rFonts w:hint="eastAsia" w:ascii="Times New Roman" w:hAnsi="Times New Roman" w:cs="Times New Roman"/>
          <w:sz w:val="24"/>
          <w:szCs w:val="24"/>
          <w:u w:val="single"/>
        </w:rPr>
        <w:t>紫金山实验室态势感知项目</w:t>
      </w:r>
    </w:p>
    <w:tbl>
      <w:tblPr>
        <w:tblStyle w:val="2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4"/>
                <w:szCs w:val="24"/>
              </w:rPr>
            </w:pPr>
          </w:p>
        </w:tc>
      </w:tr>
    </w:tbl>
    <w:p>
      <w:pPr>
        <w:pStyle w:val="44"/>
        <w:widowControl w:val="0"/>
        <w:spacing w:line="360" w:lineRule="auto"/>
        <w:ind w:firstLine="4320" w:firstLineChars="1800"/>
        <w:rPr>
          <w:rFonts w:ascii="Times New Roman" w:cs="Times New Roman"/>
          <w:color w:val="auto"/>
          <w:u w:val="single"/>
        </w:rPr>
      </w:pPr>
      <w:r>
        <w:rPr>
          <w:rFonts w:ascii="Times New Roman" w:cs="Times New Roman"/>
          <w:color w:val="auto"/>
        </w:rPr>
        <w:t>法定代表人（授权代表）签字：</w:t>
      </w:r>
      <w:r>
        <w:rPr>
          <w:rFonts w:ascii="Times New Roman" w:cs="Times New Roman"/>
          <w:color w:val="auto"/>
          <w:u w:val="single"/>
        </w:rPr>
        <w:t xml:space="preserve">         </w:t>
      </w:r>
    </w:p>
    <w:p>
      <w:pPr>
        <w:pStyle w:val="44"/>
        <w:widowControl w:val="0"/>
        <w:spacing w:line="360" w:lineRule="auto"/>
        <w:ind w:firstLine="5640" w:firstLineChars="2350"/>
        <w:rPr>
          <w:rFonts w:ascii="Times New Roman" w:cs="Times New Roman"/>
          <w:color w:val="auto"/>
          <w:u w:val="single"/>
        </w:rPr>
      </w:pPr>
      <w:r>
        <w:rPr>
          <w:rFonts w:ascii="Times New Roman" w:cs="Times New Roman"/>
          <w:bCs/>
        </w:rPr>
        <w:t>日期：</w:t>
      </w:r>
      <w:r>
        <w:rPr>
          <w:rFonts w:ascii="Times New Roman" w:cs="Times New Roman"/>
          <w:bCs/>
          <w:u w:val="single"/>
        </w:rPr>
        <w:t xml:space="preserve">       </w:t>
      </w:r>
      <w:r>
        <w:rPr>
          <w:rFonts w:ascii="Times New Roman" w:cs="Times New Roman"/>
          <w:bCs/>
        </w:rPr>
        <w:t>年</w:t>
      </w:r>
      <w:r>
        <w:rPr>
          <w:rFonts w:ascii="Times New Roman" w:cs="Times New Roman"/>
          <w:bCs/>
          <w:u w:val="single"/>
        </w:rPr>
        <w:t xml:space="preserve">    </w:t>
      </w:r>
      <w:r>
        <w:rPr>
          <w:rFonts w:ascii="Times New Roman" w:cs="Times New Roman"/>
          <w:bCs/>
        </w:rPr>
        <w:t>月</w:t>
      </w:r>
      <w:r>
        <w:rPr>
          <w:rFonts w:ascii="Times New Roman" w:cs="Times New Roman"/>
          <w:bCs/>
          <w:u w:val="single"/>
        </w:rPr>
        <w:t xml:space="preserve">    </w:t>
      </w:r>
      <w:r>
        <w:rPr>
          <w:rFonts w:ascii="Times New Roman" w:cs="Times New Roman"/>
          <w:bCs/>
        </w:rPr>
        <w:t>日</w:t>
      </w:r>
    </w:p>
    <w:p>
      <w:pPr>
        <w:pStyle w:val="41"/>
        <w:snapToGrid w:val="0"/>
        <w:spacing w:line="400" w:lineRule="exact"/>
        <w:ind w:firstLine="420"/>
        <w:rPr>
          <w:sz w:val="21"/>
        </w:rPr>
      </w:pPr>
    </w:p>
    <w:p>
      <w:pPr>
        <w:pStyle w:val="41"/>
        <w:snapToGrid w:val="0"/>
        <w:spacing w:line="400" w:lineRule="exact"/>
        <w:ind w:firstLine="420"/>
        <w:rPr>
          <w:sz w:val="21"/>
        </w:rPr>
      </w:pPr>
      <w:r>
        <w:rPr>
          <w:sz w:val="21"/>
        </w:rPr>
        <w:t>注：1．投标人应当逐条对照招标文件技术条款，就投标文件对技术条款存在的偏差与例外逐条做出说明；</w:t>
      </w:r>
    </w:p>
    <w:p>
      <w:pPr>
        <w:pStyle w:val="41"/>
        <w:snapToGrid w:val="0"/>
        <w:spacing w:line="400" w:lineRule="exact"/>
        <w:ind w:firstLine="420"/>
        <w:rPr>
          <w:sz w:val="21"/>
        </w:rPr>
      </w:pPr>
      <w:r>
        <w:rPr>
          <w:sz w:val="21"/>
        </w:rPr>
        <w:t>2．如投标文件对技术条款无任何偏差，投标人仅需在本偏离表中填写“无偏离”即可。</w:t>
      </w:r>
    </w:p>
    <w:p>
      <w:pPr>
        <w:shd w:val="clear" w:color="auto" w:fill="FFFFFF"/>
        <w:snapToGrid w:val="0"/>
        <w:spacing w:line="400" w:lineRule="exact"/>
        <w:ind w:firstLine="420" w:firstLineChars="200"/>
        <w:rPr>
          <w:rFonts w:ascii="Times New Roman" w:hAnsi="Times New Roman" w:cs="Times New Roman"/>
          <w:szCs w:val="21"/>
        </w:rPr>
      </w:pPr>
      <w:r>
        <w:rPr>
          <w:rFonts w:ascii="Times New Roman" w:hAnsi="Times New Roman" w:cs="Times New Roman"/>
          <w:szCs w:val="21"/>
        </w:rPr>
        <w:t>3. 投标人未填写该表则表示完全满足招标文件技术条款要求。</w:t>
      </w:r>
    </w:p>
    <w:p>
      <w:pPr>
        <w:spacing w:line="360" w:lineRule="auto"/>
        <w:rPr>
          <w:rFonts w:ascii="Times New Roman" w:hAnsi="Times New Roman" w:eastAsia="宋体" w:cs="Times New Roman"/>
          <w:szCs w:val="21"/>
          <w:u w:color="FF0000"/>
        </w:rPr>
      </w:pPr>
    </w:p>
    <w:p>
      <w:pPr>
        <w:widowControl/>
        <w:jc w:val="left"/>
        <w:rPr>
          <w:rFonts w:ascii="Times New Roman" w:hAnsi="Times New Roman" w:eastAsia="宋体" w:cs="Times New Roman"/>
          <w:szCs w:val="21"/>
          <w:u w:color="FF0000"/>
        </w:rPr>
      </w:pPr>
      <w:r>
        <w:rPr>
          <w:rFonts w:ascii="Times New Roman" w:hAnsi="Times New Roman" w:eastAsia="宋体" w:cs="Times New Roman"/>
          <w:szCs w:val="21"/>
          <w:u w:color="FF0000"/>
        </w:rPr>
        <w:br w:type="page"/>
      </w:r>
      <w:bookmarkStart w:id="40" w:name="_Toc67403433"/>
      <w:r>
        <w:rPr>
          <w:rFonts w:ascii="Times New Roman" w:hAnsi="Times New Roman" w:eastAsia="黑体" w:cs="Times New Roman"/>
          <w:sz w:val="24"/>
          <w:szCs w:val="24"/>
          <w:u w:color="000000"/>
        </w:rPr>
        <w:t xml:space="preserve">6.7 </w:t>
      </w:r>
      <w:r>
        <w:rPr>
          <w:rFonts w:hint="eastAsia" w:ascii="Times New Roman" w:hAnsi="Times New Roman" w:eastAsia="黑体" w:cs="Times New Roman"/>
          <w:sz w:val="24"/>
          <w:szCs w:val="24"/>
          <w:u w:color="000000"/>
        </w:rPr>
        <w:t>技术规范点对点</w:t>
      </w:r>
      <w:r>
        <w:rPr>
          <w:rFonts w:ascii="Times New Roman" w:hAnsi="Times New Roman" w:eastAsia="黑体" w:cs="Times New Roman"/>
          <w:sz w:val="24"/>
          <w:szCs w:val="24"/>
          <w:u w:color="000000"/>
        </w:rPr>
        <w:t>应答</w:t>
      </w:r>
      <w:bookmarkEnd w:id="40"/>
    </w:p>
    <w:p>
      <w:pPr>
        <w:spacing w:line="360" w:lineRule="auto"/>
        <w:rPr>
          <w:rFonts w:ascii="Times New Roman" w:hAnsi="Times New Roman" w:eastAsia="宋体" w:cs="Times New Roman"/>
          <w:szCs w:val="21"/>
          <w:u w:color="FF0000"/>
        </w:rPr>
      </w:pPr>
    </w:p>
    <w:p>
      <w:pPr>
        <w:spacing w:line="360" w:lineRule="auto"/>
        <w:rPr>
          <w:rFonts w:ascii="Times New Roman" w:hAnsi="Times New Roman" w:eastAsia="宋体" w:cs="Times New Roman"/>
          <w:szCs w:val="21"/>
          <w:u w:color="FF0000"/>
        </w:rPr>
      </w:pPr>
    </w:p>
    <w:p>
      <w:pPr>
        <w:spacing w:line="360" w:lineRule="auto"/>
        <w:rPr>
          <w:rFonts w:ascii="Times New Roman" w:hAnsi="Times New Roman" w:eastAsia="宋体" w:cs="Times New Roman"/>
          <w:szCs w:val="21"/>
          <w:u w:color="FF0000"/>
        </w:rPr>
      </w:pPr>
    </w:p>
    <w:p>
      <w:pPr>
        <w:widowControl/>
        <w:jc w:val="left"/>
        <w:rPr>
          <w:rFonts w:ascii="Times New Roman" w:hAnsi="Times New Roman" w:eastAsia="黑体" w:cs="Times New Roman"/>
          <w:sz w:val="24"/>
          <w:szCs w:val="24"/>
          <w:u w:color="000000"/>
        </w:rPr>
      </w:pPr>
      <w:bookmarkStart w:id="41" w:name="_Toc67303749"/>
      <w:r>
        <w:rPr>
          <w:rFonts w:ascii="Times New Roman" w:hAnsi="Times New Roman" w:eastAsia="黑体" w:cs="Times New Roman"/>
          <w:sz w:val="24"/>
          <w:szCs w:val="24"/>
          <w:u w:color="000000"/>
        </w:rPr>
        <w:br w:type="page"/>
      </w:r>
    </w:p>
    <w:p>
      <w:pPr>
        <w:widowControl/>
        <w:jc w:val="left"/>
        <w:rPr>
          <w:rFonts w:ascii="Times New Roman" w:hAnsi="Times New Roman" w:eastAsia="黑体" w:cs="Times New Roman"/>
          <w:sz w:val="24"/>
          <w:szCs w:val="24"/>
          <w:u w:color="000000"/>
        </w:rPr>
      </w:pPr>
      <w:r>
        <w:rPr>
          <w:rFonts w:ascii="Times New Roman" w:hAnsi="Times New Roman" w:eastAsia="黑体" w:cs="Times New Roman"/>
          <w:sz w:val="24"/>
          <w:szCs w:val="24"/>
          <w:u w:color="000000"/>
        </w:rPr>
        <w:t xml:space="preserve">6.8 </w:t>
      </w:r>
      <w:bookmarkEnd w:id="41"/>
      <w:r>
        <w:rPr>
          <w:rFonts w:hint="eastAsia" w:ascii="Times New Roman" w:hAnsi="Times New Roman" w:eastAsia="黑体" w:cs="Times New Roman"/>
          <w:sz w:val="24"/>
          <w:szCs w:val="24"/>
          <w:u w:color="000000"/>
        </w:rPr>
        <w:t>技术</w:t>
      </w:r>
      <w:r>
        <w:rPr>
          <w:rFonts w:ascii="Times New Roman" w:hAnsi="Times New Roman" w:eastAsia="黑体" w:cs="Times New Roman"/>
          <w:sz w:val="24"/>
          <w:szCs w:val="24"/>
          <w:u w:color="000000"/>
        </w:rPr>
        <w:t>方案</w:t>
      </w:r>
    </w:p>
    <w:p>
      <w:pPr>
        <w:widowControl/>
        <w:jc w:val="left"/>
      </w:pPr>
      <w:r>
        <w:rPr>
          <w:rFonts w:hint="eastAsia" w:ascii="Times New Roman" w:hAnsi="Times New Roman" w:cs="Times New Roman"/>
          <w:color w:val="000000"/>
          <w:sz w:val="24"/>
          <w:szCs w:val="24"/>
          <w:lang w:val="en-US" w:eastAsia="zh-CN"/>
        </w:rPr>
        <w:t>1、</w:t>
      </w:r>
      <w:r>
        <w:rPr>
          <w:rFonts w:hint="eastAsia" w:ascii="Times New Roman" w:hAnsi="Times New Roman" w:cs="Times New Roman"/>
          <w:color w:val="000000"/>
          <w:sz w:val="24"/>
          <w:szCs w:val="24"/>
        </w:rPr>
        <w:t>安装调试计划方案</w:t>
      </w:r>
    </w:p>
    <w:p>
      <w:pPr>
        <w:spacing w:line="360" w:lineRule="auto"/>
        <w:ind w:firstLine="480" w:firstLineChars="200"/>
        <w:rPr>
          <w:rFonts w:ascii="Times New Roman" w:hAnsi="Times New Roman" w:cs="Times New Roman"/>
          <w:color w:val="000000"/>
          <w:sz w:val="24"/>
          <w:szCs w:val="24"/>
        </w:rPr>
      </w:pPr>
    </w:p>
    <w:p>
      <w:pPr>
        <w:numPr>
          <w:ilvl w:val="0"/>
          <w:numId w:val="0"/>
        </w:numPr>
        <w:spacing w:line="360" w:lineRule="auto"/>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2、</w:t>
      </w:r>
      <w:r>
        <w:rPr>
          <w:rFonts w:ascii="Times New Roman" w:hAnsi="Times New Roman" w:cs="Times New Roman"/>
          <w:color w:val="000000"/>
          <w:sz w:val="24"/>
          <w:szCs w:val="24"/>
        </w:rPr>
        <w:t>售后服务方案</w:t>
      </w:r>
    </w:p>
    <w:p>
      <w:pPr>
        <w:pStyle w:val="18"/>
        <w:rPr>
          <w:color w:val="000000"/>
          <w:sz w:val="24"/>
          <w:szCs w:val="24"/>
        </w:rPr>
      </w:pPr>
    </w:p>
    <w:p>
      <w:pPr>
        <w:rPr>
          <w:rFonts w:ascii="Times New Roman" w:hAnsi="Times New Roman" w:cs="Times New Roman"/>
          <w:color w:val="000000"/>
          <w:sz w:val="24"/>
          <w:szCs w:val="24"/>
        </w:rPr>
      </w:pPr>
    </w:p>
    <w:p>
      <w:pPr>
        <w:ind w:firstLine="480" w:firstLineChars="200"/>
        <w:rPr>
          <w:rFonts w:ascii="Times New Roman" w:hAnsi="Times New Roman" w:cs="Times New Roman"/>
          <w:color w:val="000000"/>
          <w:sz w:val="24"/>
          <w:szCs w:val="24"/>
        </w:rPr>
      </w:pPr>
    </w:p>
    <w:p>
      <w:pPr>
        <w:pStyle w:val="6"/>
      </w:pPr>
    </w:p>
    <w:p>
      <w:pPr>
        <w:spacing w:line="360" w:lineRule="auto"/>
        <w:rPr>
          <w:rFonts w:ascii="Times New Roman" w:hAnsi="Times New Roman" w:eastAsia="宋体" w:cs="Times New Roman"/>
          <w:szCs w:val="21"/>
          <w:u w:color="FF0000"/>
        </w:rPr>
      </w:pPr>
    </w:p>
    <w:p>
      <w:pPr>
        <w:jc w:val="left"/>
        <w:rPr>
          <w:rFonts w:ascii="Times New Roman" w:hAnsi="Times New Roman" w:eastAsia="黑体" w:cs="Times New Roman"/>
          <w:sz w:val="24"/>
          <w:szCs w:val="24"/>
          <w:u w:color="000000"/>
        </w:rPr>
      </w:pPr>
      <w:r>
        <w:rPr>
          <w:rFonts w:ascii="Times New Roman" w:hAnsi="Times New Roman" w:eastAsia="黑体" w:cs="Times New Roman"/>
          <w:sz w:val="24"/>
          <w:szCs w:val="24"/>
          <w:u w:color="000000"/>
        </w:rPr>
        <w:br w:type="page"/>
      </w:r>
    </w:p>
    <w:p>
      <w:pPr>
        <w:widowControl/>
        <w:jc w:val="left"/>
        <w:rPr>
          <w:rFonts w:ascii="Times New Roman" w:hAnsi="Times New Roman" w:eastAsia="黑体" w:cs="Times New Roman"/>
          <w:sz w:val="24"/>
          <w:szCs w:val="24"/>
          <w:u w:color="000000"/>
        </w:rPr>
      </w:pPr>
      <w:bookmarkStart w:id="42" w:name="_Toc67403434"/>
      <w:bookmarkStart w:id="43" w:name="_Toc11859498"/>
      <w:r>
        <w:rPr>
          <w:rFonts w:ascii="Times New Roman" w:hAnsi="Times New Roman" w:eastAsia="黑体" w:cs="Times New Roman"/>
          <w:sz w:val="24"/>
          <w:szCs w:val="24"/>
          <w:u w:color="000000"/>
        </w:rPr>
        <w:t>6.</w:t>
      </w:r>
      <w:r>
        <w:rPr>
          <w:rFonts w:hint="eastAsia" w:ascii="Times New Roman" w:hAnsi="Times New Roman" w:eastAsia="黑体" w:cs="Times New Roman"/>
          <w:sz w:val="24"/>
          <w:szCs w:val="24"/>
          <w:u w:color="000000"/>
          <w:lang w:val="en-US" w:eastAsia="zh-CN"/>
        </w:rPr>
        <w:t>9</w:t>
      </w:r>
      <w:r>
        <w:rPr>
          <w:rFonts w:ascii="Times New Roman" w:hAnsi="Times New Roman" w:eastAsia="黑体" w:cs="Times New Roman"/>
          <w:sz w:val="24"/>
          <w:szCs w:val="24"/>
          <w:u w:color="000000"/>
        </w:rPr>
        <w:t xml:space="preserve"> </w:t>
      </w:r>
      <w:bookmarkEnd w:id="42"/>
      <w:bookmarkEnd w:id="43"/>
      <w:bookmarkStart w:id="44" w:name="_Toc11859499"/>
      <w:bookmarkStart w:id="45" w:name="_Toc67403436"/>
      <w:r>
        <w:rPr>
          <w:rFonts w:hint="eastAsia" w:ascii="Times New Roman" w:hAnsi="Times New Roman" w:eastAsia="黑体" w:cs="Times New Roman"/>
          <w:sz w:val="24"/>
          <w:szCs w:val="24"/>
          <w:u w:color="000000"/>
        </w:rPr>
        <w:t>投标人其它声明及材料</w:t>
      </w:r>
      <w:bookmarkEnd w:id="44"/>
      <w:bookmarkEnd w:id="45"/>
    </w:p>
    <w:p>
      <w:pPr>
        <w:spacing w:before="156" w:beforeLines="50" w:after="156" w:afterLines="50" w:line="360" w:lineRule="auto"/>
        <w:jc w:val="center"/>
        <w:rPr>
          <w:rFonts w:ascii="黑体" w:hAnsi="黑体" w:eastAsia="黑体" w:cs="Times New Roman"/>
          <w:sz w:val="28"/>
          <w:szCs w:val="28"/>
        </w:rPr>
      </w:pPr>
      <w:r>
        <w:rPr>
          <w:rFonts w:ascii="黑体" w:hAnsi="黑体" w:eastAsia="黑体" w:cs="Times New Roman"/>
          <w:sz w:val="28"/>
          <w:szCs w:val="28"/>
        </w:rPr>
        <w:t>投标人信息一览表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投标人名称</w:t>
            </w:r>
          </w:p>
          <w:p>
            <w:pPr>
              <w:spacing w:line="440" w:lineRule="exact"/>
              <w:jc w:val="center"/>
              <w:rPr>
                <w:rFonts w:ascii="Times New Roman" w:hAnsi="Times New Roman" w:cs="Times New Roman"/>
                <w:sz w:val="24"/>
                <w:szCs w:val="24"/>
              </w:rPr>
            </w:pPr>
            <w:r>
              <w:rPr>
                <w:rFonts w:ascii="Times New Roman" w:hAnsi="Times New Roman" w:cs="Times New Roman"/>
                <w:sz w:val="24"/>
                <w:szCs w:val="24"/>
              </w:rPr>
              <w:t>（加盖公章）</w:t>
            </w:r>
          </w:p>
        </w:tc>
        <w:tc>
          <w:tcPr>
            <w:tcW w:w="7339" w:type="dxa"/>
            <w:gridSpan w:val="3"/>
            <w:shd w:val="clear" w:color="auto" w:fill="auto"/>
            <w:vAlign w:val="center"/>
          </w:tcPr>
          <w:p>
            <w:pPr>
              <w:spacing w:line="44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注册地址</w:t>
            </w:r>
          </w:p>
        </w:tc>
        <w:tc>
          <w:tcPr>
            <w:tcW w:w="7339" w:type="dxa"/>
            <w:gridSpan w:val="3"/>
            <w:shd w:val="clear" w:color="auto" w:fill="auto"/>
            <w:vAlign w:val="center"/>
          </w:tcPr>
          <w:p>
            <w:pPr>
              <w:spacing w:line="44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企业类型</w:t>
            </w:r>
          </w:p>
          <w:p>
            <w:pPr>
              <w:spacing w:line="440" w:lineRule="exact"/>
              <w:jc w:val="center"/>
              <w:rPr>
                <w:rFonts w:ascii="Times New Roman" w:hAnsi="Times New Roman" w:cs="Times New Roman"/>
                <w:sz w:val="24"/>
                <w:szCs w:val="24"/>
              </w:rPr>
            </w:pPr>
            <w:r>
              <w:rPr>
                <w:rFonts w:ascii="Times New Roman" w:hAnsi="Times New Roman" w:cs="Times New Roman"/>
                <w:sz w:val="24"/>
                <w:szCs w:val="24"/>
              </w:rPr>
              <w:t>（请勾选）</w:t>
            </w:r>
          </w:p>
        </w:tc>
        <w:tc>
          <w:tcPr>
            <w:tcW w:w="7339" w:type="dxa"/>
            <w:gridSpan w:val="3"/>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所投产品属性</w:t>
            </w:r>
          </w:p>
          <w:p>
            <w:pPr>
              <w:spacing w:line="440" w:lineRule="exact"/>
              <w:jc w:val="center"/>
              <w:rPr>
                <w:rFonts w:ascii="Times New Roman" w:hAnsi="Times New Roman" w:cs="Times New Roman"/>
                <w:sz w:val="24"/>
                <w:szCs w:val="24"/>
              </w:rPr>
            </w:pPr>
            <w:r>
              <w:rPr>
                <w:rFonts w:ascii="Times New Roman" w:hAnsi="Times New Roman" w:cs="Times New Roman"/>
                <w:sz w:val="24"/>
                <w:szCs w:val="24"/>
              </w:rPr>
              <w:t>（请勾选）</w:t>
            </w:r>
          </w:p>
        </w:tc>
        <w:tc>
          <w:tcPr>
            <w:tcW w:w="7339" w:type="dxa"/>
            <w:gridSpan w:val="3"/>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□节能  □节水  □环保  □节能环保  □节水环保</w:t>
            </w:r>
          </w:p>
          <w:p>
            <w:pPr>
              <w:spacing w:line="440" w:lineRule="exact"/>
              <w:jc w:val="center"/>
              <w:rPr>
                <w:rFonts w:ascii="Times New Roman" w:hAnsi="Times New Roman" w:cs="Times New Roman"/>
                <w:sz w:val="24"/>
                <w:szCs w:val="24"/>
              </w:rPr>
            </w:pPr>
            <w:r>
              <w:rPr>
                <w:rFonts w:ascii="Times New Roman" w:hAnsi="Times New Roman" w:cs="Times New Roman"/>
                <w:sz w:val="24"/>
                <w:szCs w:val="24"/>
              </w:rPr>
              <w:t>□普通产品（即非节能节水环保产品）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授权代表姓名</w:t>
            </w:r>
          </w:p>
        </w:tc>
        <w:tc>
          <w:tcPr>
            <w:tcW w:w="2446" w:type="dxa"/>
            <w:shd w:val="clear" w:color="auto" w:fill="auto"/>
            <w:vAlign w:val="center"/>
          </w:tcPr>
          <w:p>
            <w:pPr>
              <w:spacing w:line="440" w:lineRule="exact"/>
              <w:jc w:val="center"/>
              <w:rPr>
                <w:rFonts w:ascii="Times New Roman" w:hAnsi="Times New Roman" w:cs="Times New Roman"/>
                <w:sz w:val="24"/>
                <w:szCs w:val="24"/>
              </w:rPr>
            </w:pPr>
          </w:p>
        </w:tc>
        <w:tc>
          <w:tcPr>
            <w:tcW w:w="2447" w:type="dxa"/>
            <w:shd w:val="clear" w:color="auto" w:fill="auto"/>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手机号码</w:t>
            </w:r>
          </w:p>
        </w:tc>
        <w:tc>
          <w:tcPr>
            <w:tcW w:w="2446" w:type="dxa"/>
            <w:shd w:val="clear" w:color="auto" w:fill="auto"/>
            <w:vAlign w:val="center"/>
          </w:tcPr>
          <w:p>
            <w:pPr>
              <w:spacing w:line="440" w:lineRule="exact"/>
              <w:jc w:val="center"/>
              <w:rPr>
                <w:rFonts w:ascii="Times New Roman" w:hAnsi="Times New Roman" w:cs="Times New Roman"/>
                <w:sz w:val="24"/>
                <w:szCs w:val="24"/>
              </w:rPr>
            </w:pPr>
          </w:p>
        </w:tc>
      </w:tr>
    </w:tbl>
    <w:p>
      <w:pPr>
        <w:spacing w:line="360" w:lineRule="auto"/>
        <w:ind w:firstLine="420" w:firstLineChars="200"/>
        <w:rPr>
          <w:rFonts w:ascii="Times New Roman" w:hAnsi="Times New Roman" w:eastAsia="宋体" w:cs="Times New Roman"/>
          <w:szCs w:val="21"/>
          <w:u w:color="FF0000"/>
        </w:rPr>
      </w:pPr>
    </w:p>
    <w:p>
      <w:pPr>
        <w:jc w:val="left"/>
        <w:rPr>
          <w:b/>
          <w:bCs/>
        </w:rPr>
      </w:pPr>
      <w:r>
        <w:rPr>
          <w:b/>
          <w:bCs/>
        </w:rPr>
        <w:br w:type="page"/>
      </w:r>
    </w:p>
    <w:p>
      <w:pPr>
        <w:pStyle w:val="9"/>
        <w:kinsoku w:val="0"/>
        <w:overflowPunct w:val="0"/>
        <w:spacing w:before="7"/>
        <w:ind w:right="103" w:firstLine="402"/>
        <w:rPr>
          <w:b/>
          <w:bCs/>
        </w:rPr>
      </w:pPr>
      <w:r>
        <w:rPr>
          <w:rFonts w:hint="eastAsia"/>
          <w:b/>
          <w:bCs/>
        </w:rPr>
        <w:t>供应商</w:t>
      </w:r>
      <w:r>
        <w:rPr>
          <w:b/>
          <w:bCs/>
        </w:rPr>
        <w:t>若符合相关要求，请提供</w:t>
      </w:r>
      <w:r>
        <w:rPr>
          <w:rFonts w:hint="eastAsia"/>
          <w:b/>
          <w:bCs/>
        </w:rPr>
        <w:t>企业声明函。</w:t>
      </w:r>
    </w:p>
    <w:p>
      <w:pPr>
        <w:pStyle w:val="9"/>
        <w:kinsoku w:val="0"/>
        <w:overflowPunct w:val="0"/>
        <w:spacing w:before="7"/>
        <w:ind w:right="103" w:firstLine="402"/>
      </w:pPr>
      <w:r>
        <w:rPr>
          <w:rFonts w:hint="eastAsia"/>
          <w:b/>
          <w:bCs/>
        </w:rPr>
        <w:t>企业声明函格式</w:t>
      </w:r>
    </w:p>
    <w:p>
      <w:pPr>
        <w:pStyle w:val="19"/>
        <w:widowControl w:val="0"/>
        <w:kinsoku w:val="0"/>
        <w:overflowPunct w:val="0"/>
        <w:spacing w:before="0" w:beforeAutospacing="0" w:after="120" w:afterAutospacing="0" w:line="460" w:lineRule="exact"/>
        <w:ind w:right="14"/>
        <w:jc w:val="center"/>
      </w:pPr>
      <w:bookmarkStart w:id="46" w:name="_Toc21478"/>
      <w:r>
        <w:rPr>
          <w:b/>
          <w:kern w:val="2"/>
          <w:sz w:val="28"/>
          <w:szCs w:val="28"/>
          <w:lang w:bidi="ar"/>
        </w:rPr>
        <w:t>中小企业声明函（货物）</w:t>
      </w:r>
      <w:bookmarkEnd w:id="46"/>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本公司（联合体）郑重声明，根据《政府采购促进中小企业发展管理办法》（财库﹝2020﹞46号）的规定，本公司（联合体）参加</w:t>
      </w:r>
      <w:r>
        <w:rPr>
          <w:spacing w:val="-5"/>
          <w:kern w:val="2"/>
          <w:u w:val="single"/>
          <w:lang w:bidi="ar"/>
        </w:rPr>
        <w:t>（单位名称）</w:t>
      </w:r>
      <w:r>
        <w:rPr>
          <w:spacing w:val="-5"/>
          <w:kern w:val="2"/>
          <w:lang w:bidi="ar"/>
        </w:rPr>
        <w:t>的</w:t>
      </w:r>
      <w:r>
        <w:rPr>
          <w:spacing w:val="-5"/>
          <w:kern w:val="2"/>
          <w:u w:val="single"/>
          <w:lang w:bidi="ar"/>
        </w:rPr>
        <w:t>（项目名称）</w:t>
      </w:r>
      <w:r>
        <w:rPr>
          <w:spacing w:val="-5"/>
          <w:kern w:val="2"/>
          <w:lang w:bidi="ar"/>
        </w:rPr>
        <w:t>采购活动，提供的货物全部由符合政策要求的中小企业制造。相关企业（含联合体中的中小企业、签订分包意向协议的中小企业）的具体情况如下：</w:t>
      </w:r>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1.</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2.</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w:t>
      </w:r>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以上企业，不属于大企业的分支机构，不存在控股股东为大企业的情形，也不存在与大企业的负责人为同一人的情形。</w:t>
      </w:r>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本企业对上述声明内容的真实性负责。如有虚假，将依法承担相应责任。</w:t>
      </w:r>
    </w:p>
    <w:p>
      <w:pPr>
        <w:pStyle w:val="19"/>
        <w:widowControl w:val="0"/>
        <w:tabs>
          <w:tab w:val="left" w:pos="2429"/>
          <w:tab w:val="left" w:pos="3656"/>
        </w:tabs>
        <w:kinsoku w:val="0"/>
        <w:overflowPunct w:val="0"/>
        <w:spacing w:before="0" w:beforeAutospacing="0" w:after="120" w:afterAutospacing="0" w:line="360" w:lineRule="auto"/>
        <w:ind w:right="208" w:firstLine="396"/>
        <w:jc w:val="both"/>
        <w:rPr>
          <w:spacing w:val="-5"/>
        </w:rPr>
      </w:pPr>
    </w:p>
    <w:p>
      <w:pPr>
        <w:pStyle w:val="19"/>
        <w:widowControl w:val="0"/>
        <w:tabs>
          <w:tab w:val="left" w:pos="2429"/>
          <w:tab w:val="left" w:pos="3656"/>
        </w:tabs>
        <w:kinsoku w:val="0"/>
        <w:overflowPunct w:val="0"/>
        <w:spacing w:before="0" w:beforeAutospacing="0" w:after="120" w:afterAutospacing="0" w:line="360" w:lineRule="auto"/>
        <w:ind w:right="208" w:firstLine="5520" w:firstLineChars="2400"/>
        <w:jc w:val="both"/>
        <w:rPr>
          <w:spacing w:val="-5"/>
        </w:rPr>
      </w:pPr>
      <w:r>
        <w:rPr>
          <w:spacing w:val="-5"/>
          <w:kern w:val="2"/>
          <w:lang w:bidi="ar"/>
        </w:rPr>
        <w:t>企业名称（盖章）：</w:t>
      </w:r>
    </w:p>
    <w:p>
      <w:pPr>
        <w:widowControl/>
        <w:ind w:firstLine="5750" w:firstLineChars="2500"/>
        <w:jc w:val="left"/>
      </w:pPr>
      <w:r>
        <w:rPr>
          <w:rFonts w:hint="eastAsia" w:ascii="宋体" w:hAnsi="宋体" w:eastAsia="宋体" w:cs="Times New Roman"/>
          <w:spacing w:val="-5"/>
          <w:sz w:val="24"/>
          <w:szCs w:val="24"/>
          <w:lang w:bidi="ar"/>
        </w:rPr>
        <w:t>日期：</w:t>
      </w:r>
    </w:p>
    <w:p>
      <w:pPr>
        <w:pStyle w:val="19"/>
        <w:widowControl w:val="0"/>
        <w:kinsoku w:val="0"/>
        <w:overflowPunct w:val="0"/>
        <w:spacing w:before="0" w:beforeAutospacing="0" w:after="0" w:afterAutospacing="0" w:line="360" w:lineRule="auto"/>
        <w:ind w:left="4111" w:right="437" w:firstLine="403"/>
        <w:jc w:val="both"/>
        <w:rPr>
          <w:color w:val="000000"/>
        </w:rPr>
      </w:pPr>
    </w:p>
    <w:p>
      <w:pPr>
        <w:widowControl/>
        <w:jc w:val="left"/>
        <w:rPr>
          <w:rFonts w:ascii="黑体" w:hAnsi="黑体" w:eastAsia="黑体"/>
          <w:bCs/>
          <w:sz w:val="28"/>
          <w:szCs w:val="28"/>
        </w:rPr>
      </w:pPr>
      <w:r>
        <w:rPr>
          <w:rFonts w:ascii="黑体" w:hAnsi="黑体" w:eastAsia="黑体"/>
          <w:bCs/>
          <w:sz w:val="28"/>
          <w:szCs w:val="28"/>
        </w:rPr>
        <w:br w:type="page"/>
      </w:r>
    </w:p>
    <w:p>
      <w:pPr>
        <w:pStyle w:val="9"/>
        <w:kinsoku w:val="0"/>
        <w:overflowPunct w:val="0"/>
        <w:spacing w:line="460" w:lineRule="exact"/>
        <w:ind w:right="14"/>
        <w:jc w:val="center"/>
        <w:rPr>
          <w:rFonts w:ascii="黑体" w:hAnsi="黑体" w:eastAsia="黑体"/>
          <w:bCs/>
          <w:sz w:val="28"/>
          <w:szCs w:val="28"/>
        </w:rPr>
      </w:pPr>
      <w:r>
        <w:rPr>
          <w:rFonts w:hint="eastAsia" w:ascii="黑体" w:hAnsi="黑体" w:eastAsia="黑体"/>
          <w:bCs/>
          <w:sz w:val="28"/>
          <w:szCs w:val="28"/>
        </w:rPr>
        <w:t>残疾人福利性单位声明函</w:t>
      </w:r>
    </w:p>
    <w:p>
      <w:pPr>
        <w:pStyle w:val="9"/>
        <w:tabs>
          <w:tab w:val="left" w:pos="2009"/>
          <w:tab w:val="left" w:pos="3547"/>
        </w:tabs>
        <w:kinsoku w:val="0"/>
        <w:overflowPunct w:val="0"/>
        <w:spacing w:after="0" w:line="360" w:lineRule="auto"/>
        <w:ind w:firstLine="388" w:firstLineChars="200"/>
        <w:rPr>
          <w:rFonts w:ascii="Times New Roman" w:hAnsi="Times New Roman" w:cs="Times New Roman"/>
          <w:spacing w:val="-5"/>
        </w:rPr>
      </w:pPr>
      <w:r>
        <w:rPr>
          <w:rFonts w:ascii="Times New Roman" w:hAnsi="Times New Roman" w:cs="Times New Roman"/>
          <w:spacing w:val="-8"/>
        </w:rPr>
        <w:t xml:space="preserve">本单位郑重声明，根据《财政部 </w:t>
      </w:r>
      <w:r>
        <w:rPr>
          <w:rFonts w:ascii="Times New Roman" w:hAnsi="Times New Roman" w:cs="Times New Roman"/>
        </w:rPr>
        <w:t>民政部中国残疾人联合会关于促进残疾人就业政府采</w:t>
      </w:r>
      <w:r>
        <w:rPr>
          <w:rFonts w:ascii="Times New Roman" w:hAnsi="Times New Roman" w:cs="Times New Roman"/>
          <w:spacing w:val="-3"/>
        </w:rPr>
        <w:t>购政策的通知》（财库〔2017〕</w:t>
      </w:r>
      <w:r>
        <w:rPr>
          <w:rFonts w:ascii="Times New Roman" w:hAnsi="Times New Roman" w:cs="Times New Roman"/>
        </w:rPr>
        <w:t>141</w:t>
      </w:r>
      <w:r>
        <w:rPr>
          <w:rFonts w:ascii="Times New Roman" w:hAnsi="Times New Roman" w:cs="Times New Roman"/>
          <w:spacing w:val="-48"/>
        </w:rPr>
        <w:t xml:space="preserve"> </w:t>
      </w:r>
      <w:r>
        <w:rPr>
          <w:rFonts w:ascii="Times New Roman" w:hAnsi="Times New Roman" w:cs="Times New Roman"/>
        </w:rPr>
        <w:t>号）的规定，本单位为符合条件的残疾人福利性单位，</w:t>
      </w:r>
      <w:r>
        <w:rPr>
          <w:rFonts w:ascii="Times New Roman" w:hAnsi="Times New Roman" w:cs="Times New Roman"/>
          <w:spacing w:val="-2"/>
        </w:rPr>
        <w:t>且本单位参加</w:t>
      </w:r>
      <w:r>
        <w:rPr>
          <w:rFonts w:ascii="Times New Roman" w:hAnsi="Times New Roman" w:cs="Times New Roman"/>
          <w:spacing w:val="-2"/>
          <w:u w:val="single"/>
        </w:rPr>
        <w:tab/>
      </w:r>
      <w:r>
        <w:rPr>
          <w:rFonts w:ascii="Times New Roman" w:hAnsi="Times New Roman" w:cs="Times New Roman"/>
          <w:spacing w:val="-1"/>
        </w:rPr>
        <w:t>单位的</w:t>
      </w:r>
      <w:r>
        <w:rPr>
          <w:rFonts w:ascii="Times New Roman" w:hAnsi="Times New Roman" w:cs="Times New Roman"/>
          <w:spacing w:val="-1"/>
          <w:u w:val="single"/>
        </w:rPr>
        <w:tab/>
      </w:r>
      <w:r>
        <w:rPr>
          <w:rFonts w:ascii="Times New Roman" w:hAnsi="Times New Roman" w:cs="Times New Roman"/>
          <w:spacing w:val="-5"/>
        </w:rPr>
        <w:t>项目采购活动提供本单位制造的货物（由本单位承担工程</w:t>
      </w:r>
    </w:p>
    <w:p>
      <w:pPr>
        <w:pStyle w:val="9"/>
        <w:kinsoku w:val="0"/>
        <w:overflowPunct w:val="0"/>
        <w:spacing w:after="0" w:line="360" w:lineRule="auto"/>
        <w:ind w:firstLine="412" w:firstLineChars="200"/>
        <w:rPr>
          <w:rFonts w:ascii="Times New Roman" w:hAnsi="Times New Roman" w:cs="Times New Roman"/>
        </w:rPr>
      </w:pPr>
      <w:r>
        <w:rPr>
          <w:rFonts w:ascii="Times New Roman" w:hAnsi="Times New Roman" w:cs="Times New Roman"/>
          <w:spacing w:val="-2"/>
        </w:rPr>
        <w:t>/提供服务），或者提供其他残疾人福利性单位制造的货物（不包括使用非残疾人福利性单</w:t>
      </w:r>
      <w:r>
        <w:rPr>
          <w:rFonts w:ascii="Times New Roman" w:hAnsi="Times New Roman" w:cs="Times New Roman"/>
          <w:spacing w:val="-32"/>
        </w:rPr>
        <w:t xml:space="preserve"> </w:t>
      </w:r>
      <w:r>
        <w:rPr>
          <w:rFonts w:ascii="Times New Roman" w:hAnsi="Times New Roman" w:cs="Times New Roman"/>
        </w:rPr>
        <w:t>位注册商标的货物）。</w:t>
      </w:r>
    </w:p>
    <w:p>
      <w:pPr>
        <w:pStyle w:val="9"/>
        <w:kinsoku w:val="0"/>
        <w:overflowPunct w:val="0"/>
        <w:spacing w:after="0" w:line="360" w:lineRule="auto"/>
        <w:ind w:firstLine="420" w:firstLineChars="200"/>
        <w:rPr>
          <w:rFonts w:ascii="Times New Roman" w:hAnsi="Times New Roman" w:cs="Times New Roman"/>
        </w:rPr>
      </w:pPr>
      <w:r>
        <w:rPr>
          <w:rFonts w:ascii="Times New Roman" w:hAnsi="Times New Roman" w:cs="Times New Roman"/>
        </w:rPr>
        <w:t>本单位对上述声明的真实性负责。如有虚假，将依法承担相应责任。</w:t>
      </w:r>
    </w:p>
    <w:p>
      <w:pPr>
        <w:pStyle w:val="9"/>
        <w:kinsoku w:val="0"/>
        <w:overflowPunct w:val="0"/>
        <w:ind w:firstLine="400"/>
        <w:rPr>
          <w:sz w:val="20"/>
          <w:szCs w:val="20"/>
        </w:rPr>
      </w:pPr>
    </w:p>
    <w:p>
      <w:pPr>
        <w:pStyle w:val="9"/>
        <w:kinsoku w:val="0"/>
        <w:overflowPunct w:val="0"/>
        <w:spacing w:after="0" w:line="360" w:lineRule="auto"/>
        <w:ind w:left="4111" w:right="437" w:firstLine="403"/>
      </w:pPr>
      <w:r>
        <w:rPr>
          <w:rFonts w:hint="eastAsia"/>
        </w:rPr>
        <w:t>供应商（盖章）：</w:t>
      </w:r>
      <w:r>
        <w:rPr>
          <w:u w:val="single"/>
        </w:rPr>
        <w:t xml:space="preserve">                </w:t>
      </w:r>
    </w:p>
    <w:p>
      <w:pPr>
        <w:pStyle w:val="9"/>
        <w:kinsoku w:val="0"/>
        <w:overflowPunct w:val="0"/>
        <w:spacing w:after="0" w:line="360" w:lineRule="auto"/>
        <w:ind w:left="4111" w:right="437" w:firstLine="403"/>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spacing w:val="-3"/>
        </w:rPr>
        <w:t>日</w:t>
      </w:r>
    </w:p>
    <w:p>
      <w:pPr>
        <w:pStyle w:val="9"/>
        <w:kinsoku w:val="0"/>
        <w:overflowPunct w:val="0"/>
        <w:spacing w:after="0" w:line="360" w:lineRule="auto"/>
        <w:ind w:firstLine="420" w:firstLineChars="200"/>
        <w:rPr>
          <w:rFonts w:ascii="Times New Roman" w:hAnsi="Times New Roman" w:cs="Times New Roman"/>
        </w:rPr>
      </w:pPr>
    </w:p>
    <w:p>
      <w:pPr>
        <w:jc w:val="left"/>
        <w:rPr>
          <w:rFonts w:ascii="Times New Roman" w:hAnsi="Times New Roman" w:cs="Times New Roman"/>
        </w:rPr>
      </w:pPr>
      <w:r>
        <w:rPr>
          <w:rFonts w:ascii="Times New Roman" w:hAnsi="Times New Roman" w:cs="Times New Roman"/>
        </w:rPr>
        <w:br w:type="page"/>
      </w:r>
    </w:p>
    <w:p>
      <w:pPr>
        <w:pStyle w:val="9"/>
        <w:kinsoku w:val="0"/>
        <w:overflowPunct w:val="0"/>
        <w:spacing w:line="460" w:lineRule="exact"/>
        <w:ind w:right="14"/>
        <w:jc w:val="center"/>
        <w:rPr>
          <w:rFonts w:ascii="黑体" w:hAnsi="黑体" w:eastAsia="黑体"/>
          <w:bCs/>
          <w:sz w:val="28"/>
          <w:szCs w:val="28"/>
        </w:rPr>
      </w:pPr>
      <w:r>
        <w:rPr>
          <w:rFonts w:hint="eastAsia" w:ascii="黑体" w:hAnsi="黑体" w:eastAsia="黑体"/>
          <w:bCs/>
          <w:sz w:val="28"/>
          <w:szCs w:val="28"/>
        </w:rPr>
        <w:t>属于监狱企业的证明文件</w:t>
      </w:r>
    </w:p>
    <w:p>
      <w:pPr>
        <w:pStyle w:val="9"/>
        <w:kinsoku w:val="0"/>
        <w:overflowPunct w:val="0"/>
        <w:spacing w:after="0" w:line="360" w:lineRule="auto"/>
        <w:ind w:firstLine="420" w:firstLineChars="200"/>
        <w:rPr>
          <w:rFonts w:ascii="Times New Roman" w:hAnsi="Times New Roman" w:cs="Times New Roman"/>
        </w:rPr>
      </w:pPr>
      <w:r>
        <w:rPr>
          <w:rFonts w:hint="eastAsia" w:ascii="Times New Roman" w:hAnsi="Times New Roman" w:cs="Times New Roman"/>
        </w:rPr>
        <w:t>（提供由省级以上监狱管理局、戒毒管理局</w:t>
      </w:r>
      <w:r>
        <w:rPr>
          <w:rFonts w:ascii="Times New Roman" w:hAnsi="Times New Roman" w:cs="Times New Roman"/>
        </w:rPr>
        <w:t>(</w:t>
      </w:r>
      <w:r>
        <w:rPr>
          <w:rFonts w:hint="eastAsia" w:ascii="Times New Roman" w:hAnsi="Times New Roman" w:cs="Times New Roman"/>
        </w:rPr>
        <w:t>含新疆生产建设兵团</w:t>
      </w:r>
      <w:r>
        <w:rPr>
          <w:rFonts w:ascii="Times New Roman" w:hAnsi="Times New Roman" w:cs="Times New Roman"/>
        </w:rPr>
        <w:t>)</w:t>
      </w:r>
      <w:r>
        <w:rPr>
          <w:rFonts w:hint="eastAsia" w:ascii="Times New Roman" w:hAnsi="Times New Roman" w:cs="Times New Roman"/>
        </w:rPr>
        <w:t>出具的属于监狱企业的证</w:t>
      </w:r>
      <w:r>
        <w:rPr>
          <w:rFonts w:ascii="Times New Roman" w:hAnsi="Times New Roman" w:cs="Times New Roman"/>
        </w:rPr>
        <w:t xml:space="preserve"> </w:t>
      </w:r>
      <w:r>
        <w:rPr>
          <w:rFonts w:hint="eastAsia" w:ascii="Times New Roman" w:hAnsi="Times New Roman" w:cs="Times New Roman"/>
        </w:rPr>
        <w:t>明文件）</w:t>
      </w:r>
    </w:p>
    <w:p>
      <w:pPr>
        <w:pStyle w:val="9"/>
        <w:kinsoku w:val="0"/>
        <w:overflowPunct w:val="0"/>
        <w:spacing w:after="0" w:line="360" w:lineRule="auto"/>
        <w:ind w:firstLine="420" w:firstLineChars="200"/>
        <w:rPr>
          <w:rFonts w:ascii="Times New Roman" w:hAnsi="Times New Roman" w:cs="Times New Roman"/>
        </w:rPr>
      </w:pPr>
    </w:p>
    <w:p>
      <w:pPr>
        <w:pStyle w:val="9"/>
        <w:kinsoku w:val="0"/>
        <w:overflowPunct w:val="0"/>
        <w:spacing w:after="0" w:line="360" w:lineRule="auto"/>
        <w:ind w:firstLine="420" w:firstLineChars="200"/>
        <w:rPr>
          <w:rFonts w:ascii="Times New Roman" w:hAnsi="Times New Roman" w:cs="Times New Roman"/>
        </w:rPr>
      </w:pPr>
    </w:p>
    <w:p>
      <w:pPr>
        <w:pStyle w:val="9"/>
        <w:kinsoku w:val="0"/>
        <w:overflowPunct w:val="0"/>
        <w:spacing w:line="460" w:lineRule="exact"/>
        <w:ind w:right="14"/>
        <w:jc w:val="center"/>
        <w:rPr>
          <w:rFonts w:ascii="黑体" w:hAnsi="黑体" w:eastAsia="黑体"/>
          <w:bCs/>
          <w:sz w:val="28"/>
          <w:szCs w:val="28"/>
        </w:rPr>
      </w:pPr>
      <w:r>
        <w:rPr>
          <w:rFonts w:hint="eastAsia" w:ascii="黑体" w:hAnsi="黑体" w:eastAsia="黑体"/>
          <w:bCs/>
          <w:sz w:val="28"/>
          <w:szCs w:val="28"/>
        </w:rPr>
        <w:t>节能产品认证文件</w:t>
      </w:r>
    </w:p>
    <w:p>
      <w:pPr>
        <w:pStyle w:val="9"/>
        <w:kinsoku w:val="0"/>
        <w:overflowPunct w:val="0"/>
        <w:spacing w:after="0" w:line="360" w:lineRule="auto"/>
        <w:ind w:firstLine="420" w:firstLineChars="200"/>
        <w:rPr>
          <w:rFonts w:ascii="Times New Roman" w:hAnsi="Times New Roman" w:cs="Times New Roman"/>
        </w:rPr>
      </w:pPr>
      <w:r>
        <w:rPr>
          <w:rFonts w:hint="eastAsia" w:ascii="Times New Roman" w:hAnsi="Times New Roman" w:cs="Times New Roman"/>
        </w:rPr>
        <w:t>（提供产品在《节能产品政府采购清单》中相应的页面）</w:t>
      </w:r>
    </w:p>
    <w:p>
      <w:pPr>
        <w:pStyle w:val="9"/>
        <w:kinsoku w:val="0"/>
        <w:overflowPunct w:val="0"/>
        <w:spacing w:after="0" w:line="360" w:lineRule="auto"/>
        <w:ind w:firstLine="420" w:firstLineChars="200"/>
        <w:rPr>
          <w:rFonts w:ascii="Times New Roman" w:hAnsi="Times New Roman" w:cs="Times New Roman"/>
        </w:rPr>
      </w:pPr>
    </w:p>
    <w:p>
      <w:pPr>
        <w:pStyle w:val="9"/>
        <w:kinsoku w:val="0"/>
        <w:overflowPunct w:val="0"/>
        <w:spacing w:after="0" w:line="360" w:lineRule="auto"/>
        <w:ind w:firstLine="420" w:firstLineChars="200"/>
        <w:rPr>
          <w:rFonts w:ascii="Times New Roman" w:hAnsi="Times New Roman" w:cs="Times New Roman"/>
        </w:rPr>
      </w:pPr>
    </w:p>
    <w:p>
      <w:pPr>
        <w:pStyle w:val="9"/>
        <w:kinsoku w:val="0"/>
        <w:overflowPunct w:val="0"/>
        <w:spacing w:line="460" w:lineRule="exact"/>
        <w:ind w:right="14"/>
        <w:jc w:val="center"/>
        <w:rPr>
          <w:rFonts w:ascii="黑体" w:hAnsi="黑体" w:eastAsia="黑体"/>
          <w:bCs/>
          <w:sz w:val="28"/>
          <w:szCs w:val="28"/>
        </w:rPr>
      </w:pPr>
      <w:r>
        <w:rPr>
          <w:rFonts w:hint="eastAsia" w:ascii="黑体" w:hAnsi="黑体" w:eastAsia="黑体"/>
          <w:bCs/>
          <w:sz w:val="28"/>
          <w:szCs w:val="28"/>
        </w:rPr>
        <w:t>环境标志产品认证文件</w:t>
      </w:r>
    </w:p>
    <w:p>
      <w:pPr>
        <w:pStyle w:val="9"/>
        <w:kinsoku w:val="0"/>
        <w:overflowPunct w:val="0"/>
        <w:spacing w:after="0" w:line="360" w:lineRule="auto"/>
        <w:ind w:firstLine="420" w:firstLineChars="200"/>
        <w:rPr>
          <w:rFonts w:ascii="Times New Roman" w:hAnsi="Times New Roman" w:cs="Times New Roman"/>
        </w:rPr>
      </w:pPr>
      <w:r>
        <w:rPr>
          <w:rFonts w:hint="eastAsia" w:ascii="Times New Roman" w:hAnsi="Times New Roman" w:cs="Times New Roman"/>
        </w:rPr>
        <w:t>（提供产品在《环境标志产品政府采购清单》中相应的页面）</w:t>
      </w:r>
    </w:p>
    <w:p>
      <w:pPr>
        <w:pStyle w:val="9"/>
        <w:kinsoku w:val="0"/>
        <w:overflowPunct w:val="0"/>
        <w:spacing w:after="0" w:line="360" w:lineRule="auto"/>
        <w:ind w:firstLine="420" w:firstLineChars="200"/>
        <w:rPr>
          <w:rFonts w:ascii="Times New Roman" w:hAnsi="Times New Roman" w:cs="Times New Roman"/>
        </w:rPr>
      </w:pPr>
    </w:p>
    <w:bookmarkEnd w:id="22"/>
    <w:bookmarkEnd w:id="23"/>
    <w:bookmarkEnd w:id="24"/>
    <w:bookmarkEnd w:id="25"/>
    <w:p>
      <w:pPr>
        <w:spacing w:line="360" w:lineRule="auto"/>
        <w:ind w:firstLine="420" w:firstLineChars="200"/>
        <w:rPr>
          <w:rFonts w:ascii="Times New Roman" w:hAnsi="Times New Roman" w:eastAsia="宋体" w:cs="Times New Roman"/>
          <w:szCs w:val="21"/>
          <w:u w:color="FF0000"/>
        </w:rPr>
      </w:pPr>
    </w:p>
    <w:p>
      <w:pPr>
        <w:spacing w:line="360" w:lineRule="auto"/>
        <w:ind w:firstLine="480" w:firstLineChars="200"/>
        <w:rPr>
          <w:rFonts w:ascii="Times New Roman" w:hAnsi="Times New Roman" w:eastAsia="宋体" w:cs="Times New Roman"/>
          <w:sz w:val="24"/>
          <w:szCs w:val="24"/>
          <w:u w:color="FF0000"/>
        </w:rPr>
      </w:pPr>
    </w:p>
    <w:p>
      <w:pPr>
        <w:spacing w:line="360" w:lineRule="auto"/>
        <w:ind w:firstLine="480" w:firstLineChars="200"/>
        <w:rPr>
          <w:rFonts w:ascii="Times New Roman" w:hAnsi="Times New Roman" w:eastAsia="宋体" w:cs="Times New Roman"/>
          <w:sz w:val="24"/>
          <w:szCs w:val="24"/>
          <w:u w:color="FF0000"/>
        </w:rPr>
      </w:pPr>
    </w:p>
    <w:p>
      <w:pPr>
        <w:widowControl/>
        <w:jc w:val="left"/>
        <w:rPr>
          <w:rFonts w:ascii="Times New Roman" w:hAnsi="Times New Roman" w:eastAsia="黑体" w:cs="Times New Roman"/>
          <w:sz w:val="24"/>
          <w:szCs w:val="24"/>
          <w:u w:color="000000"/>
        </w:rPr>
      </w:pPr>
    </w:p>
    <w:sectPr>
      <w:headerReference r:id="rId5" w:type="default"/>
      <w:footerReference r:id="rId6" w:type="default"/>
      <w:pgSz w:w="11906" w:h="16838"/>
      <w:pgMar w:top="1418" w:right="1418"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8"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6" w:usb3="00000000" w:csb0="00040001"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ROMAN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26</w:t>
    </w:r>
    <w:r>
      <w:rPr>
        <w:rFonts w:ascii="Times New Roman" w:hAnsi="Times New Roman" w:cs="Times New Roman"/>
        <w:sz w:val="21"/>
        <w:szCs w:val="21"/>
      </w:rPr>
      <w:fldChar w:fldCharType="end"/>
    </w:r>
    <w:r>
      <w:rPr>
        <w:rFonts w:ascii="Times New Roman" w:hAnsi="Times New Roman" w:cs="Times New Roman"/>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hAnsi="宋体" w:eastAsia="宋体" w:cs="宋体"/>
        <w:sz w:val="21"/>
        <w:szCs w:val="21"/>
        <w:lang w:bidi="ar"/>
      </w:rPr>
    </w:pPr>
    <w:r>
      <w:rPr>
        <w:rFonts w:hint="eastAsia" w:ascii="宋体" w:hAnsi="宋体" w:eastAsia="宋体" w:cs="宋体"/>
        <w:sz w:val="21"/>
        <w:szCs w:val="21"/>
        <w:lang w:bidi="ar"/>
      </w:rPr>
      <w:t>紫金山实验室态势感知项目</w:t>
    </w:r>
    <w:r>
      <w:rPr>
        <w:rFonts w:ascii="Times New Roman" w:hAnsi="Times New Roman" w:cs="Times New Roman"/>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210"/>
      <w:jc w:val="right"/>
      <w:rPr>
        <w:rFonts w:ascii="Times New Roman" w:hAnsi="Times New Roman" w:cs="Times New Roman"/>
      </w:rPr>
    </w:pPr>
    <w:r>
      <w:rPr>
        <w:rFonts w:hint="eastAsia" w:ascii="宋体" w:hAnsi="宋体" w:eastAsia="宋体" w:cs="宋体"/>
        <w:sz w:val="21"/>
        <w:szCs w:val="21"/>
        <w:lang w:bidi="ar"/>
      </w:rPr>
      <w:t>紫金山实验室态势感知项目</w:t>
    </w:r>
    <w:r>
      <w:rPr>
        <w:rFonts w:ascii="Times New Roman" w:hAnsi="Times New Roman" w:cs="Times New Roman"/>
        <w:sz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FBB6D"/>
    <w:multiLevelType w:val="singleLevel"/>
    <w:tmpl w:val="910FBB6D"/>
    <w:lvl w:ilvl="0" w:tentative="0">
      <w:start w:val="2"/>
      <w:numFmt w:val="chineseCounting"/>
      <w:suff w:val="nothing"/>
      <w:lvlText w:val="%1、"/>
      <w:lvlJc w:val="left"/>
      <w:rPr>
        <w:rFonts w:hint="eastAsia"/>
      </w:rPr>
    </w:lvl>
  </w:abstractNum>
  <w:abstractNum w:abstractNumId="1">
    <w:nsid w:val="EB2B589C"/>
    <w:multiLevelType w:val="singleLevel"/>
    <w:tmpl w:val="EB2B589C"/>
    <w:lvl w:ilvl="0" w:tentative="0">
      <w:start w:val="12"/>
      <w:numFmt w:val="decimal"/>
      <w:suff w:val="nothing"/>
      <w:lvlText w:val="%1、"/>
      <w:lvlJc w:val="left"/>
    </w:lvl>
  </w:abstractNum>
  <w:abstractNum w:abstractNumId="2">
    <w:nsid w:val="00000004"/>
    <w:multiLevelType w:val="multilevel"/>
    <w:tmpl w:val="00000004"/>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5BD6244"/>
    <w:multiLevelType w:val="singleLevel"/>
    <w:tmpl w:val="05BD6244"/>
    <w:lvl w:ilvl="0" w:tentative="0">
      <w:start w:val="1"/>
      <w:numFmt w:val="decimal"/>
      <w:suff w:val="nothing"/>
      <w:lvlText w:val="%1、"/>
      <w:lvlJc w:val="left"/>
      <w:rPr>
        <w:rFonts w:hint="default"/>
        <w:sz w:val="28"/>
        <w:szCs w:val="28"/>
      </w:rPr>
    </w:lvl>
  </w:abstractNum>
  <w:abstractNum w:abstractNumId="4">
    <w:nsid w:val="09B92A88"/>
    <w:multiLevelType w:val="multilevel"/>
    <w:tmpl w:val="09B92A88"/>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1559" w:hanging="567"/>
      </w:pPr>
      <w:rPr>
        <w:rFonts w:hint="eastAsia"/>
      </w:rPr>
    </w:lvl>
    <w:lvl w:ilvl="2" w:tentative="0">
      <w:start w:val="1"/>
      <w:numFmt w:val="decimal"/>
      <w:pStyle w:val="4"/>
      <w:lvlText w:val="%1.%2.%3"/>
      <w:lvlJc w:val="left"/>
      <w:pPr>
        <w:ind w:left="0" w:firstLine="851"/>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4F7068B"/>
    <w:multiLevelType w:val="multilevel"/>
    <w:tmpl w:val="14F7068B"/>
    <w:lvl w:ilvl="0" w:tentative="0">
      <w:start w:val="1"/>
      <w:numFmt w:val="decimal"/>
      <w:lvlText w:val="%1"/>
      <w:lvlJc w:val="left"/>
      <w:pPr>
        <w:ind w:left="465" w:hanging="465"/>
      </w:pPr>
      <w:rPr>
        <w:rFonts w:hint="default"/>
      </w:rPr>
    </w:lvl>
    <w:lvl w:ilvl="1" w:tentative="0">
      <w:start w:val="1"/>
      <w:numFmt w:val="decimal"/>
      <w:lvlText w:val="%1.%2"/>
      <w:lvlJc w:val="left"/>
      <w:pPr>
        <w:ind w:left="885" w:hanging="465"/>
      </w:pPr>
      <w:rPr>
        <w:rFonts w:hint="default"/>
        <w:sz w:val="24"/>
        <w:szCs w:val="24"/>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520" w:hanging="2160"/>
      </w:pPr>
      <w:rPr>
        <w:rFonts w:hint="default"/>
      </w:rPr>
    </w:lvl>
  </w:abstractNum>
  <w:abstractNum w:abstractNumId="6">
    <w:nsid w:val="2D5C0196"/>
    <w:multiLevelType w:val="singleLevel"/>
    <w:tmpl w:val="2D5C0196"/>
    <w:lvl w:ilvl="0" w:tentative="0">
      <w:start w:val="3"/>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hODAwYWZlYmM2Zjk2MjA5ZjdiYTk1Y2U0OTQifQ=="/>
  </w:docVars>
  <w:rsids>
    <w:rsidRoot w:val="00D17229"/>
    <w:rsid w:val="000022EF"/>
    <w:rsid w:val="00004936"/>
    <w:rsid w:val="000050FF"/>
    <w:rsid w:val="000056D9"/>
    <w:rsid w:val="000056E1"/>
    <w:rsid w:val="00006D84"/>
    <w:rsid w:val="00007634"/>
    <w:rsid w:val="00011C0C"/>
    <w:rsid w:val="00012717"/>
    <w:rsid w:val="00012CB3"/>
    <w:rsid w:val="00012FEC"/>
    <w:rsid w:val="000136D5"/>
    <w:rsid w:val="000177AE"/>
    <w:rsid w:val="00020448"/>
    <w:rsid w:val="00020746"/>
    <w:rsid w:val="00021785"/>
    <w:rsid w:val="00022EE9"/>
    <w:rsid w:val="000243B6"/>
    <w:rsid w:val="0002477E"/>
    <w:rsid w:val="0002551A"/>
    <w:rsid w:val="00025649"/>
    <w:rsid w:val="00027040"/>
    <w:rsid w:val="0003047D"/>
    <w:rsid w:val="00031DD4"/>
    <w:rsid w:val="0003270F"/>
    <w:rsid w:val="00033485"/>
    <w:rsid w:val="00033710"/>
    <w:rsid w:val="00034684"/>
    <w:rsid w:val="00035C7F"/>
    <w:rsid w:val="00041ECF"/>
    <w:rsid w:val="00041F87"/>
    <w:rsid w:val="00042B97"/>
    <w:rsid w:val="0004378F"/>
    <w:rsid w:val="00050B75"/>
    <w:rsid w:val="000519F3"/>
    <w:rsid w:val="00052F06"/>
    <w:rsid w:val="00055251"/>
    <w:rsid w:val="00057F21"/>
    <w:rsid w:val="00060CBE"/>
    <w:rsid w:val="00060DE2"/>
    <w:rsid w:val="00061742"/>
    <w:rsid w:val="00063293"/>
    <w:rsid w:val="00064072"/>
    <w:rsid w:val="00070161"/>
    <w:rsid w:val="00070736"/>
    <w:rsid w:val="00071D24"/>
    <w:rsid w:val="00075C4E"/>
    <w:rsid w:val="00077D0B"/>
    <w:rsid w:val="000818B3"/>
    <w:rsid w:val="00081A22"/>
    <w:rsid w:val="000823B6"/>
    <w:rsid w:val="00082AA9"/>
    <w:rsid w:val="00083208"/>
    <w:rsid w:val="0008394A"/>
    <w:rsid w:val="000841F8"/>
    <w:rsid w:val="000847FF"/>
    <w:rsid w:val="00086855"/>
    <w:rsid w:val="00087080"/>
    <w:rsid w:val="00087768"/>
    <w:rsid w:val="0009049D"/>
    <w:rsid w:val="000904A5"/>
    <w:rsid w:val="00090E2D"/>
    <w:rsid w:val="00090E45"/>
    <w:rsid w:val="00091794"/>
    <w:rsid w:val="0009742B"/>
    <w:rsid w:val="000977F6"/>
    <w:rsid w:val="00097BD1"/>
    <w:rsid w:val="000A0BDB"/>
    <w:rsid w:val="000A10D7"/>
    <w:rsid w:val="000A1531"/>
    <w:rsid w:val="000A24F8"/>
    <w:rsid w:val="000A4305"/>
    <w:rsid w:val="000A721E"/>
    <w:rsid w:val="000B15BC"/>
    <w:rsid w:val="000B1A64"/>
    <w:rsid w:val="000B1C64"/>
    <w:rsid w:val="000B5784"/>
    <w:rsid w:val="000C4D61"/>
    <w:rsid w:val="000C5960"/>
    <w:rsid w:val="000D0593"/>
    <w:rsid w:val="000D20B5"/>
    <w:rsid w:val="000D394A"/>
    <w:rsid w:val="000D5167"/>
    <w:rsid w:val="000D609F"/>
    <w:rsid w:val="000D7FCB"/>
    <w:rsid w:val="000E0C7A"/>
    <w:rsid w:val="000E2443"/>
    <w:rsid w:val="000E40F0"/>
    <w:rsid w:val="000E5CA9"/>
    <w:rsid w:val="000E5D3A"/>
    <w:rsid w:val="000F0A11"/>
    <w:rsid w:val="000F1392"/>
    <w:rsid w:val="000F1704"/>
    <w:rsid w:val="000F3038"/>
    <w:rsid w:val="000F4052"/>
    <w:rsid w:val="000F5248"/>
    <w:rsid w:val="000F6EF7"/>
    <w:rsid w:val="000F7662"/>
    <w:rsid w:val="000F7EFA"/>
    <w:rsid w:val="00101ED5"/>
    <w:rsid w:val="001041C8"/>
    <w:rsid w:val="001061CB"/>
    <w:rsid w:val="00106F06"/>
    <w:rsid w:val="00110CFB"/>
    <w:rsid w:val="00120A88"/>
    <w:rsid w:val="001211A1"/>
    <w:rsid w:val="00121E0C"/>
    <w:rsid w:val="00122553"/>
    <w:rsid w:val="0012333F"/>
    <w:rsid w:val="00125E7A"/>
    <w:rsid w:val="00126333"/>
    <w:rsid w:val="00126F74"/>
    <w:rsid w:val="001273C6"/>
    <w:rsid w:val="00134ACB"/>
    <w:rsid w:val="00137345"/>
    <w:rsid w:val="001377E4"/>
    <w:rsid w:val="0014080E"/>
    <w:rsid w:val="0014146B"/>
    <w:rsid w:val="00141845"/>
    <w:rsid w:val="001435C0"/>
    <w:rsid w:val="001439C3"/>
    <w:rsid w:val="0014418D"/>
    <w:rsid w:val="001472AA"/>
    <w:rsid w:val="001501CB"/>
    <w:rsid w:val="001512A0"/>
    <w:rsid w:val="00152247"/>
    <w:rsid w:val="00152C1C"/>
    <w:rsid w:val="001555C3"/>
    <w:rsid w:val="00155EA0"/>
    <w:rsid w:val="00156C30"/>
    <w:rsid w:val="001576D3"/>
    <w:rsid w:val="0016145E"/>
    <w:rsid w:val="001624C7"/>
    <w:rsid w:val="00164A96"/>
    <w:rsid w:val="00164B11"/>
    <w:rsid w:val="00164C1F"/>
    <w:rsid w:val="00167DD1"/>
    <w:rsid w:val="0017171C"/>
    <w:rsid w:val="001717C1"/>
    <w:rsid w:val="00171CA7"/>
    <w:rsid w:val="001724E1"/>
    <w:rsid w:val="001727F4"/>
    <w:rsid w:val="00173C7E"/>
    <w:rsid w:val="00173E90"/>
    <w:rsid w:val="00174139"/>
    <w:rsid w:val="001760AB"/>
    <w:rsid w:val="001769F4"/>
    <w:rsid w:val="001810D4"/>
    <w:rsid w:val="001857CA"/>
    <w:rsid w:val="001869BD"/>
    <w:rsid w:val="00190DBD"/>
    <w:rsid w:val="00191D30"/>
    <w:rsid w:val="00192802"/>
    <w:rsid w:val="001929FC"/>
    <w:rsid w:val="00193E98"/>
    <w:rsid w:val="00195465"/>
    <w:rsid w:val="00195931"/>
    <w:rsid w:val="001A049E"/>
    <w:rsid w:val="001A054F"/>
    <w:rsid w:val="001A29D8"/>
    <w:rsid w:val="001A4694"/>
    <w:rsid w:val="001A5D25"/>
    <w:rsid w:val="001A6D06"/>
    <w:rsid w:val="001B033E"/>
    <w:rsid w:val="001B1F27"/>
    <w:rsid w:val="001B1FE0"/>
    <w:rsid w:val="001B5883"/>
    <w:rsid w:val="001B595E"/>
    <w:rsid w:val="001B6844"/>
    <w:rsid w:val="001B7663"/>
    <w:rsid w:val="001C080E"/>
    <w:rsid w:val="001C0982"/>
    <w:rsid w:val="001C19FF"/>
    <w:rsid w:val="001C224A"/>
    <w:rsid w:val="001C2329"/>
    <w:rsid w:val="001C3B6C"/>
    <w:rsid w:val="001C54FB"/>
    <w:rsid w:val="001C6630"/>
    <w:rsid w:val="001C6A24"/>
    <w:rsid w:val="001C7797"/>
    <w:rsid w:val="001D1407"/>
    <w:rsid w:val="001D2237"/>
    <w:rsid w:val="001D26C9"/>
    <w:rsid w:val="001D3B4F"/>
    <w:rsid w:val="001D40E3"/>
    <w:rsid w:val="001D4584"/>
    <w:rsid w:val="001D4F9C"/>
    <w:rsid w:val="001D6E90"/>
    <w:rsid w:val="001E2BFC"/>
    <w:rsid w:val="001E5FB5"/>
    <w:rsid w:val="001E6D16"/>
    <w:rsid w:val="001E711D"/>
    <w:rsid w:val="001E7423"/>
    <w:rsid w:val="001F06C5"/>
    <w:rsid w:val="001F1A04"/>
    <w:rsid w:val="001F383E"/>
    <w:rsid w:val="001F3E71"/>
    <w:rsid w:val="001F5348"/>
    <w:rsid w:val="001F553F"/>
    <w:rsid w:val="001F6616"/>
    <w:rsid w:val="002022F4"/>
    <w:rsid w:val="00202C4F"/>
    <w:rsid w:val="00203106"/>
    <w:rsid w:val="00204F29"/>
    <w:rsid w:val="002060D9"/>
    <w:rsid w:val="00211FBE"/>
    <w:rsid w:val="00212A69"/>
    <w:rsid w:val="00213E33"/>
    <w:rsid w:val="00220B2D"/>
    <w:rsid w:val="00221B0D"/>
    <w:rsid w:val="00223BEB"/>
    <w:rsid w:val="00223DC9"/>
    <w:rsid w:val="0022430A"/>
    <w:rsid w:val="00225B81"/>
    <w:rsid w:val="00226B8F"/>
    <w:rsid w:val="002320D1"/>
    <w:rsid w:val="0023233F"/>
    <w:rsid w:val="00232A96"/>
    <w:rsid w:val="002356AB"/>
    <w:rsid w:val="002371AE"/>
    <w:rsid w:val="00237254"/>
    <w:rsid w:val="002376E4"/>
    <w:rsid w:val="00237700"/>
    <w:rsid w:val="00241588"/>
    <w:rsid w:val="0024255C"/>
    <w:rsid w:val="0024346F"/>
    <w:rsid w:val="002434F2"/>
    <w:rsid w:val="00255C42"/>
    <w:rsid w:val="00255DCD"/>
    <w:rsid w:val="00257273"/>
    <w:rsid w:val="002603C3"/>
    <w:rsid w:val="002608F7"/>
    <w:rsid w:val="002651F7"/>
    <w:rsid w:val="002652A7"/>
    <w:rsid w:val="00266EA8"/>
    <w:rsid w:val="00267CF4"/>
    <w:rsid w:val="00270503"/>
    <w:rsid w:val="0027152D"/>
    <w:rsid w:val="00271948"/>
    <w:rsid w:val="00272D48"/>
    <w:rsid w:val="00274370"/>
    <w:rsid w:val="00274DB5"/>
    <w:rsid w:val="00276455"/>
    <w:rsid w:val="00282712"/>
    <w:rsid w:val="0028294F"/>
    <w:rsid w:val="00282DB2"/>
    <w:rsid w:val="00282E2B"/>
    <w:rsid w:val="00284433"/>
    <w:rsid w:val="002852E4"/>
    <w:rsid w:val="002855FB"/>
    <w:rsid w:val="0028597D"/>
    <w:rsid w:val="00285E94"/>
    <w:rsid w:val="002934A2"/>
    <w:rsid w:val="002936B8"/>
    <w:rsid w:val="00293F58"/>
    <w:rsid w:val="00295012"/>
    <w:rsid w:val="00295A8D"/>
    <w:rsid w:val="002960F7"/>
    <w:rsid w:val="00296FA2"/>
    <w:rsid w:val="00297A13"/>
    <w:rsid w:val="00297CF8"/>
    <w:rsid w:val="00297D7D"/>
    <w:rsid w:val="002A001A"/>
    <w:rsid w:val="002A0160"/>
    <w:rsid w:val="002A19D0"/>
    <w:rsid w:val="002A23C9"/>
    <w:rsid w:val="002A2B68"/>
    <w:rsid w:val="002A38E1"/>
    <w:rsid w:val="002A3902"/>
    <w:rsid w:val="002A3A8D"/>
    <w:rsid w:val="002A7B58"/>
    <w:rsid w:val="002A7B5E"/>
    <w:rsid w:val="002B141F"/>
    <w:rsid w:val="002B2DD6"/>
    <w:rsid w:val="002B3C23"/>
    <w:rsid w:val="002B3E9D"/>
    <w:rsid w:val="002B4B51"/>
    <w:rsid w:val="002B5A10"/>
    <w:rsid w:val="002B5D8F"/>
    <w:rsid w:val="002B5FA2"/>
    <w:rsid w:val="002B62AB"/>
    <w:rsid w:val="002B7BE0"/>
    <w:rsid w:val="002C04A6"/>
    <w:rsid w:val="002C0B34"/>
    <w:rsid w:val="002C0F09"/>
    <w:rsid w:val="002C14C5"/>
    <w:rsid w:val="002C17D9"/>
    <w:rsid w:val="002C2F68"/>
    <w:rsid w:val="002C568F"/>
    <w:rsid w:val="002C7F38"/>
    <w:rsid w:val="002D0248"/>
    <w:rsid w:val="002D124B"/>
    <w:rsid w:val="002D1D9D"/>
    <w:rsid w:val="002D266B"/>
    <w:rsid w:val="002D2921"/>
    <w:rsid w:val="002D3BFF"/>
    <w:rsid w:val="002D4157"/>
    <w:rsid w:val="002D4AAC"/>
    <w:rsid w:val="002D75C9"/>
    <w:rsid w:val="002E16CD"/>
    <w:rsid w:val="002E1813"/>
    <w:rsid w:val="002E2970"/>
    <w:rsid w:val="002E6A01"/>
    <w:rsid w:val="002F0A70"/>
    <w:rsid w:val="002F1FFE"/>
    <w:rsid w:val="002F36BD"/>
    <w:rsid w:val="002F37C1"/>
    <w:rsid w:val="002F3ABE"/>
    <w:rsid w:val="00302E57"/>
    <w:rsid w:val="0030311A"/>
    <w:rsid w:val="00304D53"/>
    <w:rsid w:val="00305651"/>
    <w:rsid w:val="00305902"/>
    <w:rsid w:val="00312F7A"/>
    <w:rsid w:val="00313C03"/>
    <w:rsid w:val="00314D70"/>
    <w:rsid w:val="00315009"/>
    <w:rsid w:val="00315F6D"/>
    <w:rsid w:val="003176B9"/>
    <w:rsid w:val="00317E79"/>
    <w:rsid w:val="00321C8E"/>
    <w:rsid w:val="00322E79"/>
    <w:rsid w:val="00324F65"/>
    <w:rsid w:val="00326D16"/>
    <w:rsid w:val="00326DCC"/>
    <w:rsid w:val="003274B9"/>
    <w:rsid w:val="00327A1D"/>
    <w:rsid w:val="00332915"/>
    <w:rsid w:val="00333D35"/>
    <w:rsid w:val="0033460E"/>
    <w:rsid w:val="00340075"/>
    <w:rsid w:val="003405A1"/>
    <w:rsid w:val="00343DDF"/>
    <w:rsid w:val="003446DA"/>
    <w:rsid w:val="0034502A"/>
    <w:rsid w:val="003453DF"/>
    <w:rsid w:val="00345D68"/>
    <w:rsid w:val="00345EE9"/>
    <w:rsid w:val="003470C8"/>
    <w:rsid w:val="003526F5"/>
    <w:rsid w:val="00352DFA"/>
    <w:rsid w:val="00352F15"/>
    <w:rsid w:val="00353B35"/>
    <w:rsid w:val="0035446D"/>
    <w:rsid w:val="0035596A"/>
    <w:rsid w:val="003568E5"/>
    <w:rsid w:val="00356F3F"/>
    <w:rsid w:val="00357288"/>
    <w:rsid w:val="003575A3"/>
    <w:rsid w:val="00360C29"/>
    <w:rsid w:val="00364878"/>
    <w:rsid w:val="003659EF"/>
    <w:rsid w:val="003668F7"/>
    <w:rsid w:val="00370C23"/>
    <w:rsid w:val="00371FF0"/>
    <w:rsid w:val="0037242D"/>
    <w:rsid w:val="00372973"/>
    <w:rsid w:val="00372BA4"/>
    <w:rsid w:val="00374409"/>
    <w:rsid w:val="00377CBF"/>
    <w:rsid w:val="0038057E"/>
    <w:rsid w:val="0038085B"/>
    <w:rsid w:val="003811AF"/>
    <w:rsid w:val="0038214E"/>
    <w:rsid w:val="00382F53"/>
    <w:rsid w:val="00384EB8"/>
    <w:rsid w:val="0038686A"/>
    <w:rsid w:val="00386FF7"/>
    <w:rsid w:val="0038768D"/>
    <w:rsid w:val="00390C1B"/>
    <w:rsid w:val="00391B1F"/>
    <w:rsid w:val="003955DD"/>
    <w:rsid w:val="003958B6"/>
    <w:rsid w:val="003A34B7"/>
    <w:rsid w:val="003A7EA4"/>
    <w:rsid w:val="003B0A3A"/>
    <w:rsid w:val="003B13B9"/>
    <w:rsid w:val="003B2BFB"/>
    <w:rsid w:val="003B3EB7"/>
    <w:rsid w:val="003B5C1C"/>
    <w:rsid w:val="003B5E39"/>
    <w:rsid w:val="003B6105"/>
    <w:rsid w:val="003B63A1"/>
    <w:rsid w:val="003B79B1"/>
    <w:rsid w:val="003C0334"/>
    <w:rsid w:val="003C08EB"/>
    <w:rsid w:val="003C1922"/>
    <w:rsid w:val="003C2866"/>
    <w:rsid w:val="003C3AAB"/>
    <w:rsid w:val="003C47E7"/>
    <w:rsid w:val="003D1669"/>
    <w:rsid w:val="003D17A7"/>
    <w:rsid w:val="003D1A16"/>
    <w:rsid w:val="003D23C8"/>
    <w:rsid w:val="003D4745"/>
    <w:rsid w:val="003E482A"/>
    <w:rsid w:val="003E50A1"/>
    <w:rsid w:val="003E52AB"/>
    <w:rsid w:val="003E722A"/>
    <w:rsid w:val="003E7603"/>
    <w:rsid w:val="003F0245"/>
    <w:rsid w:val="003F16D6"/>
    <w:rsid w:val="003F27A4"/>
    <w:rsid w:val="003F30FE"/>
    <w:rsid w:val="003F33F5"/>
    <w:rsid w:val="003F357F"/>
    <w:rsid w:val="003F3817"/>
    <w:rsid w:val="003F3C1E"/>
    <w:rsid w:val="003F3EAD"/>
    <w:rsid w:val="003F4815"/>
    <w:rsid w:val="003F4FD6"/>
    <w:rsid w:val="003F560A"/>
    <w:rsid w:val="00401C81"/>
    <w:rsid w:val="004024FC"/>
    <w:rsid w:val="00403BA9"/>
    <w:rsid w:val="00405454"/>
    <w:rsid w:val="004068F7"/>
    <w:rsid w:val="00411354"/>
    <w:rsid w:val="00412417"/>
    <w:rsid w:val="00412696"/>
    <w:rsid w:val="00412E8E"/>
    <w:rsid w:val="00413316"/>
    <w:rsid w:val="00413F76"/>
    <w:rsid w:val="00413FB9"/>
    <w:rsid w:val="00414180"/>
    <w:rsid w:val="00414513"/>
    <w:rsid w:val="004150B4"/>
    <w:rsid w:val="004152B9"/>
    <w:rsid w:val="00420274"/>
    <w:rsid w:val="00420EEF"/>
    <w:rsid w:val="004212E4"/>
    <w:rsid w:val="004216B5"/>
    <w:rsid w:val="00423E5E"/>
    <w:rsid w:val="00425681"/>
    <w:rsid w:val="00425D6C"/>
    <w:rsid w:val="00427855"/>
    <w:rsid w:val="00430650"/>
    <w:rsid w:val="004348C2"/>
    <w:rsid w:val="00434E02"/>
    <w:rsid w:val="0044129B"/>
    <w:rsid w:val="004424EF"/>
    <w:rsid w:val="0044282B"/>
    <w:rsid w:val="004433C7"/>
    <w:rsid w:val="00443675"/>
    <w:rsid w:val="004452F8"/>
    <w:rsid w:val="00450097"/>
    <w:rsid w:val="0045088F"/>
    <w:rsid w:val="00451DBD"/>
    <w:rsid w:val="004521DA"/>
    <w:rsid w:val="004523D0"/>
    <w:rsid w:val="004527E1"/>
    <w:rsid w:val="00452BCD"/>
    <w:rsid w:val="00456760"/>
    <w:rsid w:val="00457A4F"/>
    <w:rsid w:val="00457A5A"/>
    <w:rsid w:val="00461AE8"/>
    <w:rsid w:val="004625C1"/>
    <w:rsid w:val="00464040"/>
    <w:rsid w:val="004668D1"/>
    <w:rsid w:val="00467451"/>
    <w:rsid w:val="004678BE"/>
    <w:rsid w:val="00467D7E"/>
    <w:rsid w:val="00470959"/>
    <w:rsid w:val="004724A1"/>
    <w:rsid w:val="00473234"/>
    <w:rsid w:val="00473BA3"/>
    <w:rsid w:val="00476305"/>
    <w:rsid w:val="0047783B"/>
    <w:rsid w:val="00481E9F"/>
    <w:rsid w:val="00486130"/>
    <w:rsid w:val="00487EF5"/>
    <w:rsid w:val="00492B22"/>
    <w:rsid w:val="00494647"/>
    <w:rsid w:val="00497726"/>
    <w:rsid w:val="004A1929"/>
    <w:rsid w:val="004A1B43"/>
    <w:rsid w:val="004A2839"/>
    <w:rsid w:val="004A32C8"/>
    <w:rsid w:val="004A49F0"/>
    <w:rsid w:val="004A6C25"/>
    <w:rsid w:val="004A7091"/>
    <w:rsid w:val="004B13D2"/>
    <w:rsid w:val="004B36B9"/>
    <w:rsid w:val="004B3C67"/>
    <w:rsid w:val="004B3D7E"/>
    <w:rsid w:val="004B54B0"/>
    <w:rsid w:val="004B637A"/>
    <w:rsid w:val="004B7673"/>
    <w:rsid w:val="004C08BB"/>
    <w:rsid w:val="004C1870"/>
    <w:rsid w:val="004C21C7"/>
    <w:rsid w:val="004C47A9"/>
    <w:rsid w:val="004C5B9C"/>
    <w:rsid w:val="004C762C"/>
    <w:rsid w:val="004C7AEE"/>
    <w:rsid w:val="004D07A8"/>
    <w:rsid w:val="004D2B8E"/>
    <w:rsid w:val="004D3765"/>
    <w:rsid w:val="004D4BE2"/>
    <w:rsid w:val="004D58C1"/>
    <w:rsid w:val="004D5AC3"/>
    <w:rsid w:val="004D5FF4"/>
    <w:rsid w:val="004D7696"/>
    <w:rsid w:val="004E145D"/>
    <w:rsid w:val="004E1975"/>
    <w:rsid w:val="004E48DA"/>
    <w:rsid w:val="004E5F95"/>
    <w:rsid w:val="004E6436"/>
    <w:rsid w:val="004E6F3B"/>
    <w:rsid w:val="004E7B96"/>
    <w:rsid w:val="004E7F9F"/>
    <w:rsid w:val="004F02D2"/>
    <w:rsid w:val="004F1FC7"/>
    <w:rsid w:val="004F4326"/>
    <w:rsid w:val="004F5809"/>
    <w:rsid w:val="004F6EE6"/>
    <w:rsid w:val="004F75A0"/>
    <w:rsid w:val="005004B1"/>
    <w:rsid w:val="00500823"/>
    <w:rsid w:val="00501877"/>
    <w:rsid w:val="00503971"/>
    <w:rsid w:val="00505E92"/>
    <w:rsid w:val="0051287F"/>
    <w:rsid w:val="00512AED"/>
    <w:rsid w:val="00512DE6"/>
    <w:rsid w:val="00513BFA"/>
    <w:rsid w:val="00513BFE"/>
    <w:rsid w:val="00513F35"/>
    <w:rsid w:val="005161A5"/>
    <w:rsid w:val="0052074A"/>
    <w:rsid w:val="0052088E"/>
    <w:rsid w:val="00520BD3"/>
    <w:rsid w:val="0052238F"/>
    <w:rsid w:val="0052308D"/>
    <w:rsid w:val="00524292"/>
    <w:rsid w:val="00525E16"/>
    <w:rsid w:val="005318A8"/>
    <w:rsid w:val="00531C3F"/>
    <w:rsid w:val="005325CC"/>
    <w:rsid w:val="005342A4"/>
    <w:rsid w:val="00534C63"/>
    <w:rsid w:val="00536846"/>
    <w:rsid w:val="005438D1"/>
    <w:rsid w:val="00543CD1"/>
    <w:rsid w:val="00544C00"/>
    <w:rsid w:val="0054744F"/>
    <w:rsid w:val="0054760E"/>
    <w:rsid w:val="0055016C"/>
    <w:rsid w:val="00550287"/>
    <w:rsid w:val="005522F2"/>
    <w:rsid w:val="005540D8"/>
    <w:rsid w:val="00557DC9"/>
    <w:rsid w:val="005635C9"/>
    <w:rsid w:val="005669FD"/>
    <w:rsid w:val="005675A5"/>
    <w:rsid w:val="0056771C"/>
    <w:rsid w:val="00570959"/>
    <w:rsid w:val="00572357"/>
    <w:rsid w:val="00572784"/>
    <w:rsid w:val="005773A9"/>
    <w:rsid w:val="005823F5"/>
    <w:rsid w:val="0058395A"/>
    <w:rsid w:val="0058423D"/>
    <w:rsid w:val="005860E9"/>
    <w:rsid w:val="00590311"/>
    <w:rsid w:val="00590713"/>
    <w:rsid w:val="00590A05"/>
    <w:rsid w:val="00590E0F"/>
    <w:rsid w:val="00592D7B"/>
    <w:rsid w:val="00592F21"/>
    <w:rsid w:val="005933FA"/>
    <w:rsid w:val="005943FD"/>
    <w:rsid w:val="005945AE"/>
    <w:rsid w:val="00594942"/>
    <w:rsid w:val="0059670B"/>
    <w:rsid w:val="005968D1"/>
    <w:rsid w:val="005A04F3"/>
    <w:rsid w:val="005A10EC"/>
    <w:rsid w:val="005A12A8"/>
    <w:rsid w:val="005A41C0"/>
    <w:rsid w:val="005A45BD"/>
    <w:rsid w:val="005A47CE"/>
    <w:rsid w:val="005A52A9"/>
    <w:rsid w:val="005A6217"/>
    <w:rsid w:val="005A6481"/>
    <w:rsid w:val="005B0FEC"/>
    <w:rsid w:val="005B11EB"/>
    <w:rsid w:val="005B30ED"/>
    <w:rsid w:val="005B3470"/>
    <w:rsid w:val="005B37A1"/>
    <w:rsid w:val="005B6222"/>
    <w:rsid w:val="005C0544"/>
    <w:rsid w:val="005C058A"/>
    <w:rsid w:val="005C0958"/>
    <w:rsid w:val="005C0A53"/>
    <w:rsid w:val="005C1C9D"/>
    <w:rsid w:val="005C1EF4"/>
    <w:rsid w:val="005C2888"/>
    <w:rsid w:val="005C41A2"/>
    <w:rsid w:val="005C47ED"/>
    <w:rsid w:val="005C5156"/>
    <w:rsid w:val="005C60F3"/>
    <w:rsid w:val="005C67A2"/>
    <w:rsid w:val="005C6B38"/>
    <w:rsid w:val="005D1077"/>
    <w:rsid w:val="005D4F34"/>
    <w:rsid w:val="005D533D"/>
    <w:rsid w:val="005D5E5A"/>
    <w:rsid w:val="005D6AEC"/>
    <w:rsid w:val="005D7EE6"/>
    <w:rsid w:val="005E2D2C"/>
    <w:rsid w:val="005E36C9"/>
    <w:rsid w:val="005E3D80"/>
    <w:rsid w:val="005E63A8"/>
    <w:rsid w:val="005F14DA"/>
    <w:rsid w:val="005F257A"/>
    <w:rsid w:val="005F3189"/>
    <w:rsid w:val="005F31AC"/>
    <w:rsid w:val="005F45B0"/>
    <w:rsid w:val="005F6A89"/>
    <w:rsid w:val="00601664"/>
    <w:rsid w:val="006018D4"/>
    <w:rsid w:val="00602DA5"/>
    <w:rsid w:val="00603A3D"/>
    <w:rsid w:val="00603C1D"/>
    <w:rsid w:val="0060641A"/>
    <w:rsid w:val="00606727"/>
    <w:rsid w:val="006104A3"/>
    <w:rsid w:val="00610E84"/>
    <w:rsid w:val="00611C10"/>
    <w:rsid w:val="00612C15"/>
    <w:rsid w:val="006136E6"/>
    <w:rsid w:val="0061553E"/>
    <w:rsid w:val="00616107"/>
    <w:rsid w:val="006230E3"/>
    <w:rsid w:val="006235EE"/>
    <w:rsid w:val="006240C6"/>
    <w:rsid w:val="006302E2"/>
    <w:rsid w:val="00630AD6"/>
    <w:rsid w:val="00631C4B"/>
    <w:rsid w:val="006333FF"/>
    <w:rsid w:val="00634CFB"/>
    <w:rsid w:val="00635874"/>
    <w:rsid w:val="00642094"/>
    <w:rsid w:val="006424DB"/>
    <w:rsid w:val="00643A07"/>
    <w:rsid w:val="00644455"/>
    <w:rsid w:val="0064708E"/>
    <w:rsid w:val="006470AE"/>
    <w:rsid w:val="006474FB"/>
    <w:rsid w:val="00651029"/>
    <w:rsid w:val="006517ED"/>
    <w:rsid w:val="0065284E"/>
    <w:rsid w:val="00654F3C"/>
    <w:rsid w:val="00655D33"/>
    <w:rsid w:val="0065712D"/>
    <w:rsid w:val="00660F1D"/>
    <w:rsid w:val="00662B7D"/>
    <w:rsid w:val="00665111"/>
    <w:rsid w:val="00671CC2"/>
    <w:rsid w:val="00671D80"/>
    <w:rsid w:val="0067375A"/>
    <w:rsid w:val="00675D5F"/>
    <w:rsid w:val="006767C0"/>
    <w:rsid w:val="00676FF7"/>
    <w:rsid w:val="00681E86"/>
    <w:rsid w:val="00684993"/>
    <w:rsid w:val="00685167"/>
    <w:rsid w:val="0069072E"/>
    <w:rsid w:val="00692A24"/>
    <w:rsid w:val="00692ECD"/>
    <w:rsid w:val="0069480A"/>
    <w:rsid w:val="006952F7"/>
    <w:rsid w:val="00695671"/>
    <w:rsid w:val="00696814"/>
    <w:rsid w:val="006976B6"/>
    <w:rsid w:val="00697B96"/>
    <w:rsid w:val="006A00C5"/>
    <w:rsid w:val="006A099E"/>
    <w:rsid w:val="006A11C2"/>
    <w:rsid w:val="006A12EA"/>
    <w:rsid w:val="006A14D5"/>
    <w:rsid w:val="006A2AA2"/>
    <w:rsid w:val="006A30A3"/>
    <w:rsid w:val="006A33F0"/>
    <w:rsid w:val="006A361C"/>
    <w:rsid w:val="006A4239"/>
    <w:rsid w:val="006A5287"/>
    <w:rsid w:val="006A5D02"/>
    <w:rsid w:val="006A5F5B"/>
    <w:rsid w:val="006A68CA"/>
    <w:rsid w:val="006A74F0"/>
    <w:rsid w:val="006B1127"/>
    <w:rsid w:val="006B1F3D"/>
    <w:rsid w:val="006B3437"/>
    <w:rsid w:val="006B3516"/>
    <w:rsid w:val="006B3F6C"/>
    <w:rsid w:val="006B620E"/>
    <w:rsid w:val="006B6B31"/>
    <w:rsid w:val="006B6DD9"/>
    <w:rsid w:val="006B747D"/>
    <w:rsid w:val="006C0A33"/>
    <w:rsid w:val="006C0A4A"/>
    <w:rsid w:val="006C1F9E"/>
    <w:rsid w:val="006C3BFC"/>
    <w:rsid w:val="006C3E37"/>
    <w:rsid w:val="006C4CDB"/>
    <w:rsid w:val="006C5029"/>
    <w:rsid w:val="006C551B"/>
    <w:rsid w:val="006C7234"/>
    <w:rsid w:val="006D0F1D"/>
    <w:rsid w:val="006D0F26"/>
    <w:rsid w:val="006D3687"/>
    <w:rsid w:val="006D415F"/>
    <w:rsid w:val="006D567F"/>
    <w:rsid w:val="006D72B8"/>
    <w:rsid w:val="006D7A1D"/>
    <w:rsid w:val="006E18FD"/>
    <w:rsid w:val="006E190B"/>
    <w:rsid w:val="006E289E"/>
    <w:rsid w:val="006E3140"/>
    <w:rsid w:val="006E3C9F"/>
    <w:rsid w:val="006E4DF8"/>
    <w:rsid w:val="006E5496"/>
    <w:rsid w:val="006E7C64"/>
    <w:rsid w:val="006F02ED"/>
    <w:rsid w:val="006F04DA"/>
    <w:rsid w:val="006F0D67"/>
    <w:rsid w:val="006F131B"/>
    <w:rsid w:val="006F1F64"/>
    <w:rsid w:val="006F27FF"/>
    <w:rsid w:val="006F315C"/>
    <w:rsid w:val="007004C2"/>
    <w:rsid w:val="00702455"/>
    <w:rsid w:val="007028F5"/>
    <w:rsid w:val="00702A56"/>
    <w:rsid w:val="00703D5B"/>
    <w:rsid w:val="00704762"/>
    <w:rsid w:val="007078CE"/>
    <w:rsid w:val="0071296E"/>
    <w:rsid w:val="00713111"/>
    <w:rsid w:val="00714E98"/>
    <w:rsid w:val="00715DF2"/>
    <w:rsid w:val="0071769D"/>
    <w:rsid w:val="00717AFE"/>
    <w:rsid w:val="0072423B"/>
    <w:rsid w:val="00725CAE"/>
    <w:rsid w:val="007303AC"/>
    <w:rsid w:val="00731920"/>
    <w:rsid w:val="00731BA4"/>
    <w:rsid w:val="00732432"/>
    <w:rsid w:val="0073276B"/>
    <w:rsid w:val="00733882"/>
    <w:rsid w:val="0073414C"/>
    <w:rsid w:val="0073483C"/>
    <w:rsid w:val="00735239"/>
    <w:rsid w:val="007371B8"/>
    <w:rsid w:val="0073729A"/>
    <w:rsid w:val="007421E4"/>
    <w:rsid w:val="007424D1"/>
    <w:rsid w:val="00742A15"/>
    <w:rsid w:val="0074350D"/>
    <w:rsid w:val="00743BAA"/>
    <w:rsid w:val="00745539"/>
    <w:rsid w:val="007462D9"/>
    <w:rsid w:val="00746F0D"/>
    <w:rsid w:val="00751E11"/>
    <w:rsid w:val="00752D07"/>
    <w:rsid w:val="00753C5E"/>
    <w:rsid w:val="00754099"/>
    <w:rsid w:val="007540A2"/>
    <w:rsid w:val="007543F9"/>
    <w:rsid w:val="0075615C"/>
    <w:rsid w:val="00756F8E"/>
    <w:rsid w:val="00762485"/>
    <w:rsid w:val="00764891"/>
    <w:rsid w:val="00764D9C"/>
    <w:rsid w:val="00765FE0"/>
    <w:rsid w:val="0076722E"/>
    <w:rsid w:val="007677EE"/>
    <w:rsid w:val="00771C6A"/>
    <w:rsid w:val="00772202"/>
    <w:rsid w:val="007724C2"/>
    <w:rsid w:val="00772F76"/>
    <w:rsid w:val="00775FA0"/>
    <w:rsid w:val="00777137"/>
    <w:rsid w:val="0077728A"/>
    <w:rsid w:val="00781363"/>
    <w:rsid w:val="00781CE7"/>
    <w:rsid w:val="00781EF0"/>
    <w:rsid w:val="00782E36"/>
    <w:rsid w:val="007839CF"/>
    <w:rsid w:val="00783EEC"/>
    <w:rsid w:val="00786760"/>
    <w:rsid w:val="007870CE"/>
    <w:rsid w:val="00787408"/>
    <w:rsid w:val="00787851"/>
    <w:rsid w:val="00791FD2"/>
    <w:rsid w:val="00792171"/>
    <w:rsid w:val="007943A5"/>
    <w:rsid w:val="007959C3"/>
    <w:rsid w:val="007973A9"/>
    <w:rsid w:val="007A0244"/>
    <w:rsid w:val="007A045F"/>
    <w:rsid w:val="007A0763"/>
    <w:rsid w:val="007A1B29"/>
    <w:rsid w:val="007A3588"/>
    <w:rsid w:val="007A4164"/>
    <w:rsid w:val="007A5880"/>
    <w:rsid w:val="007A58D6"/>
    <w:rsid w:val="007A6874"/>
    <w:rsid w:val="007A6ECA"/>
    <w:rsid w:val="007B4254"/>
    <w:rsid w:val="007B6BB3"/>
    <w:rsid w:val="007C135E"/>
    <w:rsid w:val="007C31E2"/>
    <w:rsid w:val="007C36AC"/>
    <w:rsid w:val="007C461F"/>
    <w:rsid w:val="007C466B"/>
    <w:rsid w:val="007C4A00"/>
    <w:rsid w:val="007D2503"/>
    <w:rsid w:val="007D2565"/>
    <w:rsid w:val="007D2570"/>
    <w:rsid w:val="007D287D"/>
    <w:rsid w:val="007D3028"/>
    <w:rsid w:val="007D3112"/>
    <w:rsid w:val="007D37F2"/>
    <w:rsid w:val="007D6CA3"/>
    <w:rsid w:val="007D74FB"/>
    <w:rsid w:val="007D7F28"/>
    <w:rsid w:val="007D7F7A"/>
    <w:rsid w:val="007E3352"/>
    <w:rsid w:val="007E450B"/>
    <w:rsid w:val="007E52C3"/>
    <w:rsid w:val="007E5659"/>
    <w:rsid w:val="007E716E"/>
    <w:rsid w:val="007E77DF"/>
    <w:rsid w:val="007F1727"/>
    <w:rsid w:val="007F1FAA"/>
    <w:rsid w:val="007F219B"/>
    <w:rsid w:val="007F3E85"/>
    <w:rsid w:val="007F4D88"/>
    <w:rsid w:val="007F52DD"/>
    <w:rsid w:val="007F539A"/>
    <w:rsid w:val="007F6CCC"/>
    <w:rsid w:val="007F6CCE"/>
    <w:rsid w:val="007F7CCF"/>
    <w:rsid w:val="00801E47"/>
    <w:rsid w:val="0080290D"/>
    <w:rsid w:val="008029C4"/>
    <w:rsid w:val="00802B9E"/>
    <w:rsid w:val="0080507F"/>
    <w:rsid w:val="00805E22"/>
    <w:rsid w:val="00805E73"/>
    <w:rsid w:val="0080603D"/>
    <w:rsid w:val="0080620E"/>
    <w:rsid w:val="00807C51"/>
    <w:rsid w:val="0081084A"/>
    <w:rsid w:val="008128B7"/>
    <w:rsid w:val="00813D9E"/>
    <w:rsid w:val="008144F3"/>
    <w:rsid w:val="00814829"/>
    <w:rsid w:val="0081699D"/>
    <w:rsid w:val="00820680"/>
    <w:rsid w:val="00821163"/>
    <w:rsid w:val="00822711"/>
    <w:rsid w:val="0082416D"/>
    <w:rsid w:val="00827D80"/>
    <w:rsid w:val="00830E98"/>
    <w:rsid w:val="00831163"/>
    <w:rsid w:val="00831C1B"/>
    <w:rsid w:val="00832BCF"/>
    <w:rsid w:val="0083420A"/>
    <w:rsid w:val="00834AB5"/>
    <w:rsid w:val="008366D7"/>
    <w:rsid w:val="0083724E"/>
    <w:rsid w:val="00844116"/>
    <w:rsid w:val="00844E3D"/>
    <w:rsid w:val="00845A41"/>
    <w:rsid w:val="00846CAC"/>
    <w:rsid w:val="00847BED"/>
    <w:rsid w:val="0085041A"/>
    <w:rsid w:val="0085621B"/>
    <w:rsid w:val="00856605"/>
    <w:rsid w:val="00857886"/>
    <w:rsid w:val="008615C9"/>
    <w:rsid w:val="00861B30"/>
    <w:rsid w:val="00861B61"/>
    <w:rsid w:val="008637E2"/>
    <w:rsid w:val="00866D26"/>
    <w:rsid w:val="008702D6"/>
    <w:rsid w:val="00870AE9"/>
    <w:rsid w:val="0087256B"/>
    <w:rsid w:val="00872BE2"/>
    <w:rsid w:val="00874FBF"/>
    <w:rsid w:val="00875B81"/>
    <w:rsid w:val="00877A41"/>
    <w:rsid w:val="0088149A"/>
    <w:rsid w:val="00882109"/>
    <w:rsid w:val="00882706"/>
    <w:rsid w:val="00882A57"/>
    <w:rsid w:val="00887FB8"/>
    <w:rsid w:val="008915B5"/>
    <w:rsid w:val="00892046"/>
    <w:rsid w:val="0089397A"/>
    <w:rsid w:val="00893D8C"/>
    <w:rsid w:val="00894064"/>
    <w:rsid w:val="008945FE"/>
    <w:rsid w:val="008950D6"/>
    <w:rsid w:val="00895870"/>
    <w:rsid w:val="00897072"/>
    <w:rsid w:val="008A4989"/>
    <w:rsid w:val="008A4F7E"/>
    <w:rsid w:val="008A7288"/>
    <w:rsid w:val="008B0FFE"/>
    <w:rsid w:val="008B2486"/>
    <w:rsid w:val="008B36A0"/>
    <w:rsid w:val="008B58A0"/>
    <w:rsid w:val="008B5C10"/>
    <w:rsid w:val="008C084F"/>
    <w:rsid w:val="008C087A"/>
    <w:rsid w:val="008C1940"/>
    <w:rsid w:val="008C327B"/>
    <w:rsid w:val="008C45C6"/>
    <w:rsid w:val="008C68BE"/>
    <w:rsid w:val="008D0C99"/>
    <w:rsid w:val="008D1032"/>
    <w:rsid w:val="008D13BA"/>
    <w:rsid w:val="008D530E"/>
    <w:rsid w:val="008D5AB5"/>
    <w:rsid w:val="008E01CF"/>
    <w:rsid w:val="008E0785"/>
    <w:rsid w:val="008E1373"/>
    <w:rsid w:val="008E780B"/>
    <w:rsid w:val="008F083E"/>
    <w:rsid w:val="008F1EE2"/>
    <w:rsid w:val="008F2DF0"/>
    <w:rsid w:val="008F3D63"/>
    <w:rsid w:val="008F5FFE"/>
    <w:rsid w:val="008F7795"/>
    <w:rsid w:val="009002F8"/>
    <w:rsid w:val="009029A6"/>
    <w:rsid w:val="00904D01"/>
    <w:rsid w:val="00905914"/>
    <w:rsid w:val="00905DA6"/>
    <w:rsid w:val="0090679D"/>
    <w:rsid w:val="00906DEF"/>
    <w:rsid w:val="00907FE4"/>
    <w:rsid w:val="009107A2"/>
    <w:rsid w:val="00910CB3"/>
    <w:rsid w:val="00911168"/>
    <w:rsid w:val="0091223E"/>
    <w:rsid w:val="00913CE2"/>
    <w:rsid w:val="00917B18"/>
    <w:rsid w:val="00917C0B"/>
    <w:rsid w:val="009225B9"/>
    <w:rsid w:val="00922F59"/>
    <w:rsid w:val="00924A78"/>
    <w:rsid w:val="00925C13"/>
    <w:rsid w:val="009268BD"/>
    <w:rsid w:val="00930462"/>
    <w:rsid w:val="00935304"/>
    <w:rsid w:val="009363BF"/>
    <w:rsid w:val="00940BF4"/>
    <w:rsid w:val="00940E12"/>
    <w:rsid w:val="00942AC5"/>
    <w:rsid w:val="0094548E"/>
    <w:rsid w:val="00950E03"/>
    <w:rsid w:val="00955250"/>
    <w:rsid w:val="0095587C"/>
    <w:rsid w:val="0095648E"/>
    <w:rsid w:val="00956F08"/>
    <w:rsid w:val="00957C5A"/>
    <w:rsid w:val="0096087C"/>
    <w:rsid w:val="00961629"/>
    <w:rsid w:val="00964181"/>
    <w:rsid w:val="009645F2"/>
    <w:rsid w:val="00965346"/>
    <w:rsid w:val="0097002B"/>
    <w:rsid w:val="009706C6"/>
    <w:rsid w:val="00971100"/>
    <w:rsid w:val="00971E2B"/>
    <w:rsid w:val="00972DAD"/>
    <w:rsid w:val="0097322E"/>
    <w:rsid w:val="009759A2"/>
    <w:rsid w:val="009775A6"/>
    <w:rsid w:val="00977CA6"/>
    <w:rsid w:val="009857EC"/>
    <w:rsid w:val="009860B0"/>
    <w:rsid w:val="00986BE8"/>
    <w:rsid w:val="00987498"/>
    <w:rsid w:val="0099219E"/>
    <w:rsid w:val="0099238A"/>
    <w:rsid w:val="00994E29"/>
    <w:rsid w:val="00994E47"/>
    <w:rsid w:val="00995D56"/>
    <w:rsid w:val="009A051D"/>
    <w:rsid w:val="009A1A55"/>
    <w:rsid w:val="009A3265"/>
    <w:rsid w:val="009A53DE"/>
    <w:rsid w:val="009A6843"/>
    <w:rsid w:val="009A7760"/>
    <w:rsid w:val="009A7961"/>
    <w:rsid w:val="009B0ACA"/>
    <w:rsid w:val="009B19A7"/>
    <w:rsid w:val="009B2098"/>
    <w:rsid w:val="009B2516"/>
    <w:rsid w:val="009B28A8"/>
    <w:rsid w:val="009B38D7"/>
    <w:rsid w:val="009B39FF"/>
    <w:rsid w:val="009B4F59"/>
    <w:rsid w:val="009B6788"/>
    <w:rsid w:val="009B712F"/>
    <w:rsid w:val="009B7A2B"/>
    <w:rsid w:val="009C0AEC"/>
    <w:rsid w:val="009C0D34"/>
    <w:rsid w:val="009C1590"/>
    <w:rsid w:val="009C18C7"/>
    <w:rsid w:val="009C42DE"/>
    <w:rsid w:val="009C6DAC"/>
    <w:rsid w:val="009C7425"/>
    <w:rsid w:val="009C7DC7"/>
    <w:rsid w:val="009C7F7E"/>
    <w:rsid w:val="009D07FD"/>
    <w:rsid w:val="009D08F0"/>
    <w:rsid w:val="009D0D3A"/>
    <w:rsid w:val="009D414F"/>
    <w:rsid w:val="009D58D8"/>
    <w:rsid w:val="009E3B3B"/>
    <w:rsid w:val="009E3C63"/>
    <w:rsid w:val="009E4718"/>
    <w:rsid w:val="009E6112"/>
    <w:rsid w:val="009E6CF5"/>
    <w:rsid w:val="009F107B"/>
    <w:rsid w:val="009F1FCE"/>
    <w:rsid w:val="009F4BA1"/>
    <w:rsid w:val="009F738A"/>
    <w:rsid w:val="00A018A2"/>
    <w:rsid w:val="00A050EB"/>
    <w:rsid w:val="00A06DF3"/>
    <w:rsid w:val="00A07213"/>
    <w:rsid w:val="00A07F87"/>
    <w:rsid w:val="00A11CFC"/>
    <w:rsid w:val="00A1653F"/>
    <w:rsid w:val="00A16742"/>
    <w:rsid w:val="00A2208E"/>
    <w:rsid w:val="00A235CD"/>
    <w:rsid w:val="00A240EC"/>
    <w:rsid w:val="00A24933"/>
    <w:rsid w:val="00A24C70"/>
    <w:rsid w:val="00A27391"/>
    <w:rsid w:val="00A30B64"/>
    <w:rsid w:val="00A31AB5"/>
    <w:rsid w:val="00A321DC"/>
    <w:rsid w:val="00A3556B"/>
    <w:rsid w:val="00A35CAF"/>
    <w:rsid w:val="00A35CCD"/>
    <w:rsid w:val="00A36A6E"/>
    <w:rsid w:val="00A36F43"/>
    <w:rsid w:val="00A3740E"/>
    <w:rsid w:val="00A41B25"/>
    <w:rsid w:val="00A42971"/>
    <w:rsid w:val="00A4402D"/>
    <w:rsid w:val="00A441E3"/>
    <w:rsid w:val="00A44EDB"/>
    <w:rsid w:val="00A45B05"/>
    <w:rsid w:val="00A45DC9"/>
    <w:rsid w:val="00A466A5"/>
    <w:rsid w:val="00A47C88"/>
    <w:rsid w:val="00A53202"/>
    <w:rsid w:val="00A53B98"/>
    <w:rsid w:val="00A54418"/>
    <w:rsid w:val="00A55563"/>
    <w:rsid w:val="00A5702D"/>
    <w:rsid w:val="00A5794F"/>
    <w:rsid w:val="00A57F70"/>
    <w:rsid w:val="00A617B5"/>
    <w:rsid w:val="00A61917"/>
    <w:rsid w:val="00A63285"/>
    <w:rsid w:val="00A63672"/>
    <w:rsid w:val="00A63798"/>
    <w:rsid w:val="00A66223"/>
    <w:rsid w:val="00A7000D"/>
    <w:rsid w:val="00A71130"/>
    <w:rsid w:val="00A726EF"/>
    <w:rsid w:val="00A7411F"/>
    <w:rsid w:val="00A74E1C"/>
    <w:rsid w:val="00A76364"/>
    <w:rsid w:val="00A7688E"/>
    <w:rsid w:val="00A818EE"/>
    <w:rsid w:val="00A8384A"/>
    <w:rsid w:val="00A906A8"/>
    <w:rsid w:val="00A9162E"/>
    <w:rsid w:val="00A916AD"/>
    <w:rsid w:val="00A93AA1"/>
    <w:rsid w:val="00A93F22"/>
    <w:rsid w:val="00A951AD"/>
    <w:rsid w:val="00A96608"/>
    <w:rsid w:val="00A97C63"/>
    <w:rsid w:val="00AA0CF0"/>
    <w:rsid w:val="00AA2D92"/>
    <w:rsid w:val="00AA5B8D"/>
    <w:rsid w:val="00AA5E8F"/>
    <w:rsid w:val="00AB155C"/>
    <w:rsid w:val="00AB3127"/>
    <w:rsid w:val="00AB6B8B"/>
    <w:rsid w:val="00AB7613"/>
    <w:rsid w:val="00AC1A25"/>
    <w:rsid w:val="00AC26E8"/>
    <w:rsid w:val="00AC3012"/>
    <w:rsid w:val="00AC4AF5"/>
    <w:rsid w:val="00AC523E"/>
    <w:rsid w:val="00AC5FCF"/>
    <w:rsid w:val="00AC6EAF"/>
    <w:rsid w:val="00AD0CE7"/>
    <w:rsid w:val="00AD0D9D"/>
    <w:rsid w:val="00AD184D"/>
    <w:rsid w:val="00AD3E14"/>
    <w:rsid w:val="00AD3E54"/>
    <w:rsid w:val="00AE07E3"/>
    <w:rsid w:val="00AE2900"/>
    <w:rsid w:val="00AE333F"/>
    <w:rsid w:val="00AE4A8A"/>
    <w:rsid w:val="00AE6D52"/>
    <w:rsid w:val="00AE766A"/>
    <w:rsid w:val="00AE7EBF"/>
    <w:rsid w:val="00AF11DA"/>
    <w:rsid w:val="00AF2991"/>
    <w:rsid w:val="00AF3B1D"/>
    <w:rsid w:val="00AF4731"/>
    <w:rsid w:val="00AF6595"/>
    <w:rsid w:val="00AF7D8E"/>
    <w:rsid w:val="00B02602"/>
    <w:rsid w:val="00B02FC0"/>
    <w:rsid w:val="00B030DC"/>
    <w:rsid w:val="00B05184"/>
    <w:rsid w:val="00B0564D"/>
    <w:rsid w:val="00B0571C"/>
    <w:rsid w:val="00B058D4"/>
    <w:rsid w:val="00B06E96"/>
    <w:rsid w:val="00B11BC2"/>
    <w:rsid w:val="00B1218C"/>
    <w:rsid w:val="00B129BD"/>
    <w:rsid w:val="00B14667"/>
    <w:rsid w:val="00B14E97"/>
    <w:rsid w:val="00B15120"/>
    <w:rsid w:val="00B15A5D"/>
    <w:rsid w:val="00B15D02"/>
    <w:rsid w:val="00B1776B"/>
    <w:rsid w:val="00B21868"/>
    <w:rsid w:val="00B21BE3"/>
    <w:rsid w:val="00B22045"/>
    <w:rsid w:val="00B25B52"/>
    <w:rsid w:val="00B2609D"/>
    <w:rsid w:val="00B26828"/>
    <w:rsid w:val="00B27F36"/>
    <w:rsid w:val="00B31967"/>
    <w:rsid w:val="00B3420F"/>
    <w:rsid w:val="00B362E5"/>
    <w:rsid w:val="00B36455"/>
    <w:rsid w:val="00B36540"/>
    <w:rsid w:val="00B41746"/>
    <w:rsid w:val="00B44AB7"/>
    <w:rsid w:val="00B47A52"/>
    <w:rsid w:val="00B50FAA"/>
    <w:rsid w:val="00B514B6"/>
    <w:rsid w:val="00B51AD8"/>
    <w:rsid w:val="00B53E4C"/>
    <w:rsid w:val="00B541CB"/>
    <w:rsid w:val="00B600FF"/>
    <w:rsid w:val="00B60A47"/>
    <w:rsid w:val="00B60D93"/>
    <w:rsid w:val="00B658AD"/>
    <w:rsid w:val="00B65938"/>
    <w:rsid w:val="00B66EC4"/>
    <w:rsid w:val="00B715EF"/>
    <w:rsid w:val="00B71691"/>
    <w:rsid w:val="00B739DB"/>
    <w:rsid w:val="00B76F17"/>
    <w:rsid w:val="00B777DF"/>
    <w:rsid w:val="00B82EAD"/>
    <w:rsid w:val="00B8318C"/>
    <w:rsid w:val="00B84028"/>
    <w:rsid w:val="00B840FF"/>
    <w:rsid w:val="00B85B8B"/>
    <w:rsid w:val="00B92DEF"/>
    <w:rsid w:val="00B93FD0"/>
    <w:rsid w:val="00B94214"/>
    <w:rsid w:val="00B9496F"/>
    <w:rsid w:val="00B950BE"/>
    <w:rsid w:val="00B955BD"/>
    <w:rsid w:val="00B9723F"/>
    <w:rsid w:val="00BA100A"/>
    <w:rsid w:val="00BA3A6A"/>
    <w:rsid w:val="00BA3DF5"/>
    <w:rsid w:val="00BA672F"/>
    <w:rsid w:val="00BA6769"/>
    <w:rsid w:val="00BA7B7F"/>
    <w:rsid w:val="00BB001A"/>
    <w:rsid w:val="00BB1FDE"/>
    <w:rsid w:val="00BB292A"/>
    <w:rsid w:val="00BB2DDF"/>
    <w:rsid w:val="00BB2F9D"/>
    <w:rsid w:val="00BB33B7"/>
    <w:rsid w:val="00BB5D54"/>
    <w:rsid w:val="00BB675A"/>
    <w:rsid w:val="00BB6DDE"/>
    <w:rsid w:val="00BC067E"/>
    <w:rsid w:val="00BC1223"/>
    <w:rsid w:val="00BC3241"/>
    <w:rsid w:val="00BC42EB"/>
    <w:rsid w:val="00BC63A7"/>
    <w:rsid w:val="00BC6475"/>
    <w:rsid w:val="00BC7AD3"/>
    <w:rsid w:val="00BD0E91"/>
    <w:rsid w:val="00BD37DD"/>
    <w:rsid w:val="00BD39C2"/>
    <w:rsid w:val="00BD3A50"/>
    <w:rsid w:val="00BD4293"/>
    <w:rsid w:val="00BD5F58"/>
    <w:rsid w:val="00BF16E0"/>
    <w:rsid w:val="00BF4910"/>
    <w:rsid w:val="00C00A72"/>
    <w:rsid w:val="00C00C53"/>
    <w:rsid w:val="00C02828"/>
    <w:rsid w:val="00C03AA8"/>
    <w:rsid w:val="00C03B00"/>
    <w:rsid w:val="00C043BB"/>
    <w:rsid w:val="00C04E91"/>
    <w:rsid w:val="00C105C2"/>
    <w:rsid w:val="00C11180"/>
    <w:rsid w:val="00C1311D"/>
    <w:rsid w:val="00C13534"/>
    <w:rsid w:val="00C151B9"/>
    <w:rsid w:val="00C155D0"/>
    <w:rsid w:val="00C16181"/>
    <w:rsid w:val="00C175E8"/>
    <w:rsid w:val="00C21B22"/>
    <w:rsid w:val="00C22A87"/>
    <w:rsid w:val="00C23BCE"/>
    <w:rsid w:val="00C24E9D"/>
    <w:rsid w:val="00C25A97"/>
    <w:rsid w:val="00C30FC9"/>
    <w:rsid w:val="00C316E0"/>
    <w:rsid w:val="00C332B5"/>
    <w:rsid w:val="00C40F17"/>
    <w:rsid w:val="00C410D5"/>
    <w:rsid w:val="00C43681"/>
    <w:rsid w:val="00C440F9"/>
    <w:rsid w:val="00C44300"/>
    <w:rsid w:val="00C45491"/>
    <w:rsid w:val="00C477E9"/>
    <w:rsid w:val="00C51B4F"/>
    <w:rsid w:val="00C51E30"/>
    <w:rsid w:val="00C527F3"/>
    <w:rsid w:val="00C5281E"/>
    <w:rsid w:val="00C567EA"/>
    <w:rsid w:val="00C57137"/>
    <w:rsid w:val="00C60DDC"/>
    <w:rsid w:val="00C62B40"/>
    <w:rsid w:val="00C62E0A"/>
    <w:rsid w:val="00C6491B"/>
    <w:rsid w:val="00C6696D"/>
    <w:rsid w:val="00C706A9"/>
    <w:rsid w:val="00C7309E"/>
    <w:rsid w:val="00C73123"/>
    <w:rsid w:val="00C741C2"/>
    <w:rsid w:val="00C74765"/>
    <w:rsid w:val="00C75BC7"/>
    <w:rsid w:val="00C75CE0"/>
    <w:rsid w:val="00C7627F"/>
    <w:rsid w:val="00C77010"/>
    <w:rsid w:val="00C80A4C"/>
    <w:rsid w:val="00C83FDF"/>
    <w:rsid w:val="00C84E97"/>
    <w:rsid w:val="00C854FA"/>
    <w:rsid w:val="00C86DCE"/>
    <w:rsid w:val="00C8729E"/>
    <w:rsid w:val="00C916AA"/>
    <w:rsid w:val="00C91BB1"/>
    <w:rsid w:val="00C92821"/>
    <w:rsid w:val="00C9451E"/>
    <w:rsid w:val="00C9716E"/>
    <w:rsid w:val="00C975F4"/>
    <w:rsid w:val="00CA0845"/>
    <w:rsid w:val="00CA1B4F"/>
    <w:rsid w:val="00CA3203"/>
    <w:rsid w:val="00CA3AF6"/>
    <w:rsid w:val="00CA3EC6"/>
    <w:rsid w:val="00CA6663"/>
    <w:rsid w:val="00CA6B1A"/>
    <w:rsid w:val="00CB0927"/>
    <w:rsid w:val="00CB5259"/>
    <w:rsid w:val="00CB58D1"/>
    <w:rsid w:val="00CB64E3"/>
    <w:rsid w:val="00CC05AF"/>
    <w:rsid w:val="00CC06F0"/>
    <w:rsid w:val="00CC2296"/>
    <w:rsid w:val="00CC2EBF"/>
    <w:rsid w:val="00CC3027"/>
    <w:rsid w:val="00CC3219"/>
    <w:rsid w:val="00CC3824"/>
    <w:rsid w:val="00CC3C35"/>
    <w:rsid w:val="00CC41C9"/>
    <w:rsid w:val="00CC4CA9"/>
    <w:rsid w:val="00CC683F"/>
    <w:rsid w:val="00CC7590"/>
    <w:rsid w:val="00CD14C0"/>
    <w:rsid w:val="00CD197B"/>
    <w:rsid w:val="00CD2217"/>
    <w:rsid w:val="00CD2927"/>
    <w:rsid w:val="00CD3705"/>
    <w:rsid w:val="00CD4208"/>
    <w:rsid w:val="00CD42A5"/>
    <w:rsid w:val="00CD4B4D"/>
    <w:rsid w:val="00CD52D5"/>
    <w:rsid w:val="00CE041D"/>
    <w:rsid w:val="00CE2EBE"/>
    <w:rsid w:val="00CE3CC5"/>
    <w:rsid w:val="00CE465D"/>
    <w:rsid w:val="00CE4D02"/>
    <w:rsid w:val="00CE67CD"/>
    <w:rsid w:val="00CE6D1B"/>
    <w:rsid w:val="00CE705F"/>
    <w:rsid w:val="00CE7D14"/>
    <w:rsid w:val="00CF0C8F"/>
    <w:rsid w:val="00CF1470"/>
    <w:rsid w:val="00CF1CF9"/>
    <w:rsid w:val="00CF367B"/>
    <w:rsid w:val="00CF3988"/>
    <w:rsid w:val="00CF3C77"/>
    <w:rsid w:val="00CF40B2"/>
    <w:rsid w:val="00CF40C6"/>
    <w:rsid w:val="00CF59F0"/>
    <w:rsid w:val="00CF5A5E"/>
    <w:rsid w:val="00CF6F66"/>
    <w:rsid w:val="00CF7BAA"/>
    <w:rsid w:val="00D00FAC"/>
    <w:rsid w:val="00D02B1E"/>
    <w:rsid w:val="00D04813"/>
    <w:rsid w:val="00D049C1"/>
    <w:rsid w:val="00D04C6F"/>
    <w:rsid w:val="00D0516B"/>
    <w:rsid w:val="00D05316"/>
    <w:rsid w:val="00D05D6C"/>
    <w:rsid w:val="00D1137D"/>
    <w:rsid w:val="00D118D4"/>
    <w:rsid w:val="00D11B87"/>
    <w:rsid w:val="00D12012"/>
    <w:rsid w:val="00D1287D"/>
    <w:rsid w:val="00D129E5"/>
    <w:rsid w:val="00D15699"/>
    <w:rsid w:val="00D17229"/>
    <w:rsid w:val="00D17CD0"/>
    <w:rsid w:val="00D17D55"/>
    <w:rsid w:val="00D207DB"/>
    <w:rsid w:val="00D22A67"/>
    <w:rsid w:val="00D23CBA"/>
    <w:rsid w:val="00D245B9"/>
    <w:rsid w:val="00D24C47"/>
    <w:rsid w:val="00D269F8"/>
    <w:rsid w:val="00D26E0A"/>
    <w:rsid w:val="00D30149"/>
    <w:rsid w:val="00D3167A"/>
    <w:rsid w:val="00D31A47"/>
    <w:rsid w:val="00D31F2F"/>
    <w:rsid w:val="00D359D5"/>
    <w:rsid w:val="00D36933"/>
    <w:rsid w:val="00D40975"/>
    <w:rsid w:val="00D4186B"/>
    <w:rsid w:val="00D425EA"/>
    <w:rsid w:val="00D427D8"/>
    <w:rsid w:val="00D437FB"/>
    <w:rsid w:val="00D44DA4"/>
    <w:rsid w:val="00D45898"/>
    <w:rsid w:val="00D46ABD"/>
    <w:rsid w:val="00D516F8"/>
    <w:rsid w:val="00D51A51"/>
    <w:rsid w:val="00D51A6E"/>
    <w:rsid w:val="00D51D00"/>
    <w:rsid w:val="00D525B2"/>
    <w:rsid w:val="00D544AB"/>
    <w:rsid w:val="00D5592C"/>
    <w:rsid w:val="00D57C2F"/>
    <w:rsid w:val="00D57F61"/>
    <w:rsid w:val="00D601DE"/>
    <w:rsid w:val="00D654CB"/>
    <w:rsid w:val="00D65F79"/>
    <w:rsid w:val="00D66BE9"/>
    <w:rsid w:val="00D6798D"/>
    <w:rsid w:val="00D71342"/>
    <w:rsid w:val="00D75BC3"/>
    <w:rsid w:val="00D767AE"/>
    <w:rsid w:val="00D775BE"/>
    <w:rsid w:val="00D777F0"/>
    <w:rsid w:val="00D77DF8"/>
    <w:rsid w:val="00D80023"/>
    <w:rsid w:val="00D81E5A"/>
    <w:rsid w:val="00D822EA"/>
    <w:rsid w:val="00D8308B"/>
    <w:rsid w:val="00D84526"/>
    <w:rsid w:val="00D8702A"/>
    <w:rsid w:val="00D87546"/>
    <w:rsid w:val="00D878C0"/>
    <w:rsid w:val="00D90154"/>
    <w:rsid w:val="00D90FCA"/>
    <w:rsid w:val="00D921C4"/>
    <w:rsid w:val="00D92CB5"/>
    <w:rsid w:val="00D9376C"/>
    <w:rsid w:val="00D94589"/>
    <w:rsid w:val="00D948E8"/>
    <w:rsid w:val="00D96849"/>
    <w:rsid w:val="00DA2D83"/>
    <w:rsid w:val="00DA34BC"/>
    <w:rsid w:val="00DA48F4"/>
    <w:rsid w:val="00DA5927"/>
    <w:rsid w:val="00DA6671"/>
    <w:rsid w:val="00DA7A37"/>
    <w:rsid w:val="00DA7DEB"/>
    <w:rsid w:val="00DB313F"/>
    <w:rsid w:val="00DB32B2"/>
    <w:rsid w:val="00DB524C"/>
    <w:rsid w:val="00DC0BA8"/>
    <w:rsid w:val="00DC0F7A"/>
    <w:rsid w:val="00DC126F"/>
    <w:rsid w:val="00DC4477"/>
    <w:rsid w:val="00DC5B4F"/>
    <w:rsid w:val="00DD081F"/>
    <w:rsid w:val="00DD0F02"/>
    <w:rsid w:val="00DD4E6C"/>
    <w:rsid w:val="00DD6F08"/>
    <w:rsid w:val="00DD7F4E"/>
    <w:rsid w:val="00DE12CC"/>
    <w:rsid w:val="00DE295A"/>
    <w:rsid w:val="00DE355D"/>
    <w:rsid w:val="00DE42BA"/>
    <w:rsid w:val="00DE7321"/>
    <w:rsid w:val="00DE762E"/>
    <w:rsid w:val="00DE7A6B"/>
    <w:rsid w:val="00DF073A"/>
    <w:rsid w:val="00DF343A"/>
    <w:rsid w:val="00DF4374"/>
    <w:rsid w:val="00DF55EC"/>
    <w:rsid w:val="00DF5F6D"/>
    <w:rsid w:val="00E02254"/>
    <w:rsid w:val="00E04AD8"/>
    <w:rsid w:val="00E057AC"/>
    <w:rsid w:val="00E06AC0"/>
    <w:rsid w:val="00E06CA9"/>
    <w:rsid w:val="00E07CDB"/>
    <w:rsid w:val="00E11AF4"/>
    <w:rsid w:val="00E11BC8"/>
    <w:rsid w:val="00E11F7C"/>
    <w:rsid w:val="00E1351F"/>
    <w:rsid w:val="00E140AE"/>
    <w:rsid w:val="00E1433F"/>
    <w:rsid w:val="00E1765C"/>
    <w:rsid w:val="00E21274"/>
    <w:rsid w:val="00E2137C"/>
    <w:rsid w:val="00E2242B"/>
    <w:rsid w:val="00E23FEE"/>
    <w:rsid w:val="00E24370"/>
    <w:rsid w:val="00E26269"/>
    <w:rsid w:val="00E26776"/>
    <w:rsid w:val="00E26B8D"/>
    <w:rsid w:val="00E321A8"/>
    <w:rsid w:val="00E3281C"/>
    <w:rsid w:val="00E352BD"/>
    <w:rsid w:val="00E35305"/>
    <w:rsid w:val="00E40476"/>
    <w:rsid w:val="00E41066"/>
    <w:rsid w:val="00E43AF3"/>
    <w:rsid w:val="00E43B2F"/>
    <w:rsid w:val="00E43E7E"/>
    <w:rsid w:val="00E44FCC"/>
    <w:rsid w:val="00E4545C"/>
    <w:rsid w:val="00E455BC"/>
    <w:rsid w:val="00E45AC0"/>
    <w:rsid w:val="00E467BE"/>
    <w:rsid w:val="00E53518"/>
    <w:rsid w:val="00E536FF"/>
    <w:rsid w:val="00E54BB6"/>
    <w:rsid w:val="00E55852"/>
    <w:rsid w:val="00E55867"/>
    <w:rsid w:val="00E558CD"/>
    <w:rsid w:val="00E56387"/>
    <w:rsid w:val="00E56961"/>
    <w:rsid w:val="00E578AC"/>
    <w:rsid w:val="00E60909"/>
    <w:rsid w:val="00E60ABC"/>
    <w:rsid w:val="00E61916"/>
    <w:rsid w:val="00E61BD0"/>
    <w:rsid w:val="00E65712"/>
    <w:rsid w:val="00E66582"/>
    <w:rsid w:val="00E6659A"/>
    <w:rsid w:val="00E677E3"/>
    <w:rsid w:val="00E679F9"/>
    <w:rsid w:val="00E67B82"/>
    <w:rsid w:val="00E70D51"/>
    <w:rsid w:val="00E71356"/>
    <w:rsid w:val="00E72804"/>
    <w:rsid w:val="00E746CC"/>
    <w:rsid w:val="00E7527E"/>
    <w:rsid w:val="00E768C6"/>
    <w:rsid w:val="00E77F02"/>
    <w:rsid w:val="00E81A8B"/>
    <w:rsid w:val="00E84CD8"/>
    <w:rsid w:val="00E85027"/>
    <w:rsid w:val="00E87DDD"/>
    <w:rsid w:val="00E92242"/>
    <w:rsid w:val="00E9271B"/>
    <w:rsid w:val="00E936B9"/>
    <w:rsid w:val="00E970FE"/>
    <w:rsid w:val="00EA11A0"/>
    <w:rsid w:val="00EA35E3"/>
    <w:rsid w:val="00EA52B8"/>
    <w:rsid w:val="00EA5A0A"/>
    <w:rsid w:val="00EA66ED"/>
    <w:rsid w:val="00EA6730"/>
    <w:rsid w:val="00EA6C10"/>
    <w:rsid w:val="00EA7211"/>
    <w:rsid w:val="00EB02D3"/>
    <w:rsid w:val="00EB0B63"/>
    <w:rsid w:val="00EB3738"/>
    <w:rsid w:val="00EB6F00"/>
    <w:rsid w:val="00EB74B2"/>
    <w:rsid w:val="00EC162D"/>
    <w:rsid w:val="00EC2E01"/>
    <w:rsid w:val="00EC34DA"/>
    <w:rsid w:val="00EC4D8D"/>
    <w:rsid w:val="00EC6216"/>
    <w:rsid w:val="00EC627D"/>
    <w:rsid w:val="00EC7C2C"/>
    <w:rsid w:val="00ED00CF"/>
    <w:rsid w:val="00ED17F3"/>
    <w:rsid w:val="00ED2165"/>
    <w:rsid w:val="00ED230A"/>
    <w:rsid w:val="00ED2359"/>
    <w:rsid w:val="00ED26AA"/>
    <w:rsid w:val="00ED38FB"/>
    <w:rsid w:val="00ED52C0"/>
    <w:rsid w:val="00ED560F"/>
    <w:rsid w:val="00ED6D83"/>
    <w:rsid w:val="00EE0BEA"/>
    <w:rsid w:val="00EF161E"/>
    <w:rsid w:val="00EF1D73"/>
    <w:rsid w:val="00EF57B5"/>
    <w:rsid w:val="00EF6624"/>
    <w:rsid w:val="00F03449"/>
    <w:rsid w:val="00F0346E"/>
    <w:rsid w:val="00F04098"/>
    <w:rsid w:val="00F04676"/>
    <w:rsid w:val="00F073E2"/>
    <w:rsid w:val="00F0741B"/>
    <w:rsid w:val="00F07D21"/>
    <w:rsid w:val="00F12331"/>
    <w:rsid w:val="00F12641"/>
    <w:rsid w:val="00F160DC"/>
    <w:rsid w:val="00F173F3"/>
    <w:rsid w:val="00F17734"/>
    <w:rsid w:val="00F17D9B"/>
    <w:rsid w:val="00F22FA8"/>
    <w:rsid w:val="00F26EE2"/>
    <w:rsid w:val="00F277B8"/>
    <w:rsid w:val="00F27BC8"/>
    <w:rsid w:val="00F31629"/>
    <w:rsid w:val="00F31B32"/>
    <w:rsid w:val="00F32529"/>
    <w:rsid w:val="00F32D1E"/>
    <w:rsid w:val="00F33CF6"/>
    <w:rsid w:val="00F33FFC"/>
    <w:rsid w:val="00F34C88"/>
    <w:rsid w:val="00F35434"/>
    <w:rsid w:val="00F3554A"/>
    <w:rsid w:val="00F36891"/>
    <w:rsid w:val="00F415E6"/>
    <w:rsid w:val="00F415F7"/>
    <w:rsid w:val="00F4237F"/>
    <w:rsid w:val="00F43461"/>
    <w:rsid w:val="00F43E16"/>
    <w:rsid w:val="00F44D67"/>
    <w:rsid w:val="00F45078"/>
    <w:rsid w:val="00F46BB5"/>
    <w:rsid w:val="00F508F5"/>
    <w:rsid w:val="00F51838"/>
    <w:rsid w:val="00F56F9F"/>
    <w:rsid w:val="00F638A2"/>
    <w:rsid w:val="00F638DE"/>
    <w:rsid w:val="00F6615E"/>
    <w:rsid w:val="00F67378"/>
    <w:rsid w:val="00F738C3"/>
    <w:rsid w:val="00F74F55"/>
    <w:rsid w:val="00F777E7"/>
    <w:rsid w:val="00F77D9E"/>
    <w:rsid w:val="00F804DA"/>
    <w:rsid w:val="00F8200E"/>
    <w:rsid w:val="00F83245"/>
    <w:rsid w:val="00F83EC7"/>
    <w:rsid w:val="00F84D1C"/>
    <w:rsid w:val="00F85E3E"/>
    <w:rsid w:val="00F918AA"/>
    <w:rsid w:val="00F91C68"/>
    <w:rsid w:val="00F9281E"/>
    <w:rsid w:val="00F93684"/>
    <w:rsid w:val="00F939F6"/>
    <w:rsid w:val="00F94303"/>
    <w:rsid w:val="00F96A3B"/>
    <w:rsid w:val="00F96B10"/>
    <w:rsid w:val="00F97530"/>
    <w:rsid w:val="00FA2088"/>
    <w:rsid w:val="00FA2648"/>
    <w:rsid w:val="00FA4B13"/>
    <w:rsid w:val="00FA53A2"/>
    <w:rsid w:val="00FA5724"/>
    <w:rsid w:val="00FA7D6B"/>
    <w:rsid w:val="00FB09D1"/>
    <w:rsid w:val="00FB3E3E"/>
    <w:rsid w:val="00FB49AD"/>
    <w:rsid w:val="00FB6314"/>
    <w:rsid w:val="00FB65CB"/>
    <w:rsid w:val="00FB683F"/>
    <w:rsid w:val="00FB795E"/>
    <w:rsid w:val="00FC333E"/>
    <w:rsid w:val="00FC39E7"/>
    <w:rsid w:val="00FC5A30"/>
    <w:rsid w:val="00FC6F0B"/>
    <w:rsid w:val="00FD4E9A"/>
    <w:rsid w:val="00FD51CF"/>
    <w:rsid w:val="00FD595D"/>
    <w:rsid w:val="00FD59B1"/>
    <w:rsid w:val="00FD5DA5"/>
    <w:rsid w:val="00FD5F2F"/>
    <w:rsid w:val="00FD685F"/>
    <w:rsid w:val="00FD7EF8"/>
    <w:rsid w:val="00FE1A7D"/>
    <w:rsid w:val="00FE3001"/>
    <w:rsid w:val="00FE3AE1"/>
    <w:rsid w:val="00FE3CF7"/>
    <w:rsid w:val="00FE549F"/>
    <w:rsid w:val="00FE59A9"/>
    <w:rsid w:val="00FE5C63"/>
    <w:rsid w:val="00FE5F90"/>
    <w:rsid w:val="00FE67D5"/>
    <w:rsid w:val="00FE7740"/>
    <w:rsid w:val="00FF18EA"/>
    <w:rsid w:val="00FF2D99"/>
    <w:rsid w:val="00FF600B"/>
    <w:rsid w:val="00FF7568"/>
    <w:rsid w:val="00FF75B2"/>
    <w:rsid w:val="02672DC5"/>
    <w:rsid w:val="0268641A"/>
    <w:rsid w:val="02A91D81"/>
    <w:rsid w:val="035C17D8"/>
    <w:rsid w:val="03E80687"/>
    <w:rsid w:val="04324FA6"/>
    <w:rsid w:val="0449381C"/>
    <w:rsid w:val="049B5F71"/>
    <w:rsid w:val="065975F7"/>
    <w:rsid w:val="066F5090"/>
    <w:rsid w:val="070C28DE"/>
    <w:rsid w:val="08184C84"/>
    <w:rsid w:val="086879B8"/>
    <w:rsid w:val="08E27385"/>
    <w:rsid w:val="0AB3379D"/>
    <w:rsid w:val="0AFB351C"/>
    <w:rsid w:val="0B9C2186"/>
    <w:rsid w:val="0BD2059A"/>
    <w:rsid w:val="0C7657FC"/>
    <w:rsid w:val="0CAD120C"/>
    <w:rsid w:val="0D925886"/>
    <w:rsid w:val="0DD32E6A"/>
    <w:rsid w:val="0E2C167F"/>
    <w:rsid w:val="0E612777"/>
    <w:rsid w:val="0EEA5C45"/>
    <w:rsid w:val="0EFE50BE"/>
    <w:rsid w:val="0FF44277"/>
    <w:rsid w:val="101F543C"/>
    <w:rsid w:val="10380F18"/>
    <w:rsid w:val="10BD3FB7"/>
    <w:rsid w:val="112C20AE"/>
    <w:rsid w:val="11AF2B44"/>
    <w:rsid w:val="12687563"/>
    <w:rsid w:val="12801499"/>
    <w:rsid w:val="133943F3"/>
    <w:rsid w:val="1354706E"/>
    <w:rsid w:val="139C728D"/>
    <w:rsid w:val="141A596B"/>
    <w:rsid w:val="145E2C09"/>
    <w:rsid w:val="146D4647"/>
    <w:rsid w:val="14792E94"/>
    <w:rsid w:val="15711D57"/>
    <w:rsid w:val="16176958"/>
    <w:rsid w:val="178E2445"/>
    <w:rsid w:val="1790540B"/>
    <w:rsid w:val="181A010A"/>
    <w:rsid w:val="182868AE"/>
    <w:rsid w:val="193C50BE"/>
    <w:rsid w:val="19A12A34"/>
    <w:rsid w:val="1A897FAD"/>
    <w:rsid w:val="1ABE2417"/>
    <w:rsid w:val="1B46240B"/>
    <w:rsid w:val="1B494EEE"/>
    <w:rsid w:val="1C74587A"/>
    <w:rsid w:val="1C9B5796"/>
    <w:rsid w:val="1CF25159"/>
    <w:rsid w:val="1D293737"/>
    <w:rsid w:val="1D9751A0"/>
    <w:rsid w:val="1DC839D2"/>
    <w:rsid w:val="1DCD0808"/>
    <w:rsid w:val="1E631C70"/>
    <w:rsid w:val="1ECE2E43"/>
    <w:rsid w:val="1ED7021A"/>
    <w:rsid w:val="1F1E5175"/>
    <w:rsid w:val="1FC424E7"/>
    <w:rsid w:val="1FCA1236"/>
    <w:rsid w:val="20E05635"/>
    <w:rsid w:val="215363A9"/>
    <w:rsid w:val="21D0399D"/>
    <w:rsid w:val="22D34A46"/>
    <w:rsid w:val="22F04009"/>
    <w:rsid w:val="24967F5F"/>
    <w:rsid w:val="24C3687B"/>
    <w:rsid w:val="24F05751"/>
    <w:rsid w:val="25A173B5"/>
    <w:rsid w:val="25EB62A3"/>
    <w:rsid w:val="27082C6B"/>
    <w:rsid w:val="27CE57C0"/>
    <w:rsid w:val="29826D04"/>
    <w:rsid w:val="298F4F7D"/>
    <w:rsid w:val="29E20700"/>
    <w:rsid w:val="2A2A2A11"/>
    <w:rsid w:val="2BCB2C78"/>
    <w:rsid w:val="2CDD4252"/>
    <w:rsid w:val="2D10090A"/>
    <w:rsid w:val="2D384CAB"/>
    <w:rsid w:val="2D9D7632"/>
    <w:rsid w:val="2E4C3D89"/>
    <w:rsid w:val="2F2C491F"/>
    <w:rsid w:val="2FA44FAD"/>
    <w:rsid w:val="30187CD3"/>
    <w:rsid w:val="310426F5"/>
    <w:rsid w:val="31E40B1B"/>
    <w:rsid w:val="3249510E"/>
    <w:rsid w:val="32575E08"/>
    <w:rsid w:val="337C5ED3"/>
    <w:rsid w:val="33B977C6"/>
    <w:rsid w:val="33D52FF9"/>
    <w:rsid w:val="34210764"/>
    <w:rsid w:val="345D799C"/>
    <w:rsid w:val="34B57EDA"/>
    <w:rsid w:val="35436864"/>
    <w:rsid w:val="35CF1523"/>
    <w:rsid w:val="36244D7C"/>
    <w:rsid w:val="363B7FB7"/>
    <w:rsid w:val="36E00179"/>
    <w:rsid w:val="36EF7995"/>
    <w:rsid w:val="374101FF"/>
    <w:rsid w:val="379F0A81"/>
    <w:rsid w:val="37BA78D2"/>
    <w:rsid w:val="37BB033F"/>
    <w:rsid w:val="37E34443"/>
    <w:rsid w:val="38055982"/>
    <w:rsid w:val="39335925"/>
    <w:rsid w:val="3976284B"/>
    <w:rsid w:val="39842B83"/>
    <w:rsid w:val="39B206EC"/>
    <w:rsid w:val="39F52FDB"/>
    <w:rsid w:val="3A62302C"/>
    <w:rsid w:val="3B7EADB0"/>
    <w:rsid w:val="3BDD4299"/>
    <w:rsid w:val="3CEC2D93"/>
    <w:rsid w:val="3D1A6CF0"/>
    <w:rsid w:val="3D461016"/>
    <w:rsid w:val="3DF7F3C1"/>
    <w:rsid w:val="3E9A7C51"/>
    <w:rsid w:val="3EDE74C0"/>
    <w:rsid w:val="3EED52FC"/>
    <w:rsid w:val="3EFFA7CF"/>
    <w:rsid w:val="3F3668B4"/>
    <w:rsid w:val="3F642EE1"/>
    <w:rsid w:val="3F854ACF"/>
    <w:rsid w:val="3FFECA8E"/>
    <w:rsid w:val="409D5329"/>
    <w:rsid w:val="40AF61D9"/>
    <w:rsid w:val="413115F2"/>
    <w:rsid w:val="41933414"/>
    <w:rsid w:val="42EA1EA3"/>
    <w:rsid w:val="431C742A"/>
    <w:rsid w:val="43674F39"/>
    <w:rsid w:val="44183734"/>
    <w:rsid w:val="45F17AEC"/>
    <w:rsid w:val="45FE0286"/>
    <w:rsid w:val="46EDD435"/>
    <w:rsid w:val="491D3B63"/>
    <w:rsid w:val="495B4E88"/>
    <w:rsid w:val="49F452AD"/>
    <w:rsid w:val="4ABD44C0"/>
    <w:rsid w:val="4B864036"/>
    <w:rsid w:val="4BC220E1"/>
    <w:rsid w:val="4BFE93A9"/>
    <w:rsid w:val="4BFECD89"/>
    <w:rsid w:val="4BFFBE1B"/>
    <w:rsid w:val="4CE6103A"/>
    <w:rsid w:val="4D387824"/>
    <w:rsid w:val="4F7F6D49"/>
    <w:rsid w:val="4FBF3D48"/>
    <w:rsid w:val="4FD14029"/>
    <w:rsid w:val="50D537D1"/>
    <w:rsid w:val="517B44C9"/>
    <w:rsid w:val="519D3E2C"/>
    <w:rsid w:val="51B65454"/>
    <w:rsid w:val="51B759BF"/>
    <w:rsid w:val="51DC0DF8"/>
    <w:rsid w:val="52DD3ED8"/>
    <w:rsid w:val="533C61DC"/>
    <w:rsid w:val="54C620A2"/>
    <w:rsid w:val="562C041F"/>
    <w:rsid w:val="56FA4F48"/>
    <w:rsid w:val="572628D7"/>
    <w:rsid w:val="57946E6A"/>
    <w:rsid w:val="57A340BF"/>
    <w:rsid w:val="57FD5624"/>
    <w:rsid w:val="58D840C7"/>
    <w:rsid w:val="58F702C5"/>
    <w:rsid w:val="59EC6A15"/>
    <w:rsid w:val="5A0709DC"/>
    <w:rsid w:val="5A0F7768"/>
    <w:rsid w:val="5A3A6BBC"/>
    <w:rsid w:val="5AD57E1E"/>
    <w:rsid w:val="5ADF59FD"/>
    <w:rsid w:val="5BB84477"/>
    <w:rsid w:val="5C2B1411"/>
    <w:rsid w:val="5CCF6554"/>
    <w:rsid w:val="5D37777A"/>
    <w:rsid w:val="5D9D4EA5"/>
    <w:rsid w:val="5DC14B84"/>
    <w:rsid w:val="5EE42A94"/>
    <w:rsid w:val="5F15406E"/>
    <w:rsid w:val="5FD79A07"/>
    <w:rsid w:val="5FDF73AC"/>
    <w:rsid w:val="5FFF50BF"/>
    <w:rsid w:val="60B913FE"/>
    <w:rsid w:val="61721A15"/>
    <w:rsid w:val="61DF5D9B"/>
    <w:rsid w:val="624F06D0"/>
    <w:rsid w:val="62D2656E"/>
    <w:rsid w:val="63387F4E"/>
    <w:rsid w:val="63414F5F"/>
    <w:rsid w:val="637751DE"/>
    <w:rsid w:val="63E37DC4"/>
    <w:rsid w:val="64F20C7A"/>
    <w:rsid w:val="65197815"/>
    <w:rsid w:val="65200BA4"/>
    <w:rsid w:val="65405172"/>
    <w:rsid w:val="655D5954"/>
    <w:rsid w:val="65CE0951"/>
    <w:rsid w:val="65F1567A"/>
    <w:rsid w:val="66067D9A"/>
    <w:rsid w:val="660D737A"/>
    <w:rsid w:val="67A10D18"/>
    <w:rsid w:val="68060525"/>
    <w:rsid w:val="68B04917"/>
    <w:rsid w:val="69BB1ABE"/>
    <w:rsid w:val="69FA19C4"/>
    <w:rsid w:val="6A860F08"/>
    <w:rsid w:val="6AA16698"/>
    <w:rsid w:val="6AF6539C"/>
    <w:rsid w:val="6B2C2C56"/>
    <w:rsid w:val="6B7439F8"/>
    <w:rsid w:val="6BF18349"/>
    <w:rsid w:val="6BF66BEB"/>
    <w:rsid w:val="6CA83959"/>
    <w:rsid w:val="6CBD554D"/>
    <w:rsid w:val="6CD905B3"/>
    <w:rsid w:val="6CE150CC"/>
    <w:rsid w:val="6D7C01D9"/>
    <w:rsid w:val="6DC007EB"/>
    <w:rsid w:val="6E0557A1"/>
    <w:rsid w:val="6FCFED64"/>
    <w:rsid w:val="7048397A"/>
    <w:rsid w:val="70D85AF4"/>
    <w:rsid w:val="71255357"/>
    <w:rsid w:val="71BB5EDC"/>
    <w:rsid w:val="71ED2635"/>
    <w:rsid w:val="72EE3979"/>
    <w:rsid w:val="734E66F3"/>
    <w:rsid w:val="736F3976"/>
    <w:rsid w:val="73EF93A2"/>
    <w:rsid w:val="747831F3"/>
    <w:rsid w:val="753B0219"/>
    <w:rsid w:val="75905F39"/>
    <w:rsid w:val="76B5179D"/>
    <w:rsid w:val="76D02F31"/>
    <w:rsid w:val="7777ED6B"/>
    <w:rsid w:val="77BBBF7E"/>
    <w:rsid w:val="77BF160D"/>
    <w:rsid w:val="77FC5C33"/>
    <w:rsid w:val="77FF60D1"/>
    <w:rsid w:val="79B871A5"/>
    <w:rsid w:val="79BF1D5A"/>
    <w:rsid w:val="7A02040B"/>
    <w:rsid w:val="7AF10BC1"/>
    <w:rsid w:val="7B952FAB"/>
    <w:rsid w:val="7BC72B85"/>
    <w:rsid w:val="7BDA4662"/>
    <w:rsid w:val="7BFA2484"/>
    <w:rsid w:val="7BFF507C"/>
    <w:rsid w:val="7BFF6E4F"/>
    <w:rsid w:val="7D566878"/>
    <w:rsid w:val="7D7D2BE0"/>
    <w:rsid w:val="7DE071AA"/>
    <w:rsid w:val="7E7E4B69"/>
    <w:rsid w:val="7EA21A58"/>
    <w:rsid w:val="7EA3214F"/>
    <w:rsid w:val="7EDD7066"/>
    <w:rsid w:val="7EE2283E"/>
    <w:rsid w:val="7F442FDC"/>
    <w:rsid w:val="7F671C06"/>
    <w:rsid w:val="7F6F2A84"/>
    <w:rsid w:val="7FC87EBA"/>
    <w:rsid w:val="7FCF409A"/>
    <w:rsid w:val="7FD26B01"/>
    <w:rsid w:val="7FDC92BA"/>
    <w:rsid w:val="7FE990D0"/>
    <w:rsid w:val="7FF00E17"/>
    <w:rsid w:val="939D4D30"/>
    <w:rsid w:val="976F9427"/>
    <w:rsid w:val="9F7EDD92"/>
    <w:rsid w:val="9FB9F73C"/>
    <w:rsid w:val="9FDBEEC0"/>
    <w:rsid w:val="AD9D22FB"/>
    <w:rsid w:val="AEBF9FE2"/>
    <w:rsid w:val="B017F75B"/>
    <w:rsid w:val="B7D85BCC"/>
    <w:rsid w:val="BBF59616"/>
    <w:rsid w:val="BDFFF4A9"/>
    <w:rsid w:val="BECCE432"/>
    <w:rsid w:val="BF66AF02"/>
    <w:rsid w:val="BF6D41F3"/>
    <w:rsid w:val="BFF6A38A"/>
    <w:rsid w:val="BFF7DA77"/>
    <w:rsid w:val="C752E0C1"/>
    <w:rsid w:val="CCD7A18A"/>
    <w:rsid w:val="D3A210D0"/>
    <w:rsid w:val="D5EB7113"/>
    <w:rsid w:val="D6DB73C6"/>
    <w:rsid w:val="D7EE3A94"/>
    <w:rsid w:val="D7FB6624"/>
    <w:rsid w:val="DBFF2900"/>
    <w:rsid w:val="DDCE6799"/>
    <w:rsid w:val="DDFF52DE"/>
    <w:rsid w:val="E53AB916"/>
    <w:rsid w:val="E9750CA0"/>
    <w:rsid w:val="EF8BD5F0"/>
    <w:rsid w:val="F53F05C1"/>
    <w:rsid w:val="F7D774A4"/>
    <w:rsid w:val="FB9F0EE8"/>
    <w:rsid w:val="FDF7531E"/>
    <w:rsid w:val="FDF83056"/>
    <w:rsid w:val="FF4B9E40"/>
    <w:rsid w:val="FFFD02BC"/>
    <w:rsid w:val="FFFF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autoRedefine/>
    <w:unhideWhenUsed/>
    <w:qFormat/>
    <w:uiPriority w:val="9"/>
    <w:pPr>
      <w:keepNext/>
      <w:keepLines/>
      <w:numPr>
        <w:ilvl w:val="1"/>
        <w:numId w:val="1"/>
      </w:numPr>
      <w:spacing w:line="360" w:lineRule="auto"/>
      <w:outlineLvl w:val="1"/>
    </w:pPr>
    <w:rPr>
      <w:rFonts w:asciiTheme="majorHAnsi" w:hAnsiTheme="majorHAnsi" w:eastAsiaTheme="majorEastAsia" w:cstheme="majorBidi"/>
      <w:b/>
      <w:bCs/>
      <w:sz w:val="28"/>
      <w:szCs w:val="32"/>
    </w:rPr>
  </w:style>
  <w:style w:type="paragraph" w:styleId="4">
    <w:name w:val="heading 3"/>
    <w:basedOn w:val="1"/>
    <w:next w:val="5"/>
    <w:link w:val="60"/>
    <w:autoRedefine/>
    <w:unhideWhenUsed/>
    <w:qFormat/>
    <w:uiPriority w:val="9"/>
    <w:pPr>
      <w:keepNext/>
      <w:keepLines/>
      <w:numPr>
        <w:ilvl w:val="2"/>
        <w:numId w:val="1"/>
      </w:numPr>
      <w:spacing w:line="360" w:lineRule="auto"/>
      <w:outlineLvl w:val="2"/>
    </w:pPr>
    <w:rPr>
      <w:b/>
      <w:bCs/>
      <w:sz w:val="24"/>
      <w:szCs w:val="32"/>
    </w:rPr>
  </w:style>
  <w:style w:type="paragraph" w:styleId="6">
    <w:name w:val="heading 4"/>
    <w:basedOn w:val="1"/>
    <w:next w:val="1"/>
    <w:link w:val="61"/>
    <w:autoRedefine/>
    <w:qFormat/>
    <w:uiPriority w:val="0"/>
    <w:pPr>
      <w:keepNext/>
      <w:keepLines/>
      <w:numPr>
        <w:ilvl w:val="3"/>
        <w:numId w:val="2"/>
      </w:numPr>
      <w:spacing w:before="280" w:after="290" w:line="374" w:lineRule="auto"/>
      <w:outlineLvl w:val="3"/>
    </w:pPr>
    <w:rPr>
      <w:rFonts w:ascii="Cambria" w:hAnsi="Cambria"/>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56"/>
    <w:autoRedefine/>
    <w:qFormat/>
    <w:uiPriority w:val="0"/>
    <w:pPr>
      <w:ind w:firstLine="420"/>
    </w:pPr>
    <w:rPr>
      <w:rFonts w:ascii="Times New Roman" w:hAnsi="Times New Roman" w:eastAsia="宋体" w:cs="Times New Roman"/>
      <w:szCs w:val="20"/>
    </w:rPr>
  </w:style>
  <w:style w:type="paragraph" w:styleId="7">
    <w:name w:val="annotation text"/>
    <w:basedOn w:val="1"/>
    <w:link w:val="39"/>
    <w:autoRedefine/>
    <w:qFormat/>
    <w:uiPriority w:val="0"/>
    <w:pPr>
      <w:jc w:val="left"/>
    </w:pPr>
    <w:rPr>
      <w:rFonts w:ascii="Times New Roman" w:hAnsi="Times New Roman" w:eastAsia="宋体" w:cs="Times New Roman"/>
      <w:szCs w:val="20"/>
    </w:rPr>
  </w:style>
  <w:style w:type="paragraph" w:styleId="8">
    <w:name w:val="Body Text 3"/>
    <w:basedOn w:val="1"/>
    <w:link w:val="40"/>
    <w:autoRedefine/>
    <w:qFormat/>
    <w:uiPriority w:val="0"/>
    <w:pPr>
      <w:spacing w:after="120"/>
    </w:pPr>
    <w:rPr>
      <w:rFonts w:ascii="Times New Roman" w:hAnsi="Times New Roman" w:eastAsia="宋体" w:cs="Times New Roman"/>
      <w:sz w:val="16"/>
      <w:szCs w:val="16"/>
    </w:rPr>
  </w:style>
  <w:style w:type="paragraph" w:styleId="9">
    <w:name w:val="Body Text"/>
    <w:basedOn w:val="1"/>
    <w:link w:val="43"/>
    <w:autoRedefine/>
    <w:unhideWhenUsed/>
    <w:qFormat/>
    <w:uiPriority w:val="99"/>
    <w:pPr>
      <w:spacing w:after="120"/>
    </w:pPr>
  </w:style>
  <w:style w:type="paragraph" w:styleId="10">
    <w:name w:val="Body Text Indent"/>
    <w:basedOn w:val="1"/>
    <w:link w:val="33"/>
    <w:autoRedefine/>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1">
    <w:name w:val="toc 3"/>
    <w:basedOn w:val="1"/>
    <w:next w:val="1"/>
    <w:autoRedefine/>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2">
    <w:name w:val="Plain Text"/>
    <w:basedOn w:val="1"/>
    <w:link w:val="36"/>
    <w:autoRedefine/>
    <w:qFormat/>
    <w:uiPriority w:val="0"/>
    <w:rPr>
      <w:rFonts w:ascii="宋体" w:hAnsi="Courier New" w:eastAsia="宋体" w:cs="Times New Roman"/>
      <w:szCs w:val="20"/>
    </w:rPr>
  </w:style>
  <w:style w:type="paragraph" w:styleId="13">
    <w:name w:val="Date"/>
    <w:basedOn w:val="1"/>
    <w:next w:val="1"/>
    <w:link w:val="38"/>
    <w:autoRedefine/>
    <w:unhideWhenUsed/>
    <w:qFormat/>
    <w:uiPriority w:val="99"/>
    <w:pPr>
      <w:ind w:left="100" w:leftChars="2500"/>
    </w:pPr>
  </w:style>
  <w:style w:type="paragraph" w:styleId="14">
    <w:name w:val="Balloon Text"/>
    <w:basedOn w:val="1"/>
    <w:link w:val="37"/>
    <w:autoRedefine/>
    <w:unhideWhenUsed/>
    <w:qFormat/>
    <w:uiPriority w:val="99"/>
    <w:rPr>
      <w:sz w:val="18"/>
      <w:szCs w:val="18"/>
    </w:r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18">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7"/>
    <w:next w:val="7"/>
    <w:link w:val="49"/>
    <w:autoRedefine/>
    <w:unhideWhenUsed/>
    <w:qFormat/>
    <w:uiPriority w:val="99"/>
    <w:rPr>
      <w:rFonts w:asciiTheme="minorHAnsi" w:hAnsiTheme="minorHAnsi" w:eastAsiaTheme="minorEastAsia" w:cstheme="minorBidi"/>
      <w:b/>
      <w:bCs/>
      <w:szCs w:val="22"/>
    </w:rPr>
  </w:style>
  <w:style w:type="paragraph" w:styleId="21">
    <w:name w:val="Body Text First Indent 2"/>
    <w:basedOn w:val="1"/>
    <w:next w:val="1"/>
    <w:autoRedefine/>
    <w:qFormat/>
    <w:uiPriority w:val="99"/>
    <w:pPr>
      <w:ind w:firstLine="420" w:firstLineChars="200"/>
    </w:p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5">
    <w:name w:val="Strong"/>
    <w:autoRedefine/>
    <w:qFormat/>
    <w:uiPriority w:val="22"/>
    <w:rPr>
      <w:b/>
      <w:bCs/>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qFormat/>
    <w:uiPriority w:val="0"/>
    <w:rPr>
      <w:sz w:val="21"/>
      <w:szCs w:val="21"/>
    </w:rPr>
  </w:style>
  <w:style w:type="character" w:customStyle="1" w:styleId="28">
    <w:name w:val="标题 1 字符"/>
    <w:basedOn w:val="24"/>
    <w:link w:val="2"/>
    <w:autoRedefine/>
    <w:qFormat/>
    <w:uiPriority w:val="9"/>
    <w:rPr>
      <w:b/>
      <w:bCs/>
      <w:kern w:val="44"/>
      <w:sz w:val="44"/>
      <w:szCs w:val="44"/>
    </w:rPr>
  </w:style>
  <w:style w:type="character" w:customStyle="1" w:styleId="29">
    <w:name w:val="页眉 字符"/>
    <w:basedOn w:val="24"/>
    <w:link w:val="16"/>
    <w:autoRedefine/>
    <w:qFormat/>
    <w:uiPriority w:val="99"/>
    <w:rPr>
      <w:sz w:val="18"/>
      <w:szCs w:val="18"/>
    </w:rPr>
  </w:style>
  <w:style w:type="character" w:customStyle="1" w:styleId="30">
    <w:name w:val="页脚 字符"/>
    <w:basedOn w:val="24"/>
    <w:link w:val="15"/>
    <w:autoRedefine/>
    <w:qFormat/>
    <w:uiPriority w:val="99"/>
    <w:rPr>
      <w:sz w:val="18"/>
      <w:szCs w:val="18"/>
    </w:rPr>
  </w:style>
  <w:style w:type="paragraph" w:customStyle="1" w:styleId="3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2">
    <w:name w:val="列表段落1"/>
    <w:basedOn w:val="1"/>
    <w:link w:val="47"/>
    <w:autoRedefine/>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33">
    <w:name w:val="正文文本缩进 字符"/>
    <w:basedOn w:val="24"/>
    <w:link w:val="10"/>
    <w:autoRedefine/>
    <w:qFormat/>
    <w:uiPriority w:val="0"/>
    <w:rPr>
      <w:rFonts w:ascii="楷体_GB2312" w:hAnsi="Times New Roman" w:eastAsia="楷体_GB2312" w:cs="Times New Roman"/>
      <w:kern w:val="0"/>
      <w:sz w:val="28"/>
      <w:szCs w:val="20"/>
    </w:rPr>
  </w:style>
  <w:style w:type="paragraph" w:customStyle="1" w:styleId="34">
    <w:name w:val="蓝色显示"/>
    <w:basedOn w:val="1"/>
    <w:link w:val="35"/>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35">
    <w:name w:val="蓝色显示 Char"/>
    <w:link w:val="34"/>
    <w:autoRedefine/>
    <w:qFormat/>
    <w:uiPriority w:val="0"/>
    <w:rPr>
      <w:rFonts w:ascii="Times New Roman" w:hAnsi="Times New Roman" w:eastAsia="宋体" w:cs="Times New Roman"/>
      <w:b/>
      <w:color w:val="0070C0"/>
      <w:szCs w:val="24"/>
    </w:rPr>
  </w:style>
  <w:style w:type="character" w:customStyle="1" w:styleId="36">
    <w:name w:val="纯文本 字符"/>
    <w:basedOn w:val="24"/>
    <w:link w:val="12"/>
    <w:autoRedefine/>
    <w:qFormat/>
    <w:uiPriority w:val="0"/>
    <w:rPr>
      <w:rFonts w:ascii="宋体" w:hAnsi="Courier New" w:eastAsia="宋体" w:cs="Times New Roman"/>
      <w:szCs w:val="20"/>
    </w:rPr>
  </w:style>
  <w:style w:type="character" w:customStyle="1" w:styleId="37">
    <w:name w:val="批注框文本 字符"/>
    <w:basedOn w:val="24"/>
    <w:link w:val="14"/>
    <w:autoRedefine/>
    <w:semiHidden/>
    <w:qFormat/>
    <w:uiPriority w:val="99"/>
    <w:rPr>
      <w:sz w:val="18"/>
      <w:szCs w:val="18"/>
    </w:rPr>
  </w:style>
  <w:style w:type="character" w:customStyle="1" w:styleId="38">
    <w:name w:val="日期 字符"/>
    <w:basedOn w:val="24"/>
    <w:link w:val="13"/>
    <w:autoRedefine/>
    <w:semiHidden/>
    <w:qFormat/>
    <w:uiPriority w:val="99"/>
  </w:style>
  <w:style w:type="character" w:customStyle="1" w:styleId="39">
    <w:name w:val="批注文字 字符"/>
    <w:basedOn w:val="24"/>
    <w:link w:val="7"/>
    <w:autoRedefine/>
    <w:qFormat/>
    <w:uiPriority w:val="99"/>
    <w:rPr>
      <w:rFonts w:ascii="Times New Roman" w:hAnsi="Times New Roman" w:eastAsia="宋体" w:cs="Times New Roman"/>
      <w:szCs w:val="20"/>
    </w:rPr>
  </w:style>
  <w:style w:type="character" w:customStyle="1" w:styleId="40">
    <w:name w:val="正文文本 3 字符"/>
    <w:basedOn w:val="24"/>
    <w:link w:val="8"/>
    <w:autoRedefine/>
    <w:qFormat/>
    <w:uiPriority w:val="0"/>
    <w:rPr>
      <w:rFonts w:ascii="Times New Roman" w:hAnsi="Times New Roman" w:eastAsia="宋体" w:cs="Times New Roman"/>
      <w:sz w:val="16"/>
      <w:szCs w:val="16"/>
    </w:rPr>
  </w:style>
  <w:style w:type="paragraph" w:customStyle="1" w:styleId="41">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43">
    <w:name w:val="正文文本 字符"/>
    <w:basedOn w:val="24"/>
    <w:link w:val="9"/>
    <w:autoRedefine/>
    <w:qFormat/>
    <w:uiPriority w:val="99"/>
  </w:style>
  <w:style w:type="paragraph" w:customStyle="1" w:styleId="44">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6">
    <w:name w:val="_Style 20"/>
    <w:basedOn w:val="1"/>
    <w:next w:val="32"/>
    <w:autoRedefine/>
    <w:qFormat/>
    <w:uiPriority w:val="34"/>
    <w:pPr>
      <w:ind w:firstLine="420" w:firstLineChars="200"/>
    </w:pPr>
    <w:rPr>
      <w:rFonts w:ascii="Times New Roman" w:hAnsi="Times New Roman" w:eastAsia="宋体" w:cs="Times New Roman"/>
      <w:szCs w:val="21"/>
    </w:rPr>
  </w:style>
  <w:style w:type="character" w:customStyle="1" w:styleId="47">
    <w:name w:val="列表段落 字符"/>
    <w:link w:val="32"/>
    <w:autoRedefine/>
    <w:qFormat/>
    <w:locked/>
    <w:uiPriority w:val="34"/>
    <w:rPr>
      <w:rFonts w:ascii="Arial Unicode MS" w:hAnsi="Arial Unicode MS" w:eastAsia="Times New Roman" w:cs="Arial Unicode MS"/>
      <w:color w:val="000000"/>
      <w:u w:color="000000"/>
      <w:lang w:eastAsia="en-US"/>
    </w:rPr>
  </w:style>
  <w:style w:type="paragraph" w:customStyle="1" w:styleId="48">
    <w:name w:val="列出段落1"/>
    <w:basedOn w:val="1"/>
    <w:autoRedefine/>
    <w:qFormat/>
    <w:uiPriority w:val="0"/>
    <w:pPr>
      <w:ind w:firstLine="420" w:firstLineChars="200"/>
    </w:pPr>
  </w:style>
  <w:style w:type="character" w:customStyle="1" w:styleId="49">
    <w:name w:val="批注主题 字符"/>
    <w:basedOn w:val="39"/>
    <w:link w:val="20"/>
    <w:autoRedefine/>
    <w:semiHidden/>
    <w:qFormat/>
    <w:uiPriority w:val="99"/>
    <w:rPr>
      <w:rFonts w:ascii="Times New Roman" w:hAnsi="Times New Roman" w:eastAsia="宋体" w:cs="Times New Roman"/>
      <w:b/>
      <w:bCs/>
      <w:kern w:val="2"/>
      <w:sz w:val="21"/>
      <w:szCs w:val="22"/>
    </w:rPr>
  </w:style>
  <w:style w:type="paragraph" w:customStyle="1" w:styleId="50">
    <w:name w:val="彩色列表 - 着色 13"/>
    <w:basedOn w:val="1"/>
    <w:autoRedefine/>
    <w:qFormat/>
    <w:uiPriority w:val="99"/>
    <w:pPr>
      <w:spacing w:line="360" w:lineRule="auto"/>
      <w:ind w:firstLine="420" w:firstLineChars="200"/>
    </w:pPr>
    <w:rPr>
      <w:kern w:val="0"/>
      <w:sz w:val="20"/>
    </w:rPr>
  </w:style>
  <w:style w:type="paragraph" w:customStyle="1" w:styleId="51">
    <w:name w:val="彩色列表 - 着色 12"/>
    <w:basedOn w:val="1"/>
    <w:autoRedefine/>
    <w:qFormat/>
    <w:uiPriority w:val="99"/>
    <w:pPr>
      <w:spacing w:line="360" w:lineRule="auto"/>
      <w:ind w:firstLine="420" w:firstLineChars="200"/>
    </w:pPr>
    <w:rPr>
      <w:kern w:val="0"/>
      <w:sz w:val="20"/>
    </w:rPr>
  </w:style>
  <w:style w:type="character" w:customStyle="1" w:styleId="52">
    <w:name w:val="标题 2 字符"/>
    <w:basedOn w:val="24"/>
    <w:link w:val="3"/>
    <w:autoRedefine/>
    <w:qFormat/>
    <w:uiPriority w:val="9"/>
    <w:rPr>
      <w:rFonts w:asciiTheme="majorHAnsi" w:hAnsiTheme="majorHAnsi" w:eastAsiaTheme="majorEastAsia" w:cstheme="majorBidi"/>
      <w:b/>
      <w:bCs/>
      <w:kern w:val="2"/>
      <w:sz w:val="28"/>
      <w:szCs w:val="32"/>
    </w:rPr>
  </w:style>
  <w:style w:type="paragraph" w:customStyle="1" w:styleId="53">
    <w:name w:val="文档正文"/>
    <w:basedOn w:val="1"/>
    <w:autoRedefine/>
    <w:qFormat/>
    <w:uiPriority w:val="0"/>
    <w:pPr>
      <w:adjustRightInd w:val="0"/>
      <w:spacing w:line="480" w:lineRule="atLeast"/>
      <w:ind w:firstLine="567"/>
      <w:textAlignment w:val="baseline"/>
    </w:pPr>
    <w:rPr>
      <w:rFonts w:ascii="长城仿宋" w:hAnsi="Times New Roman" w:eastAsia="宋体" w:cs="Times New Roman"/>
      <w:kern w:val="0"/>
      <w:szCs w:val="20"/>
    </w:rPr>
  </w:style>
  <w:style w:type="paragraph" w:styleId="54">
    <w:name w:val="List Paragraph"/>
    <w:basedOn w:val="1"/>
    <w:autoRedefine/>
    <w:qFormat/>
    <w:uiPriority w:val="99"/>
    <w:pPr>
      <w:widowControl/>
      <w:ind w:left="720"/>
      <w:contextualSpacing/>
      <w:jc w:val="left"/>
    </w:pPr>
    <w:rPr>
      <w:rFonts w:ascii="Calibri" w:hAnsi="Calibri"/>
      <w:kern w:val="0"/>
      <w:sz w:val="24"/>
      <w:szCs w:val="24"/>
      <w:lang w:eastAsia="en-US" w:bidi="en-US"/>
    </w:rPr>
  </w:style>
  <w:style w:type="character" w:customStyle="1" w:styleId="55">
    <w:name w:val="正文文本首行缩进 2 字符"/>
    <w:autoRedefine/>
    <w:qFormat/>
    <w:uiPriority w:val="0"/>
    <w:rPr>
      <w:rFonts w:hint="default" w:ascii="Calibri" w:hAnsi="Calibri" w:eastAsia="宋体" w:cs="Times New Roman"/>
      <w:kern w:val="2"/>
      <w:sz w:val="21"/>
      <w:szCs w:val="22"/>
    </w:rPr>
  </w:style>
  <w:style w:type="character" w:customStyle="1" w:styleId="56">
    <w:name w:val="正文缩进 字符"/>
    <w:basedOn w:val="24"/>
    <w:link w:val="5"/>
    <w:autoRedefine/>
    <w:qFormat/>
    <w:uiPriority w:val="0"/>
    <w:rPr>
      <w:rFonts w:hint="default" w:ascii="Times New Roman" w:hAnsi="Times New Roman" w:cs="Times New Roman"/>
      <w:kern w:val="2"/>
      <w:sz w:val="21"/>
      <w:szCs w:val="21"/>
    </w:rPr>
  </w:style>
  <w:style w:type="character" w:customStyle="1" w:styleId="57">
    <w:name w:val="ql-font-timesnewroman"/>
    <w:basedOn w:val="24"/>
    <w:autoRedefine/>
    <w:qFormat/>
    <w:uiPriority w:val="0"/>
  </w:style>
  <w:style w:type="paragraph" w:customStyle="1" w:styleId="58">
    <w:name w:val="ql-align-justify"/>
    <w:basedOn w:val="1"/>
    <w:autoRedefine/>
    <w:qFormat/>
    <w:uiPriority w:val="0"/>
    <w:pPr>
      <w:widowControl/>
      <w:spacing w:beforeAutospacing="1" w:afterAutospacing="1"/>
      <w:jc w:val="left"/>
    </w:pPr>
    <w:rPr>
      <w:rFonts w:hint="eastAsia" w:ascii="宋体" w:hAnsi="宋体" w:eastAsia="宋体" w:cs="Times New Roman"/>
      <w:kern w:val="0"/>
      <w:sz w:val="24"/>
      <w:szCs w:val="24"/>
    </w:rPr>
  </w:style>
  <w:style w:type="paragraph" w:customStyle="1" w:styleId="59">
    <w:name w:val="ace-line"/>
    <w:basedOn w:val="1"/>
    <w:autoRedefine/>
    <w:qFormat/>
    <w:uiPriority w:val="0"/>
    <w:pPr>
      <w:widowControl/>
      <w:spacing w:beforeAutospacing="1" w:afterAutospacing="1"/>
      <w:jc w:val="left"/>
    </w:pPr>
    <w:rPr>
      <w:rFonts w:ascii="Times New Roman" w:hAnsi="Times New Roman" w:eastAsia="Times New Roman" w:cs="Times New Roman"/>
      <w:kern w:val="0"/>
      <w:sz w:val="24"/>
      <w:szCs w:val="24"/>
    </w:rPr>
  </w:style>
  <w:style w:type="character" w:customStyle="1" w:styleId="60">
    <w:name w:val="标题 3 字符"/>
    <w:basedOn w:val="24"/>
    <w:link w:val="4"/>
    <w:autoRedefine/>
    <w:qFormat/>
    <w:uiPriority w:val="9"/>
    <w:rPr>
      <w:rFonts w:asciiTheme="minorHAnsi" w:hAnsiTheme="minorHAnsi" w:eastAsiaTheme="minorEastAsia" w:cstheme="minorBidi"/>
      <w:b/>
      <w:bCs/>
      <w:kern w:val="2"/>
      <w:sz w:val="24"/>
      <w:szCs w:val="32"/>
    </w:rPr>
  </w:style>
  <w:style w:type="character" w:customStyle="1" w:styleId="61">
    <w:name w:val="标题 4 字符"/>
    <w:basedOn w:val="24"/>
    <w:link w:val="6"/>
    <w:autoRedefine/>
    <w:qFormat/>
    <w:uiPriority w:val="0"/>
    <w:rPr>
      <w:rFonts w:ascii="Cambria" w:hAnsi="Cambria" w:eastAsiaTheme="minorEastAsia" w:cstheme="minorBidi"/>
      <w:b/>
      <w:bCs/>
      <w:kern w:val="2"/>
      <w:sz w:val="28"/>
      <w:szCs w:val="28"/>
    </w:rPr>
  </w:style>
  <w:style w:type="character" w:customStyle="1" w:styleId="62">
    <w:name w:val="font41"/>
    <w:basedOn w:val="24"/>
    <w:autoRedefine/>
    <w:qFormat/>
    <w:uiPriority w:val="0"/>
    <w:rPr>
      <w:rFonts w:hint="eastAsia" w:ascii="宋体" w:hAnsi="宋体" w:eastAsia="宋体" w:cs="宋体"/>
      <w:color w:val="FF0000"/>
      <w:sz w:val="21"/>
      <w:szCs w:val="21"/>
      <w:u w:val="none"/>
    </w:rPr>
  </w:style>
  <w:style w:type="character" w:customStyle="1" w:styleId="63">
    <w:name w:val="ql-font-songti"/>
    <w:basedOn w:val="24"/>
    <w:autoRedefine/>
    <w:qFormat/>
    <w:uiPriority w:val="0"/>
  </w:style>
  <w:style w:type="table" w:customStyle="1" w:styleId="64">
    <w:name w:val="Table Normal"/>
    <w:autoRedefine/>
    <w:qFormat/>
    <w:uiPriority w:val="0"/>
    <w:rPr>
      <w:rFonts w:eastAsiaTheme="minorEastAsia"/>
    </w:rPr>
    <w:tblPr>
      <w:tblCellMar>
        <w:top w:w="0" w:type="dxa"/>
        <w:left w:w="0" w:type="dxa"/>
        <w:bottom w:w="0" w:type="dxa"/>
        <w:right w:w="0" w:type="dxa"/>
      </w:tblCellMar>
    </w:tblPr>
  </w:style>
  <w:style w:type="paragraph" w:customStyle="1" w:styleId="6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6">
    <w:name w:val="msolistparagraph"/>
    <w:basedOn w:val="1"/>
    <w:autoRedefine/>
    <w:qFormat/>
    <w:uiPriority w:val="0"/>
    <w:pPr>
      <w:widowControl/>
      <w:spacing w:before="60" w:after="60"/>
      <w:ind w:firstLine="420" w:firstLineChars="200"/>
      <w:jc w:val="left"/>
    </w:pPr>
    <w:rPr>
      <w:rFonts w:hint="eastAsia" w:ascii="Arial Unicode MS" w:hAnsi="Arial Unicode MS" w:eastAsia="Times New Roman" w:cs="Times New Roman"/>
      <w:color w:val="000000"/>
      <w:kern w:val="0"/>
      <w:sz w:val="20"/>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6486-5927-4DD5-82E3-D80D08FEAD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3958</Words>
  <Characters>22567</Characters>
  <Lines>188</Lines>
  <Paragraphs>52</Paragraphs>
  <TotalTime>32</TotalTime>
  <ScaleCrop>false</ScaleCrop>
  <LinksUpToDate>false</LinksUpToDate>
  <CharactersWithSpaces>26473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2024-03-11T01:02:00Z</dcterms:created>
  <dc:creator>ibm</dc:creator>
  <cp:lastModifiedBy>招标代理陈沭</cp:lastModifiedBy>
  <cp:lastPrinted>2016-04-15T21:56:00Z</cp:lastPrinted>
  <dcterms:modified xsi:type="dcterms:W3CDTF">2024-04-18T01:16:17Z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mmondata">
    <vt:lpwstr>eyJoZGlkIjoiNTE3ODBhODAwYWZlYmM2Zjk2MjA5ZjdiYTk1Y2U0OTQifQ==</vt:lpwstr>
  </property>
  <property fmtid="{D5CDD505-2E9C-101B-9397-08002B2CF9AE}" pid="4" name="ICV">
    <vt:lpwstr>51C69BB9481D44C9B8011D2A650EDFA3_13</vt:lpwstr>
  </property>
</Properties>
</file>