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930" w:lineRule="exact"/>
        <w:ind w:right="0"/>
        <w:jc w:val="center"/>
        <w:rPr>
          <w:rFonts w:hint="eastAsia" w:ascii="宋体" w:hAnsi="宋体" w:eastAsia="宋体" w:cs="宋体"/>
          <w:b w:val="0"/>
          <w:bCs w:val="0"/>
          <w:sz w:val="75"/>
          <w:highlight w:val="none"/>
        </w:rPr>
      </w:pPr>
      <w:bookmarkStart w:id="29" w:name="_GoBack"/>
      <w:bookmarkEnd w:id="29"/>
    </w:p>
    <w:p>
      <w:pPr>
        <w:spacing w:before="0" w:line="930" w:lineRule="exact"/>
        <w:ind w:right="0"/>
        <w:jc w:val="center"/>
        <w:rPr>
          <w:rFonts w:hint="eastAsia" w:ascii="宋体" w:hAnsi="宋体" w:eastAsia="宋体" w:cs="宋体"/>
          <w:b w:val="0"/>
          <w:bCs w:val="0"/>
          <w:sz w:val="75"/>
          <w:highlight w:val="none"/>
        </w:rPr>
      </w:pPr>
      <w:r>
        <w:rPr>
          <w:rFonts w:hint="eastAsia" w:ascii="宋体" w:hAnsi="宋体" w:eastAsia="宋体" w:cs="宋体"/>
          <w:b w:val="0"/>
          <w:bCs w:val="0"/>
          <w:sz w:val="75"/>
          <w:highlight w:val="none"/>
        </w:rPr>
        <w:t>竞争性磋商文件</w:t>
      </w:r>
    </w:p>
    <w:p>
      <w:pPr>
        <w:spacing w:before="0" w:line="930" w:lineRule="exact"/>
        <w:ind w:right="0"/>
        <w:jc w:val="center"/>
        <w:rPr>
          <w:rFonts w:hint="eastAsia" w:ascii="宋体" w:hAnsi="宋体" w:eastAsia="宋体" w:cs="宋体"/>
          <w:b w:val="0"/>
          <w:bCs w:val="0"/>
          <w:sz w:val="75"/>
          <w:highlight w:val="none"/>
        </w:rPr>
      </w:pPr>
    </w:p>
    <w:p>
      <w:pPr>
        <w:pStyle w:val="23"/>
        <w:rPr>
          <w:rFonts w:hint="eastAsia" w:ascii="宋体" w:hAnsi="宋体" w:eastAsia="宋体" w:cs="宋体"/>
          <w:b w:val="0"/>
          <w:bCs w:val="0"/>
          <w:highlight w:val="none"/>
        </w:rPr>
      </w:pPr>
    </w:p>
    <w:p>
      <w:pPr>
        <w:pStyle w:val="23"/>
        <w:rPr>
          <w:rFonts w:hint="eastAsia" w:ascii="宋体" w:hAnsi="宋体" w:eastAsia="宋体" w:cs="宋体"/>
          <w:b w:val="0"/>
          <w:bCs w:val="0"/>
          <w:highlight w:val="none"/>
          <w:lang w:val="en-US" w:eastAsia="zh-CN"/>
        </w:rPr>
      </w:pPr>
    </w:p>
    <w:p>
      <w:pPr>
        <w:pStyle w:val="23"/>
        <w:spacing w:line="360" w:lineRule="auto"/>
        <w:rPr>
          <w:rFonts w:hint="eastAsia" w:ascii="宋体" w:hAnsi="宋体" w:eastAsia="宋体" w:cs="宋体"/>
          <w:b w:val="0"/>
          <w:bCs w:val="0"/>
          <w:highlight w:val="none"/>
        </w:rPr>
      </w:pPr>
    </w:p>
    <w:p>
      <w:pPr>
        <w:spacing w:before="0" w:line="360" w:lineRule="auto"/>
        <w:ind w:right="0" w:firstLine="1110" w:firstLineChars="300"/>
        <w:jc w:val="both"/>
        <w:rPr>
          <w:rFonts w:hint="eastAsia" w:ascii="宋体" w:hAnsi="宋体" w:eastAsia="宋体" w:cs="宋体"/>
          <w:b w:val="0"/>
          <w:bCs w:val="0"/>
          <w:sz w:val="37"/>
          <w:highlight w:val="none"/>
          <w:lang w:val="en-US" w:eastAsia="zh-CN"/>
        </w:rPr>
      </w:pPr>
      <w:r>
        <w:rPr>
          <w:rFonts w:hint="eastAsia" w:ascii="宋体" w:hAnsi="宋体" w:eastAsia="宋体" w:cs="宋体"/>
          <w:b w:val="0"/>
          <w:bCs w:val="0"/>
          <w:sz w:val="37"/>
          <w:highlight w:val="none"/>
        </w:rPr>
        <w:t>项目编号</w:t>
      </w:r>
      <w:r>
        <w:rPr>
          <w:rFonts w:hint="eastAsia" w:ascii="宋体" w:hAnsi="宋体" w:eastAsia="宋体" w:cs="宋体"/>
          <w:b w:val="0"/>
          <w:bCs w:val="0"/>
          <w:sz w:val="37"/>
          <w:highlight w:val="none"/>
          <w:lang w:val="en-US" w:eastAsia="zh-CN"/>
        </w:rPr>
        <w:t>：QGCZB-2024-04-07</w:t>
      </w:r>
    </w:p>
    <w:p>
      <w:pPr>
        <w:keepNext w:val="0"/>
        <w:keepLines w:val="0"/>
        <w:pageBreakBefore w:val="0"/>
        <w:widowControl w:val="0"/>
        <w:kinsoku/>
        <w:wordWrap/>
        <w:overflowPunct/>
        <w:topLinePunct w:val="0"/>
        <w:autoSpaceDE w:val="0"/>
        <w:autoSpaceDN w:val="0"/>
        <w:bidi w:val="0"/>
        <w:adjustRightInd/>
        <w:snapToGrid/>
        <w:spacing w:before="306" w:line="360" w:lineRule="auto"/>
        <w:ind w:left="2220" w:right="0" w:hanging="2220" w:hangingChars="600"/>
        <w:jc w:val="center"/>
        <w:textAlignment w:val="auto"/>
        <w:rPr>
          <w:rFonts w:hint="eastAsia" w:ascii="宋体" w:hAnsi="宋体" w:eastAsia="宋体" w:cs="宋体"/>
          <w:b w:val="0"/>
          <w:bCs w:val="0"/>
          <w:sz w:val="37"/>
          <w:highlight w:val="none"/>
          <w:lang w:val="en-US" w:eastAsia="zh-CN"/>
        </w:rPr>
      </w:pPr>
      <w:r>
        <w:rPr>
          <w:rFonts w:hint="eastAsia" w:ascii="宋体" w:hAnsi="宋体" w:eastAsia="宋体" w:cs="宋体"/>
          <w:b w:val="0"/>
          <w:bCs w:val="0"/>
          <w:sz w:val="37"/>
          <w:highlight w:val="none"/>
          <w:lang w:val="en-US" w:eastAsia="zh-CN"/>
        </w:rPr>
        <w:t xml:space="preserve"> </w:t>
      </w:r>
      <w:r>
        <w:rPr>
          <w:rFonts w:hint="eastAsia" w:ascii="宋体" w:hAnsi="宋体" w:eastAsia="宋体" w:cs="宋体"/>
          <w:b w:val="0"/>
          <w:bCs w:val="0"/>
          <w:sz w:val="37"/>
          <w:highlight w:val="none"/>
        </w:rPr>
        <w:t>项目名称：</w:t>
      </w:r>
      <w:r>
        <w:rPr>
          <w:rFonts w:hint="eastAsia" w:ascii="宋体" w:hAnsi="宋体" w:eastAsia="宋体" w:cs="宋体"/>
          <w:b w:val="0"/>
          <w:bCs w:val="0"/>
          <w:sz w:val="37"/>
          <w:highlight w:val="none"/>
          <w:lang w:val="en-US" w:eastAsia="zh-CN"/>
        </w:rPr>
        <w:t>南京市秦淮区红花社区卫生服务中心</w:t>
      </w:r>
    </w:p>
    <w:p>
      <w:pPr>
        <w:keepNext w:val="0"/>
        <w:keepLines w:val="0"/>
        <w:pageBreakBefore w:val="0"/>
        <w:widowControl w:val="0"/>
        <w:kinsoku/>
        <w:wordWrap/>
        <w:overflowPunct/>
        <w:topLinePunct w:val="0"/>
        <w:autoSpaceDE w:val="0"/>
        <w:autoSpaceDN w:val="0"/>
        <w:bidi w:val="0"/>
        <w:adjustRightInd/>
        <w:snapToGrid/>
        <w:spacing w:before="306" w:line="360" w:lineRule="auto"/>
        <w:ind w:right="0" w:firstLine="2960" w:firstLineChars="800"/>
        <w:jc w:val="both"/>
        <w:textAlignment w:val="auto"/>
        <w:rPr>
          <w:rFonts w:hint="default" w:ascii="宋体" w:hAnsi="宋体" w:eastAsia="宋体" w:cs="宋体"/>
          <w:b w:val="0"/>
          <w:bCs w:val="0"/>
          <w:sz w:val="37"/>
          <w:highlight w:val="none"/>
          <w:lang w:val="en-US" w:eastAsia="zh-CN"/>
        </w:rPr>
      </w:pPr>
      <w:r>
        <w:rPr>
          <w:rFonts w:hint="eastAsia" w:ascii="宋体" w:hAnsi="宋体" w:eastAsia="宋体" w:cs="宋体"/>
          <w:b w:val="0"/>
          <w:bCs w:val="0"/>
          <w:sz w:val="37"/>
          <w:highlight w:val="none"/>
          <w:lang w:val="en-US" w:eastAsia="zh-CN"/>
        </w:rPr>
        <w:t>物业服务项目</w:t>
      </w:r>
    </w:p>
    <w:p>
      <w:pPr>
        <w:spacing w:before="306" w:line="360" w:lineRule="auto"/>
        <w:ind w:right="1469" w:firstLine="1110" w:firstLineChars="300"/>
        <w:jc w:val="both"/>
        <w:rPr>
          <w:rFonts w:hint="eastAsia" w:ascii="宋体" w:hAnsi="宋体" w:eastAsia="宋体" w:cs="宋体"/>
          <w:b w:val="0"/>
          <w:bCs w:val="0"/>
          <w:sz w:val="37"/>
          <w:highlight w:val="none"/>
        </w:rPr>
      </w:pPr>
      <w:r>
        <w:rPr>
          <w:rFonts w:hint="eastAsia" w:ascii="宋体" w:hAnsi="宋体" w:eastAsia="宋体" w:cs="宋体"/>
          <w:b w:val="0"/>
          <w:bCs w:val="0"/>
          <w:sz w:val="37"/>
          <w:highlight w:val="none"/>
        </w:rPr>
        <w:t>项目类别：</w:t>
      </w:r>
      <w:r>
        <w:rPr>
          <w:rFonts w:hint="eastAsia" w:ascii="宋体" w:hAnsi="宋体" w:eastAsia="宋体" w:cs="宋体"/>
          <w:b w:val="0"/>
          <w:bCs w:val="0"/>
          <w:sz w:val="37"/>
          <w:highlight w:val="none"/>
          <w:lang w:val="en-US" w:eastAsia="zh-CN"/>
        </w:rPr>
        <w:t>服务</w:t>
      </w:r>
      <w:r>
        <w:rPr>
          <w:rFonts w:hint="eastAsia" w:ascii="宋体" w:hAnsi="宋体" w:eastAsia="宋体" w:cs="宋体"/>
          <w:b w:val="0"/>
          <w:bCs w:val="0"/>
          <w:sz w:val="37"/>
          <w:highlight w:val="none"/>
        </w:rPr>
        <w:t>类</w:t>
      </w:r>
    </w:p>
    <w:p>
      <w:pPr>
        <w:keepNext w:val="0"/>
        <w:keepLines w:val="0"/>
        <w:pageBreakBefore w:val="0"/>
        <w:widowControl w:val="0"/>
        <w:kinsoku/>
        <w:wordWrap/>
        <w:overflowPunct/>
        <w:topLinePunct w:val="0"/>
        <w:autoSpaceDE w:val="0"/>
        <w:autoSpaceDN w:val="0"/>
        <w:bidi w:val="0"/>
        <w:adjustRightInd/>
        <w:snapToGrid/>
        <w:spacing w:before="306" w:line="360" w:lineRule="auto"/>
        <w:ind w:right="0"/>
        <w:jc w:val="center"/>
        <w:textAlignment w:val="auto"/>
        <w:rPr>
          <w:rFonts w:hint="eastAsia" w:ascii="宋体" w:hAnsi="宋体" w:eastAsia="宋体" w:cs="宋体"/>
          <w:b w:val="0"/>
          <w:bCs w:val="0"/>
          <w:sz w:val="37"/>
          <w:highlight w:val="none"/>
          <w:lang w:val="en-US" w:eastAsia="zh-CN"/>
        </w:rPr>
      </w:pPr>
      <w:r>
        <w:rPr>
          <w:rFonts w:hint="eastAsia" w:ascii="宋体" w:hAnsi="宋体" w:eastAsia="宋体" w:cs="宋体"/>
          <w:b w:val="0"/>
          <w:bCs w:val="0"/>
          <w:sz w:val="37"/>
          <w:highlight w:val="none"/>
        </w:rPr>
        <w:t>采购人：</w:t>
      </w:r>
      <w:r>
        <w:rPr>
          <w:rFonts w:hint="eastAsia" w:ascii="宋体" w:hAnsi="宋体" w:eastAsia="宋体" w:cs="宋体"/>
          <w:b w:val="0"/>
          <w:bCs w:val="0"/>
          <w:sz w:val="37"/>
          <w:highlight w:val="none"/>
          <w:lang w:eastAsia="zh-CN"/>
        </w:rPr>
        <w:t>南京市秦淮区红花社区卫生服务中心</w:t>
      </w:r>
    </w:p>
    <w:p>
      <w:pPr>
        <w:keepNext w:val="0"/>
        <w:keepLines w:val="0"/>
        <w:pageBreakBefore w:val="0"/>
        <w:widowControl w:val="0"/>
        <w:kinsoku/>
        <w:wordWrap/>
        <w:overflowPunct/>
        <w:topLinePunct w:val="0"/>
        <w:autoSpaceDE w:val="0"/>
        <w:autoSpaceDN w:val="0"/>
        <w:bidi w:val="0"/>
        <w:adjustRightInd/>
        <w:snapToGrid/>
        <w:spacing w:before="306" w:line="360" w:lineRule="auto"/>
        <w:ind w:right="0" w:firstLine="1110" w:firstLineChars="300"/>
        <w:jc w:val="both"/>
        <w:textAlignment w:val="auto"/>
        <w:rPr>
          <w:rFonts w:hint="eastAsia" w:ascii="宋体" w:hAnsi="宋体" w:eastAsia="宋体" w:cs="宋体"/>
          <w:b w:val="0"/>
          <w:bCs w:val="0"/>
          <w:sz w:val="37"/>
          <w:highlight w:val="none"/>
          <w:lang w:val="en-US" w:eastAsia="zh-CN"/>
        </w:rPr>
      </w:pPr>
      <w:r>
        <w:rPr>
          <w:rFonts w:hint="eastAsia" w:ascii="宋体" w:hAnsi="宋体" w:eastAsia="宋体" w:cs="宋体"/>
          <w:b w:val="0"/>
          <w:bCs w:val="0"/>
          <w:sz w:val="37"/>
          <w:highlight w:val="none"/>
        </w:rPr>
        <w:t>代理机构：</w:t>
      </w:r>
      <w:r>
        <w:rPr>
          <w:rFonts w:hint="eastAsia" w:ascii="宋体" w:hAnsi="宋体" w:eastAsia="宋体" w:cs="宋体"/>
          <w:b w:val="0"/>
          <w:bCs w:val="0"/>
          <w:sz w:val="37"/>
          <w:highlight w:val="none"/>
          <w:lang w:eastAsia="zh-CN"/>
        </w:rPr>
        <w:t>江苏全过程项目管理有限公司</w:t>
      </w:r>
    </w:p>
    <w:p>
      <w:pPr>
        <w:keepNext w:val="0"/>
        <w:keepLines w:val="0"/>
        <w:pageBreakBefore w:val="0"/>
        <w:widowControl w:val="0"/>
        <w:kinsoku/>
        <w:wordWrap/>
        <w:overflowPunct/>
        <w:topLinePunct w:val="0"/>
        <w:autoSpaceDE w:val="0"/>
        <w:autoSpaceDN w:val="0"/>
        <w:bidi w:val="0"/>
        <w:adjustRightInd/>
        <w:snapToGrid/>
        <w:spacing w:before="306" w:line="360" w:lineRule="auto"/>
        <w:ind w:right="0" w:firstLine="1110" w:firstLineChars="300"/>
        <w:jc w:val="both"/>
        <w:textAlignment w:val="auto"/>
        <w:rPr>
          <w:rFonts w:hint="eastAsia" w:ascii="宋体" w:hAnsi="宋体" w:eastAsia="宋体" w:cs="宋体"/>
          <w:b w:val="0"/>
          <w:bCs w:val="0"/>
          <w:sz w:val="37"/>
          <w:highlight w:val="none"/>
          <w:lang w:val="en-US" w:eastAsia="zh-CN"/>
        </w:rPr>
        <w:sectPr>
          <w:headerReference r:id="rId3" w:type="default"/>
          <w:footerReference r:id="rId4" w:type="default"/>
          <w:footnotePr>
            <w:numFmt w:val="decimal"/>
          </w:footnotePr>
          <w:pgSz w:w="11906" w:h="16838"/>
          <w:pgMar w:top="1440" w:right="1080" w:bottom="1440" w:left="1080" w:header="851" w:footer="141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b w:val="0"/>
          <w:bCs w:val="0"/>
          <w:sz w:val="37"/>
          <w:highlight w:val="none"/>
        </w:rPr>
        <w:t>日期：202</w:t>
      </w:r>
      <w:r>
        <w:rPr>
          <w:rFonts w:hint="eastAsia" w:ascii="宋体" w:hAnsi="宋体" w:eastAsia="宋体" w:cs="宋体"/>
          <w:b w:val="0"/>
          <w:bCs w:val="0"/>
          <w:sz w:val="37"/>
          <w:highlight w:val="none"/>
          <w:lang w:val="en-US" w:eastAsia="zh-CN"/>
        </w:rPr>
        <w:t>4</w:t>
      </w:r>
      <w:r>
        <w:rPr>
          <w:rFonts w:hint="eastAsia" w:ascii="宋体" w:hAnsi="宋体" w:eastAsia="宋体" w:cs="宋体"/>
          <w:b w:val="0"/>
          <w:bCs w:val="0"/>
          <w:sz w:val="37"/>
          <w:highlight w:val="none"/>
        </w:rPr>
        <w:t>年</w:t>
      </w:r>
      <w:r>
        <w:rPr>
          <w:rFonts w:hint="eastAsia" w:ascii="宋体" w:hAnsi="宋体" w:eastAsia="宋体" w:cs="宋体"/>
          <w:b w:val="0"/>
          <w:bCs w:val="0"/>
          <w:sz w:val="37"/>
          <w:highlight w:val="none"/>
          <w:lang w:val="en-US" w:eastAsia="zh-CN"/>
        </w:rPr>
        <w:t>04</w:t>
      </w:r>
      <w:r>
        <w:rPr>
          <w:rFonts w:hint="eastAsia" w:ascii="宋体" w:hAnsi="宋体" w:eastAsia="宋体" w:cs="宋体"/>
          <w:b w:val="0"/>
          <w:bCs w:val="0"/>
          <w:sz w:val="37"/>
          <w:highlight w:val="none"/>
        </w:rPr>
        <w:t>月</w:t>
      </w:r>
      <w:r>
        <w:rPr>
          <w:rFonts w:hint="eastAsia" w:ascii="宋体" w:hAnsi="宋体" w:eastAsia="宋体" w:cs="宋体"/>
          <w:b w:val="0"/>
          <w:bCs w:val="0"/>
          <w:sz w:val="37"/>
          <w:highlight w:val="none"/>
          <w:lang w:val="en-US" w:eastAsia="zh-CN"/>
        </w:rPr>
        <w:t>07</w:t>
      </w:r>
      <w:r>
        <w:rPr>
          <w:rFonts w:hint="eastAsia" w:ascii="宋体" w:hAnsi="宋体" w:eastAsia="宋体" w:cs="宋体"/>
          <w:b w:val="0"/>
          <w:bCs w:val="0"/>
          <w:sz w:val="37"/>
          <w:highlight w:val="none"/>
        </w:rPr>
        <w:t>日</w:t>
      </w:r>
    </w:p>
    <w:p>
      <w:pPr>
        <w:pStyle w:val="3"/>
        <w:bidi w:val="0"/>
        <w:rPr>
          <w:rFonts w:hint="eastAsia" w:ascii="宋体" w:hAnsi="宋体" w:eastAsia="宋体" w:cs="宋体"/>
          <w:b/>
          <w:bCs/>
          <w:sz w:val="24"/>
          <w:szCs w:val="24"/>
          <w:highlight w:val="none"/>
          <w:lang w:eastAsia="zh-CN"/>
        </w:rPr>
      </w:pPr>
      <w:r>
        <w:rPr>
          <w:rFonts w:hint="eastAsia" w:ascii="宋体" w:hAnsi="宋体" w:eastAsia="宋体" w:cs="宋体"/>
          <w:b/>
          <w:bCs/>
          <w:highlight w:val="none"/>
          <w:lang w:eastAsia="zh-CN"/>
        </w:rPr>
        <w:t>第</w:t>
      </w:r>
      <w:r>
        <w:rPr>
          <w:rFonts w:hint="eastAsia" w:ascii="宋体" w:hAnsi="宋体" w:eastAsia="宋体" w:cs="宋体"/>
          <w:b/>
          <w:bCs/>
          <w:highlight w:val="none"/>
          <w:lang w:val="en-US" w:eastAsia="zh-CN"/>
        </w:rPr>
        <w:t>一</w:t>
      </w:r>
      <w:r>
        <w:rPr>
          <w:rFonts w:hint="eastAsia" w:ascii="宋体" w:hAnsi="宋体" w:eastAsia="宋体" w:cs="宋体"/>
          <w:b/>
          <w:bCs/>
          <w:highlight w:val="none"/>
          <w:lang w:eastAsia="zh-CN"/>
        </w:rPr>
        <w:t>章磋商邀请公告</w:t>
      </w:r>
    </w:p>
    <w:p>
      <w:pPr>
        <w:bidi w:val="0"/>
        <w:spacing w:line="360" w:lineRule="auto"/>
        <w:ind w:firstLine="480" w:firstLineChars="200"/>
        <w:rPr>
          <w:rFonts w:hint="eastAsia" w:ascii="宋体" w:hAnsi="宋体" w:eastAsia="宋体" w:cs="宋体"/>
          <w:sz w:val="24"/>
          <w:szCs w:val="24"/>
          <w:highlight w:val="none"/>
          <w:u w:val="none"/>
          <w:lang w:eastAsia="zh-CN"/>
        </w:rPr>
      </w:pPr>
      <w:bookmarkStart w:id="0" w:name="_Toc28359012"/>
      <w:bookmarkStart w:id="1" w:name="_Toc35393798"/>
      <w:bookmarkStart w:id="2" w:name="_Toc28359089"/>
      <w:bookmarkStart w:id="3" w:name="_Toc35393629"/>
      <w:r>
        <w:rPr>
          <w:rFonts w:hint="eastAsia" w:ascii="宋体" w:hAnsi="宋体" w:eastAsia="宋体" w:cs="宋体"/>
          <w:sz w:val="24"/>
          <w:szCs w:val="24"/>
          <w:highlight w:val="none"/>
          <w:u w:val="single"/>
          <w:lang w:eastAsia="zh-CN"/>
        </w:rPr>
        <w:t>江苏全过程项目管理有限公司</w:t>
      </w:r>
      <w:r>
        <w:rPr>
          <w:rFonts w:hint="eastAsia" w:ascii="宋体" w:hAnsi="宋体" w:eastAsia="宋体" w:cs="宋体"/>
          <w:sz w:val="24"/>
          <w:szCs w:val="24"/>
          <w:highlight w:val="none"/>
          <w:u w:val="none"/>
          <w:lang w:eastAsia="zh-CN"/>
        </w:rPr>
        <w:t>（以下简称“代理机构”）受</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南京市秦淮区红花社区卫生服务中心</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none"/>
          <w:lang w:eastAsia="zh-CN"/>
        </w:rPr>
        <w:t>(单位名称，以下简称“采购人”）委托，就</w:t>
      </w:r>
      <w:r>
        <w:rPr>
          <w:rFonts w:hint="eastAsia" w:ascii="宋体" w:hAnsi="宋体" w:eastAsia="宋体" w:cs="宋体"/>
          <w:sz w:val="24"/>
          <w:szCs w:val="24"/>
          <w:highlight w:val="none"/>
          <w:u w:val="single"/>
          <w:lang w:eastAsia="zh-CN"/>
        </w:rPr>
        <w:t>（南京市秦淮区红花社区卫生服务中心物业服务项目）</w:t>
      </w:r>
      <w:r>
        <w:rPr>
          <w:rFonts w:hint="eastAsia" w:ascii="宋体" w:hAnsi="宋体" w:eastAsia="宋体" w:cs="宋体"/>
          <w:sz w:val="24"/>
          <w:szCs w:val="24"/>
          <w:highlight w:val="none"/>
          <w:u w:val="none"/>
          <w:lang w:eastAsia="zh-CN"/>
        </w:rPr>
        <w:t>（项目名称）进行竞争性磋商采购，兹邀请符合资格条件的供应商投标。</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0"/>
      <w:bookmarkEnd w:id="1"/>
      <w:bookmarkEnd w:id="2"/>
      <w:bookmarkEnd w:id="3"/>
    </w:p>
    <w:p>
      <w:pPr>
        <w:spacing w:before="0"/>
        <w:ind w:right="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QGCZB-2024-04-07</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南京市秦淮区红花社区卫生服务中心物业服务项目</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采购方式：竞争性磋商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19万元</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lang w:val="en-US" w:eastAsia="zh-CN"/>
        </w:rPr>
        <w:t>万元，</w:t>
      </w:r>
      <w:r>
        <w:rPr>
          <w:rFonts w:hint="eastAsia" w:ascii="宋体" w:hAnsi="宋体" w:eastAsia="宋体" w:cs="宋体"/>
          <w:sz w:val="24"/>
          <w:highlight w:val="none"/>
        </w:rPr>
        <w:t>高于最高限价的作无效标处理。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val="en-US" w:eastAsia="zh-CN"/>
        </w:rPr>
        <w:t>本项目为</w:t>
      </w:r>
      <w:r>
        <w:rPr>
          <w:rFonts w:hint="eastAsia" w:ascii="宋体" w:hAnsi="宋体" w:eastAsia="宋体" w:cs="宋体"/>
          <w:sz w:val="24"/>
          <w:szCs w:val="24"/>
          <w:highlight w:val="none"/>
          <w:lang w:val="en-US" w:eastAsia="zh-CN"/>
        </w:rPr>
        <w:t>南京市秦淮区红花社区卫生服务中心物业服务项目，具体详见采购需求。</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期限：</w:t>
      </w:r>
      <w:r>
        <w:rPr>
          <w:rFonts w:hint="eastAsia" w:ascii="宋体" w:hAnsi="宋体" w:eastAsia="宋体" w:cs="宋体"/>
          <w:sz w:val="24"/>
          <w:szCs w:val="24"/>
          <w:highlight w:val="none"/>
          <w:lang w:val="en-US" w:eastAsia="zh-CN"/>
        </w:rPr>
        <w:t>2年，</w:t>
      </w:r>
      <w:r>
        <w:rPr>
          <w:rFonts w:hint="eastAsia" w:ascii="宋体" w:hAnsi="宋体" w:eastAsia="宋体" w:cs="宋体"/>
          <w:sz w:val="24"/>
          <w:szCs w:val="24"/>
          <w:highlight w:val="none"/>
          <w:lang w:val="en-US" w:eastAsia="zh-CN"/>
        </w:rPr>
        <w:t xml:space="preserve">具体时间以合同签订为准。 </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集中现场考察或答疑：采购人不组织。采购人不组织现场勘察或答疑，但投标供应商须对项目现场进行踏勘，相关费用由投标供应商自行承担。投标供应商在报价时应充分考虑现场实际情况，采购人不负担因投标供应商对项目现场情况考虑不周而产生的其他任何费用。</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本项目不接受联合体</w:t>
      </w:r>
      <w:r>
        <w:rPr>
          <w:rFonts w:hint="eastAsia" w:ascii="宋体" w:hAnsi="宋体" w:eastAsia="宋体" w:cs="宋体"/>
          <w:b/>
          <w:bCs/>
          <w:sz w:val="24"/>
          <w:szCs w:val="24"/>
          <w:highlight w:val="none"/>
          <w:lang w:val="en-US" w:eastAsia="zh-CN"/>
        </w:rPr>
        <w:t>投标</w:t>
      </w:r>
      <w:r>
        <w:rPr>
          <w:rFonts w:hint="eastAsia" w:ascii="宋体" w:hAnsi="宋体" w:eastAsia="宋体" w:cs="宋体"/>
          <w:b/>
          <w:bCs/>
          <w:sz w:val="24"/>
          <w:szCs w:val="24"/>
          <w:highlight w:val="none"/>
        </w:rPr>
        <w:t>。</w:t>
      </w:r>
    </w:p>
    <w:p>
      <w:pPr>
        <w:bidi w:val="0"/>
        <w:spacing w:line="360" w:lineRule="auto"/>
        <w:rPr>
          <w:rFonts w:hint="eastAsia" w:ascii="宋体" w:hAnsi="宋体" w:eastAsia="宋体" w:cs="宋体"/>
          <w:sz w:val="24"/>
          <w:szCs w:val="24"/>
          <w:highlight w:val="none"/>
        </w:rPr>
      </w:pPr>
      <w:bookmarkStart w:id="4" w:name="_Toc28359090"/>
      <w:bookmarkStart w:id="5" w:name="_Toc35393630"/>
      <w:bookmarkStart w:id="6" w:name="_Toc28359013"/>
      <w:bookmarkStart w:id="7" w:name="_Toc35393799"/>
      <w:r>
        <w:rPr>
          <w:rFonts w:hint="eastAsia" w:ascii="宋体" w:hAnsi="宋体" w:eastAsia="宋体" w:cs="宋体"/>
          <w:sz w:val="24"/>
          <w:szCs w:val="24"/>
          <w:highlight w:val="none"/>
        </w:rPr>
        <w:t>二、申请人的资格要求：</w:t>
      </w:r>
      <w:bookmarkEnd w:id="4"/>
      <w:bookmarkEnd w:id="5"/>
      <w:bookmarkEnd w:id="6"/>
      <w:bookmarkEnd w:id="7"/>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1、满足《中华人民共和国政府采购法》第二十二条的相关规定，</w:t>
      </w:r>
      <w:r>
        <w:rPr>
          <w:rFonts w:hint="eastAsia" w:ascii="宋体" w:hAnsi="宋体" w:eastAsia="宋体" w:cs="宋体"/>
          <w:b/>
          <w:bCs/>
          <w:sz w:val="24"/>
          <w:szCs w:val="24"/>
          <w:highlight w:val="none"/>
        </w:rPr>
        <w:t>投标人提供《南京市政府采购供应商信用记录表暨信用承诺书》（格式详见投标文件模板）</w:t>
      </w:r>
      <w:r>
        <w:rPr>
          <w:rFonts w:hint="eastAsia" w:ascii="宋体" w:hAnsi="宋体" w:eastAsia="宋体" w:cs="宋体"/>
          <w:sz w:val="24"/>
          <w:szCs w:val="24"/>
          <w:highlight w:val="none"/>
        </w:rPr>
        <w:t>。</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1.1具有独立承担民事责任的能力；</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1.2具有良好的商业信誉和健全的财务会计制度；</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1.3具有履行合同所必需的设备和专业技术能力；</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1.4有依法缴纳税收和社会保障资金的良好记录；</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1.5参加政府采购活动前三年内，在经营活动中没有重大违法记录；</w:t>
      </w:r>
    </w:p>
    <w:p>
      <w:pPr>
        <w:bidi w:val="0"/>
        <w:spacing w:line="360" w:lineRule="auto"/>
        <w:rPr>
          <w:rFonts w:hint="eastAsia" w:ascii="宋体" w:hAnsi="宋体" w:eastAsia="宋体" w:cs="宋体"/>
          <w:highlight w:val="none"/>
        </w:rPr>
      </w:pPr>
      <w:r>
        <w:rPr>
          <w:rFonts w:hint="eastAsia" w:ascii="宋体" w:hAnsi="宋体" w:eastAsia="宋体" w:cs="宋体"/>
          <w:sz w:val="24"/>
          <w:szCs w:val="24"/>
          <w:highlight w:val="none"/>
        </w:rPr>
        <w:t>1.6法律、行政法规规定的其他条件：无。</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其中不适用信用承诺的情形：</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（一）供应商被列入严重失信主体名单；</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）被相关监督部门作出行政处罚且尚处在处罚有效期内；</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）其他法律、行政法规规定的不适用信用承诺的情形。</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供应商在中标（成交）后，应按磋商文件要求，将上述由信用承诺书替代的证明材料</w:t>
      </w:r>
      <w:r>
        <w:rPr>
          <w:rFonts w:hint="eastAsia" w:ascii="宋体" w:hAnsi="宋体" w:eastAsia="宋体" w:cs="宋体"/>
          <w:b/>
          <w:bCs/>
          <w:sz w:val="24"/>
          <w:szCs w:val="24"/>
          <w:highlight w:val="none"/>
          <w:lang w:eastAsia="zh-CN"/>
        </w:rPr>
        <w:t>（一式三份）</w:t>
      </w:r>
      <w:r>
        <w:rPr>
          <w:rFonts w:hint="eastAsia" w:ascii="宋体" w:hAnsi="宋体" w:eastAsia="宋体" w:cs="宋体"/>
          <w:b/>
          <w:bCs/>
          <w:sz w:val="24"/>
          <w:szCs w:val="24"/>
          <w:highlight w:val="none"/>
        </w:rPr>
        <w:t>提交采购人或采购代理机构核验。经核验无误后，由采购代理机构发出中标（成交）通知书。</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供应商须对信用承诺内容的真实性、合法性、有效性负责，如作出虚假信用承诺，视同为“提供虚假材料谋取中标、成交”的违法行为。</w:t>
      </w:r>
    </w:p>
    <w:p>
      <w:pPr>
        <w:numPr>
          <w:ilvl w:val="0"/>
          <w:numId w:val="1"/>
        </w:num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落实政府采购政策需满足的资格要求：</w:t>
      </w:r>
      <w:bookmarkStart w:id="8" w:name="_Toc35393631"/>
      <w:bookmarkStart w:id="9" w:name="_Toc35393800"/>
      <w:r>
        <w:rPr>
          <w:rFonts w:hint="eastAsia" w:ascii="宋体" w:hAnsi="宋体" w:eastAsia="宋体" w:cs="宋体"/>
          <w:b/>
          <w:bCs/>
          <w:sz w:val="24"/>
          <w:szCs w:val="24"/>
          <w:highlight w:val="none"/>
          <w:lang w:val="en-US" w:eastAsia="zh-CN"/>
        </w:rPr>
        <w:t>本项目若符合扶持福利企业、促进残疾人就业、支持中小微企业、支持监狱和戒毒企业等政策，将落实相关政策。</w:t>
      </w:r>
    </w:p>
    <w:p>
      <w:pPr>
        <w:numPr>
          <w:ilvl w:val="0"/>
          <w:numId w:val="0"/>
        </w:num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3.本项目的特定资格要求：</w:t>
      </w:r>
      <w:r>
        <w:rPr>
          <w:rFonts w:hint="eastAsia" w:ascii="宋体" w:hAnsi="宋体" w:eastAsia="宋体" w:cs="宋体"/>
          <w:sz w:val="24"/>
          <w:szCs w:val="24"/>
          <w:highlight w:val="none"/>
          <w:lang w:val="en-US" w:eastAsia="zh-CN"/>
        </w:rPr>
        <w:t>无。</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8"/>
      <w:bookmarkEnd w:id="9"/>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2024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日，每天上午9时00分至11时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0分，下午1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时00分至17时</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0分（北京时间，法定节假日除外）。</w:t>
      </w:r>
    </w:p>
    <w:p>
      <w:pPr>
        <w:pageBreakBefore w:val="0"/>
        <w:widowControl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2、地点：</w:t>
      </w:r>
      <w:r>
        <w:rPr>
          <w:rFonts w:hint="eastAsia" w:ascii="宋体" w:hAnsi="宋体" w:eastAsia="宋体" w:cs="宋体"/>
          <w:sz w:val="24"/>
          <w:szCs w:val="24"/>
          <w:highlight w:val="none"/>
          <w:lang w:eastAsia="zh-CN"/>
        </w:rPr>
        <w:t>南京市雨花台区长虹路222号德盈国际广场3栋</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室</w:t>
      </w:r>
    </w:p>
    <w:p>
      <w:pPr>
        <w:pageBreakBefore w:val="0"/>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纸质磋商文件售价：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00元/套，售后不退。</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方式：</w:t>
      </w:r>
      <w:r>
        <w:rPr>
          <w:rFonts w:hint="eastAsia" w:ascii="宋体" w:hAnsi="宋体" w:eastAsia="宋体" w:cs="Times New Roman"/>
          <w:color w:val="auto"/>
          <w:sz w:val="24"/>
          <w:highlight w:val="none"/>
        </w:rPr>
        <w:t>公开网上出售或现场出售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网上获取采购文件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网上报名方式：投标人应将①营业执照副本原件扫描件②单位介绍信或法定代表人授权委托书原件扫描件③授权委托代理人本人身份证原件扫描件④磋商文件费汇款凭证⑤单位名称、邮箱、联系人及联系方式word版本以及报名登记表6个材料压缩打包发送至qgc666@126.com 邮箱，采购代理机构收到并核实后将电子版磋商文件发送至委托代理人邮箱或将纸质版磋商文件快递至投标单位；</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招标文件费用必须于2024年04月</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日17:00时之前完成支付，售后不退，未按时交纳招标文件费用的，视为放弃投标。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现场报名方式：投标人应将①营业执照复印件加盖公章②单位介绍信或法定代表人授权委托书原件③授权委托代理人本人身份证复印件，3个材料到南京市雨花台区长虹路222号德盈国际广场3栋C梯205室，江苏全过程项目管理有限公司，联系电话：025-58801851登记获取。</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开始时间：2024年04月16日14点00分（北京时间）</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b/>
          <w:bCs/>
          <w:sz w:val="24"/>
          <w:szCs w:val="24"/>
          <w:highlight w:val="none"/>
          <w:lang w:eastAsia="zh-CN"/>
        </w:rPr>
        <w:t>南京市雨花台区长虹路222号德盈国际广场3栋</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eastAsia="zh-CN"/>
        </w:rPr>
        <w:t>室</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江苏全过程项目管理有限公司</w:t>
      </w:r>
      <w:r>
        <w:rPr>
          <w:rFonts w:hint="eastAsia" w:ascii="宋体" w:hAnsi="宋体" w:eastAsia="宋体" w:cs="宋体"/>
          <w:b/>
          <w:bCs/>
          <w:sz w:val="24"/>
          <w:szCs w:val="24"/>
          <w:highlight w:val="none"/>
        </w:rPr>
        <w:t>）</w:t>
      </w:r>
      <w:bookmarkStart w:id="10" w:name="_Toc28359016"/>
      <w:bookmarkStart w:id="11" w:name="_Toc35393633"/>
      <w:bookmarkStart w:id="12" w:name="_Toc28359093"/>
      <w:bookmarkStart w:id="13" w:name="_Toc35393802"/>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bookmarkEnd w:id="10"/>
      <w:bookmarkEnd w:id="11"/>
      <w:bookmarkEnd w:id="12"/>
      <w:bookmarkEnd w:id="13"/>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04</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0分（北京时间）</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b/>
          <w:bCs/>
          <w:sz w:val="24"/>
          <w:szCs w:val="24"/>
          <w:highlight w:val="none"/>
          <w:lang w:eastAsia="zh-CN"/>
        </w:rPr>
        <w:t>南京市雨花台区长虹路222号德盈国际广场3栋</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0</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lang w:eastAsia="zh-CN"/>
        </w:rPr>
        <w:t>室</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江苏全过程项目管理有限公司</w:t>
      </w:r>
      <w:r>
        <w:rPr>
          <w:rFonts w:hint="eastAsia" w:ascii="宋体" w:hAnsi="宋体" w:eastAsia="宋体" w:cs="宋体"/>
          <w:b/>
          <w:bCs/>
          <w:sz w:val="24"/>
          <w:szCs w:val="24"/>
          <w:highlight w:val="none"/>
        </w:rPr>
        <w:t>）</w:t>
      </w:r>
      <w:bookmarkStart w:id="14" w:name="_Toc28359017"/>
      <w:bookmarkStart w:id="15" w:name="_Toc35393803"/>
      <w:bookmarkStart w:id="16" w:name="_Toc28359094"/>
      <w:bookmarkStart w:id="17" w:name="_Toc35393634"/>
      <w:r>
        <w:rPr>
          <w:rFonts w:hint="eastAsia" w:ascii="宋体" w:hAnsi="宋体" w:eastAsia="宋体" w:cs="宋体"/>
          <w:sz w:val="24"/>
          <w:szCs w:val="24"/>
          <w:highlight w:val="none"/>
        </w:rPr>
        <w:t>（届时请供应商法定代表人或其授权代表携带本人身份证原件</w:t>
      </w:r>
      <w:r>
        <w:rPr>
          <w:rFonts w:hint="eastAsia" w:ascii="宋体" w:hAnsi="宋体" w:eastAsia="宋体" w:cs="宋体"/>
          <w:sz w:val="24"/>
          <w:szCs w:val="24"/>
          <w:highlight w:val="none"/>
          <w:lang w:val="en-US" w:eastAsia="zh-CN"/>
        </w:rPr>
        <w:t>参加）</w:t>
      </w:r>
    </w:p>
    <w:p>
      <w:pPr>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响应文件份数：一式叁份（壹份正本、贰份副本），电子版响应文件壹份（一般应为PDF格式，U盘形式，随纸质正本文件一并提交）。当纸质正本文件和电子版文件不一致时，以纸质正本文件为准。电子版文件用于存档，供应商需承担前述不一致造成的不利后果。每份纸质文件须清楚标明“正本”或“副本”字样。一旦正本和副本不符，以正本为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六、公告期限</w:t>
      </w:r>
      <w:bookmarkEnd w:id="14"/>
      <w:bookmarkEnd w:id="15"/>
      <w:bookmarkEnd w:id="16"/>
      <w:bookmarkEnd w:id="17"/>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个工作日。</w:t>
      </w:r>
    </w:p>
    <w:p>
      <w:pPr>
        <w:bidi w:val="0"/>
        <w:spacing w:line="360" w:lineRule="auto"/>
        <w:rPr>
          <w:rFonts w:hint="eastAsia" w:ascii="宋体" w:hAnsi="宋体" w:eastAsia="宋体" w:cs="宋体"/>
          <w:sz w:val="24"/>
          <w:szCs w:val="24"/>
          <w:highlight w:val="none"/>
        </w:rPr>
      </w:pPr>
      <w:bookmarkStart w:id="18" w:name="_Toc35393804"/>
      <w:bookmarkStart w:id="19" w:name="_Toc35393635"/>
      <w:r>
        <w:rPr>
          <w:rFonts w:hint="eastAsia" w:ascii="宋体" w:hAnsi="宋体" w:eastAsia="宋体" w:cs="宋体"/>
          <w:sz w:val="24"/>
          <w:szCs w:val="24"/>
          <w:highlight w:val="none"/>
        </w:rPr>
        <w:t>七、其他补充事宜</w:t>
      </w:r>
      <w:bookmarkEnd w:id="18"/>
      <w:bookmarkEnd w:id="19"/>
    </w:p>
    <w:p>
      <w:pPr>
        <w:bidi w:val="0"/>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1、拒绝下述供应商参加本次采购活动：</w:t>
      </w:r>
      <w:r>
        <w:rPr>
          <w:rFonts w:hint="eastAsia" w:ascii="宋体" w:hAnsi="宋体" w:eastAsia="宋体" w:cs="宋体"/>
          <w:b/>
          <w:bCs/>
          <w:sz w:val="24"/>
          <w:szCs w:val="24"/>
          <w:highlight w:val="none"/>
          <w:lang w:val="en-US" w:eastAsia="zh-CN"/>
        </w:rPr>
        <w:t>（提供承诺书，格式自拟，未提供属于无效标书）</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（1）供应商单位负责人为同一人或者存在直接控股、管理关系的不同供应商，不得参加同一合同项下的采购活动。</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（2）凡为采购项目提供整体设计、规范编制或者项目管理、监理、检测等服务的供应商，不得再参加本项目的采购活动。</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拒绝列入失信被执行人、重大税收违法案件当事人名单、政府采购严重违法失信行为记录名单中的供应商参加本项目的采购活动。采购人或代理机构通过“信用中国”（www.creditchina.gov.cn）、“信用江苏”网站（http://credit.jiangsu.gov.cn/）等渠道查询供应商在采购公告发布之日前的信用记录并保存。</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（4）供应商诚信档案管理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凡在南京地区参加政府采购活动的供应商，应当事先登录“信用南京”（www.njcredit.gov.cn）或“南京公共采购信息网”（https://njgc.jfh.com/）主页“政府采购供应商诚信档案”栏目进行注册登记。由于特殊原因未及时注册的供应商可先行获取采购文件，但必须在提交投标（响应）文件截止日2天前办理登记注册手续。</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南京市政府采购供应商信用记录表”是供应商参加本次政府采购活动的必备材料之一，供应商需每次参加政府采购活动时，应先登录诚信档案管理系统在线打印其“南京市政府采购供应商信用记录表”，经法定代表人签名和单位盖章后作为响应文件的组成部分提交。“南京市政府采购供应商信用记录表”在线打印时间要求：必须是在采购文件发布之日起至提交响应文件截止时间前。</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③南京市政府采购供应商诚信档案管理系统客服电话：025-52718366；供应商可就用户注册与打印“南京市政府采购供应商信用记录表”等事宜进行咨询。</w:t>
      </w:r>
    </w:p>
    <w:p>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南京市政府采购供应商信用记录表”一式两份，一份装订在响应文件中，一份用封套单独加以密封，并在封套上注明“信用记录表”字样，随响应文件一并递交。未按上述要求提供信用记录表的，响应文件将被拒绝接收。</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八、凡对本次采购提出询问，请按以下方式联系</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8.1采购人信息</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en-US" w:eastAsia="zh-CN"/>
        </w:rPr>
        <w:t>南京市秦淮区红花社区卫生服务中心</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地址：南京市秦淮区明匙路91号</w:t>
      </w:r>
    </w:p>
    <w:p>
      <w:pPr>
        <w:bidi w:val="0"/>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联系人：朱主任</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w:t>
      </w:r>
      <w:r>
        <w:rPr>
          <w:rFonts w:hint="eastAsia" w:ascii="宋体" w:hAnsi="宋体" w:eastAsia="宋体" w:cs="宋体"/>
          <w:sz w:val="24"/>
          <w:szCs w:val="24"/>
          <w:highlight w:val="none"/>
          <w:lang w:val="en-US" w:eastAsia="zh-CN"/>
        </w:rPr>
        <w:t>：025-68566403</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8.2</w:t>
      </w:r>
      <w:r>
        <w:rPr>
          <w:rFonts w:hint="eastAsia" w:ascii="宋体" w:hAnsi="宋体" w:eastAsia="宋体" w:cs="宋体"/>
          <w:sz w:val="24"/>
          <w:szCs w:val="24"/>
          <w:highlight w:val="none"/>
        </w:rPr>
        <w:t>采购代理机构信息</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名称：江苏全过程项目管理有限公司</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地址：南京市雨花台区长虹路222号德盈国际广场3栋</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室</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联系人：朱工</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联系方式：</w:t>
      </w:r>
      <w:r>
        <w:rPr>
          <w:rFonts w:hint="eastAsia" w:ascii="宋体" w:hAnsi="宋体" w:eastAsia="宋体" w:cs="宋体"/>
          <w:color w:val="auto"/>
          <w:sz w:val="24"/>
          <w:szCs w:val="24"/>
          <w:highlight w:val="none"/>
        </w:rPr>
        <w:t>025-58801851</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18351873212</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8.3</w:t>
      </w:r>
      <w:r>
        <w:rPr>
          <w:rFonts w:hint="eastAsia" w:ascii="宋体" w:hAnsi="宋体" w:eastAsia="宋体" w:cs="宋体"/>
          <w:sz w:val="24"/>
          <w:szCs w:val="24"/>
          <w:highlight w:val="none"/>
        </w:rPr>
        <w:t>项目联系方式</w:t>
      </w:r>
    </w:p>
    <w:p>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朱工</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eastAsia="宋体" w:cs="宋体"/>
          <w:color w:val="auto"/>
          <w:sz w:val="24"/>
          <w:szCs w:val="24"/>
          <w:highlight w:val="none"/>
        </w:rPr>
        <w:t>025-58801851</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18351873212</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九、公告媒体</w:t>
      </w:r>
    </w:p>
    <w:p>
      <w:pPr>
        <w:bidi w:val="0"/>
        <w:spacing w:line="360" w:lineRule="auto"/>
        <w:rPr>
          <w:rFonts w:hint="eastAsia" w:ascii="宋体" w:hAnsi="宋体" w:eastAsia="宋体" w:cs="宋体"/>
          <w:sz w:val="24"/>
          <w:szCs w:val="24"/>
          <w:highlight w:val="none"/>
        </w:rPr>
        <w:sectPr>
          <w:footerReference r:id="rId5" w:type="default"/>
          <w:pgSz w:w="11906" w:h="16838"/>
          <w:pgMar w:top="1440" w:right="1080" w:bottom="1440" w:left="1080" w:header="850" w:footer="1077" w:gutter="0"/>
          <w:pgBorders>
            <w:top w:val="none" w:sz="0" w:space="0"/>
            <w:left w:val="none" w:sz="0" w:space="0"/>
            <w:bottom w:val="none" w:sz="0" w:space="0"/>
            <w:right w:val="none" w:sz="0" w:space="0"/>
          </w:pgBorders>
          <w:pgNumType w:fmt="decimal" w:start="1"/>
          <w:cols w:space="720" w:num="1"/>
          <w:docGrid w:type="lines" w:linePitch="312" w:charSpace="0"/>
        </w:sectPr>
      </w:pPr>
      <w:bookmarkStart w:id="20" w:name="_Toc89686185"/>
      <w:r>
        <w:rPr>
          <w:rFonts w:hint="eastAsia" w:ascii="宋体" w:hAnsi="宋体" w:eastAsia="宋体" w:cs="宋体"/>
          <w:sz w:val="24"/>
          <w:szCs w:val="24"/>
          <w:highlight w:val="none"/>
        </w:rPr>
        <w:t>本采购公告在</w:t>
      </w:r>
      <w:r>
        <w:rPr>
          <w:rFonts w:hint="eastAsia" w:ascii="宋体" w:hAnsi="宋体" w:eastAsia="宋体" w:cs="宋体"/>
          <w:sz w:val="24"/>
          <w:szCs w:val="24"/>
          <w:highlight w:val="none"/>
          <w:lang w:eastAsia="zh-CN"/>
        </w:rPr>
        <w:t>南京公共采购信息网、江苏政府采购网公示发布</w:t>
      </w:r>
      <w:r>
        <w:rPr>
          <w:rFonts w:hint="eastAsia" w:ascii="宋体" w:hAnsi="宋体" w:eastAsia="宋体" w:cs="宋体"/>
          <w:sz w:val="24"/>
          <w:szCs w:val="24"/>
          <w:highlight w:val="none"/>
        </w:rPr>
        <w:t>，敬请各供应商关注；若有关本次采购存在变动或修改，敬请各供应商及时关注</w:t>
      </w:r>
      <w:r>
        <w:rPr>
          <w:rFonts w:hint="eastAsia" w:ascii="宋体" w:hAnsi="宋体" w:eastAsia="宋体" w:cs="宋体"/>
          <w:sz w:val="24"/>
          <w:szCs w:val="24"/>
          <w:highlight w:val="none"/>
          <w:lang w:eastAsia="zh-CN"/>
        </w:rPr>
        <w:t>南京公共采购信息网、江苏政府采购网</w:t>
      </w:r>
      <w:r>
        <w:rPr>
          <w:rFonts w:hint="eastAsia" w:ascii="宋体" w:hAnsi="宋体" w:eastAsia="宋体" w:cs="宋体"/>
          <w:sz w:val="24"/>
          <w:szCs w:val="24"/>
          <w:highlight w:val="none"/>
        </w:rPr>
        <w:t>发布的关于本项目的信息更正公告。如果没有及时关注本网站公告导致误投标，其责任由投标人自行承担。</w:t>
      </w:r>
    </w:p>
    <w:bookmarkEnd w:id="20"/>
    <w:p>
      <w:pPr>
        <w:pStyle w:val="3"/>
        <w:keepLines w:val="0"/>
        <w:pageBreakBefore w:val="0"/>
        <w:kinsoku/>
        <w:wordWrap/>
        <w:overflowPunct/>
        <w:topLinePunct w:val="0"/>
        <w:bidi w:val="0"/>
        <w:snapToGrid/>
        <w:spacing w:line="30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第二章供应商须知</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一、总则</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1、适用法律</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1.1《中华人民共和国政府采购法》、《中华人民共和国政府采购法实施条例》、《政府采购货物和服务招标投标管理办法》等有关法律、规章和规定。</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2、定义</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bCs/>
          <w:sz w:val="24"/>
          <w:szCs w:val="24"/>
          <w:highlight w:val="none"/>
        </w:rPr>
        <w:t>供应商</w:t>
      </w:r>
      <w:r>
        <w:rPr>
          <w:rFonts w:hint="eastAsia" w:ascii="宋体" w:hAnsi="宋体" w:eastAsia="宋体" w:cs="宋体"/>
          <w:sz w:val="24"/>
          <w:szCs w:val="24"/>
          <w:highlight w:val="none"/>
        </w:rPr>
        <w:t>”是指响应招标、参加投标竞争的法人、其他组织或者自然人。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2.2“服务”指本招标文件中所述服务。</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2.3“用户或使用单位”是指本项目采购人。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3、政策功能</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3.1中小企业政策</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中小企业（含中型、小型、微型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（2）对于专门面向中小企业或小型、微型企业的项目，只面向中小企业或小型、微型企业采购。对于非专门面向中小企业的项目，对</w:t>
      </w:r>
      <w:r>
        <w:rPr>
          <w:rFonts w:hint="eastAsia" w:ascii="宋体" w:hAnsi="宋体" w:eastAsia="宋体" w:cs="宋体"/>
          <w:bCs/>
          <w:sz w:val="24"/>
          <w:szCs w:val="24"/>
          <w:highlight w:val="none"/>
          <w:lang w:val="en-US" w:eastAsia="zh-CN"/>
        </w:rPr>
        <w:t>小型和微型</w:t>
      </w:r>
      <w:r>
        <w:rPr>
          <w:rFonts w:hint="eastAsia" w:ascii="宋体" w:hAnsi="宋体" w:eastAsia="宋体" w:cs="宋体"/>
          <w:bCs/>
          <w:sz w:val="24"/>
          <w:szCs w:val="24"/>
          <w:highlight w:val="none"/>
        </w:rPr>
        <w:t>企业提供的报价价格给予</w:t>
      </w:r>
      <w:r>
        <w:rPr>
          <w:rFonts w:hint="eastAsia" w:ascii="宋体" w:hAnsi="宋体" w:eastAsia="宋体" w:cs="宋体"/>
          <w:b/>
          <w:bCs w:val="0"/>
          <w:sz w:val="24"/>
          <w:szCs w:val="24"/>
          <w:highlight w:val="none"/>
        </w:rPr>
        <w:t>10%</w:t>
      </w:r>
      <w:r>
        <w:rPr>
          <w:rFonts w:hint="eastAsia" w:ascii="宋体" w:hAnsi="宋体" w:eastAsia="宋体" w:cs="宋体"/>
          <w:bCs/>
          <w:sz w:val="24"/>
          <w:szCs w:val="24"/>
          <w:highlight w:val="none"/>
        </w:rPr>
        <w:t>的扣除，用扣除后的价格参与评审。</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（3）参加政府采购活动的中小企业应当提供《中小企业声明函》或由省级以上监狱管理局戒毒管理局(含新疆生产建设兵团)出具的属于监狱企业的证明文件或《残疾人福利性单位声明函》。</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rPr>
        <w:t>4</w:t>
      </w:r>
      <w:r>
        <w:rPr>
          <w:rFonts w:hint="eastAsia" w:ascii="宋体" w:hAnsi="宋体" w:eastAsia="宋体" w:cs="宋体"/>
          <w:bCs/>
          <w:sz w:val="24"/>
          <w:szCs w:val="24"/>
          <w:highlight w:val="none"/>
        </w:rPr>
        <w:t>）中小企业依据《政府采购促进中小企业发展暂行办法》（财库〔2011〕181号）规定的政策获取政府采购合同后，小型、微型企业不得分包或转包给大型、中型企业，中型企业不得分包或转包给大型企业。</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（5）未按要求提供相关材料的，不享受相关政策。</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强制采购节能产品、信息安全产品，优先采购环境标志产品。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提供的产品属于信息安全产品的，供应商应当选择经国家认证的信息安全产品，并提供由中国信息安全认证中心按国家标准认证颁发的有效认证证书复印件。</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（2）提供的产品属于政府强制采购节能产品的，供应商应当选择《节能产品政府采购清单》中的产品，并提供有效的节能产品认证证书复印件。</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（3）提供的产品属于环境标志产品的,供应商应当选择《环境标志产品政府采购清单》中的,且经过认证的环境标志产品投标,并提供有效的环境标志产品认证证书复印件</w:t>
      </w:r>
      <w:r>
        <w:rPr>
          <w:rFonts w:hint="eastAsia" w:ascii="宋体" w:hAnsi="宋体" w:eastAsia="宋体" w:cs="宋体"/>
          <w:sz w:val="24"/>
          <w:szCs w:val="24"/>
          <w:highlight w:val="none"/>
          <w:lang w:val="zh-CN"/>
        </w:rPr>
        <w:t>。</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4、招标文件的约束力</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4.1供应商一旦领取了本招标文件并参加投标，即被认为接受了本招标文件中的所有条件和规定。</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二、招标文件构成</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5、招标文件组成</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磋商邀请公告</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5.2</w:t>
      </w:r>
      <w:r>
        <w:rPr>
          <w:rFonts w:hint="eastAsia" w:ascii="宋体" w:hAnsi="宋体" w:eastAsia="宋体" w:cs="宋体"/>
          <w:sz w:val="24"/>
          <w:szCs w:val="24"/>
          <w:highlight w:val="none"/>
        </w:rPr>
        <w:t>供应商须知</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5.3</w:t>
      </w:r>
      <w:r>
        <w:rPr>
          <w:rFonts w:hint="eastAsia" w:ascii="宋体" w:hAnsi="宋体" w:eastAsia="宋体" w:cs="宋体"/>
          <w:sz w:val="24"/>
          <w:szCs w:val="24"/>
          <w:highlight w:val="none"/>
          <w:lang w:val="en-US" w:eastAsia="zh-CN"/>
        </w:rPr>
        <w:t>纪律和职责</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5.4</w:t>
      </w:r>
      <w:r>
        <w:rPr>
          <w:rFonts w:hint="eastAsia" w:ascii="宋体" w:hAnsi="宋体" w:eastAsia="宋体" w:cs="宋体"/>
          <w:sz w:val="24"/>
          <w:szCs w:val="24"/>
          <w:highlight w:val="none"/>
          <w:lang w:val="en-US" w:eastAsia="zh-CN"/>
        </w:rPr>
        <w:t>评标标准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5.5</w:t>
      </w:r>
      <w:r>
        <w:rPr>
          <w:rFonts w:hint="eastAsia" w:ascii="宋体" w:hAnsi="宋体" w:eastAsia="宋体" w:cs="宋体"/>
          <w:sz w:val="24"/>
          <w:szCs w:val="24"/>
          <w:highlight w:val="none"/>
        </w:rPr>
        <w:t>采购项目需求</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5.6</w:t>
      </w:r>
      <w:r>
        <w:rPr>
          <w:rFonts w:hint="eastAsia" w:ascii="宋体" w:hAnsi="宋体" w:eastAsia="宋体" w:cs="宋体"/>
          <w:sz w:val="24"/>
          <w:szCs w:val="24"/>
          <w:highlight w:val="none"/>
        </w:rPr>
        <w:t>合同主要条款及格式</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5.7</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格式</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5.8</w:t>
      </w:r>
      <w:r>
        <w:rPr>
          <w:rFonts w:hint="eastAsia" w:ascii="宋体" w:hAnsi="宋体" w:eastAsia="宋体" w:cs="宋体"/>
          <w:sz w:val="24"/>
          <w:szCs w:val="24"/>
          <w:highlight w:val="none"/>
        </w:rPr>
        <w:t>附件</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6.磋商文件的澄清、修改</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6.3供应商应在投标截止时间前关注原采购信息发布媒体上有关本招标项目有无变更公告。</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三、投标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7、投标文件的语言、计量单位、货币</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供应商提交的投标文件、技术文件和资料，包括相关说明，以及供应商与采购代理机构就有关投标的所有来往函电均应使用中文。投标文件中若有英文或其他语言文字的资料，应提供相应的中文翻译资料。对不同文本投标文件的解释发生异议的，以中文文本为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7.2供应商所使用的计量单位应为国家法定计量单位。</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7.3供应商应用人民币报价</w:t>
      </w:r>
      <w:r>
        <w:rPr>
          <w:rFonts w:hint="eastAsia" w:ascii="宋体" w:hAnsi="宋体" w:eastAsia="宋体" w:cs="宋体"/>
          <w:bCs/>
          <w:sz w:val="24"/>
          <w:szCs w:val="24"/>
          <w:highlight w:val="none"/>
        </w:rPr>
        <w:t>。</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8、联合投标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本项目不接受联合体投标。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9、磋商费用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.1供应商应承担所有与准备和参加磋商有关的费用，无论采购结果如何，代理机构和采购人在任何情况下均无义务和责任承担这些费用.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9</w:t>
      </w:r>
      <w:r>
        <w:rPr>
          <w:rFonts w:hint="eastAsia" w:ascii="宋体" w:hAnsi="宋体" w:eastAsia="宋体" w:cs="宋体"/>
          <w:b/>
          <w:bCs/>
          <w:sz w:val="24"/>
          <w:szCs w:val="24"/>
          <w:highlight w:val="yellow"/>
        </w:rPr>
        <w:t>.2</w:t>
      </w:r>
      <w:r>
        <w:rPr>
          <w:rFonts w:hint="eastAsia" w:ascii="宋体" w:hAnsi="宋体" w:eastAsia="宋体" w:cs="宋体"/>
          <w:b/>
          <w:bCs/>
          <w:sz w:val="24"/>
          <w:szCs w:val="24"/>
          <w:highlight w:val="yellow"/>
          <w:lang w:val="en-US" w:eastAsia="zh-CN"/>
        </w:rPr>
        <w:t>本项目招标代理服务费用为3000元，不足3000元按3000元收。由中标人支付，供应商报价时应考虑此部分费用。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yellow"/>
        </w:rPr>
      </w:pPr>
      <w:r>
        <w:rPr>
          <w:rFonts w:hint="eastAsia" w:ascii="宋体" w:hAnsi="宋体" w:eastAsia="宋体" w:cs="宋体"/>
          <w:b/>
          <w:bCs/>
          <w:sz w:val="24"/>
          <w:szCs w:val="24"/>
          <w:highlight w:val="yellow"/>
          <w:lang w:val="en-US" w:eastAsia="zh-CN"/>
        </w:rPr>
        <w:t>9</w:t>
      </w:r>
      <w:r>
        <w:rPr>
          <w:rFonts w:hint="eastAsia" w:ascii="宋体" w:hAnsi="宋体" w:eastAsia="宋体" w:cs="宋体"/>
          <w:b/>
          <w:bCs/>
          <w:sz w:val="24"/>
          <w:szCs w:val="24"/>
          <w:highlight w:val="yellow"/>
        </w:rPr>
        <w:t>.3评审费：评委费按实计取</w:t>
      </w:r>
      <w:r>
        <w:rPr>
          <w:rFonts w:hint="eastAsia" w:ascii="宋体" w:hAnsi="宋体" w:eastAsia="宋体" w:cs="宋体"/>
          <w:b/>
          <w:bCs/>
          <w:sz w:val="24"/>
          <w:szCs w:val="24"/>
          <w:highlight w:val="yellow"/>
          <w:lang w:eastAsia="zh-CN"/>
        </w:rPr>
        <w:t>，</w:t>
      </w:r>
      <w:r>
        <w:rPr>
          <w:rFonts w:hint="eastAsia" w:ascii="宋体" w:hAnsi="宋体" w:eastAsia="宋体" w:cs="宋体"/>
          <w:b/>
          <w:bCs/>
          <w:sz w:val="24"/>
          <w:szCs w:val="24"/>
          <w:highlight w:val="yellow"/>
        </w:rPr>
        <w:t>由采购代理机构先行垫付，最终由中标单位支付。</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以上费用不纳入结算依据，由中标单位自行支付，分项报价表中不得出现此项服务报价。必须在领取中标通知书前向采购代理机构支付评审费。</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10</w:t>
      </w:r>
      <w:r>
        <w:rPr>
          <w:rFonts w:hint="eastAsia" w:ascii="宋体" w:hAnsi="宋体" w:eastAsia="宋体" w:cs="宋体"/>
          <w:b/>
          <w:bCs/>
          <w:sz w:val="24"/>
          <w:szCs w:val="24"/>
          <w:highlight w:val="none"/>
        </w:rPr>
        <w:t>、投标文件组成</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10.1供应商应当根据招标文件要求编制投标文件，投标文件应对招标文件提出的要求和条件作出实质性响应，并在《商务条款偏离表》和《技术条款偏离表》等处逐条标明满足与否。</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供应商根据招标文件的规定和采购项目的实际情况，拟在中标后将中标项目的非主体、非关键性工作分包的，应当在投标文件中载明分包承担主体，分包承担主体应当具备相应资质条件且不得再次分包。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10.3投标文件由商务部分、技术部分、价格部分，以及其他部分组成。</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11、投标文件的商务部分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11.1商务部分是证明供应商有资格参加投标和中标后有能力履行合同的文件，这些文件应能满足招标的要求，包括但不限于下列文件，</w:t>
      </w:r>
      <w:r>
        <w:rPr>
          <w:rFonts w:hint="eastAsia" w:ascii="宋体" w:hAnsi="宋体" w:eastAsia="宋体" w:cs="宋体"/>
          <w:b/>
          <w:bCs/>
          <w:sz w:val="24"/>
          <w:szCs w:val="24"/>
          <w:highlight w:val="none"/>
        </w:rPr>
        <w:t>其中加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rPr>
        <w:t>项目不得有缺失或无效：</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投标函（投标申请及声明）</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身份证复印件、</w:t>
      </w:r>
      <w:r>
        <w:rPr>
          <w:rFonts w:hint="eastAsia" w:ascii="宋体" w:hAnsi="宋体" w:eastAsia="宋体" w:cs="宋体"/>
          <w:sz w:val="24"/>
          <w:szCs w:val="24"/>
          <w:highlight w:val="none"/>
        </w:rPr>
        <w:t>授权委托书</w:t>
      </w:r>
      <w:r>
        <w:rPr>
          <w:rFonts w:hint="eastAsia" w:ascii="宋体" w:hAnsi="宋体" w:eastAsia="宋体" w:cs="宋体"/>
          <w:sz w:val="24"/>
          <w:szCs w:val="24"/>
          <w:highlight w:val="none"/>
          <w:lang w:eastAsia="zh-CN"/>
        </w:rPr>
        <w:t>原件</w:t>
      </w:r>
      <w:r>
        <w:rPr>
          <w:rFonts w:hint="eastAsia" w:ascii="宋体" w:hAnsi="宋体" w:eastAsia="宋体" w:cs="宋体"/>
          <w:sz w:val="24"/>
          <w:szCs w:val="24"/>
          <w:highlight w:val="none"/>
        </w:rPr>
        <w:t>及委托代理人身份证复印件</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报价表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项目组成人员一览表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业绩情况一览表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商务条款偏离表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（8）★满足《中华人民共和国政府采购法政府采购法》第二十二条的相关规定，投标人提供《南京市政府采购供应商信用记录表暨信用承诺书》详见附件。</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（9）中小企业声明函</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（10）残疾人福利性单位声明函（如果有）</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（11）供应商基本情况表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（12）资格预审响应表</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12、投标文件的技术部分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12.1技术部分是证明供应商提供的服务是合格的、并符合招标文件要求的证明文件，以及对投标报价表中的服务的详细说明，这些文件可以是文字资料、图纸（表）和数据等。</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12.2若技术性能无特殊说明，则按国家有关部门最新颁布的标准及规范为准；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12.3提供的服务如与招标文件要求有不符之处，应说明其差别之所在，并在《技术条款偏离表》中逐条予以说明。</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12.4投标文件应按照招标文件要求提供技术资料、文件和有关证明，包括但不限于下列文件</w:t>
      </w:r>
      <w:r>
        <w:rPr>
          <w:rFonts w:hint="eastAsia" w:ascii="宋体" w:hAnsi="宋体" w:eastAsia="宋体" w:cs="宋体"/>
          <w:sz w:val="24"/>
          <w:szCs w:val="24"/>
          <w:highlight w:val="none"/>
          <w:lang w:eastAsia="zh-CN"/>
        </w:rPr>
        <w:t>，</w:t>
      </w:r>
      <w:r>
        <w:rPr>
          <w:rFonts w:hint="eastAsia" w:ascii="宋体" w:hAnsi="宋体" w:eastAsia="宋体" w:cs="宋体"/>
          <w:b/>
          <w:sz w:val="24"/>
          <w:szCs w:val="24"/>
          <w:highlight w:val="none"/>
        </w:rPr>
        <w:t>其中加</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项目不得有缺失或无效</w:t>
      </w:r>
      <w:r>
        <w:rPr>
          <w:rFonts w:hint="eastAsia" w:ascii="宋体" w:hAnsi="宋体" w:eastAsia="宋体" w:cs="宋体"/>
          <w:sz w:val="24"/>
          <w:szCs w:val="24"/>
          <w:highlight w:val="none"/>
          <w:lang w:eastAsia="zh-CN"/>
        </w:rPr>
        <w:t>：</w:t>
      </w:r>
    </w:p>
    <w:p>
      <w:pPr>
        <w:keepNext w:val="0"/>
        <w:keepLines w:val="0"/>
        <w:pageBreakBefore w:val="0"/>
        <w:widowControl/>
        <w:numPr>
          <w:ilvl w:val="0"/>
          <w:numId w:val="2"/>
        </w:numPr>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★技术规格偏离表</w:t>
      </w:r>
    </w:p>
    <w:p>
      <w:pPr>
        <w:keepNext w:val="0"/>
        <w:keepLines w:val="0"/>
        <w:pageBreakBefore w:val="0"/>
        <w:widowControl/>
        <w:numPr>
          <w:ilvl w:val="0"/>
          <w:numId w:val="0"/>
        </w:numPr>
        <w:kinsoku/>
        <w:wordWrap/>
        <w:overflowPunct/>
        <w:topLinePunct w:val="0"/>
        <w:bidi w:val="0"/>
        <w:adjustRightInd w:val="0"/>
        <w:snapToGrid/>
        <w:spacing w:line="30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（14）投标人任务需要提供的其他相关材料</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13、投标文件的价格部分</w:t>
      </w:r>
    </w:p>
    <w:p>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.1价格部分是对</w:t>
      </w:r>
      <w:r>
        <w:rPr>
          <w:rFonts w:hint="eastAsia" w:ascii="宋体" w:hAnsi="宋体" w:eastAsia="宋体" w:cs="宋体"/>
          <w:sz w:val="24"/>
          <w:szCs w:val="24"/>
          <w:highlight w:val="none"/>
          <w:lang w:val="en-US" w:eastAsia="zh-CN"/>
        </w:rPr>
        <w:t>项目完成的</w:t>
      </w:r>
      <w:r>
        <w:rPr>
          <w:rFonts w:hint="eastAsia" w:ascii="宋体" w:hAnsi="宋体" w:eastAsia="宋体" w:cs="宋体"/>
          <w:sz w:val="24"/>
          <w:szCs w:val="24"/>
          <w:highlight w:val="none"/>
          <w:lang w:val="zh-CN"/>
        </w:rPr>
        <w:t>说明，竞争性磋商文件如没有特别说明的话，对</w:t>
      </w:r>
      <w:r>
        <w:rPr>
          <w:rFonts w:hint="eastAsia" w:ascii="宋体" w:hAnsi="宋体" w:eastAsia="宋体" w:cs="宋体"/>
          <w:sz w:val="24"/>
          <w:szCs w:val="24"/>
          <w:highlight w:val="none"/>
          <w:lang w:val="en-US" w:eastAsia="zh-CN"/>
        </w:rPr>
        <w:t>本项目</w:t>
      </w:r>
      <w:r>
        <w:rPr>
          <w:rFonts w:hint="eastAsia" w:ascii="宋体" w:hAnsi="宋体" w:eastAsia="宋体" w:cs="宋体"/>
          <w:sz w:val="24"/>
          <w:szCs w:val="24"/>
          <w:highlight w:val="none"/>
          <w:lang w:val="zh-CN"/>
        </w:rPr>
        <w:t>仅接受一个价格。</w:t>
      </w:r>
    </w:p>
    <w:p>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.2磋商报价是磋商文件所确定的采购范围内的全部</w:t>
      </w:r>
      <w:r>
        <w:rPr>
          <w:rFonts w:hint="eastAsia" w:ascii="宋体" w:hAnsi="宋体" w:eastAsia="宋体" w:cs="宋体"/>
          <w:sz w:val="24"/>
          <w:szCs w:val="24"/>
          <w:highlight w:val="none"/>
          <w:lang w:val="en-US" w:eastAsia="zh-CN"/>
        </w:rPr>
        <w:t>完成项目</w:t>
      </w:r>
      <w:r>
        <w:rPr>
          <w:rFonts w:hint="eastAsia" w:ascii="宋体" w:hAnsi="宋体" w:eastAsia="宋体" w:cs="宋体"/>
          <w:sz w:val="24"/>
          <w:szCs w:val="24"/>
          <w:highlight w:val="none"/>
          <w:lang w:val="zh-CN"/>
        </w:rPr>
        <w:t>的价格体现。</w:t>
      </w:r>
    </w:p>
    <w:p>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报价：包括但不限于人员劳资、交通费、风险评估费等，应包括供应商为完成维修改造直至方调试运行的全部费用、利润、税金、政策性文件规定及及合同包含内的所有风险、责任等各项应有费用，不论其在采购文件中是否有提及。响应供应商应根据上述因素自行考虑磋商报价。</w:t>
      </w:r>
    </w:p>
    <w:p>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.3供应商应充分考虑到市场价格变动，以及项目实施过程中的不可预见因素。如果有漏项，视同让利。</w:t>
      </w:r>
    </w:p>
    <w:p>
      <w:pPr>
        <w:bidi w:val="0"/>
        <w:spacing w:line="360" w:lineRule="auto"/>
        <w:rPr>
          <w:rFonts w:hint="eastAsia" w:ascii="宋体" w:hAnsi="宋体" w:eastAsia="宋体" w:cs="宋体"/>
          <w:b/>
          <w:bCs/>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.4</w:t>
      </w:r>
      <w:r>
        <w:rPr>
          <w:rFonts w:hint="eastAsia" w:ascii="宋体" w:hAnsi="宋体" w:eastAsia="宋体" w:cs="宋体"/>
          <w:b/>
          <w:bCs/>
          <w:sz w:val="24"/>
          <w:szCs w:val="24"/>
          <w:highlight w:val="none"/>
          <w:lang w:val="zh-CN"/>
        </w:rPr>
        <w:t>本项目有二次磋商报价，经磋商后，如果成交价高于或低于供应商在磋商响应文件报价的话，分项报价同比例调整。</w:t>
      </w:r>
    </w:p>
    <w:p>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.5报价表必须由供应商法人代表或委托授权人签字、或加盖单位公章。如有优惠条款，请单独列明，但不得影响报价，影响整体功能。</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w:t>
      </w:r>
      <w:r>
        <w:rPr>
          <w:rFonts w:hint="eastAsia" w:ascii="宋体" w:hAnsi="宋体" w:eastAsia="宋体" w:cs="宋体"/>
          <w:b/>
          <w:bCs/>
          <w:sz w:val="24"/>
          <w:szCs w:val="24"/>
          <w:highlight w:val="none"/>
        </w:rPr>
        <w:t>政府采购提倡公平竞争，反对盲目压价参与磋商，任何盲目压价和低于成本报价将会被拒绝。</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供应商的任何错漏、优惠、竞争性报价不得作为减轻责任、减少服务、增加收费、降低质量的理由。</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val="0"/>
          <w:bCs w:val="0"/>
          <w:highlight w:val="none"/>
          <w:lang w:eastAsia="zh-CN"/>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供应商应在《开标一览表》、《投标分项报价》等标明提供服务的</w:t>
      </w:r>
      <w:r>
        <w:rPr>
          <w:rFonts w:hint="eastAsia" w:ascii="宋体" w:hAnsi="宋体" w:eastAsia="宋体" w:cs="宋体"/>
          <w:bCs/>
          <w:sz w:val="24"/>
          <w:szCs w:val="24"/>
          <w:highlight w:val="none"/>
        </w:rPr>
        <w:t>总价以及分项报价。供应商系小企业（含小型、微型企业），</w:t>
      </w:r>
      <w:r>
        <w:rPr>
          <w:rFonts w:hint="eastAsia" w:ascii="宋体" w:hAnsi="宋体" w:eastAsia="宋体" w:cs="宋体"/>
          <w:sz w:val="24"/>
          <w:szCs w:val="24"/>
          <w:highlight w:val="none"/>
        </w:rPr>
        <w:t>须在《开标一览表》中注明，如无法划分计算的，将不予认可。</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14、投标文件的其他部分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14.1其他部分由供应商根据编制投标文件需要提供的其他相关文件。</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15、投标保证金</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16、投标有效期</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16.1自提交投标文件截止之日起</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val="en-US"/>
        </w:rPr>
        <w:t>0</w:t>
      </w:r>
      <w:r>
        <w:rPr>
          <w:rFonts w:hint="eastAsia" w:ascii="宋体" w:hAnsi="宋体" w:eastAsia="宋体" w:cs="宋体"/>
          <w:b/>
          <w:bCs/>
          <w:sz w:val="24"/>
          <w:szCs w:val="24"/>
          <w:highlight w:val="none"/>
        </w:rPr>
        <w:t>日</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在特殊情况下，在原投标有效期截止之前，采购代理机构可要求供应商同意延长投标有效期，这种要求与答复均以书面形式提交。供应商可拒绝这种要求。接收延长投标有效期的供应商将不会要求和允许修正其投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17、投标文件签署</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17.1投标文件的正本和副本均由供应商法定代表人或经正式授权并对供应商有约束力的委托代理人用不褪色墨水书写签署。</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18、投标文件的编制、密封、递交</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18.1</w:t>
      </w:r>
      <w:r>
        <w:rPr>
          <w:rFonts w:hint="eastAsia" w:ascii="宋体" w:hAnsi="宋体" w:eastAsia="宋体" w:cs="宋体"/>
          <w:sz w:val="24"/>
          <w:szCs w:val="24"/>
          <w:highlight w:val="none"/>
        </w:rPr>
        <w:t>投标文件的编制应按照招标文件统一规定的格式，供应商可根据自身实际情况进行添加调整。投标文件统一用A4规格（相关设计方案、图纸除外）幅面打印、装订成册并编制目录，由于编排混乱导致投标文件被误读或查找不到，责任由供应商承担。</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18.2</w:t>
      </w:r>
      <w:r>
        <w:rPr>
          <w:rFonts w:hint="eastAsia" w:ascii="宋体" w:hAnsi="宋体" w:eastAsia="宋体" w:cs="宋体"/>
          <w:sz w:val="24"/>
          <w:szCs w:val="24"/>
          <w:highlight w:val="none"/>
        </w:rPr>
        <w:t>供应商应在投标文件中写清相应的项目采购编号、项目名称、供应商全称、地址、电话、传真等，如有必要，可以增加附页，作为投标文件的组成部分。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供应商应将投标文件用档案袋或封套密封，封面并注明项目采购编号、项目名称、供应商地址、供应商全称等。</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18.4</w:t>
      </w:r>
      <w:r>
        <w:rPr>
          <w:rFonts w:hint="eastAsia" w:ascii="宋体" w:hAnsi="宋体" w:eastAsia="宋体" w:cs="宋体"/>
          <w:sz w:val="24"/>
          <w:szCs w:val="24"/>
          <w:highlight w:val="none"/>
        </w:rPr>
        <w:t>档案袋或封套内应提供纸质版投标文件</w:t>
      </w:r>
      <w:r>
        <w:rPr>
          <w:rFonts w:hint="eastAsia" w:ascii="宋体" w:hAnsi="宋体" w:eastAsia="宋体" w:cs="宋体"/>
          <w:sz w:val="24"/>
          <w:szCs w:val="24"/>
          <w:highlight w:val="none"/>
          <w:lang w:eastAsia="zh-CN"/>
        </w:rPr>
        <w:t>一式叁份</w:t>
      </w:r>
      <w:r>
        <w:rPr>
          <w:rFonts w:hint="eastAsia" w:ascii="宋体" w:hAnsi="宋体" w:eastAsia="宋体" w:cs="宋体"/>
          <w:sz w:val="24"/>
          <w:szCs w:val="24"/>
          <w:highlight w:val="none"/>
        </w:rPr>
        <w:t>（壹份正本、</w:t>
      </w:r>
      <w:r>
        <w:rPr>
          <w:rFonts w:hint="eastAsia" w:ascii="宋体" w:hAnsi="宋体" w:eastAsia="宋体" w:cs="宋体"/>
          <w:sz w:val="24"/>
          <w:szCs w:val="24"/>
          <w:highlight w:val="none"/>
          <w:lang w:eastAsia="zh-CN"/>
        </w:rPr>
        <w:t>贰份副本</w:t>
      </w:r>
      <w:r>
        <w:rPr>
          <w:rFonts w:hint="eastAsia" w:ascii="宋体" w:hAnsi="宋体" w:eastAsia="宋体" w:cs="宋体"/>
          <w:sz w:val="24"/>
          <w:szCs w:val="24"/>
          <w:highlight w:val="none"/>
        </w:rPr>
        <w:t>），电子版投标文件壹份（一般应为PDF格式、U盘形式，随纸质正本文件一并提交）。</w:t>
      </w:r>
      <w:r>
        <w:rPr>
          <w:rFonts w:hint="eastAsia" w:ascii="宋体" w:hAnsi="宋体" w:eastAsia="宋体" w:cs="宋体"/>
          <w:sz w:val="24"/>
          <w:szCs w:val="24"/>
          <w:highlight w:val="none"/>
          <w:lang w:val="en-US" w:eastAsia="zh-CN"/>
        </w:rPr>
        <w:t>电子版与纸质版正本内容需保持一致</w:t>
      </w:r>
      <w:r>
        <w:rPr>
          <w:rFonts w:hint="eastAsia" w:ascii="宋体" w:hAnsi="宋体" w:eastAsia="宋体" w:cs="宋体"/>
          <w:sz w:val="24"/>
          <w:szCs w:val="24"/>
          <w:highlight w:val="none"/>
        </w:rPr>
        <w:t>。电子版文件用于存档，供应商须承担前述不一致造成的不利后果。每份纸质文件须清楚标明“正本”或“副本”字样。</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投标文件不应有涂改、增删之处，如必须修改时，修改处必须有供应商公章或供应商法定代表人或授权代表签字，但技术标部分除外，任何情况下不予修改。</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供应商应当在招标文件要求提交投标文件的截止时间前，将密封的投标文件送达指定投标地点。</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19、有下列情形之一的投标文件将拒收：</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19.1</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未按投标邀请规定的要求提供“南京市政府采购供应商信用记录表”的；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rPr>
        <w:t>19.</w:t>
      </w:r>
      <w:r>
        <w:rPr>
          <w:rFonts w:hint="eastAsia" w:ascii="宋体" w:hAnsi="宋体" w:eastAsia="宋体" w:cs="宋体"/>
          <w:b/>
          <w:bCs/>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逾期送达或者未按照招标文件要求密封的投标文件的。</w:t>
      </w:r>
    </w:p>
    <w:p>
      <w:pPr>
        <w:pStyle w:val="22"/>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19.3</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开标一览表未单独密封。</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20、投标文件的修改和撤回</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20.1供应商在投标截止时间前，可以对所递交的投标文件进行补充、修改或者撤回，并书面通知采购代理机构。补充、修改的内容应当按照招标文件要求签署、盖章、密封后，作为投标文件的组成部分。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投标截止时间之后且在投标有效期内，投标文件不得撤回；</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四、投标文件的接收、开标、评标与确定中标人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21、投标文件的接收</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21.1采购代理机构收到投标文件后，将现场如实记载投标文件的送达时间和密封情况，签收保存。</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21.2任何单位和个人不得在开标前开启投标文件。</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2</w:t>
      </w:r>
      <w:r>
        <w:rPr>
          <w:rFonts w:hint="eastAsia" w:ascii="宋体" w:hAnsi="宋体" w:eastAsia="宋体" w:cs="宋体"/>
          <w:b/>
          <w:bCs/>
          <w:sz w:val="24"/>
          <w:szCs w:val="24"/>
          <w:highlight w:val="none"/>
        </w:rPr>
        <w:t>、开标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.1采购代理机构将在招标文件确定的时间和地点进行公开开标。供应商应委派代表准时参加，参加开标的代表须签名报到以证明其出席。</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22.2采购代理机构将对开标、评标现场活动进行全程录音录像，音像资料将作为采购文件一并存档。</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22.3</w:t>
      </w:r>
      <w:r>
        <w:rPr>
          <w:rFonts w:hint="eastAsia" w:ascii="宋体" w:hAnsi="宋体" w:eastAsia="宋体" w:cs="宋体"/>
          <w:sz w:val="24"/>
          <w:szCs w:val="24"/>
          <w:highlight w:val="none"/>
        </w:rPr>
        <w:t>开标活动由采购代理机构主持并邀请各签到供应商参加。</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22.4开标时，采购代理机构将邀请供应商或者其推选的代表检查投标文件的密封情况；经确认无误后，由采购代理机构工作人员当众拆封，宣布供应商名称以及招标文件规定的需要宣布的其他内容。</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22.5投标文件报价出现前后不一致的，按照下列规定修正：</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开标一览表内容与投标文件中相应内容不一致的，以开标一览表为准；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）大写金额和小写金额不一致的，以大写金额为准；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）单价金额小数点或者百分比有明显错位的，以开标一览表的总价为准，并修改单价；</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）总价金额与按单价汇总金额不一致的，以单价金额计算结果为准。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）同时出现两种以上不一致的，按照前款规定的顺序修正。修正后的报价按照本本章2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.2.3要求的规定经供应商确认后产生约束力，供应商不确认的，其投标无效。</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未宣读开标一览表等实质性内容，评标时不予承认。</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22.7</w:t>
      </w:r>
      <w:r>
        <w:rPr>
          <w:rFonts w:hint="eastAsia" w:ascii="宋体" w:hAnsi="宋体" w:eastAsia="宋体" w:cs="宋体"/>
          <w:sz w:val="24"/>
          <w:szCs w:val="24"/>
          <w:highlight w:val="none"/>
        </w:rPr>
        <w:t>开标过程由采购代理机构负责记录，由参加开标的各供应商代表和相关工作人员签字确认后随采购文件一并存档。供应商代表对开标过程和开标记录有疑义，以及认为采购人、采购代理机构相关工作人员有需要回避的情形的，应当场提出询问或者回避申请。采购人、采购代理机构会对供应商代表提出的询问或者回避申请及时处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22.8</w:t>
      </w:r>
      <w:r>
        <w:rPr>
          <w:rFonts w:hint="eastAsia" w:ascii="宋体" w:hAnsi="宋体" w:eastAsia="宋体" w:cs="宋体"/>
          <w:sz w:val="24"/>
          <w:szCs w:val="24"/>
          <w:highlight w:val="none"/>
        </w:rPr>
        <w:t>供应商未参加开标的，视同认可开标结果。</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投标截止时间结束后参加投标的供应商不足三家的，除采购任务取消情形外，采购代理机构报经监管部门批准后，可变更为竞争性谈判或者单一来源方式采购。本次招标文件中对供应商资格条件要求、技术要求和商务等要求，将作为竞争性谈判或者单一来源方式采购的基本要求和谈判依据。原评标委员会改为谈判小组，并根据政府采购法等法律法规进行谈判。参加投标的供应商，根据自愿原则，选择参加竞争性谈判或单一来源方式采购。</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、评标</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.1评标组织</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.1.1评标工作由采购代理机构负责组织，具体评标事务由依法组建的评标委员会负责，并独立履行下列职责：</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）审查、评价投标文件是否符合招标文件的商务、技术等实质性要求；</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）要求供应商对投标文件有关事项作出澄清或者说明；</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）对投标文件进行比较和评价；</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）确定中标候选人名单，以及根据采购人委托直接确定中标人；</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）向采购人、采购代理机构或者有关部门报告评标中发现的违法行为。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.1.2评标委员会由采购人代表及财政部门设立的政府采购评审专家库中随机方式抽取的评审专家组成，独立开展评审工作。</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.2评标程序</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3</w:t>
      </w:r>
      <w:r>
        <w:rPr>
          <w:rFonts w:hint="eastAsia" w:ascii="宋体" w:hAnsi="宋体" w:eastAsia="宋体" w:cs="宋体"/>
          <w:b/>
          <w:sz w:val="24"/>
          <w:szCs w:val="24"/>
          <w:highlight w:val="none"/>
        </w:rPr>
        <w:t>.2.1投标文件的资格性检查。</w:t>
      </w:r>
      <w:r>
        <w:rPr>
          <w:rFonts w:hint="eastAsia" w:ascii="宋体" w:hAnsi="宋体" w:eastAsia="宋体" w:cs="宋体"/>
          <w:bCs/>
          <w:sz w:val="24"/>
          <w:szCs w:val="24"/>
          <w:highlight w:val="none"/>
        </w:rPr>
        <w:t>开标结束后，由采购人或者采购代理机构根据法律法规和招标文件的规定依法对供应商的资格进行审查</w:t>
      </w:r>
      <w:r>
        <w:rPr>
          <w:rFonts w:hint="eastAsia" w:ascii="宋体" w:hAnsi="宋体" w:eastAsia="宋体" w:cs="宋体"/>
          <w:sz w:val="24"/>
          <w:szCs w:val="24"/>
          <w:highlight w:val="none"/>
        </w:rPr>
        <w:t>，以确定供应商是否具备投标资格。</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投标文件有下列情况之一的，在资格性检查时按照投标无效处理：</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rPr>
        <w:t>（1）本章</w:t>
      </w:r>
      <w:r>
        <w:rPr>
          <w:rFonts w:hint="eastAsia" w:ascii="宋体" w:hAnsi="宋体" w:eastAsia="宋体" w:cs="宋体"/>
          <w:b/>
          <w:bCs/>
          <w:sz w:val="24"/>
          <w:szCs w:val="24"/>
          <w:highlight w:val="none"/>
        </w:rPr>
        <w:t>11</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lang w:val="en-US" w:eastAsia="zh-CN"/>
        </w:rPr>
        <w:t>和12.1</w:t>
      </w:r>
      <w:r>
        <w:rPr>
          <w:rFonts w:hint="eastAsia" w:ascii="宋体" w:hAnsi="宋体" w:eastAsia="宋体" w:cs="宋体"/>
          <w:b/>
          <w:bCs/>
          <w:sz w:val="24"/>
          <w:szCs w:val="24"/>
          <w:highlight w:val="none"/>
          <w:lang w:val="en-US"/>
        </w:rPr>
        <w:t>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项要求提供的证明材料缺失或无效的；</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3</w:t>
      </w:r>
      <w:r>
        <w:rPr>
          <w:rFonts w:hint="eastAsia" w:ascii="宋体" w:hAnsi="宋体" w:eastAsia="宋体" w:cs="宋体"/>
          <w:b/>
          <w:sz w:val="24"/>
          <w:szCs w:val="24"/>
          <w:highlight w:val="none"/>
        </w:rPr>
        <w:t>.2.2投标文件的符合性检查</w:t>
      </w:r>
      <w:r>
        <w:rPr>
          <w:rFonts w:hint="eastAsia" w:ascii="宋体" w:hAnsi="宋体" w:eastAsia="宋体" w:cs="宋体"/>
          <w:sz w:val="24"/>
          <w:szCs w:val="24"/>
          <w:highlight w:val="none"/>
        </w:rPr>
        <w:t>。评标委员会应当对符合资格的供应商的投标文件进行符合性审查，以确定其是否满足招标文件的实质性要求，</w:t>
      </w:r>
      <w:r>
        <w:rPr>
          <w:rFonts w:hint="eastAsia" w:ascii="宋体" w:hAnsi="宋体" w:eastAsia="宋体" w:cs="宋体"/>
          <w:b/>
          <w:bCs/>
          <w:sz w:val="24"/>
          <w:szCs w:val="24"/>
          <w:highlight w:val="none"/>
        </w:rPr>
        <w:t>实质性要求是指本采购文件第五章采购项目需求中所有要求。</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投标文件有下列情况之一的，在符合性检查时按照投标无效处理：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（1）本章加</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rPr>
        <w:t>项要求提供的证明材料缺失或无效的；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（2）投标文件中未响应采购项目需求中规定要求的实质性要求的；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）不同供应商的投标文件由同一单位或者个人编制；</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4</w:t>
      </w:r>
      <w:r>
        <w:rPr>
          <w:rFonts w:hint="eastAsia" w:ascii="宋体" w:hAnsi="宋体" w:eastAsia="宋体" w:cs="宋体"/>
          <w:b/>
          <w:bCs/>
          <w:sz w:val="24"/>
          <w:szCs w:val="24"/>
          <w:highlight w:val="none"/>
        </w:rPr>
        <w:t>）不同供应商委托同一单位或者个人办理投标事宜；</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5</w:t>
      </w:r>
      <w:r>
        <w:rPr>
          <w:rFonts w:hint="eastAsia" w:ascii="宋体" w:hAnsi="宋体" w:eastAsia="宋体" w:cs="宋体"/>
          <w:b/>
          <w:bCs/>
          <w:sz w:val="24"/>
          <w:szCs w:val="24"/>
          <w:highlight w:val="none"/>
        </w:rPr>
        <w:t>）不同供应商的投标文件载明的项目管理成员或者联系人员为同一人；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6</w:t>
      </w:r>
      <w:r>
        <w:rPr>
          <w:rFonts w:hint="eastAsia" w:ascii="宋体" w:hAnsi="宋体" w:eastAsia="宋体" w:cs="宋体"/>
          <w:b/>
          <w:bCs/>
          <w:sz w:val="24"/>
          <w:szCs w:val="24"/>
          <w:highlight w:val="none"/>
        </w:rPr>
        <w:t>）不同供应商的投标文件异常一致或者投标报价呈规律性差异；</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）不同供应商的投标文件相互混装；</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）报价超过招标文件中规定的项目预算或者最高限价的；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）投标文件含有采购人不能接受的附加条件的；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）不同供应商的法定代表人或委托代理人有夫妻、直系血亲关系的；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）不同供应商的负责人为同一人或者存在控股、管理关系的；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）不同供应商的委托代理人(或法定代表人、项目经理、项目总监、项目负责人等)在采购文件发布日上月至投标截止日当月在同一单位缴纳社会保险的；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供应商具有《南京市政府采购供应商信用管理工作暂行办法》宁财规[2018]10号第十一条、十二条所列严重失信行为的；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）电子标书与正本纸质文件不一致，内容残缺、文档打不开。</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法律、法规和招标文件规定的其他无效情形。</w:t>
      </w:r>
    </w:p>
    <w:p>
      <w:pPr>
        <w:pStyle w:val="23"/>
        <w:keepNext w:val="0"/>
        <w:keepLines w:val="0"/>
        <w:pageBreakBefore w:val="0"/>
        <w:kinsoku/>
        <w:wordWrap/>
        <w:overflowPunct/>
        <w:topLinePunct w:val="0"/>
        <w:bidi w:val="0"/>
        <w:snapToGrid/>
        <w:spacing w:line="300" w:lineRule="auto"/>
        <w:ind w:left="0" w:lef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.2.2.</w:t>
      </w:r>
      <w:r>
        <w:rPr>
          <w:rFonts w:hint="eastAsia" w:ascii="宋体" w:hAnsi="宋体" w:eastAsia="宋体" w:cs="宋体"/>
          <w:bCs/>
          <w:sz w:val="24"/>
          <w:szCs w:val="24"/>
          <w:highlight w:val="none"/>
          <w:lang w:val="en-US"/>
        </w:rPr>
        <w:t>1</w:t>
      </w:r>
      <w:r>
        <w:rPr>
          <w:rFonts w:hint="eastAsia" w:ascii="宋体" w:hAnsi="宋体" w:eastAsia="宋体" w:cs="宋体"/>
          <w:sz w:val="24"/>
          <w:szCs w:val="24"/>
          <w:highlight w:val="none"/>
        </w:rPr>
        <w:t>有下列情形之一的予以废标，同时将废标理由通知所有供应商：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）出现影响采购公正的违法、违规行为的；</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）供应商的报价均超过了项目预算，采购人不能支付的；</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）因重大变故，采购任务取消的。</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澄清有关问题。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比较与评价。评标委员会应当按照招标文件中规定的评标方法和标准，对符合性审查合格的投标文件进行商务和技术评估，综合比较与评价。</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3</w:t>
      </w:r>
      <w:r>
        <w:rPr>
          <w:rFonts w:hint="eastAsia" w:ascii="宋体" w:hAnsi="宋体" w:eastAsia="宋体" w:cs="宋体"/>
          <w:b/>
          <w:bCs/>
          <w:sz w:val="24"/>
          <w:szCs w:val="24"/>
          <w:highlight w:val="none"/>
        </w:rPr>
        <w:t>.3评标方法和标准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.3.1</w:t>
      </w:r>
      <w:r>
        <w:rPr>
          <w:rFonts w:hint="eastAsia" w:ascii="宋体" w:hAnsi="宋体" w:eastAsia="宋体" w:cs="宋体"/>
          <w:b/>
          <w:bCs/>
          <w:sz w:val="24"/>
          <w:szCs w:val="24"/>
          <w:highlight w:val="none"/>
        </w:rPr>
        <w:t>采用综合评分法</w:t>
      </w:r>
      <w:r>
        <w:rPr>
          <w:rFonts w:hint="eastAsia" w:ascii="宋体" w:hAnsi="宋体" w:eastAsia="宋体" w:cs="宋体"/>
          <w:sz w:val="24"/>
          <w:szCs w:val="24"/>
          <w:highlight w:val="none"/>
        </w:rPr>
        <w:t>。即投标文件满足招标文件全部实质性要求，且按照评审因素的量化指标评审得分最高的供应商为中标候选人的评标方法。</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评标标准及评审因素详见采购文件第四章。</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23.4特别说明</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23.4.1评标委员会认为供应商的报价明显低于其他通过符合性审查供应商的报价，有可能影响服务质量或者不能诚信履约的，供应商应在评标现场合理的时间内提供书面说明，必要时提交相关证明材料；供应商不能证明其报价合理性的，评标委员会将其作为无效投标处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23.4.2如发生上述情形的，供应商应保持其投标文件上联系方式的通讯畅通；供应商法定代表人或授权代表也可以直接在开标大厅等候。如采购代理机构或评标委员会联系未果（</w:t>
      </w:r>
      <w:r>
        <w:rPr>
          <w:rFonts w:hint="eastAsia" w:ascii="宋体" w:hAnsi="宋体" w:eastAsia="宋体" w:cs="宋体"/>
          <w:b/>
          <w:bCs/>
          <w:sz w:val="24"/>
          <w:szCs w:val="24"/>
          <w:highlight w:val="none"/>
          <w:lang w:val="en-US"/>
        </w:rPr>
        <w:t>在十分钟内联系五次</w:t>
      </w:r>
      <w:r>
        <w:rPr>
          <w:rFonts w:hint="eastAsia" w:ascii="宋体" w:hAnsi="宋体" w:eastAsia="宋体" w:cs="宋体"/>
          <w:sz w:val="24"/>
          <w:szCs w:val="24"/>
          <w:highlight w:val="none"/>
          <w:lang w:val="en-US"/>
        </w:rPr>
        <w:t>）或者供应商在二十分钟内未按时提交书面说明，则视为供应商放弃上述权利，</w:t>
      </w:r>
      <w:r>
        <w:rPr>
          <w:rFonts w:hint="eastAsia" w:ascii="宋体" w:hAnsi="宋体" w:eastAsia="宋体" w:cs="宋体"/>
          <w:b/>
          <w:bCs/>
          <w:sz w:val="24"/>
          <w:szCs w:val="24"/>
          <w:highlight w:val="none"/>
          <w:lang w:val="en-US"/>
        </w:rPr>
        <w:t>评标委员会将其作为无效投标处理。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4</w:t>
      </w:r>
      <w:r>
        <w:rPr>
          <w:rFonts w:hint="eastAsia" w:ascii="宋体" w:hAnsi="宋体" w:eastAsia="宋体" w:cs="宋体"/>
          <w:b/>
          <w:bCs/>
          <w:sz w:val="24"/>
          <w:szCs w:val="24"/>
          <w:highlight w:val="none"/>
        </w:rPr>
        <w:t>、确定中标候选人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.1评标时，评标委员会各成员将独立对每个供应商的投标文件进行评价，并汇总每个供应商的得分。</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24.2评标结果按评审后得分由高到低顺序排列。得分相同的，按投标报价由低到高顺序排列。得分且投标报价相同的并列。投标文件满足招标文件全部实质性要求，且按照评审因素的量化指标评审得分最高的供应商为排名</w:t>
      </w:r>
      <w:r>
        <w:rPr>
          <w:rFonts w:hint="eastAsia" w:ascii="宋体" w:hAnsi="宋体" w:eastAsia="宋体" w:cs="宋体"/>
          <w:sz w:val="24"/>
          <w:szCs w:val="24"/>
          <w:highlight w:val="none"/>
          <w:lang w:val="en-US" w:eastAsia="zh-CN"/>
        </w:rPr>
        <w:t>前三</w:t>
      </w:r>
      <w:r>
        <w:rPr>
          <w:rFonts w:hint="eastAsia" w:ascii="宋体" w:hAnsi="宋体" w:eastAsia="宋体" w:cs="宋体"/>
          <w:sz w:val="24"/>
          <w:szCs w:val="24"/>
          <w:highlight w:val="none"/>
          <w:lang w:val="en-US"/>
        </w:rPr>
        <w:t>的中标候选人。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评标委员会根据全体评标成员签字的原始评标记录和评标结果编写评标报告。</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eastAsia="宋体" w:cs="宋体"/>
          <w:b/>
          <w:bCs/>
          <w:sz w:val="24"/>
          <w:szCs w:val="24"/>
          <w:highlight w:val="none"/>
          <w:lang w:val="en-US"/>
        </w:rPr>
        <w:t>25、确定中标人</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25.1评标结果确定后，采购人在评标现场可根据中标候选人名单委托直接确定中标人。</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25.2采购人如未委托直接确定中标人的，采购代理机构在评标结束后2个工作日内将评标报告送采购人。采购人在收到评标报告5个工作日内，在评标报告确定的中标候选人名单中按顺序确定中标人。中标候选人并列的，由采购人或者采购人委托评标委员会按照随机抽取的方式确定。</w:t>
      </w:r>
    </w:p>
    <w:p>
      <w:pPr>
        <w:keepNext w:val="0"/>
        <w:keepLines w:val="0"/>
        <w:pageBreakBefore w:val="0"/>
        <w:widowControl/>
        <w:kinsoku/>
        <w:wordWrap/>
        <w:overflowPunct/>
        <w:topLinePunct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5.3采购代理机构自</w:t>
      </w:r>
      <w:r>
        <w:rPr>
          <w:rFonts w:hint="eastAsia" w:ascii="宋体" w:hAnsi="宋体" w:eastAsia="宋体" w:cs="宋体"/>
          <w:sz w:val="24"/>
          <w:szCs w:val="24"/>
          <w:highlight w:val="none"/>
        </w:rPr>
        <w:t>中标人确定之日起2个工作日内，将中标结果在原采购公告发布媒体进行公示，</w:t>
      </w:r>
      <w:r>
        <w:rPr>
          <w:rFonts w:hint="eastAsia" w:ascii="宋体" w:hAnsi="宋体" w:eastAsia="宋体" w:cs="宋体"/>
          <w:b/>
          <w:bCs/>
          <w:sz w:val="24"/>
          <w:szCs w:val="24"/>
          <w:highlight w:val="none"/>
        </w:rPr>
        <w:t>公示期为</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个工作日</w:t>
      </w:r>
      <w:r>
        <w:rPr>
          <w:rFonts w:hint="eastAsia" w:ascii="宋体" w:hAnsi="宋体" w:eastAsia="宋体" w:cs="宋体"/>
          <w:sz w:val="24"/>
          <w:szCs w:val="24"/>
          <w:highlight w:val="none"/>
        </w:rPr>
        <w:t>，公示的同时向中标供应商发出中标通知书。</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所有投标文件都将作为档案保存，不论中标与否，采购代理机构均不退回。</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rPr>
        <w:t>6</w:t>
      </w:r>
      <w:r>
        <w:rPr>
          <w:rFonts w:hint="eastAsia" w:ascii="宋体" w:hAnsi="宋体" w:eastAsia="宋体" w:cs="宋体"/>
          <w:b/>
          <w:sz w:val="24"/>
          <w:szCs w:val="24"/>
          <w:highlight w:val="none"/>
        </w:rPr>
        <w:t>、评标过程的保密性</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.1采购代理机构将采取必要措施，保证评标在严格保密的情况下进行。</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26.2</w:t>
      </w:r>
      <w:r>
        <w:rPr>
          <w:rFonts w:hint="eastAsia" w:ascii="宋体" w:hAnsi="宋体" w:eastAsia="宋体" w:cs="宋体"/>
          <w:sz w:val="24"/>
          <w:szCs w:val="24"/>
          <w:highlight w:val="none"/>
        </w:rPr>
        <w:t>除采购人代表、评标现场组织人员外，采购人的其他工作人员以及与评标工作无关的人员不得进入评标现场。</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26.3</w:t>
      </w:r>
      <w:r>
        <w:rPr>
          <w:rFonts w:hint="eastAsia" w:ascii="宋体" w:hAnsi="宋体" w:eastAsia="宋体" w:cs="宋体"/>
          <w:sz w:val="24"/>
          <w:szCs w:val="24"/>
          <w:highlight w:val="none"/>
        </w:rPr>
        <w:t>有关人员对评标情况以及在评标过程中获悉的国家秘密、商业秘密负有保密责任。</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五、签订合同</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、签订合同</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27.1</w:t>
      </w:r>
      <w:r>
        <w:rPr>
          <w:rFonts w:hint="eastAsia" w:ascii="宋体" w:hAnsi="宋体" w:eastAsia="宋体" w:cs="宋体"/>
          <w:sz w:val="24"/>
          <w:szCs w:val="24"/>
          <w:highlight w:val="none"/>
        </w:rPr>
        <w:t>中标人应当自中标通知书发出之日起30日内，按照招标文件和其投标文件的规定，与采购人签订政府采购合同。所签订的合同不得对招标文件确定的事项和中标人投标文件作实质性修改。</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27.2</w:t>
      </w:r>
      <w:r>
        <w:rPr>
          <w:rFonts w:hint="eastAsia" w:ascii="宋体" w:hAnsi="宋体" w:eastAsia="宋体" w:cs="宋体"/>
          <w:sz w:val="24"/>
          <w:szCs w:val="24"/>
          <w:highlight w:val="none"/>
        </w:rPr>
        <w:t>中标通知书对采购人和中标人均具有法律效力。</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27.3</w:t>
      </w:r>
      <w:r>
        <w:rPr>
          <w:rFonts w:hint="eastAsia" w:ascii="宋体" w:hAnsi="宋体" w:eastAsia="宋体" w:cs="宋体"/>
          <w:sz w:val="24"/>
          <w:szCs w:val="24"/>
          <w:highlight w:val="none"/>
        </w:rPr>
        <w:t>采购人不得向中标人提出任何不合理的要求作为签订合同的条件。</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中标人拒绝与采购人签订合同的，采购人可以按照评审报告推荐的中标候选人名单排序，确定下一候选人为中标人，也可以重新开展政府采购活动。</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7</w:t>
      </w:r>
      <w:r>
        <w:rPr>
          <w:rFonts w:hint="eastAsia" w:ascii="宋体" w:hAnsi="宋体" w:eastAsia="宋体" w:cs="宋体"/>
          <w:b/>
          <w:bCs/>
          <w:sz w:val="24"/>
          <w:szCs w:val="24"/>
          <w:highlight w:val="none"/>
        </w:rPr>
        <w:t>.5中标通知书发出后，中标供应商无正当理由拒绝与采购人签订合同；情节严重的，由财政部门将其列入不良行为记录名单，在一至三年内禁止参加</w:t>
      </w:r>
      <w:r>
        <w:rPr>
          <w:rFonts w:hint="eastAsia" w:ascii="宋体" w:hAnsi="宋体" w:eastAsia="宋体" w:cs="宋体"/>
          <w:b/>
          <w:sz w:val="24"/>
          <w:szCs w:val="24"/>
          <w:highlight w:val="none"/>
          <w:lang w:eastAsia="zh-CN"/>
        </w:rPr>
        <w:t>南京市秦淮区红花社区卫生服务中心</w:t>
      </w:r>
      <w:r>
        <w:rPr>
          <w:rFonts w:hint="eastAsia" w:ascii="宋体" w:hAnsi="宋体" w:eastAsia="宋体" w:cs="宋体"/>
          <w:b/>
          <w:bCs/>
          <w:sz w:val="24"/>
          <w:szCs w:val="24"/>
          <w:highlight w:val="none"/>
        </w:rPr>
        <w:t>组织的政府采购活动，并予以通报。</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政府采购合同履行中，采购人需追加与合同标的相同的服务的，在不改变合同其他条款的前提下，可以与供应商协商签订补充合同，但所有补充合同的采购金额不得超过原合同采购金额的百分之十。</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六、询问、质疑、投诉和诚实信用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8</w:t>
      </w:r>
      <w:r>
        <w:rPr>
          <w:rFonts w:hint="eastAsia" w:ascii="宋体" w:hAnsi="宋体" w:eastAsia="宋体" w:cs="宋体"/>
          <w:b/>
          <w:bCs/>
          <w:sz w:val="24"/>
          <w:szCs w:val="24"/>
          <w:highlight w:val="none"/>
        </w:rPr>
        <w:t>.询问</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8</w:t>
      </w:r>
      <w:r>
        <w:rPr>
          <w:rFonts w:hint="eastAsia" w:ascii="宋体" w:hAnsi="宋体" w:eastAsia="宋体" w:cs="宋体"/>
          <w:sz w:val="24"/>
          <w:szCs w:val="24"/>
          <w:highlight w:val="none"/>
        </w:rPr>
        <w:t>.1供应商对招标活动事项有疑问的，可以依法向采购代理机构、采购人提出询问，采购人、采购代理机构在三个工作日内对供应商依法提出的询问作出答复，但答复的内容不涉及商业秘密</w:t>
      </w:r>
      <w:r>
        <w:rPr>
          <w:rFonts w:hint="eastAsia" w:ascii="宋体" w:hAnsi="宋体" w:eastAsia="宋体" w:cs="宋体"/>
          <w:bCs/>
          <w:sz w:val="24"/>
          <w:szCs w:val="24"/>
          <w:highlight w:val="none"/>
        </w:rPr>
        <w:t>。</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rPr>
        <w:t>9</w:t>
      </w:r>
      <w:r>
        <w:rPr>
          <w:rFonts w:hint="eastAsia" w:ascii="宋体" w:hAnsi="宋体" w:eastAsia="宋体" w:cs="宋体"/>
          <w:b/>
          <w:bCs/>
          <w:sz w:val="24"/>
          <w:szCs w:val="24"/>
          <w:highlight w:val="none"/>
        </w:rPr>
        <w:t>、质疑</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.1供应商认为采购文件、采购过程、中标结果使自己的权益受到损害的，可以在知道或者应知其权益受到损害之日起</w:t>
      </w:r>
      <w:r>
        <w:rPr>
          <w:rFonts w:hint="eastAsia" w:ascii="宋体" w:hAnsi="宋体" w:eastAsia="宋体" w:cs="宋体"/>
          <w:b/>
          <w:bCs/>
          <w:sz w:val="24"/>
          <w:szCs w:val="24"/>
          <w:highlight w:val="none"/>
        </w:rPr>
        <w:t>七个工作日内</w:t>
      </w:r>
      <w:r>
        <w:rPr>
          <w:rFonts w:hint="eastAsia" w:ascii="宋体" w:hAnsi="宋体" w:eastAsia="宋体" w:cs="宋体"/>
          <w:sz w:val="24"/>
          <w:szCs w:val="24"/>
          <w:highlight w:val="none"/>
        </w:rPr>
        <w:t>，以</w:t>
      </w:r>
      <w:r>
        <w:rPr>
          <w:rFonts w:hint="eastAsia" w:ascii="宋体" w:hAnsi="宋体" w:eastAsia="宋体" w:cs="宋体"/>
          <w:b/>
          <w:bCs/>
          <w:sz w:val="24"/>
          <w:szCs w:val="24"/>
          <w:highlight w:val="none"/>
        </w:rPr>
        <w:t>书面形式</w:t>
      </w:r>
      <w:r>
        <w:rPr>
          <w:rFonts w:hint="eastAsia" w:ascii="宋体" w:hAnsi="宋体" w:eastAsia="宋体" w:cs="宋体"/>
          <w:sz w:val="24"/>
          <w:szCs w:val="24"/>
          <w:highlight w:val="none"/>
        </w:rPr>
        <w:t>向采购人、采购代理机构提出质疑。供应商应在法定质疑期内一次性提出针对同一采购程序环节的质疑。</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29.2质疑文件接收信息：</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（1）接收单位：采购代理机构</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（2）联系人：</w:t>
      </w:r>
      <w:r>
        <w:rPr>
          <w:rFonts w:hint="eastAsia" w:ascii="宋体" w:hAnsi="宋体" w:eastAsia="宋体" w:cs="宋体"/>
          <w:sz w:val="24"/>
          <w:szCs w:val="24"/>
          <w:highlight w:val="none"/>
          <w:lang w:val="en-US" w:eastAsia="zh-CN"/>
        </w:rPr>
        <w:t>朱工</w:t>
      </w:r>
    </w:p>
    <w:p>
      <w:pPr>
        <w:keepNext w:val="0"/>
        <w:keepLines w:val="0"/>
        <w:pageBreakBefore w:val="0"/>
        <w:kinsoku/>
        <w:wordWrap/>
        <w:overflowPunct/>
        <w:topLinePunct w:val="0"/>
        <w:bidi w:val="0"/>
        <w:snapToGrid/>
        <w:spacing w:line="300" w:lineRule="auto"/>
        <w:ind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（3）联系电话：</w:t>
      </w:r>
      <w:r>
        <w:rPr>
          <w:rFonts w:hint="eastAsia" w:ascii="宋体" w:hAnsi="宋体" w:eastAsia="宋体" w:cs="宋体"/>
          <w:color w:val="auto"/>
          <w:sz w:val="24"/>
          <w:szCs w:val="24"/>
          <w:highlight w:val="none"/>
          <w:u w:val="none"/>
          <w:lang w:val="en-US" w:eastAsia="zh-CN"/>
        </w:rPr>
        <w:t>18351873212</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（4）联系邮箱：</w:t>
      </w:r>
      <w:r>
        <w:rPr>
          <w:rFonts w:hint="eastAsia" w:ascii="宋体" w:hAnsi="宋体" w:eastAsia="宋体" w:cs="宋体"/>
          <w:sz w:val="24"/>
          <w:szCs w:val="24"/>
          <w:highlight w:val="none"/>
          <w:lang w:val="en-US" w:eastAsia="zh-CN"/>
        </w:rPr>
        <w:t xml:space="preserve">qgc666@126.com </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（5）接收地址：</w:t>
      </w:r>
      <w:r>
        <w:rPr>
          <w:rFonts w:hint="eastAsia" w:ascii="宋体" w:hAnsi="宋体" w:eastAsia="宋体" w:cs="宋体"/>
          <w:sz w:val="24"/>
          <w:szCs w:val="24"/>
          <w:highlight w:val="none"/>
          <w:lang w:val="en-US" w:eastAsia="zh-CN"/>
        </w:rPr>
        <w:t>南京市雨花台区长虹路222号德盈国际广场3栋205室</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（6）邮编：2100</w:t>
      </w:r>
      <w:r>
        <w:rPr>
          <w:rFonts w:hint="eastAsia" w:ascii="宋体" w:hAnsi="宋体" w:eastAsia="宋体" w:cs="宋体"/>
          <w:sz w:val="24"/>
          <w:szCs w:val="24"/>
          <w:highlight w:val="none"/>
          <w:lang w:val="en-US" w:eastAsia="zh-CN"/>
        </w:rPr>
        <w:t>00</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质疑文件应包括以下主要内容，并按照“谁主张、谁举证”的原则，附上相关证明材料。否则，采购代理机构不予受理：</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）质疑供应商的姓名或者名称、地址、邮编、联系人及联系电话；</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）质疑项目的名称、编号、公告发布时间、开标时间</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）具体、明确的质疑事项和与质疑事项相关的请求；</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）事实依据；</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）必要的法律依据；</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）提出质疑的日期。</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7</w:t>
      </w:r>
      <w:r>
        <w:rPr>
          <w:rFonts w:hint="eastAsia" w:ascii="宋体" w:hAnsi="宋体" w:eastAsia="宋体" w:cs="宋体"/>
          <w:sz w:val="24"/>
          <w:szCs w:val="24"/>
          <w:highlight w:val="none"/>
        </w:rPr>
        <w:t>）质疑供应商可以委托代理人进行质疑和投诉。其授权委托书应当载明代理人的姓名或者名称、代理事项、具体权限、期限和相关事项，代理人提出质疑和投诉，应当提交质疑供应商签署的授权委托书。</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8</w:t>
      </w:r>
      <w:r>
        <w:rPr>
          <w:rFonts w:hint="eastAsia" w:ascii="宋体" w:hAnsi="宋体" w:eastAsia="宋体" w:cs="宋体"/>
          <w:sz w:val="24"/>
          <w:szCs w:val="24"/>
          <w:highlight w:val="none"/>
        </w:rPr>
        <w:t>）质疑供应商为自然人的，应当由本人签字；供应商为法人或者其他组织的，应当由法定代表人、主要负责人，或者其授权代表签字或者盖章，并加盖公章。</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质疑的供应商是参与所质疑项目采购活动的供应商；对采购文件提出质疑的，应自供应商获得采购文件之日起计算，且应当在投标截止之日前提出；对采购过程提出质疑的，自采购程序环节结束之日起计算；对中标结果提出质疑的，自中标结果公告期限届满之日起计算。</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供应商提出的询问或者质疑超出采购人对采购代理机构委托授权范围的，供应商应向采购人提出。</w:t>
      </w:r>
    </w:p>
    <w:p>
      <w:pPr>
        <w:keepNext w:val="0"/>
        <w:keepLines w:val="0"/>
        <w:pageBreakBefore w:val="0"/>
        <w:widowControl/>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6</w:t>
      </w: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政府采购活动正常进行的，属于严重不良行为，采购代理机构将提请财政部门将其列入不良行为记录名单，并依法予以处罚。</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7采购</w:t>
      </w:r>
      <w:r>
        <w:rPr>
          <w:rFonts w:hint="eastAsia" w:ascii="宋体" w:hAnsi="宋体" w:eastAsia="宋体" w:cs="宋体"/>
          <w:sz w:val="24"/>
          <w:szCs w:val="24"/>
          <w:highlight w:val="none"/>
        </w:rPr>
        <w:t>代理机构在收到供应商的书面质疑后将及时组织调查核实，在七个工作日内作出答复，并以书面或电子邮件形式通知质疑供应商和其他有关供应商，答复的内容不涉及商业秘密。采购代理机构遵循“谁过错谁负担”的原则，有过错的一方承担调查论证费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rPr>
        <w:t>30</w:t>
      </w:r>
      <w:r>
        <w:rPr>
          <w:rFonts w:hint="eastAsia" w:ascii="宋体" w:hAnsi="宋体" w:eastAsia="宋体" w:cs="宋体"/>
          <w:b/>
          <w:bCs/>
          <w:sz w:val="24"/>
          <w:szCs w:val="24"/>
          <w:highlight w:val="none"/>
        </w:rPr>
        <w:t>、投诉</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30</w:t>
      </w:r>
      <w:r>
        <w:rPr>
          <w:rFonts w:hint="eastAsia" w:ascii="宋体" w:hAnsi="宋体" w:eastAsia="宋体" w:cs="宋体"/>
          <w:sz w:val="24"/>
          <w:szCs w:val="24"/>
          <w:highlight w:val="none"/>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rPr>
        <w:t>1</w:t>
      </w:r>
      <w:r>
        <w:rPr>
          <w:rFonts w:hint="eastAsia" w:ascii="宋体" w:hAnsi="宋体" w:eastAsia="宋体" w:cs="宋体"/>
          <w:b/>
          <w:bCs/>
          <w:sz w:val="24"/>
          <w:szCs w:val="24"/>
          <w:highlight w:val="none"/>
        </w:rPr>
        <w:t>、诚实信用</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.1供应商之间不得相互串通投标报价，不得妨碍其他供应商的公平竞争，不得损害采购人和其他供应商的合法权益。</w:t>
      </w:r>
    </w:p>
    <w:p>
      <w:pPr>
        <w:keepNext w:val="0"/>
        <w:keepLines w:val="0"/>
        <w:pageBreakBefore w:val="0"/>
        <w:kinsoku/>
        <w:wordWrap/>
        <w:overflowPunct/>
        <w:topLinePunct w:val="0"/>
        <w:autoSpaceDE w:val="0"/>
        <w:autoSpaceDN w:val="0"/>
        <w:bidi w:val="0"/>
        <w:adjustRightInd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2供应商不得以向采购代理机构工作人员、评标委员会成员行贿或者采取其他不正当手段谋取中标。经查实供应商有此行为的，政府采购监督管理部门将供应商列入不良行为记录名单，按照政府采购法有关规定处理。</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供应商不得虚假承诺，否则，按照提供虚假材料谋取中标成交处理。</w:t>
      </w:r>
    </w:p>
    <w:p>
      <w:pPr>
        <w:keepNext w:val="0"/>
        <w:keepLines w:val="0"/>
        <w:pageBreakBefore w:val="0"/>
        <w:kinsoku/>
        <w:wordWrap/>
        <w:overflowPunct/>
        <w:topLinePunct w:val="0"/>
        <w:bidi w:val="0"/>
        <w:snapToGrid/>
        <w:spacing w:line="30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供应商应自觉遵守开标、评标纪律，扰乱开标评标现场秩序的，属于失信行为，根据《南京市政府采购供应商信用管理工作暂行办法》、《江苏省政府采购供应商监督管理暂行办法》，失信行为将被记入供应商诚信档案。</w:t>
      </w:r>
    </w:p>
    <w:p>
      <w:pPr>
        <w:pStyle w:val="3"/>
        <w:bidi w:val="0"/>
        <w:jc w:val="center"/>
        <w:rPr>
          <w:rFonts w:hint="eastAsia" w:ascii="宋体" w:hAnsi="宋体" w:eastAsia="宋体" w:cs="宋体"/>
          <w:highlight w:val="none"/>
          <w:lang w:val="zh-CN" w:eastAsia="zh-CN"/>
        </w:rPr>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bidi w:val="0"/>
        <w:rPr>
          <w:rFonts w:hint="eastAsia" w:ascii="宋体" w:hAnsi="宋体" w:eastAsia="宋体" w:cs="宋体"/>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三</w:t>
      </w:r>
      <w:r>
        <w:rPr>
          <w:rFonts w:hint="eastAsia" w:ascii="宋体" w:hAnsi="宋体" w:eastAsia="宋体" w:cs="宋体"/>
          <w:highlight w:val="none"/>
        </w:rPr>
        <w:t>章评标标准</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2、磋商小组应当根据报价情况，按照评审得分由高到低顺序推荐成交候选供应商，并编写评审报告。磋商小组会对所有合格供应商二次报价进行单一磋商，最终报价以第二次报价为准。</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5、采购人或者采购代理机构应当在成交供应商确定后2个工作日内，在财政部门指定的政府采购信息发布媒体上公告成交结果，同时向成交供应商发出成交通知书，并将磋商文件随成交结果同时公告。</w:t>
      </w:r>
    </w:p>
    <w:p>
      <w:pPr>
        <w:tabs>
          <w:tab w:val="left" w:pos="216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6、采购人与成交供应商应当在成交通知书发出之日起30日内，按照磋商文件确定的合同文本以及服务要求等事项签订政府采购合同。</w:t>
      </w: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p>
      <w:pPr>
        <w:pStyle w:val="23"/>
        <w:spacing w:line="360" w:lineRule="auto"/>
        <w:rPr>
          <w:rFonts w:hint="eastAsia" w:ascii="宋体" w:hAnsi="宋体" w:eastAsia="宋体" w:cs="宋体"/>
          <w:sz w:val="24"/>
          <w:szCs w:val="24"/>
          <w:highlight w:val="none"/>
        </w:rPr>
      </w:pPr>
    </w:p>
    <w:tbl>
      <w:tblPr>
        <w:tblStyle w:val="18"/>
        <w:tblpPr w:leftFromText="180" w:rightFromText="180" w:vertAnchor="text" w:horzAnchor="page" w:tblpX="1301" w:tblpY="360"/>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692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69"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序号</w:t>
            </w:r>
          </w:p>
        </w:tc>
        <w:tc>
          <w:tcPr>
            <w:tcW w:w="1133"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评分因素</w:t>
            </w:r>
          </w:p>
        </w:tc>
        <w:tc>
          <w:tcPr>
            <w:tcW w:w="6924"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评审标准</w:t>
            </w:r>
          </w:p>
        </w:tc>
        <w:tc>
          <w:tcPr>
            <w:tcW w:w="1069"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669"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1</w:t>
            </w:r>
          </w:p>
        </w:tc>
        <w:tc>
          <w:tcPr>
            <w:tcW w:w="1133" w:type="dxa"/>
            <w:noWrap w:val="0"/>
            <w:vAlign w:val="center"/>
          </w:tcPr>
          <w:p>
            <w:pPr>
              <w:widowControl/>
              <w:jc w:val="center"/>
              <w:rPr>
                <w:rFonts w:hint="eastAsia" w:ascii="宋体" w:hAnsi="宋体" w:eastAsia="宋体" w:cs="宋体"/>
                <w:bCs/>
                <w:kern w:val="2"/>
                <w:szCs w:val="21"/>
                <w:highlight w:val="none"/>
              </w:rPr>
            </w:pPr>
            <w:r>
              <w:rPr>
                <w:rFonts w:hint="eastAsia" w:ascii="宋体" w:hAnsi="宋体" w:eastAsia="宋体" w:cs="宋体"/>
                <w:bCs/>
                <w:kern w:val="2"/>
                <w:szCs w:val="21"/>
                <w:highlight w:val="none"/>
              </w:rPr>
              <w:t>价格</w:t>
            </w:r>
          </w:p>
        </w:tc>
        <w:tc>
          <w:tcPr>
            <w:tcW w:w="6924" w:type="dxa"/>
            <w:noWrap w:val="0"/>
            <w:vAlign w:val="center"/>
          </w:tcPr>
          <w:p>
            <w:pPr>
              <w:jc w:val="left"/>
              <w:rPr>
                <w:rFonts w:hint="eastAsia" w:ascii="宋体" w:hAnsi="宋体" w:eastAsia="宋体" w:cs="Times New Roman"/>
                <w:bCs/>
                <w:kern w:val="2"/>
                <w:szCs w:val="21"/>
                <w:highlight w:val="none"/>
              </w:rPr>
            </w:pPr>
            <w:r>
              <w:rPr>
                <w:rFonts w:hint="eastAsia" w:ascii="宋体" w:hAnsi="宋体" w:eastAsia="宋体" w:cs="Times New Roman"/>
                <w:bCs/>
                <w:kern w:val="2"/>
                <w:szCs w:val="21"/>
                <w:highlight w:val="none"/>
              </w:rPr>
              <w:t>采用低价优先法计算，即满足招标文件要求且投标价格最低的投标报价为评标基准价，其价格分为满分。</w:t>
            </w:r>
          </w:p>
          <w:p>
            <w:pPr>
              <w:widowControl/>
              <w:rPr>
                <w:rFonts w:hint="eastAsia" w:ascii="宋体" w:hAnsi="宋体" w:eastAsia="宋体" w:cs="宋体"/>
                <w:bCs/>
                <w:kern w:val="2"/>
                <w:szCs w:val="21"/>
                <w:highlight w:val="none"/>
                <w:lang w:eastAsia="zh-CN"/>
              </w:rPr>
            </w:pPr>
            <w:r>
              <w:rPr>
                <w:rFonts w:hint="eastAsia" w:ascii="宋体" w:hAnsi="宋体" w:eastAsia="宋体" w:cs="Times New Roman"/>
                <w:bCs/>
                <w:kern w:val="2"/>
                <w:szCs w:val="21"/>
                <w:highlight w:val="none"/>
              </w:rPr>
              <w:t>其他供应商的价格分按照下列公式计算（小数点保留两位）：投标报价得分=(评标基准价／投标报价)×</w:t>
            </w:r>
            <w:r>
              <w:rPr>
                <w:rFonts w:hint="eastAsia" w:ascii="宋体" w:hAnsi="宋体" w:eastAsia="宋体" w:cs="Times New Roman"/>
                <w:bCs/>
                <w:kern w:val="2"/>
                <w:szCs w:val="21"/>
                <w:highlight w:val="none"/>
                <w:lang w:val="en-US" w:eastAsia="zh-CN"/>
              </w:rPr>
              <w:t>50</w:t>
            </w:r>
          </w:p>
        </w:tc>
        <w:tc>
          <w:tcPr>
            <w:tcW w:w="1069" w:type="dxa"/>
            <w:noWrap w:val="0"/>
            <w:vAlign w:val="center"/>
          </w:tcPr>
          <w:p>
            <w:pPr>
              <w:widowControl/>
              <w:jc w:val="center"/>
              <w:rPr>
                <w:rFonts w:hint="eastAsia" w:ascii="宋体" w:hAnsi="宋体" w:eastAsia="宋体" w:cs="宋体"/>
                <w:bCs/>
                <w:kern w:val="2"/>
                <w:szCs w:val="21"/>
                <w:highlight w:val="none"/>
                <w:lang w:eastAsia="zh-CN"/>
              </w:rPr>
            </w:pPr>
            <w:r>
              <w:rPr>
                <w:rFonts w:hint="eastAsia" w:ascii="宋体" w:hAnsi="宋体" w:eastAsia="宋体" w:cs="宋体"/>
                <w:bCs/>
                <w:kern w:val="2"/>
                <w:szCs w:val="21"/>
                <w:highlight w:val="none"/>
                <w:lang w:val="en-US" w:eastAsia="zh-CN"/>
              </w:rPr>
              <w:t>50</w:t>
            </w:r>
          </w:p>
        </w:tc>
      </w:tr>
    </w:tbl>
    <w:tbl>
      <w:tblPr>
        <w:tblStyle w:val="18"/>
        <w:tblpPr w:leftFromText="180" w:rightFromText="180" w:vertAnchor="text" w:horzAnchor="page" w:tblpX="1301" w:tblpY="1951"/>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33"/>
        <w:gridCol w:w="6924"/>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Merge w:val="restart"/>
            <w:noWrap w:val="0"/>
            <w:vAlign w:val="center"/>
          </w:tcPr>
          <w:p>
            <w:pPr>
              <w:widowControl/>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2</w:t>
            </w:r>
          </w:p>
        </w:tc>
        <w:tc>
          <w:tcPr>
            <w:tcW w:w="1133" w:type="dxa"/>
            <w:vMerge w:val="restart"/>
            <w:noWrap w:val="0"/>
            <w:vAlign w:val="center"/>
          </w:tcPr>
          <w:p>
            <w:pPr>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服务方案</w:t>
            </w:r>
          </w:p>
        </w:tc>
        <w:tc>
          <w:tcPr>
            <w:tcW w:w="6924" w:type="dxa"/>
            <w:noWrap w:val="0"/>
            <w:vAlign w:val="center"/>
          </w:tcPr>
          <w:p>
            <w:pPr>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1）针对本项目管理的总体设想：</w:t>
            </w:r>
          </w:p>
          <w:p>
            <w:pPr>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针对本项目理解透彻、思路清晰、管理总体设想全面完善，科学合理、可行性强，综合评定优秀的得</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分；针对本项目理解较透彻、管理总体设想较全面完善、可行性较强，综合评定良好的得</w:t>
            </w:r>
            <w:r>
              <w:rPr>
                <w:rFonts w:hint="eastAsia" w:ascii="宋体" w:hAnsi="宋体" w:eastAsia="宋体" w:cs="宋体"/>
                <w:bCs/>
                <w:color w:val="auto"/>
                <w:kern w:val="2"/>
                <w:szCs w:val="21"/>
                <w:highlight w:val="none"/>
                <w:lang w:val="en-US" w:eastAsia="zh-CN"/>
              </w:rPr>
              <w:t>3</w:t>
            </w:r>
            <w:r>
              <w:rPr>
                <w:rFonts w:hint="eastAsia" w:ascii="宋体" w:hAnsi="宋体" w:eastAsia="宋体" w:cs="宋体"/>
                <w:bCs/>
                <w:color w:val="auto"/>
                <w:kern w:val="2"/>
                <w:szCs w:val="21"/>
                <w:highlight w:val="none"/>
              </w:rPr>
              <w:t>分；针对本项目理解、管理总体设想不够全面、可行性一般，综合评定一般的得</w:t>
            </w:r>
            <w:r>
              <w:rPr>
                <w:rFonts w:hint="eastAsia" w:ascii="宋体" w:hAnsi="宋体" w:eastAsia="宋体" w:cs="宋体"/>
                <w:bCs/>
                <w:color w:val="auto"/>
                <w:kern w:val="2"/>
                <w:szCs w:val="21"/>
                <w:highlight w:val="none"/>
                <w:lang w:val="en-US" w:eastAsia="zh-CN"/>
              </w:rPr>
              <w:t>1</w:t>
            </w:r>
            <w:r>
              <w:rPr>
                <w:rFonts w:hint="eastAsia" w:ascii="宋体" w:hAnsi="宋体" w:eastAsia="宋体" w:cs="宋体"/>
                <w:bCs/>
                <w:color w:val="auto"/>
                <w:kern w:val="2"/>
                <w:szCs w:val="21"/>
                <w:highlight w:val="none"/>
              </w:rPr>
              <w:t>分。其余不得分。</w:t>
            </w:r>
          </w:p>
        </w:tc>
        <w:tc>
          <w:tcPr>
            <w:tcW w:w="1069" w:type="dxa"/>
            <w:noWrap w:val="0"/>
            <w:vAlign w:val="center"/>
          </w:tcPr>
          <w:p>
            <w:pPr>
              <w:adjustRightInd w:val="0"/>
              <w:snapToGrid w:val="0"/>
              <w:jc w:val="center"/>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669" w:type="dxa"/>
            <w:vMerge w:val="continue"/>
            <w:noWrap w:val="0"/>
            <w:vAlign w:val="center"/>
          </w:tcPr>
          <w:p>
            <w:pPr>
              <w:widowControl/>
              <w:jc w:val="center"/>
              <w:rPr>
                <w:rFonts w:hint="eastAsia" w:ascii="宋体" w:hAnsi="宋体" w:eastAsia="宋体" w:cs="宋体"/>
                <w:bCs/>
                <w:color w:val="auto"/>
                <w:kern w:val="2"/>
                <w:szCs w:val="21"/>
                <w:highlight w:val="none"/>
              </w:rPr>
            </w:pPr>
          </w:p>
        </w:tc>
        <w:tc>
          <w:tcPr>
            <w:tcW w:w="1133" w:type="dxa"/>
            <w:vMerge w:val="continue"/>
            <w:noWrap w:val="0"/>
            <w:vAlign w:val="center"/>
          </w:tcPr>
          <w:p>
            <w:pPr>
              <w:jc w:val="center"/>
              <w:rPr>
                <w:rFonts w:hint="eastAsia" w:ascii="宋体" w:hAnsi="宋体" w:eastAsia="宋体" w:cs="宋体"/>
                <w:bCs/>
                <w:color w:val="auto"/>
                <w:kern w:val="2"/>
                <w:szCs w:val="21"/>
                <w:highlight w:val="none"/>
              </w:rPr>
            </w:pPr>
          </w:p>
        </w:tc>
        <w:tc>
          <w:tcPr>
            <w:tcW w:w="6924" w:type="dxa"/>
            <w:noWrap w:val="0"/>
            <w:vAlign w:val="center"/>
          </w:tcPr>
          <w:p>
            <w:pP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2）管理服务体系：</w:t>
            </w:r>
          </w:p>
          <w:p>
            <w:pP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管理服务体系完善、程序规范、措施有效扎实、责任明确、可操作性强、相关人员职责清晰的得5分；方案完善度较好、程序规范较强、措施有效性较强、责任明确较好、可操作性较强、相关人员职责清晰度较好的得3分；方案完善度一般、程序规范一般、措施有效性一般、责任明确一般、可操作性一般、相关人员职责清晰度一般的得1分。其余不得分。</w:t>
            </w:r>
          </w:p>
        </w:tc>
        <w:tc>
          <w:tcPr>
            <w:tcW w:w="1069" w:type="dxa"/>
            <w:noWrap w:val="0"/>
            <w:vAlign w:val="center"/>
          </w:tcPr>
          <w:p>
            <w:pPr>
              <w:jc w:val="center"/>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669" w:type="dxa"/>
            <w:vMerge w:val="continue"/>
            <w:noWrap w:val="0"/>
            <w:vAlign w:val="center"/>
          </w:tcPr>
          <w:p>
            <w:pPr>
              <w:widowControl/>
              <w:jc w:val="center"/>
              <w:rPr>
                <w:rFonts w:hint="eastAsia" w:ascii="宋体" w:hAnsi="宋体" w:eastAsia="宋体" w:cs="宋体"/>
                <w:bCs/>
                <w:color w:val="auto"/>
                <w:kern w:val="2"/>
                <w:szCs w:val="21"/>
                <w:highlight w:val="none"/>
              </w:rPr>
            </w:pPr>
          </w:p>
        </w:tc>
        <w:tc>
          <w:tcPr>
            <w:tcW w:w="1133" w:type="dxa"/>
            <w:vMerge w:val="continue"/>
            <w:noWrap w:val="0"/>
            <w:vAlign w:val="center"/>
          </w:tcPr>
          <w:p>
            <w:pPr>
              <w:jc w:val="center"/>
              <w:rPr>
                <w:rFonts w:hint="eastAsia" w:ascii="宋体" w:hAnsi="宋体" w:eastAsia="宋体" w:cs="宋体"/>
                <w:bCs/>
                <w:color w:val="auto"/>
                <w:kern w:val="2"/>
                <w:szCs w:val="21"/>
                <w:highlight w:val="none"/>
              </w:rPr>
            </w:pPr>
          </w:p>
        </w:tc>
        <w:tc>
          <w:tcPr>
            <w:tcW w:w="6924" w:type="dxa"/>
            <w:noWrap w:val="0"/>
            <w:vAlign w:val="center"/>
          </w:tcPr>
          <w:p>
            <w:pPr>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3）岗前培训及阶段性培训管理方案：</w:t>
            </w:r>
          </w:p>
          <w:p>
            <w:pPr>
              <w:jc w:val="left"/>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方案完善、程序规范、措施有效扎实、责任明确、可操作性强、相关人员职责清晰的得</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分；方案完善度较好、程序规范较强、措施有效性较强、责任明确较好、可操作性较强、相关人员职责清晰度较好的得</w:t>
            </w:r>
            <w:r>
              <w:rPr>
                <w:rFonts w:hint="eastAsia" w:ascii="宋体" w:hAnsi="宋体" w:eastAsia="宋体" w:cs="宋体"/>
                <w:bCs/>
                <w:color w:val="auto"/>
                <w:kern w:val="2"/>
                <w:szCs w:val="21"/>
                <w:highlight w:val="none"/>
                <w:lang w:val="en-US" w:eastAsia="zh-CN"/>
              </w:rPr>
              <w:t>3</w:t>
            </w:r>
            <w:r>
              <w:rPr>
                <w:rFonts w:hint="eastAsia" w:ascii="宋体" w:hAnsi="宋体" w:eastAsia="宋体" w:cs="宋体"/>
                <w:bCs/>
                <w:color w:val="auto"/>
                <w:kern w:val="2"/>
                <w:szCs w:val="21"/>
                <w:highlight w:val="none"/>
              </w:rPr>
              <w:t>分；方案完善度一般、程序规范一般、措施有效性一般、责任明确一般、可操作性一般、相关人员职责清晰度一般的得</w:t>
            </w:r>
            <w:r>
              <w:rPr>
                <w:rFonts w:hint="eastAsia" w:ascii="宋体" w:hAnsi="宋体" w:eastAsia="宋体" w:cs="宋体"/>
                <w:bCs/>
                <w:color w:val="auto"/>
                <w:kern w:val="2"/>
                <w:szCs w:val="21"/>
                <w:highlight w:val="none"/>
                <w:lang w:val="en-US" w:eastAsia="zh-CN"/>
              </w:rPr>
              <w:t>1</w:t>
            </w:r>
            <w:r>
              <w:rPr>
                <w:rFonts w:hint="eastAsia" w:ascii="宋体" w:hAnsi="宋体" w:eastAsia="宋体" w:cs="宋体"/>
                <w:bCs/>
                <w:color w:val="auto"/>
                <w:kern w:val="2"/>
                <w:szCs w:val="21"/>
                <w:highlight w:val="none"/>
              </w:rPr>
              <w:t>分。其余不得分。</w:t>
            </w:r>
          </w:p>
        </w:tc>
        <w:tc>
          <w:tcPr>
            <w:tcW w:w="1069" w:type="dxa"/>
            <w:noWrap w:val="0"/>
            <w:vAlign w:val="center"/>
          </w:tcPr>
          <w:p>
            <w:pPr>
              <w:widowControl/>
              <w:jc w:val="center"/>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669" w:type="dxa"/>
            <w:vMerge w:val="continue"/>
            <w:noWrap w:val="0"/>
            <w:vAlign w:val="center"/>
          </w:tcPr>
          <w:p>
            <w:pPr>
              <w:widowControl/>
              <w:jc w:val="center"/>
              <w:rPr>
                <w:rFonts w:hint="eastAsia" w:ascii="宋体" w:hAnsi="宋体" w:eastAsia="宋体" w:cs="宋体"/>
                <w:bCs/>
                <w:color w:val="auto"/>
                <w:kern w:val="2"/>
                <w:szCs w:val="21"/>
                <w:highlight w:val="none"/>
              </w:rPr>
            </w:pPr>
          </w:p>
        </w:tc>
        <w:tc>
          <w:tcPr>
            <w:tcW w:w="1133" w:type="dxa"/>
            <w:vMerge w:val="continue"/>
            <w:noWrap w:val="0"/>
            <w:vAlign w:val="center"/>
          </w:tcPr>
          <w:p>
            <w:pPr>
              <w:jc w:val="center"/>
              <w:rPr>
                <w:rFonts w:hint="eastAsia" w:ascii="宋体" w:hAnsi="宋体" w:eastAsia="宋体" w:cs="宋体"/>
                <w:bCs/>
                <w:color w:val="auto"/>
                <w:kern w:val="2"/>
                <w:szCs w:val="21"/>
                <w:highlight w:val="none"/>
              </w:rPr>
            </w:pPr>
          </w:p>
        </w:tc>
        <w:tc>
          <w:tcPr>
            <w:tcW w:w="6924" w:type="dxa"/>
            <w:noWrap w:val="0"/>
            <w:vAlign w:val="top"/>
          </w:tcPr>
          <w:p>
            <w:pPr>
              <w:jc w:val="left"/>
              <w:rPr>
                <w:rFonts w:hint="eastAsia" w:ascii="Calibri" w:hAnsi="Calibri" w:eastAsia="宋体" w:cs="Times New Roman"/>
                <w:bCs/>
                <w:color w:val="auto"/>
                <w:kern w:val="2"/>
                <w:szCs w:val="24"/>
                <w:highlight w:val="none"/>
              </w:rPr>
            </w:pPr>
            <w:r>
              <w:rPr>
                <w:rFonts w:hint="eastAsia" w:ascii="Calibri" w:hAnsi="Calibri" w:eastAsia="宋体" w:cs="Times New Roman"/>
                <w:bCs/>
                <w:color w:val="auto"/>
                <w:kern w:val="2"/>
                <w:szCs w:val="24"/>
                <w:highlight w:val="none"/>
              </w:rPr>
              <w:t>4）日常管理标准及措施整体方案：</w:t>
            </w:r>
          </w:p>
          <w:p>
            <w:pPr>
              <w:jc w:val="left"/>
              <w:rPr>
                <w:rFonts w:ascii="Calibri" w:hAnsi="Calibri" w:eastAsia="宋体" w:cs="Times New Roman"/>
                <w:bCs/>
                <w:color w:val="auto"/>
                <w:kern w:val="2"/>
                <w:szCs w:val="24"/>
                <w:highlight w:val="none"/>
              </w:rPr>
            </w:pPr>
            <w:r>
              <w:rPr>
                <w:rFonts w:hint="eastAsia" w:ascii="Calibri" w:hAnsi="Calibri" w:eastAsia="宋体" w:cs="Times New Roman"/>
                <w:bCs/>
                <w:color w:val="auto"/>
                <w:kern w:val="2"/>
                <w:szCs w:val="24"/>
                <w:highlight w:val="none"/>
              </w:rPr>
              <w:t>日常管理标准及措施整体方案全面完善、科学合理、响应维护运行服务速度快、操作人员安全培训计划针对性强的得5分；方案完善度较好、程序规范较强、措施有效性较强、责任明确较好、可操作性较强、相关人员职责清晰度较好的得3分；方案全面完善一般、科学合理一般、响应维护运行服务速度一般、操作人员安全培训计划针对性一般的得1分。其余不得分。</w:t>
            </w:r>
          </w:p>
        </w:tc>
        <w:tc>
          <w:tcPr>
            <w:tcW w:w="1069" w:type="dxa"/>
            <w:noWrap w:val="0"/>
            <w:vAlign w:val="center"/>
          </w:tcPr>
          <w:p>
            <w:pPr>
              <w:widowControl/>
              <w:jc w:val="center"/>
              <w:rPr>
                <w:rFonts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69" w:type="dxa"/>
            <w:noWrap w:val="0"/>
            <w:vAlign w:val="center"/>
          </w:tcPr>
          <w:p>
            <w:pPr>
              <w:adjustRightInd w:val="0"/>
              <w:snapToGrid w:val="0"/>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3</w:t>
            </w:r>
          </w:p>
        </w:tc>
        <w:tc>
          <w:tcPr>
            <w:tcW w:w="1133" w:type="dxa"/>
            <w:noWrap w:val="0"/>
            <w:vAlign w:val="center"/>
          </w:tcPr>
          <w:p>
            <w:pPr>
              <w:adjustRightInd w:val="0"/>
              <w:snapToGrid w:val="0"/>
              <w:jc w:val="center"/>
              <w:rPr>
                <w:rFonts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人员配置</w:t>
            </w:r>
          </w:p>
        </w:tc>
        <w:tc>
          <w:tcPr>
            <w:tcW w:w="6924" w:type="dxa"/>
            <w:noWrap w:val="0"/>
            <w:vAlign w:val="center"/>
          </w:tcPr>
          <w:p>
            <w:pPr>
              <w:widowControl w:val="0"/>
              <w:spacing w:line="240" w:lineRule="auto"/>
              <w:ind w:firstLine="0" w:firstLineChars="0"/>
              <w:jc w:val="both"/>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1）现场负责人具有大专及以上学历</w:t>
            </w:r>
            <w:r>
              <w:rPr>
                <w:rFonts w:hint="eastAsia" w:ascii="宋体" w:hAnsi="宋体" w:eastAsia="宋体" w:cs="宋体"/>
                <w:bCs/>
                <w:color w:val="auto"/>
                <w:kern w:val="2"/>
                <w:szCs w:val="21"/>
                <w:highlight w:val="none"/>
                <w:lang w:val="en-US" w:eastAsia="zh-CN"/>
              </w:rPr>
              <w:t>的</w:t>
            </w:r>
            <w:r>
              <w:rPr>
                <w:rFonts w:hint="eastAsia" w:ascii="宋体" w:hAnsi="宋体" w:eastAsia="宋体" w:cs="宋体"/>
                <w:bCs/>
                <w:color w:val="auto"/>
                <w:kern w:val="2"/>
                <w:szCs w:val="21"/>
                <w:highlight w:val="none"/>
              </w:rPr>
              <w:t>得</w:t>
            </w:r>
            <w:r>
              <w:rPr>
                <w:rFonts w:hint="eastAsia" w:ascii="宋体" w:hAnsi="宋体" w:eastAsia="宋体" w:cs="宋体"/>
                <w:bCs/>
                <w:color w:val="auto"/>
                <w:kern w:val="2"/>
                <w:szCs w:val="21"/>
                <w:highlight w:val="none"/>
                <w:lang w:val="en-US" w:eastAsia="zh-CN"/>
              </w:rPr>
              <w:t>2</w:t>
            </w:r>
            <w:r>
              <w:rPr>
                <w:rFonts w:hint="eastAsia" w:ascii="宋体" w:hAnsi="宋体" w:eastAsia="宋体" w:cs="宋体"/>
                <w:bCs/>
                <w:color w:val="auto"/>
                <w:kern w:val="2"/>
                <w:szCs w:val="21"/>
                <w:highlight w:val="none"/>
              </w:rPr>
              <w:t xml:space="preserve">分；具有项目经理证书的得 </w:t>
            </w:r>
            <w:r>
              <w:rPr>
                <w:rFonts w:hint="eastAsia" w:ascii="宋体" w:hAnsi="宋体" w:eastAsia="宋体" w:cs="宋体"/>
                <w:bCs/>
                <w:color w:val="auto"/>
                <w:kern w:val="2"/>
                <w:szCs w:val="21"/>
                <w:highlight w:val="none"/>
                <w:lang w:val="en-US" w:eastAsia="zh-CN"/>
              </w:rPr>
              <w:t>3</w:t>
            </w:r>
            <w:r>
              <w:rPr>
                <w:rFonts w:hint="eastAsia" w:ascii="宋体" w:hAnsi="宋体" w:eastAsia="宋体" w:cs="宋体"/>
                <w:bCs/>
                <w:color w:val="auto"/>
                <w:kern w:val="2"/>
                <w:szCs w:val="21"/>
                <w:highlight w:val="none"/>
              </w:rPr>
              <w:t xml:space="preserve"> 分；（响应文件中须提供相关证书复印件并加盖公章及近半年任意 1 个月在本单位交纳社保证明复印件加盖公章）；</w:t>
            </w:r>
          </w:p>
          <w:p>
            <w:pPr>
              <w:widowControl w:val="0"/>
              <w:spacing w:line="240" w:lineRule="auto"/>
              <w:ind w:firstLine="0" w:firstLineChars="0"/>
              <w:jc w:val="both"/>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2）其他服务人员年龄55周岁以下，并持有健康证，有一个得</w:t>
            </w:r>
            <w:r>
              <w:rPr>
                <w:rFonts w:hint="eastAsia" w:ascii="宋体" w:hAnsi="宋体" w:eastAsia="宋体" w:cs="宋体"/>
                <w:bCs/>
                <w:color w:val="auto"/>
                <w:kern w:val="2"/>
                <w:szCs w:val="21"/>
                <w:highlight w:val="none"/>
                <w:lang w:val="en-US" w:eastAsia="zh-CN"/>
              </w:rPr>
              <w:t>2</w:t>
            </w:r>
            <w:r>
              <w:rPr>
                <w:rFonts w:hint="eastAsia" w:ascii="宋体" w:hAnsi="宋体" w:eastAsia="宋体" w:cs="宋体"/>
                <w:bCs/>
                <w:color w:val="auto"/>
                <w:kern w:val="2"/>
                <w:szCs w:val="21"/>
                <w:highlight w:val="none"/>
              </w:rPr>
              <w:t>分，最高得10分。</w:t>
            </w:r>
          </w:p>
          <w:p>
            <w:pPr>
              <w:widowControl w:val="0"/>
              <w:spacing w:line="240" w:lineRule="auto"/>
              <w:ind w:firstLine="0" w:firstLineChars="0"/>
              <w:jc w:val="both"/>
              <w:rPr>
                <w:rFonts w:hint="eastAsia" w:ascii="Calibri" w:hAnsi="Calibri" w:eastAsia="宋体" w:cs="宋体"/>
                <w:bCs/>
                <w:color w:val="auto"/>
                <w:kern w:val="0"/>
                <w:sz w:val="21"/>
                <w:szCs w:val="21"/>
                <w:highlight w:val="none"/>
                <w:lang w:val="en-US" w:eastAsia="zh-CN" w:bidi="ar-SA"/>
              </w:rPr>
            </w:pPr>
            <w:r>
              <w:rPr>
                <w:rFonts w:hint="eastAsia" w:ascii="宋体" w:hAnsi="宋体" w:eastAsia="宋体" w:cs="宋体"/>
                <w:bCs/>
                <w:color w:val="auto"/>
                <w:kern w:val="2"/>
                <w:szCs w:val="21"/>
                <w:highlight w:val="none"/>
              </w:rPr>
              <w:t>（响应文件中须提供有效的身份证和健康证复印件并加盖公章，否则不得分）。</w:t>
            </w:r>
          </w:p>
        </w:tc>
        <w:tc>
          <w:tcPr>
            <w:tcW w:w="1069" w:type="dxa"/>
            <w:noWrap w:val="0"/>
            <w:vAlign w:val="center"/>
          </w:tcPr>
          <w:p>
            <w:pPr>
              <w:adjustRightInd w:val="0"/>
              <w:snapToGrid w:val="0"/>
              <w:jc w:val="center"/>
              <w:rPr>
                <w:rFonts w:hint="default" w:ascii="宋体" w:hAnsi="宋体" w:eastAsia="宋体" w:cs="宋体"/>
                <w:bCs/>
                <w:color w:val="auto"/>
                <w:kern w:val="2"/>
                <w:szCs w:val="21"/>
                <w:highlight w:val="none"/>
                <w:lang w:val="en-US" w:eastAsia="zh-CN"/>
              </w:rPr>
            </w:pPr>
            <w:r>
              <w:rPr>
                <w:rFonts w:hint="eastAsia" w:ascii="宋体" w:hAnsi="宋体" w:eastAsia="宋体" w:cs="宋体"/>
                <w:bCs/>
                <w:color w:val="auto"/>
                <w:kern w:val="2"/>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69" w:type="dxa"/>
            <w:noWrap w:val="0"/>
            <w:vAlign w:val="center"/>
          </w:tcPr>
          <w:p>
            <w:pPr>
              <w:widowControl/>
              <w:jc w:val="center"/>
              <w:rPr>
                <w:rFonts w:hint="eastAsia" w:ascii="宋体" w:hAnsi="宋体" w:eastAsia="宋体" w:cs="宋体"/>
                <w:bCs/>
                <w:color w:val="auto"/>
                <w:kern w:val="2"/>
                <w:szCs w:val="21"/>
                <w:highlight w:val="none"/>
                <w:lang w:eastAsia="zh-CN"/>
              </w:rPr>
            </w:pPr>
            <w:r>
              <w:rPr>
                <w:rFonts w:hint="eastAsia" w:ascii="宋体" w:hAnsi="宋体" w:eastAsia="宋体" w:cs="宋体"/>
                <w:bCs/>
                <w:color w:val="auto"/>
                <w:kern w:val="2"/>
                <w:szCs w:val="21"/>
                <w:highlight w:val="none"/>
                <w:lang w:val="en-US" w:eastAsia="zh-CN"/>
              </w:rPr>
              <w:t>4</w:t>
            </w:r>
          </w:p>
        </w:tc>
        <w:tc>
          <w:tcPr>
            <w:tcW w:w="1133" w:type="dxa"/>
            <w:noWrap w:val="0"/>
            <w:vAlign w:val="center"/>
          </w:tcPr>
          <w:p>
            <w:pPr>
              <w:jc w:val="center"/>
              <w:rPr>
                <w:rFonts w:hint="eastAsia"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业绩</w:t>
            </w:r>
          </w:p>
        </w:tc>
        <w:tc>
          <w:tcPr>
            <w:tcW w:w="6924" w:type="dxa"/>
            <w:noWrap w:val="0"/>
            <w:vAlign w:val="center"/>
          </w:tcPr>
          <w:p>
            <w:pPr>
              <w:widowControl w:val="0"/>
              <w:spacing w:line="240" w:lineRule="auto"/>
              <w:ind w:firstLine="0" w:firstLineChars="0"/>
              <w:jc w:val="both"/>
              <w:rPr>
                <w:rFonts w:hint="eastAsia" w:ascii="Calibri" w:hAnsi="Calibri" w:eastAsia="宋体" w:cs="宋体"/>
                <w:bCs/>
                <w:color w:val="auto"/>
                <w:kern w:val="0"/>
                <w:sz w:val="21"/>
                <w:szCs w:val="21"/>
                <w:highlight w:val="none"/>
                <w:lang w:val="en-US" w:eastAsia="zh-CN" w:bidi="ar-SA"/>
              </w:rPr>
            </w:pPr>
            <w:r>
              <w:rPr>
                <w:rFonts w:hint="eastAsia" w:ascii="宋体" w:hAnsi="宋体" w:eastAsia="宋体" w:cs="宋体"/>
                <w:bCs/>
                <w:color w:val="auto"/>
                <w:kern w:val="2"/>
                <w:szCs w:val="21"/>
                <w:highlight w:val="none"/>
              </w:rPr>
              <w:t>供应商自2022年6月1日以来具有</w:t>
            </w:r>
            <w:r>
              <w:rPr>
                <w:rFonts w:hint="eastAsia" w:ascii="宋体" w:hAnsi="宋体" w:eastAsia="宋体" w:cs="宋体"/>
                <w:bCs/>
                <w:color w:val="auto"/>
                <w:kern w:val="2"/>
                <w:szCs w:val="21"/>
                <w:highlight w:val="none"/>
                <w:lang w:val="en-US" w:eastAsia="zh-CN"/>
              </w:rPr>
              <w:t>类似</w:t>
            </w:r>
            <w:r>
              <w:rPr>
                <w:rFonts w:hint="eastAsia" w:ascii="宋体" w:hAnsi="宋体" w:eastAsia="宋体" w:cs="宋体"/>
                <w:bCs/>
                <w:color w:val="auto"/>
                <w:kern w:val="2"/>
                <w:szCs w:val="21"/>
                <w:highlight w:val="none"/>
              </w:rPr>
              <w:t>项目业绩的，每提供一个得</w:t>
            </w:r>
            <w:r>
              <w:rPr>
                <w:rFonts w:hint="eastAsia" w:ascii="宋体" w:hAnsi="宋体" w:eastAsia="宋体" w:cs="宋体"/>
                <w:bCs/>
                <w:color w:val="auto"/>
                <w:kern w:val="2"/>
                <w:szCs w:val="21"/>
                <w:highlight w:val="none"/>
                <w:lang w:val="en-US" w:eastAsia="zh-CN"/>
              </w:rPr>
              <w:t>5</w:t>
            </w:r>
            <w:r>
              <w:rPr>
                <w:rFonts w:hint="eastAsia" w:ascii="宋体" w:hAnsi="宋体" w:eastAsia="宋体" w:cs="宋体"/>
                <w:bCs/>
                <w:color w:val="auto"/>
                <w:kern w:val="2"/>
                <w:szCs w:val="21"/>
                <w:highlight w:val="none"/>
              </w:rPr>
              <w:t>分，本项目最高得</w:t>
            </w:r>
            <w:r>
              <w:rPr>
                <w:rFonts w:hint="eastAsia" w:ascii="宋体" w:hAnsi="宋体" w:eastAsia="宋体" w:cs="宋体"/>
                <w:bCs/>
                <w:color w:val="auto"/>
                <w:kern w:val="2"/>
                <w:szCs w:val="21"/>
                <w:highlight w:val="none"/>
                <w:lang w:val="en-US" w:eastAsia="zh-CN"/>
              </w:rPr>
              <w:t>15</w:t>
            </w:r>
            <w:r>
              <w:rPr>
                <w:rFonts w:hint="eastAsia" w:ascii="宋体" w:hAnsi="宋体" w:eastAsia="宋体" w:cs="宋体"/>
                <w:bCs/>
                <w:color w:val="auto"/>
                <w:kern w:val="2"/>
                <w:szCs w:val="21"/>
                <w:highlight w:val="none"/>
              </w:rPr>
              <w:t>分。【以合同签订日期为准，提供有效合同复印件并加盖公章，同一服务单位证明不重复得分，不提供不得分】</w:t>
            </w:r>
          </w:p>
        </w:tc>
        <w:tc>
          <w:tcPr>
            <w:tcW w:w="1069" w:type="dxa"/>
            <w:noWrap w:val="0"/>
            <w:vAlign w:val="center"/>
          </w:tcPr>
          <w:p>
            <w:pPr>
              <w:widowControl/>
              <w:jc w:val="center"/>
              <w:rPr>
                <w:rFonts w:hint="default" w:ascii="宋体" w:hAnsi="宋体" w:eastAsia="宋体" w:cs="宋体"/>
                <w:bCs/>
                <w:color w:val="auto"/>
                <w:kern w:val="2"/>
                <w:szCs w:val="21"/>
                <w:highlight w:val="none"/>
                <w:lang w:val="en-US" w:eastAsia="zh-CN"/>
              </w:rPr>
            </w:pPr>
            <w:r>
              <w:rPr>
                <w:rFonts w:hint="eastAsia" w:ascii="宋体" w:hAnsi="宋体" w:eastAsia="宋体" w:cs="宋体"/>
                <w:bCs/>
                <w:color w:val="auto"/>
                <w:kern w:val="2"/>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02" w:type="dxa"/>
            <w:gridSpan w:val="2"/>
            <w:noWrap w:val="0"/>
            <w:vAlign w:val="center"/>
          </w:tcPr>
          <w:p>
            <w:pPr>
              <w:jc w:val="center"/>
              <w:rPr>
                <w:rFonts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合计</w:t>
            </w:r>
          </w:p>
        </w:tc>
        <w:tc>
          <w:tcPr>
            <w:tcW w:w="6924" w:type="dxa"/>
            <w:noWrap w:val="0"/>
            <w:vAlign w:val="center"/>
          </w:tcPr>
          <w:p>
            <w:pPr>
              <w:widowControl w:val="0"/>
              <w:spacing w:line="240" w:lineRule="auto"/>
              <w:ind w:firstLine="0" w:firstLineChars="0"/>
              <w:jc w:val="both"/>
              <w:rPr>
                <w:rFonts w:hint="eastAsia" w:ascii="Calibri" w:hAnsi="Calibri" w:eastAsia="宋体" w:cs="宋体"/>
                <w:bCs/>
                <w:color w:val="auto"/>
                <w:kern w:val="0"/>
                <w:sz w:val="21"/>
                <w:szCs w:val="21"/>
                <w:highlight w:val="none"/>
                <w:lang w:val="en-US" w:eastAsia="zh-CN" w:bidi="ar-SA"/>
              </w:rPr>
            </w:pPr>
          </w:p>
        </w:tc>
        <w:tc>
          <w:tcPr>
            <w:tcW w:w="1069" w:type="dxa"/>
            <w:noWrap w:val="0"/>
            <w:vAlign w:val="center"/>
          </w:tcPr>
          <w:p>
            <w:pPr>
              <w:widowControl/>
              <w:jc w:val="center"/>
              <w:rPr>
                <w:rFonts w:ascii="宋体" w:hAnsi="宋体" w:eastAsia="宋体" w:cs="宋体"/>
                <w:bCs/>
                <w:color w:val="auto"/>
                <w:kern w:val="2"/>
                <w:szCs w:val="21"/>
                <w:highlight w:val="none"/>
              </w:rPr>
            </w:pPr>
            <w:r>
              <w:rPr>
                <w:rFonts w:hint="eastAsia" w:ascii="宋体" w:hAnsi="宋体" w:eastAsia="宋体" w:cs="宋体"/>
                <w:bCs/>
                <w:color w:val="auto"/>
                <w:kern w:val="2"/>
                <w:szCs w:val="21"/>
                <w:highlight w:val="none"/>
              </w:rPr>
              <w:t>100分</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对国家认定的节能产品和环保产品分别给予投标价的5%价格扣除，用扣除后的价格参与评审（特别说明：节能、环保产品必须纳入“中国政府采购网http://www.ccgp.gov.cn”等官方网站“节能、环保产品查询系统”，且以提供的证书复印件为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2、小微企业的价格扣除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2.1.对小微企业生产的产品给予投标价的10%价格扣除，用扣除后的价格参与评审。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小企业（含小型、微型企业）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2.3小企业（含小型、微型企业）应当同时符合以下条件：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（1）供应商为小企业，且符合中小企业划分标准；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（2）提供本企业制造的货物、承担的工程或者服务，或者提供其他小企业制造的货物。如果提供的货物为大中型企业注册商标的货物，视同大中型企业。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3、监狱和戒毒企业的价格扣除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（1）本项目对监狱和戒毒企业（简称监狱企业）视同小型、微型企业，给予10%的价格扣除，用扣除后的价格参与评审。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（2）监狱企业需提供由省级以上监狱管理局、戒毒管理局（含新疆生产建设兵团）出具的属于监狱企业的证明文件。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（3）监狱企业标准请参照《关于政府采购支持监狱企业发展有关问题的通知》（财库〔2014〕68号）。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4、残疾人福利性单位的价格扣除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（1）本项目对残疾人福利性单位视同小型、微型企业，给予10%的价格扣除，用扣除后的价格参与评审。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（2）残疾人福利单位需按照磋商文件的要求提供《残疾人福利性单位声明函》。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（3）残疾人福利单位标准请参照《关于促进残疾人就业政府采购政策的通知》（财库〔2017〕141号）。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5、监狱企业、残疾人福利单位属于小型、微型企业的，不重复享受政策。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6、评标委员会不保证有效报价最低的供应商成交。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7、所有认证、证明和业绩均以有效的证明文件的复印件为依据（要求提供原件的除外）。</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8、如果评审分数畸高、畸低的，应详细说明理由。</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9、若供应商提供虚假资料，一经查实作无效文件处理。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上述评分办法均以磋商文件、评委的判断为准。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numPr>
          <w:ilvl w:val="0"/>
          <w:numId w:val="3"/>
        </w:numPr>
        <w:bidi w:val="0"/>
        <w:jc w:val="center"/>
        <w:rPr>
          <w:rFonts w:hint="eastAsia" w:ascii="宋体" w:hAnsi="宋体" w:eastAsia="宋体" w:cs="宋体"/>
          <w:highlight w:val="none"/>
        </w:rPr>
      </w:pPr>
      <w:r>
        <w:rPr>
          <w:rFonts w:hint="eastAsia" w:ascii="宋体" w:hAnsi="宋体" w:eastAsia="宋体" w:cs="宋体"/>
          <w:highlight w:val="none"/>
        </w:rPr>
        <w:t>采购项目需求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项目概况：</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项目名称：南京市秦淮区红花社区卫生服务中心物业服务项目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w:t>
      </w:r>
      <w:r>
        <w:rPr>
          <w:rFonts w:hint="eastAsia" w:ascii="宋体" w:hAnsi="宋体" w:eastAsia="宋体" w:cs="宋体"/>
          <w:sz w:val="24"/>
          <w:szCs w:val="24"/>
          <w:highlight w:val="none"/>
          <w:lang w:val="en-US" w:eastAsia="zh-CN"/>
        </w:rPr>
        <w:t xml:space="preserve">2年，具体时间以合同签订为准。 </w:t>
      </w:r>
    </w:p>
    <w:p>
      <w:pPr>
        <w:pStyle w:val="22"/>
        <w:numPr>
          <w:ilvl w:val="0"/>
          <w:numId w:val="4"/>
        </w:numPr>
        <w:spacing w:line="360" w:lineRule="auto"/>
        <w:ind w:left="0" w:leftChars="0" w:firstLine="0" w:firstLineChars="0"/>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服务内容和标准</w:t>
      </w:r>
    </w:p>
    <w:p>
      <w:pPr>
        <w:pStyle w:val="24"/>
        <w:numPr>
          <w:ilvl w:val="0"/>
          <w:numId w:val="6"/>
        </w:numPr>
        <w:tabs>
          <w:tab w:val="left" w:pos="709"/>
        </w:tabs>
        <w:ind w:firstLineChars="0"/>
        <w:outlineLvl w:val="1"/>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物业</w:t>
      </w:r>
      <w:r>
        <w:rPr>
          <w:rFonts w:hint="eastAsia" w:ascii="宋体" w:hAnsi="宋体" w:eastAsia="宋体" w:cs="宋体"/>
          <w:b/>
          <w:bCs/>
          <w:color w:val="000000"/>
          <w:sz w:val="24"/>
          <w:szCs w:val="24"/>
        </w:rPr>
        <w:t>服务标准</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清洁管理无盲点；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管理服务范围保持环境整洁，环境垃圾日产日清；</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合理调整垃圾桶，每日清运。</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物业人员应统一着装，佩带胸牌、仪容仪表整洁端庄；</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zh-CN"/>
        </w:rPr>
        <w:t>操作规范化、管理科学化；</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zh-CN"/>
        </w:rPr>
        <w:t>适时、及时、准时进行保洁服务；</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7.</w:t>
      </w:r>
      <w:r>
        <w:rPr>
          <w:rFonts w:hint="eastAsia" w:ascii="宋体" w:hAnsi="宋体" w:eastAsia="宋体" w:cs="宋体"/>
          <w:sz w:val="24"/>
          <w:szCs w:val="24"/>
          <w:lang w:val="zh-CN"/>
        </w:rPr>
        <w:t>爱护物业各项设施及财物；</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8.</w:t>
      </w:r>
      <w:r>
        <w:rPr>
          <w:rFonts w:hint="eastAsia" w:ascii="宋体" w:hAnsi="宋体" w:eastAsia="宋体" w:cs="宋体"/>
          <w:sz w:val="24"/>
          <w:szCs w:val="24"/>
          <w:lang w:val="zh-CN"/>
        </w:rPr>
        <w:t>及时处理垃圾、废弃物分类按指定地点安放；</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9.</w:t>
      </w:r>
      <w:r>
        <w:rPr>
          <w:rFonts w:hint="eastAsia" w:ascii="宋体" w:hAnsi="宋体" w:eastAsia="宋体" w:cs="宋体"/>
          <w:sz w:val="24"/>
          <w:szCs w:val="24"/>
          <w:lang w:val="zh-CN"/>
        </w:rPr>
        <w:t>节约用电、用水；</w:t>
      </w:r>
    </w:p>
    <w:p>
      <w:pPr>
        <w:pStyle w:val="24"/>
        <w:numPr>
          <w:ilvl w:val="0"/>
          <w:numId w:val="6"/>
        </w:numPr>
        <w:tabs>
          <w:tab w:val="left" w:pos="709"/>
        </w:tabs>
        <w:ind w:firstLineChars="0"/>
        <w:outlineLvl w:val="1"/>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物业</w:t>
      </w:r>
      <w:r>
        <w:rPr>
          <w:rFonts w:hint="eastAsia" w:ascii="宋体" w:hAnsi="宋体" w:eastAsia="宋体" w:cs="宋体"/>
          <w:b/>
          <w:bCs/>
          <w:color w:val="000000"/>
          <w:sz w:val="24"/>
          <w:szCs w:val="24"/>
        </w:rPr>
        <w:t>服务流程</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（7：00-8：00）拖扫门厅，走道，楼梯，冲洗开水间、卫生间等。 </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（8：00-9：00）清洁走道玻璃。</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（9：00-10：30）再次打扫，保持卫生区域的清洁，进行空气消毒。</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（13：30-14：30）拖扫门厅，走道等卫生区域。</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（15：30-16：30）垃圾清运人员收送垃圾（生活垃圾）至垃圾站，分类处理。医用垃圾送指定地点。</w:t>
      </w:r>
    </w:p>
    <w:p>
      <w:pPr>
        <w:pStyle w:val="24"/>
        <w:numPr>
          <w:ilvl w:val="0"/>
          <w:numId w:val="6"/>
        </w:numPr>
        <w:tabs>
          <w:tab w:val="left" w:pos="709"/>
        </w:tabs>
        <w:ind w:firstLineChars="0"/>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以环境保护为目的，预防交叉感染，特作以下物料，工具，消毒液使用规定。</w:t>
      </w:r>
    </w:p>
    <w:p>
      <w:pPr>
        <w:spacing w:after="240" w:afterLines="100"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1、垃圾袋使用规定</w:t>
      </w:r>
    </w:p>
    <w:tbl>
      <w:tblPr>
        <w:tblStyle w:val="18"/>
        <w:tblW w:w="0" w:type="auto"/>
        <w:jc w:val="center"/>
        <w:tblLayout w:type="fixed"/>
        <w:tblCellMar>
          <w:top w:w="0" w:type="dxa"/>
          <w:left w:w="108" w:type="dxa"/>
          <w:bottom w:w="0" w:type="dxa"/>
          <w:right w:w="108" w:type="dxa"/>
        </w:tblCellMar>
      </w:tblPr>
      <w:tblGrid>
        <w:gridCol w:w="3898"/>
        <w:gridCol w:w="4624"/>
      </w:tblGrid>
      <w:tr>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品      名</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垃圾袋颜色</w:t>
            </w:r>
          </w:p>
        </w:tc>
      </w:tr>
      <w:tr>
        <w:tblPrEx>
          <w:tblCellMar>
            <w:top w:w="0" w:type="dxa"/>
            <w:left w:w="108" w:type="dxa"/>
            <w:bottom w:w="0" w:type="dxa"/>
            <w:right w:w="108" w:type="dxa"/>
          </w:tblCellMar>
        </w:tblPrEx>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医用垃圾</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黄色垃圾袋</w:t>
            </w:r>
          </w:p>
        </w:tc>
      </w:tr>
      <w:tr>
        <w:tblPrEx>
          <w:tblCellMar>
            <w:top w:w="0" w:type="dxa"/>
            <w:left w:w="108" w:type="dxa"/>
            <w:bottom w:w="0" w:type="dxa"/>
            <w:right w:w="108" w:type="dxa"/>
          </w:tblCellMar>
        </w:tblPrEx>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生活垃圾</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黑色垃圾袋</w:t>
            </w:r>
          </w:p>
        </w:tc>
      </w:tr>
    </w:tbl>
    <w:p>
      <w:pPr>
        <w:spacing w:after="240" w:afterLines="100"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2、卫生工具使用规定</w:t>
      </w:r>
    </w:p>
    <w:tbl>
      <w:tblPr>
        <w:tblStyle w:val="18"/>
        <w:tblW w:w="0" w:type="auto"/>
        <w:jc w:val="center"/>
        <w:tblLayout w:type="fixed"/>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rPr>
          <w:jc w:val="center"/>
        </w:trPr>
        <w:tc>
          <w:tcPr>
            <w:tcW w:w="284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名    称</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区    域</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标    记</w:t>
            </w:r>
          </w:p>
        </w:tc>
      </w:tr>
      <w:tr>
        <w:tblPrEx>
          <w:tblCellMar>
            <w:top w:w="0" w:type="dxa"/>
            <w:left w:w="108" w:type="dxa"/>
            <w:bottom w:w="0" w:type="dxa"/>
            <w:right w:w="108" w:type="dxa"/>
          </w:tblCellMar>
        </w:tblPrEx>
        <w:trPr>
          <w:trHeight w:val="452" w:hRule="atLeast"/>
          <w:jc w:val="center"/>
        </w:trPr>
        <w:tc>
          <w:tcPr>
            <w:tcW w:w="2840" w:type="dxa"/>
            <w:vMerge w:val="restart"/>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p>
          <w:p>
            <w:pPr>
              <w:spacing w:line="500" w:lineRule="exact"/>
              <w:jc w:val="center"/>
              <w:rPr>
                <w:rFonts w:hint="eastAsia" w:ascii="宋体" w:hAnsi="宋体" w:eastAsia="宋体" w:cs="宋体"/>
                <w:sz w:val="24"/>
                <w:szCs w:val="24"/>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抢救室、处置室、公共走道楼梯等</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红色标记</w:t>
            </w:r>
          </w:p>
        </w:tc>
      </w:tr>
      <w:tr>
        <w:tblPrEx>
          <w:tblCellMar>
            <w:top w:w="0" w:type="dxa"/>
            <w:left w:w="108" w:type="dxa"/>
            <w:bottom w:w="0" w:type="dxa"/>
            <w:right w:w="108" w:type="dxa"/>
          </w:tblCellMar>
        </w:tblPrEx>
        <w:trPr>
          <w:trHeight w:val="736" w:hRule="atLeast"/>
          <w:jc w:val="center"/>
        </w:trPr>
        <w:tc>
          <w:tcPr>
            <w:tcW w:w="2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卫生间</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黑色标记</w:t>
            </w:r>
          </w:p>
        </w:tc>
      </w:tr>
      <w:tr>
        <w:tblPrEx>
          <w:tblCellMar>
            <w:top w:w="0" w:type="dxa"/>
            <w:left w:w="108" w:type="dxa"/>
            <w:bottom w:w="0" w:type="dxa"/>
            <w:right w:w="108" w:type="dxa"/>
          </w:tblCellMar>
        </w:tblPrEx>
        <w:trPr>
          <w:trHeight w:val="670" w:hRule="atLeast"/>
          <w:jc w:val="center"/>
        </w:trPr>
        <w:tc>
          <w:tcPr>
            <w:tcW w:w="28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办公区域</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蓝色标记</w:t>
            </w:r>
          </w:p>
        </w:tc>
      </w:tr>
    </w:tbl>
    <w:p>
      <w:pPr>
        <w:tabs>
          <w:tab w:val="left" w:pos="709"/>
        </w:tabs>
        <w:outlineLvl w:val="1"/>
        <w:rPr>
          <w:rFonts w:hint="eastAsia" w:ascii="宋体" w:hAnsi="宋体" w:eastAsia="宋体" w:cs="宋体"/>
          <w:color w:val="000000"/>
          <w:sz w:val="24"/>
          <w:szCs w:val="24"/>
          <w:highlight w:val="none"/>
        </w:rPr>
      </w:pPr>
    </w:p>
    <w:p>
      <w:pPr>
        <w:pStyle w:val="24"/>
        <w:numPr>
          <w:ilvl w:val="0"/>
          <w:numId w:val="6"/>
        </w:numPr>
        <w:tabs>
          <w:tab w:val="left" w:pos="709"/>
        </w:tabs>
        <w:ind w:firstLineChars="0"/>
        <w:outlineLvl w:val="1"/>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eastAsia="zh-CN"/>
        </w:rPr>
        <w:t>物业</w:t>
      </w:r>
      <w:r>
        <w:rPr>
          <w:rFonts w:hint="eastAsia" w:ascii="宋体" w:hAnsi="宋体" w:eastAsia="宋体" w:cs="宋体"/>
          <w:b/>
          <w:bCs/>
          <w:color w:val="000000"/>
          <w:sz w:val="24"/>
          <w:szCs w:val="24"/>
          <w:highlight w:val="none"/>
        </w:rPr>
        <w:t>服务内容</w:t>
      </w:r>
    </w:p>
    <w:p>
      <w:pPr>
        <w:spacing w:line="50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1、</w:t>
      </w:r>
      <w:r>
        <w:rPr>
          <w:rFonts w:hint="eastAsia" w:ascii="宋体" w:hAnsi="宋体" w:cs="宋体"/>
          <w:b/>
          <w:bCs/>
          <w:sz w:val="24"/>
          <w:szCs w:val="24"/>
          <w:highlight w:val="none"/>
          <w:lang w:val="zh-CN"/>
        </w:rPr>
        <w:t>物业服务工作</w:t>
      </w:r>
      <w:r>
        <w:rPr>
          <w:rFonts w:hint="eastAsia" w:ascii="宋体" w:hAnsi="宋体" w:eastAsia="宋体" w:cs="宋体"/>
          <w:b/>
          <w:bCs/>
          <w:sz w:val="24"/>
          <w:szCs w:val="24"/>
          <w:highlight w:val="none"/>
          <w:lang w:val="zh-CN"/>
        </w:rPr>
        <w:t>范围及人员配置表</w:t>
      </w:r>
      <w:r>
        <w:rPr>
          <w:rFonts w:hint="eastAsia" w:ascii="宋体" w:hAnsi="宋体" w:cs="宋体"/>
          <w:b/>
          <w:bCs/>
          <w:sz w:val="24"/>
          <w:szCs w:val="24"/>
          <w:highlight w:val="none"/>
          <w:lang w:val="zh-CN"/>
        </w:rPr>
        <w:t>）</w:t>
      </w:r>
    </w:p>
    <w:tbl>
      <w:tblPr>
        <w:tblStyle w:val="18"/>
        <w:tblW w:w="8522" w:type="dxa"/>
        <w:jc w:val="center"/>
        <w:tblLayout w:type="fixed"/>
        <w:tblCellMar>
          <w:top w:w="0" w:type="dxa"/>
          <w:left w:w="108" w:type="dxa"/>
          <w:bottom w:w="0" w:type="dxa"/>
          <w:right w:w="108" w:type="dxa"/>
        </w:tblCellMar>
      </w:tblPr>
      <w:tblGrid>
        <w:gridCol w:w="3767"/>
        <w:gridCol w:w="2010"/>
        <w:gridCol w:w="2745"/>
      </w:tblGrid>
      <w:tr>
        <w:tblPrEx>
          <w:tblCellMar>
            <w:top w:w="0" w:type="dxa"/>
            <w:left w:w="108" w:type="dxa"/>
            <w:bottom w:w="0" w:type="dxa"/>
            <w:right w:w="108" w:type="dxa"/>
          </w:tblCellMar>
        </w:tblPrEx>
        <w:trPr>
          <w:jc w:val="center"/>
        </w:trPr>
        <w:tc>
          <w:tcPr>
            <w:tcW w:w="37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cs="宋体"/>
                <w:b/>
                <w:bCs/>
                <w:sz w:val="24"/>
                <w:szCs w:val="24"/>
                <w:highlight w:val="none"/>
                <w:lang w:val="zh-CN"/>
              </w:rPr>
              <w:t>物业服务</w:t>
            </w:r>
            <w:r>
              <w:rPr>
                <w:rFonts w:hint="eastAsia" w:ascii="宋体" w:hAnsi="宋体" w:eastAsia="宋体" w:cs="宋体"/>
                <w:b/>
                <w:bCs/>
                <w:sz w:val="24"/>
                <w:szCs w:val="24"/>
                <w:highlight w:val="none"/>
                <w:lang w:val="zh-CN"/>
              </w:rPr>
              <w:t>区域</w:t>
            </w:r>
          </w:p>
        </w:tc>
        <w:tc>
          <w:tcPr>
            <w:tcW w:w="20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人员配置</w:t>
            </w:r>
          </w:p>
        </w:tc>
        <w:tc>
          <w:tcPr>
            <w:tcW w:w="274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人数（名）</w:t>
            </w:r>
          </w:p>
        </w:tc>
      </w:tr>
      <w:tr>
        <w:tblPrEx>
          <w:tblCellMar>
            <w:top w:w="0" w:type="dxa"/>
            <w:left w:w="108" w:type="dxa"/>
            <w:bottom w:w="0" w:type="dxa"/>
            <w:right w:w="108" w:type="dxa"/>
          </w:tblCellMar>
        </w:tblPrEx>
        <w:trPr>
          <w:trHeight w:val="1135" w:hRule="atLeast"/>
          <w:jc w:val="center"/>
        </w:trPr>
        <w:tc>
          <w:tcPr>
            <w:tcW w:w="37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zh-CN"/>
              </w:rPr>
              <w:t>明匙路中心（</w:t>
            </w:r>
            <w:r>
              <w:rPr>
                <w:rFonts w:hint="eastAsia" w:ascii="宋体" w:hAnsi="宋体" w:eastAsia="宋体" w:cs="宋体"/>
                <w:sz w:val="24"/>
                <w:szCs w:val="24"/>
              </w:rPr>
              <w:t>1—7楼</w:t>
            </w:r>
            <w:r>
              <w:rPr>
                <w:rFonts w:hint="eastAsia" w:ascii="宋体" w:hAnsi="宋体" w:eastAsia="宋体" w:cs="宋体"/>
                <w:sz w:val="24"/>
                <w:szCs w:val="24"/>
                <w:lang w:val="zh-CN"/>
              </w:rPr>
              <w:t>）、辅助用房及院落、</w:t>
            </w:r>
            <w:r>
              <w:rPr>
                <w:rFonts w:hint="eastAsia" w:ascii="宋体" w:hAnsi="宋体" w:eastAsia="宋体" w:cs="宋体"/>
                <w:sz w:val="24"/>
                <w:szCs w:val="24"/>
              </w:rPr>
              <w:t>门卫</w:t>
            </w:r>
          </w:p>
        </w:tc>
        <w:tc>
          <w:tcPr>
            <w:tcW w:w="20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274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CellMar>
            <w:top w:w="0" w:type="dxa"/>
            <w:left w:w="108" w:type="dxa"/>
            <w:bottom w:w="0" w:type="dxa"/>
            <w:right w:w="108" w:type="dxa"/>
          </w:tblCellMar>
        </w:tblPrEx>
        <w:trPr>
          <w:trHeight w:val="90" w:hRule="atLeast"/>
          <w:jc w:val="center"/>
        </w:trPr>
        <w:tc>
          <w:tcPr>
            <w:tcW w:w="376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rPr>
              <w:t>工作服收发清洗及双桥站的取送血样（含部分药品和物资）</w:t>
            </w:r>
          </w:p>
        </w:tc>
        <w:tc>
          <w:tcPr>
            <w:tcW w:w="20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274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CellMar>
            <w:top w:w="0" w:type="dxa"/>
            <w:left w:w="108" w:type="dxa"/>
            <w:bottom w:w="0" w:type="dxa"/>
            <w:right w:w="108" w:type="dxa"/>
          </w:tblCellMar>
        </w:tblPrEx>
        <w:trPr>
          <w:jc w:val="center"/>
        </w:trPr>
        <w:tc>
          <w:tcPr>
            <w:tcW w:w="3767"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双桥站辅助用房及院落</w:t>
            </w:r>
          </w:p>
        </w:tc>
        <w:tc>
          <w:tcPr>
            <w:tcW w:w="2010"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2745"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1</w:t>
            </w:r>
          </w:p>
        </w:tc>
      </w:tr>
      <w:tr>
        <w:tblPrEx>
          <w:tblCellMar>
            <w:top w:w="0" w:type="dxa"/>
            <w:left w:w="108" w:type="dxa"/>
            <w:bottom w:w="0" w:type="dxa"/>
            <w:right w:w="108" w:type="dxa"/>
          </w:tblCellMar>
        </w:tblPrEx>
        <w:trPr>
          <w:trHeight w:val="225" w:hRule="atLeast"/>
          <w:jc w:val="center"/>
        </w:trPr>
        <w:tc>
          <w:tcPr>
            <w:tcW w:w="3767" w:type="dxa"/>
            <w:tcBorders>
              <w:top w:val="single" w:color="auto" w:sz="4"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cs="宋体"/>
                <w:sz w:val="24"/>
                <w:szCs w:val="24"/>
                <w:lang w:val="zh-CN"/>
              </w:rPr>
              <w:t>汇景和园医疗点、汇景家园医疗点</w:t>
            </w:r>
          </w:p>
        </w:tc>
        <w:tc>
          <w:tcPr>
            <w:tcW w:w="2010" w:type="dxa"/>
            <w:tcBorders>
              <w:top w:val="single" w:color="auto" w:sz="4"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2745" w:type="dxa"/>
            <w:tcBorders>
              <w:top w:val="single" w:color="auto" w:sz="4" w:space="0"/>
              <w:left w:val="single" w:color="auto" w:sz="6" w:space="0"/>
              <w:bottom w:val="single" w:color="auto" w:sz="4"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rPr>
              <w:t>1</w:t>
            </w:r>
          </w:p>
        </w:tc>
      </w:tr>
      <w:tr>
        <w:tblPrEx>
          <w:tblCellMar>
            <w:top w:w="0" w:type="dxa"/>
            <w:left w:w="108" w:type="dxa"/>
            <w:bottom w:w="0" w:type="dxa"/>
            <w:right w:w="108" w:type="dxa"/>
          </w:tblCellMar>
        </w:tblPrEx>
        <w:trPr>
          <w:trHeight w:val="270" w:hRule="atLeast"/>
          <w:jc w:val="center"/>
        </w:trPr>
        <w:tc>
          <w:tcPr>
            <w:tcW w:w="3767"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合计</w:t>
            </w:r>
          </w:p>
        </w:tc>
        <w:tc>
          <w:tcPr>
            <w:tcW w:w="2010"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2745"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6人</w:t>
            </w:r>
          </w:p>
        </w:tc>
      </w:tr>
    </w:tbl>
    <w:p>
      <w:pPr>
        <w:spacing w:line="50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cs="宋体"/>
          <w:b/>
          <w:bCs/>
          <w:sz w:val="24"/>
          <w:szCs w:val="24"/>
          <w:lang w:val="zh-CN"/>
        </w:rPr>
        <w:t>、物业服务</w:t>
      </w:r>
      <w:r>
        <w:rPr>
          <w:rFonts w:hint="eastAsia" w:ascii="宋体" w:hAnsi="宋体" w:eastAsia="宋体" w:cs="宋体"/>
          <w:b/>
          <w:bCs/>
          <w:sz w:val="24"/>
          <w:szCs w:val="24"/>
          <w:lang w:val="zh-CN"/>
        </w:rPr>
        <w:t>日常工作安排及标准</w:t>
      </w:r>
    </w:p>
    <w:tbl>
      <w:tblPr>
        <w:tblStyle w:val="18"/>
        <w:tblW w:w="0" w:type="auto"/>
        <w:jc w:val="center"/>
        <w:tblLayout w:type="fixed"/>
        <w:tblCellMar>
          <w:top w:w="0" w:type="dxa"/>
          <w:left w:w="108" w:type="dxa"/>
          <w:bottom w:w="0" w:type="dxa"/>
          <w:right w:w="108" w:type="dxa"/>
        </w:tblCellMar>
      </w:tblPr>
      <w:tblGrid>
        <w:gridCol w:w="496"/>
        <w:gridCol w:w="2473"/>
        <w:gridCol w:w="2876"/>
        <w:gridCol w:w="6"/>
        <w:gridCol w:w="2650"/>
      </w:tblGrid>
      <w:tr>
        <w:tblPrEx>
          <w:tblCellMar>
            <w:top w:w="0" w:type="dxa"/>
            <w:left w:w="108" w:type="dxa"/>
            <w:bottom w:w="0" w:type="dxa"/>
            <w:right w:w="108" w:type="dxa"/>
          </w:tblCellMar>
        </w:tblPrEx>
        <w:trPr>
          <w:trHeight w:val="461" w:hRule="atLeast"/>
          <w:jc w:val="center"/>
        </w:trPr>
        <w:tc>
          <w:tcPr>
            <w:tcW w:w="296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工作内容</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频率/日</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标    准</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地面</w:t>
            </w:r>
            <w:r>
              <w:rPr>
                <w:rFonts w:hint="eastAsia" w:ascii="宋体" w:hAnsi="宋体" w:cs="宋体"/>
                <w:sz w:val="24"/>
                <w:szCs w:val="24"/>
                <w:lang w:val="zh-CN"/>
              </w:rPr>
              <w:t>清</w:t>
            </w:r>
            <w:r>
              <w:rPr>
                <w:rFonts w:hint="eastAsia" w:ascii="宋体" w:hAnsi="宋体" w:eastAsia="宋体" w:cs="宋体"/>
                <w:sz w:val="24"/>
                <w:szCs w:val="24"/>
                <w:lang w:val="zh-CN"/>
              </w:rPr>
              <w:t>洁</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洗地机拖</w:t>
            </w:r>
            <w:r>
              <w:rPr>
                <w:rFonts w:hint="eastAsia" w:ascii="宋体" w:hAnsi="宋体" w:eastAsia="宋体" w:cs="宋体"/>
                <w:sz w:val="24"/>
                <w:szCs w:val="24"/>
              </w:rPr>
              <w:t>2</w:t>
            </w:r>
            <w:r>
              <w:rPr>
                <w:rFonts w:hint="eastAsia" w:ascii="宋体" w:hAnsi="宋体" w:eastAsia="宋体" w:cs="宋体"/>
                <w:sz w:val="24"/>
                <w:szCs w:val="24"/>
                <w:lang w:val="zh-CN"/>
              </w:rPr>
              <w:t>次，30分左右巡场一次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无尘，无水，无杂物，无粘遗物。</w:t>
            </w:r>
          </w:p>
        </w:tc>
      </w:tr>
      <w:tr>
        <w:tblPrEx>
          <w:tblCellMar>
            <w:top w:w="0" w:type="dxa"/>
            <w:left w:w="108" w:type="dxa"/>
            <w:bottom w:w="0" w:type="dxa"/>
            <w:right w:w="108" w:type="dxa"/>
          </w:tblCellMar>
        </w:tblPrEx>
        <w:trPr>
          <w:trHeight w:val="433"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墙面</w:t>
            </w:r>
            <w:r>
              <w:rPr>
                <w:rFonts w:hint="eastAsia" w:ascii="宋体" w:hAnsi="宋体" w:cs="宋体"/>
                <w:sz w:val="24"/>
                <w:szCs w:val="24"/>
                <w:lang w:val="zh-CN"/>
              </w:rPr>
              <w:t>清</w:t>
            </w:r>
            <w:r>
              <w:rPr>
                <w:rFonts w:hint="eastAsia" w:ascii="宋体" w:hAnsi="宋体" w:eastAsia="宋体" w:cs="宋体"/>
                <w:sz w:val="24"/>
                <w:szCs w:val="24"/>
                <w:lang w:val="zh-CN"/>
              </w:rPr>
              <w:t>洁</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擦抹一次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无印迹，无杂物，清洁光亮</w:t>
            </w:r>
          </w:p>
        </w:tc>
      </w:tr>
      <w:tr>
        <w:tblPrEx>
          <w:tblCellMar>
            <w:top w:w="0" w:type="dxa"/>
            <w:left w:w="108" w:type="dxa"/>
            <w:bottom w:w="0" w:type="dxa"/>
            <w:right w:w="108" w:type="dxa"/>
          </w:tblCellMar>
        </w:tblPrEx>
        <w:trPr>
          <w:trHeight w:val="467"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方柱</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擦抹一次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无印迹，无杂物，清洁光亮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公共过道门、窗</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擦抹一次，清洗一次/月</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无胶质，无杂物，透明光亮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卫生间</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全面</w:t>
            </w:r>
            <w:r>
              <w:rPr>
                <w:rFonts w:hint="eastAsia" w:ascii="宋体" w:hAnsi="宋体" w:cs="宋体"/>
                <w:sz w:val="24"/>
                <w:szCs w:val="24"/>
                <w:lang w:val="zh-CN"/>
              </w:rPr>
              <w:t>清洁</w:t>
            </w:r>
            <w:r>
              <w:rPr>
                <w:rFonts w:hint="eastAsia" w:ascii="宋体" w:hAnsi="宋体" w:eastAsia="宋体" w:cs="宋体"/>
                <w:sz w:val="24"/>
                <w:szCs w:val="24"/>
                <w:lang w:val="zh-CN"/>
              </w:rPr>
              <w:t>4次，随脏随洁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无异味，无脏迹，无尿碱，无水垢，镜面、墙面、地面清洁光亮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门厅</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全面</w:t>
            </w:r>
            <w:r>
              <w:rPr>
                <w:rFonts w:hint="eastAsia" w:ascii="宋体" w:hAnsi="宋体" w:cs="宋体"/>
                <w:sz w:val="24"/>
                <w:szCs w:val="24"/>
                <w:lang w:val="zh-CN"/>
              </w:rPr>
              <w:t>清洁</w:t>
            </w:r>
            <w:r>
              <w:rPr>
                <w:rFonts w:hint="eastAsia" w:ascii="宋体" w:hAnsi="宋体" w:eastAsia="宋体" w:cs="宋体"/>
                <w:sz w:val="24"/>
                <w:szCs w:val="24"/>
                <w:lang w:val="zh-CN"/>
              </w:rPr>
              <w:t>4次，随脏随洁，30分钟牵尘一次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地面清洁，玻璃光亮，无污垢，杂物</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开水间</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全面</w:t>
            </w:r>
            <w:r>
              <w:rPr>
                <w:rFonts w:hint="eastAsia" w:ascii="宋体" w:hAnsi="宋体" w:cs="宋体"/>
                <w:sz w:val="24"/>
                <w:szCs w:val="24"/>
                <w:lang w:val="zh-CN"/>
              </w:rPr>
              <w:t>清洁</w:t>
            </w:r>
            <w:r>
              <w:rPr>
                <w:rFonts w:hint="eastAsia" w:ascii="宋体" w:hAnsi="宋体" w:eastAsia="宋体" w:cs="宋体"/>
                <w:sz w:val="24"/>
                <w:szCs w:val="24"/>
                <w:lang w:val="zh-CN"/>
              </w:rPr>
              <w:t>2次，随脏随洁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桌面、地面、垃圾等全面</w:t>
            </w:r>
            <w:r>
              <w:rPr>
                <w:rFonts w:hint="eastAsia" w:ascii="宋体" w:hAnsi="宋体" w:cs="宋体"/>
                <w:sz w:val="24"/>
                <w:szCs w:val="24"/>
                <w:lang w:val="zh-CN"/>
              </w:rPr>
              <w:t>清洁</w:t>
            </w:r>
            <w:r>
              <w:rPr>
                <w:rFonts w:hint="eastAsia" w:ascii="宋体" w:hAnsi="宋体" w:eastAsia="宋体" w:cs="宋体"/>
                <w:sz w:val="24"/>
                <w:szCs w:val="24"/>
                <w:lang w:val="zh-CN"/>
              </w:rPr>
              <w:t>2次</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公共过道</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湿拖</w:t>
            </w:r>
            <w:r>
              <w:rPr>
                <w:rFonts w:hint="eastAsia" w:ascii="宋体" w:hAnsi="宋体" w:eastAsia="宋体" w:cs="宋体"/>
                <w:sz w:val="24"/>
                <w:szCs w:val="24"/>
              </w:rPr>
              <w:t>2</w:t>
            </w:r>
            <w:r>
              <w:rPr>
                <w:rFonts w:hint="eastAsia" w:ascii="宋体" w:hAnsi="宋体" w:eastAsia="宋体" w:cs="宋体"/>
                <w:sz w:val="24"/>
                <w:szCs w:val="24"/>
                <w:lang w:val="zh-CN"/>
              </w:rPr>
              <w:t>次，30分钟巡场一次，随脏随洁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地面清洁，无污垢，水迹，烟头等杂物</w:t>
            </w:r>
          </w:p>
        </w:tc>
      </w:tr>
      <w:tr>
        <w:tblPrEx>
          <w:tblCellMar>
            <w:top w:w="0" w:type="dxa"/>
            <w:left w:w="108" w:type="dxa"/>
            <w:bottom w:w="0" w:type="dxa"/>
            <w:right w:w="108" w:type="dxa"/>
          </w:tblCellMar>
        </w:tblPrEx>
        <w:trPr>
          <w:trHeight w:val="398"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天棚</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无灰尘、挂灰，无蜘蛛网</w:t>
            </w:r>
          </w:p>
        </w:tc>
      </w:tr>
      <w:tr>
        <w:tblPrEx>
          <w:tblCellMar>
            <w:top w:w="0" w:type="dxa"/>
            <w:left w:w="108" w:type="dxa"/>
            <w:bottom w:w="0" w:type="dxa"/>
            <w:right w:w="108" w:type="dxa"/>
          </w:tblCellMar>
        </w:tblPrEx>
        <w:trPr>
          <w:trHeight w:val="459"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公共过道开关</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无灰尘，清洁光亮</w:t>
            </w:r>
          </w:p>
        </w:tc>
      </w:tr>
      <w:tr>
        <w:tblPrEx>
          <w:tblCellMar>
            <w:top w:w="0" w:type="dxa"/>
            <w:left w:w="108" w:type="dxa"/>
            <w:bottom w:w="0" w:type="dxa"/>
            <w:right w:w="108" w:type="dxa"/>
          </w:tblCellMar>
        </w:tblPrEx>
        <w:trPr>
          <w:trHeight w:val="465"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标示牌</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无尘，清洁光亮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楼梯</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抹手擦抹，湿拖2次，随脏随洁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梯间无泥沙，无蜘蛛网、挂灰，清洁光亮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垃圾收集</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垃圾日产日清</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sz w:val="24"/>
                <w:szCs w:val="24"/>
                <w:lang w:val="zh-CN"/>
              </w:rPr>
            </w:pPr>
            <w:r>
              <w:rPr>
                <w:rFonts w:hint="eastAsia" w:ascii="宋体" w:hAnsi="宋体" w:eastAsia="宋体" w:cs="宋体"/>
                <w:sz w:val="24"/>
                <w:szCs w:val="24"/>
                <w:lang w:val="zh-CN"/>
              </w:rPr>
              <w:t>垃圾篓无堆积，无积水，无污迹</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14</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院内</w:t>
            </w:r>
          </w:p>
        </w:tc>
        <w:tc>
          <w:tcPr>
            <w:tcW w:w="2882"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ind w:right="-126"/>
              <w:jc w:val="center"/>
              <w:rPr>
                <w:rFonts w:hint="eastAsia" w:ascii="宋体" w:hAnsi="宋体" w:eastAsia="宋体" w:cs="宋体"/>
                <w:sz w:val="24"/>
                <w:szCs w:val="24"/>
                <w:lang w:val="zh-CN"/>
              </w:rPr>
            </w:pPr>
            <w:r>
              <w:rPr>
                <w:rFonts w:hint="eastAsia" w:ascii="宋体" w:hAnsi="宋体" w:eastAsia="宋体" w:cs="宋体"/>
                <w:sz w:val="24"/>
                <w:szCs w:val="24"/>
                <w:lang w:val="zh-CN"/>
              </w:rPr>
              <w:t>随脏随洁</w:t>
            </w:r>
          </w:p>
        </w:tc>
        <w:tc>
          <w:tcPr>
            <w:tcW w:w="265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sz w:val="24"/>
                <w:szCs w:val="24"/>
                <w:lang w:val="zh-CN"/>
              </w:rPr>
            </w:pPr>
            <w:r>
              <w:rPr>
                <w:rFonts w:hint="eastAsia" w:ascii="宋体" w:hAnsi="宋体" w:eastAsia="宋体" w:cs="宋体"/>
                <w:sz w:val="24"/>
                <w:szCs w:val="24"/>
                <w:lang w:val="zh-CN"/>
              </w:rPr>
              <w:t>地面清洁，无杂物</w:t>
            </w:r>
          </w:p>
        </w:tc>
      </w:tr>
    </w:tbl>
    <w:p>
      <w:pPr>
        <w:spacing w:line="5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zh-CN"/>
        </w:rPr>
        <w:t>工具使用及消毒程序</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为预防交叉感染，严格规范工具使用及消毒程序。</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（1）拖布、笤帚、抹布等清洁工具分区使用，并设有标记，共分2类。第一类为公共区域使用，第二类为洗手间使用，工具在每日下班前消毒一次，抹布使用前后均经（1：20）84消毒液消毒30分钟。</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（2）各</w:t>
      </w:r>
      <w:r>
        <w:rPr>
          <w:rFonts w:hint="eastAsia" w:ascii="宋体" w:hAnsi="宋体" w:cs="宋体"/>
          <w:sz w:val="24"/>
          <w:szCs w:val="24"/>
          <w:lang w:val="zh-CN"/>
        </w:rPr>
        <w:t>物业服务</w:t>
      </w:r>
      <w:r>
        <w:rPr>
          <w:rFonts w:hint="eastAsia" w:ascii="宋体" w:hAnsi="宋体" w:eastAsia="宋体" w:cs="宋体"/>
          <w:sz w:val="24"/>
          <w:szCs w:val="24"/>
          <w:lang w:val="zh-CN"/>
        </w:rPr>
        <w:t>区域地面墙面抹手，每日以（1：20）84消毒液消毒擦抹一次。</w:t>
      </w:r>
    </w:p>
    <w:p>
      <w:pPr>
        <w:spacing w:line="50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4、</w:t>
      </w:r>
      <w:r>
        <w:rPr>
          <w:rFonts w:hint="eastAsia" w:ascii="宋体" w:hAnsi="宋体" w:cs="宋体"/>
          <w:b/>
          <w:bCs/>
          <w:sz w:val="24"/>
          <w:szCs w:val="24"/>
          <w:lang w:val="zh-CN"/>
        </w:rPr>
        <w:t>物业人员</w:t>
      </w:r>
      <w:r>
        <w:rPr>
          <w:rFonts w:hint="eastAsia" w:ascii="宋体" w:hAnsi="宋体" w:eastAsia="宋体" w:cs="宋体"/>
          <w:b/>
          <w:bCs/>
          <w:sz w:val="24"/>
          <w:szCs w:val="24"/>
          <w:lang w:val="zh-CN"/>
        </w:rPr>
        <w:t>的工作内容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内勤</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（1）清洁大厅、走廊、台阶地面，候诊沙发随脏随洁。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（2）开水间、厕所卫生，并随脏随洁。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（3）清理各科室汇总垃圾一次。</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（4）清理各科室床头柜、桌椅、床架浮灰一次；清理大厅及过道的电视机、灭蝇灯、台面、展板等浮灰一次。一桌一布，用后使用1：20配制84消毒液消毒，清洗后晾干。</w:t>
      </w:r>
    </w:p>
    <w:p>
      <w:pPr>
        <w:spacing w:line="50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5、</w:t>
      </w:r>
      <w:r>
        <w:rPr>
          <w:rFonts w:hint="eastAsia" w:ascii="宋体" w:hAnsi="宋体" w:cs="宋体"/>
          <w:b/>
          <w:bCs/>
          <w:sz w:val="24"/>
          <w:szCs w:val="24"/>
          <w:lang w:val="zh-CN"/>
        </w:rPr>
        <w:t>物业服务日常</w:t>
      </w:r>
      <w:r>
        <w:rPr>
          <w:rFonts w:hint="eastAsia" w:ascii="宋体" w:hAnsi="宋体" w:eastAsia="宋体" w:cs="宋体"/>
          <w:b/>
          <w:bCs/>
          <w:sz w:val="24"/>
          <w:szCs w:val="24"/>
          <w:lang w:val="zh-CN"/>
        </w:rPr>
        <w:t>程序</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5.1 拖扫地面：</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（1）打扫和干拖交替进行。</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（2）把墙身、墙边，楼梯台阶、花盆底打扫干净。</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（3）地面必须保持清洁，无杂物。</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5.2 墙面的清洁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（1）用鸡毛掸子或干净的拖把轻轻拂去墙面的灰尘。</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（2）用干毛巾清擦墙面的污迹，擦不掉的污迹使用细砂纸轻轻擦掉。</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（3）用铲刀铲掉墙面上粘附的泥沙、痰迹。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（4）扫净地面灰尘，再用湿拖把拖将地面。</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5.3 玻璃门、镜的清洁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（1）发现玻璃粘有污迹时，先用玻璃刀铲除干净。</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（2）用毛套没入玻璃水中。</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（3）毛套用套按在玻璃顶端上下垂直抹（有污迹的地方重复抹）。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（4）玻璃刮刮去玻璃上的水分。</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（5）一洗一刮连贯进行，当玻璃的位置和地面较近时，可把毛套和水刮作横轴移动。</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（6）用毛巾抹玻璃面上的水珠和地面上的污水。</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5.4 门窗的清洁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（1）门拉手接触次数特别多，容易传播细菌，故清洁时，把清洁剂喷在无毛绒的毛巾上抹，达到无污迹、无尘埃为止。</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（2）定期用（1：20）84消毒液消毒。</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5.5 洗手间的清洁</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（1）台面、地面无水珠、无杂物</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（2）地面墙壁无灰尘、无污迹。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（3）马桶墙面无水污迹。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（4）无异味、无蚊、蝇、蛆虫。</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（5）卫生间无灰尘，碱油盒无污迹。</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（6）各项设施完好无损，如发现有损坏及时报告管理处，并协助保护现场，查明原因。</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（7）日常</w:t>
      </w:r>
      <w:r>
        <w:rPr>
          <w:rFonts w:hint="eastAsia" w:ascii="宋体" w:hAnsi="宋体" w:cs="宋体"/>
          <w:sz w:val="24"/>
          <w:szCs w:val="24"/>
          <w:lang w:val="zh-CN"/>
        </w:rPr>
        <w:t>服务</w:t>
      </w:r>
      <w:r>
        <w:rPr>
          <w:rFonts w:hint="eastAsia" w:ascii="宋体" w:hAnsi="宋体" w:eastAsia="宋体" w:cs="宋体"/>
          <w:sz w:val="24"/>
          <w:szCs w:val="24"/>
          <w:lang w:val="zh-CN"/>
        </w:rPr>
        <w:t>工作要保持洗手间较高的卫生标准。</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（8）每天上下班前后对洗手间进行全面大清洁（包括洗马桶、洗地面、洗擦洗手盆及台面，抹擦玻璃门等）。</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5.6 电梯清洁保养</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（1）按时消毒。</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（2）清洁玻璃镜面，手扶梯面、侧面、手扶带。</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（3）用半干、湿布擦电梯门（指导塑料和胶条部分）及木板。</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（4）关上电梯门。</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（5）用无毛绒的布清洁电梯门及不锈钢部分。</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（6）地面清洁（保持无灰尘、杂物）。</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5.7 清除虫和蜘蛛网</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勤巡查空调、天棚出风口、立柱、灯具、灯置内是否有虫和蜘蛛网，一经发现，立即消除。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6、日常工作考核细则</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zh-CN"/>
        </w:rPr>
      </w:pPr>
      <w:r>
        <w:rPr>
          <w:rFonts w:hint="eastAsia"/>
          <w:color w:val="auto"/>
          <w:highlight w:val="none"/>
          <w:lang w:val="en-US" w:eastAsia="zh-CN"/>
        </w:rPr>
        <w:t xml:space="preserve"> </w:t>
      </w:r>
      <w:r>
        <w:rPr>
          <w:rFonts w:hint="eastAsia" w:ascii="宋体" w:hAnsi="宋体" w:eastAsia="宋体" w:cs="宋体"/>
          <w:b w:val="0"/>
          <w:color w:val="auto"/>
          <w:kern w:val="2"/>
          <w:sz w:val="24"/>
          <w:szCs w:val="24"/>
          <w:highlight w:val="none"/>
          <w:lang w:val="en-US" w:eastAsia="zh-CN" w:bidi="ar"/>
        </w:rPr>
        <w:t>考核方案详见下表，考核分≥85分为考核合格；考核分&lt;85分，每低1分从月度结算款中扣100元；考核分≤65分，医院有权解约。</w:t>
      </w:r>
    </w:p>
    <w:p>
      <w:pPr>
        <w:spacing w:line="50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日常工作考评表</w:t>
      </w:r>
    </w:p>
    <w:tbl>
      <w:tblPr>
        <w:tblStyle w:val="18"/>
        <w:tblW w:w="9773" w:type="dxa"/>
        <w:jc w:val="center"/>
        <w:tblLayout w:type="fixed"/>
        <w:tblCellMar>
          <w:top w:w="0" w:type="dxa"/>
          <w:left w:w="108" w:type="dxa"/>
          <w:bottom w:w="0" w:type="dxa"/>
          <w:right w:w="108" w:type="dxa"/>
        </w:tblCellMar>
      </w:tblPr>
      <w:tblGrid>
        <w:gridCol w:w="755"/>
        <w:gridCol w:w="755"/>
        <w:gridCol w:w="755"/>
        <w:gridCol w:w="5240"/>
        <w:gridCol w:w="756"/>
        <w:gridCol w:w="756"/>
        <w:gridCol w:w="756"/>
      </w:tblGrid>
      <w:tr>
        <w:trPr>
          <w:trHeight w:val="904"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项目</w:t>
            </w: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满分</w:t>
            </w: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标准要求</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highlight w:val="none"/>
                <w:lang w:val="zh-CN"/>
              </w:rPr>
              <w:t>分值</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得分</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备注</w:t>
            </w:r>
          </w:p>
        </w:tc>
      </w:tr>
      <w:tr>
        <w:tblPrEx>
          <w:tblCellMar>
            <w:top w:w="0" w:type="dxa"/>
            <w:left w:w="108" w:type="dxa"/>
            <w:bottom w:w="0" w:type="dxa"/>
            <w:right w:w="108" w:type="dxa"/>
          </w:tblCellMar>
        </w:tblPrEx>
        <w:trPr>
          <w:trHeight w:val="737" w:hRule="atLeast"/>
          <w:jc w:val="center"/>
        </w:trPr>
        <w:tc>
          <w:tcPr>
            <w:tcW w:w="75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面保洁：无尘，无水，无杂物，无粘遗物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墙面保洁：无印迹，无尘，清洁光亮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立柱：无印迹，无杂物，清洁光亮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公共过道门窗玻璃：无胶质，无杂物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卫生间：无异味，无脏迹，无尿碱，无水垢，镜面，墙面，地面清洁光亮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门厅：地面清洁，玻璃光亮，无污垢，杂物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公共过道：地面清洁，无污垢，水迹，烟头等杂物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天棚：无灰尘，挂灰，无蜘蛛网</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灯具开关：无灰尘，清洁光亮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标示牌：无尘，清洁光亮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楼梯：梯间无泥沙，无蜘蛛网，挂灰，清洁光亮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sz w:val="24"/>
                <w:szCs w:val="24"/>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垃圾收集：垃圾篓无堆积，无积水，无污迹，垃圾清运率达100%</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sz w:val="24"/>
                <w:szCs w:val="24"/>
                <w:lang w:val="zh-CN"/>
              </w:rPr>
            </w:pPr>
          </w:p>
        </w:tc>
      </w:tr>
    </w:tbl>
    <w:p>
      <w:pPr>
        <w:tabs>
          <w:tab w:val="left" w:pos="709"/>
        </w:tabs>
        <w:outlineLvl w:val="1"/>
        <w:rPr>
          <w:rFonts w:hint="eastAsia" w:ascii="宋体" w:hAnsi="宋体" w:eastAsia="宋体" w:cs="宋体"/>
          <w:b/>
          <w:bCs/>
          <w:color w:val="000000"/>
          <w:sz w:val="24"/>
          <w:szCs w:val="24"/>
        </w:rPr>
      </w:pPr>
    </w:p>
    <w:p>
      <w:pPr>
        <w:pStyle w:val="24"/>
        <w:numPr>
          <w:ilvl w:val="0"/>
          <w:numId w:val="6"/>
        </w:numPr>
        <w:tabs>
          <w:tab w:val="left" w:pos="709"/>
        </w:tabs>
        <w:ind w:firstLineChars="0"/>
        <w:outlineLvl w:val="1"/>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物业服务</w:t>
      </w:r>
      <w:r>
        <w:rPr>
          <w:rFonts w:hint="eastAsia" w:ascii="宋体" w:hAnsi="宋体" w:eastAsia="宋体" w:cs="宋体"/>
          <w:b/>
          <w:bCs/>
          <w:color w:val="000000"/>
          <w:sz w:val="24"/>
          <w:szCs w:val="24"/>
        </w:rPr>
        <w:t>质量三查制度</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1、员工自查：每个员工根据有关作业规程，对自己负责分管区域的服务项目进行自查，及时发现问题、解决问题，并做好记录。</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2、领班巡查：领班应把巡回检查作为自己的主要工作，对管理区域内所有服务部位、项目进行巡回检查，每天不得少于二次，并做好纪录。</w:t>
      </w:r>
    </w:p>
    <w:p>
      <w:pPr>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3、中心抽查：主管每日抽查不得少于一次，并应会同中心分管领导每月三次联合检查，并做好纪录。</w:t>
      </w:r>
    </w:p>
    <w:p>
      <w:pPr>
        <w:spacing w:before="120" w:beforeLines="50" w:after="120" w:afterLines="50" w:line="360" w:lineRule="auto"/>
        <w:rPr>
          <w:rFonts w:hint="eastAsia" w:ascii="宋体" w:hAnsi="宋体" w:eastAsia="宋体" w:cs="宋体"/>
          <w:b/>
          <w:bCs/>
          <w:sz w:val="24"/>
          <w:szCs w:val="24"/>
        </w:rPr>
      </w:pPr>
      <w:r>
        <w:rPr>
          <w:rFonts w:hint="eastAsia" w:ascii="宋体" w:hAnsi="宋体" w:eastAsia="宋体" w:cs="宋体"/>
          <w:sz w:val="24"/>
          <w:szCs w:val="24"/>
          <w:lang w:val="en-US" w:eastAsia="zh-CN"/>
        </w:rPr>
        <w:t>三、</w:t>
      </w:r>
      <w:r>
        <w:rPr>
          <w:rFonts w:hint="eastAsia" w:ascii="宋体" w:hAnsi="宋体" w:eastAsia="宋体" w:cs="宋体"/>
          <w:b/>
          <w:bCs/>
          <w:sz w:val="24"/>
          <w:szCs w:val="24"/>
        </w:rPr>
        <w:t>付款方式：</w:t>
      </w:r>
    </w:p>
    <w:p>
      <w:pPr>
        <w:spacing w:before="120" w:beforeLines="50" w:after="120" w:afterLines="50"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采购人</w:t>
      </w:r>
      <w:r>
        <w:rPr>
          <w:rFonts w:hint="eastAsia" w:ascii="宋体" w:hAnsi="宋体" w:eastAsia="宋体" w:cs="宋体"/>
          <w:sz w:val="24"/>
          <w:szCs w:val="24"/>
          <w:lang w:val="en-US" w:eastAsia="zh-CN"/>
        </w:rPr>
        <w:t>按照磋商</w:t>
      </w:r>
      <w:r>
        <w:rPr>
          <w:rFonts w:hint="eastAsia" w:ascii="宋体" w:hAnsi="宋体" w:eastAsia="宋体" w:cs="宋体"/>
          <w:sz w:val="24"/>
          <w:szCs w:val="24"/>
          <w:lang w:val="zh-CN"/>
        </w:rPr>
        <w:t>文件的约定对中标单位的服务质量进行检查考核,并根据季度考核结果向中标单位等额支付服务费,支付时间为季度考核后下一个季度第一个月的十日前。</w:t>
      </w:r>
    </w:p>
    <w:p>
      <w:pPr>
        <w:spacing w:line="500" w:lineRule="exact"/>
        <w:ind w:firstLine="241" w:firstLineChars="100"/>
        <w:rPr>
          <w:rFonts w:hint="eastAsia" w:ascii="宋体" w:hAnsi="宋体" w:eastAsia="宋体" w:cs="宋体"/>
          <w:sz w:val="24"/>
          <w:szCs w:val="24"/>
          <w:lang w:val="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val="zh-CN" w:eastAsia="zh-CN"/>
        </w:rPr>
        <w:t>服务地点：</w:t>
      </w:r>
      <w:r>
        <w:rPr>
          <w:rFonts w:hint="eastAsia" w:ascii="宋体" w:hAnsi="宋体" w:eastAsia="宋体" w:cs="宋体"/>
          <w:sz w:val="24"/>
          <w:szCs w:val="24"/>
          <w:lang w:val="zh-CN"/>
        </w:rPr>
        <w:t>南京市秦淮区明匙路91号南京市秦淮区红花社区卫生服务中心、双桥新村内、汇景和园、汇景家园小区内。</w:t>
      </w:r>
    </w:p>
    <w:p>
      <w:pPr>
        <w:rPr>
          <w:rFonts w:hint="eastAsia" w:ascii="宋体" w:hAnsi="宋体" w:eastAsia="宋体" w:cs="宋体"/>
          <w:b w:val="0"/>
          <w:bCs/>
          <w:sz w:val="24"/>
          <w:szCs w:val="24"/>
          <w:highlight w:val="none"/>
          <w:lang w:val="en-US" w:eastAsia="zh-CN"/>
        </w:rPr>
      </w:pPr>
    </w:p>
    <w:p>
      <w:pPr>
        <w:pStyle w:val="6"/>
        <w:rPr>
          <w:rFonts w:hint="eastAsia"/>
          <w:highlight w:val="none"/>
          <w:lang w:val="en-US" w:eastAsia="zh-CN"/>
        </w:rPr>
      </w:pPr>
    </w:p>
    <w:p>
      <w:pPr>
        <w:spacing w:line="560" w:lineRule="exact"/>
        <w:jc w:val="both"/>
        <w:rPr>
          <w:rFonts w:hint="eastAsia" w:ascii="宋体" w:hAnsi="宋体" w:eastAsia="宋体" w:cs="宋体"/>
          <w:sz w:val="44"/>
          <w:szCs w:val="44"/>
          <w:highlight w:val="none"/>
        </w:rPr>
        <w:sectPr>
          <w:pgSz w:w="12240" w:h="15840"/>
          <w:pgMar w:top="1083" w:right="1440" w:bottom="1083" w:left="1440" w:header="720" w:footer="720" w:gutter="0"/>
          <w:paperSrc/>
          <w:pgNumType w:fmt="decimal"/>
          <w:cols w:space="720" w:num="1"/>
          <w:rtlGutter w:val="0"/>
          <w:docGrid w:linePitch="1" w:charSpace="0"/>
        </w:sectPr>
      </w:pPr>
    </w:p>
    <w:p>
      <w:pPr>
        <w:pStyle w:val="3"/>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第五章合同草案条款及格式</w:t>
      </w:r>
    </w:p>
    <w:p>
      <w:pPr>
        <w:spacing w:before="11" w:line="360" w:lineRule="auto"/>
        <w:rPr>
          <w:rFonts w:hint="eastAsia" w:ascii="宋体" w:hAnsi="宋体" w:eastAsia="宋体" w:cs="宋体"/>
          <w:color w:val="auto"/>
          <w:sz w:val="24"/>
          <w:szCs w:val="24"/>
          <w:highlight w:val="none"/>
        </w:rPr>
      </w:pPr>
    </w:p>
    <w:p>
      <w:pPr>
        <w:jc w:val="both"/>
        <w:rPr>
          <w:rFonts w:hint="eastAsia" w:ascii="宋体" w:hAnsi="宋体" w:eastAsia="宋体" w:cs="宋体"/>
          <w:highlight w:val="none"/>
        </w:rPr>
      </w:pPr>
    </w:p>
    <w:p>
      <w:pPr>
        <w:jc w:val="center"/>
        <w:rPr>
          <w:rFonts w:hint="eastAsia" w:ascii="宋体" w:hAnsi="宋体" w:eastAsia="宋体" w:cs="宋体"/>
          <w:highlight w:val="none"/>
        </w:rPr>
      </w:pPr>
      <w:r>
        <w:rPr>
          <w:rFonts w:hint="eastAsia" w:ascii="宋体" w:hAnsi="宋体" w:eastAsia="宋体" w:cs="宋体"/>
          <w:highlight w:val="none"/>
        </w:rPr>
        <w:t>（仅供参考）</w:t>
      </w:r>
    </w:p>
    <w:p>
      <w:pPr>
        <w:pStyle w:val="24"/>
        <w:ind w:firstLine="0" w:firstLineChars="0"/>
        <w:rPr>
          <w:rFonts w:hint="eastAsia" w:ascii="宋体" w:hAnsi="宋体" w:eastAsia="宋体" w:cs="宋体"/>
          <w:highlight w:val="none"/>
        </w:rPr>
      </w:pPr>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lang w:eastAsia="zh-CN"/>
        </w:rPr>
        <w:t>南京市采购合同</w:t>
      </w: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仅供参考</w:t>
      </w: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ind w:firstLine="2400" w:firstLineChars="1000"/>
        <w:jc w:val="both"/>
        <w:textAlignment w:val="baseline"/>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lang w:eastAsia="zh-CN"/>
        </w:rPr>
        <w:t>合同编号：</w:t>
      </w:r>
    </w:p>
    <w:p>
      <w:pPr>
        <w:widowControl/>
        <w:kinsoku w:val="0"/>
        <w:autoSpaceDE w:val="0"/>
        <w:autoSpaceDN w:val="0"/>
        <w:adjustRightInd w:val="0"/>
        <w:snapToGrid w:val="0"/>
        <w:spacing w:line="360" w:lineRule="auto"/>
        <w:ind w:firstLine="2400" w:firstLineChars="1000"/>
        <w:jc w:val="both"/>
        <w:textAlignment w:val="baseline"/>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lang w:eastAsia="zh-CN"/>
        </w:rPr>
        <w:t>项目名称：</w:t>
      </w:r>
    </w:p>
    <w:p>
      <w:pPr>
        <w:widowControl/>
        <w:kinsoku w:val="0"/>
        <w:autoSpaceDE w:val="0"/>
        <w:autoSpaceDN w:val="0"/>
        <w:adjustRightInd w:val="0"/>
        <w:snapToGrid w:val="0"/>
        <w:spacing w:line="360" w:lineRule="auto"/>
        <w:ind w:firstLine="2400" w:firstLineChars="1000"/>
        <w:jc w:val="both"/>
        <w:textAlignment w:val="baseline"/>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lang w:eastAsia="zh-CN"/>
        </w:rPr>
        <w:t>采购单位：</w:t>
      </w:r>
    </w:p>
    <w:p>
      <w:pPr>
        <w:widowControl/>
        <w:kinsoku w:val="0"/>
        <w:autoSpaceDE w:val="0"/>
        <w:autoSpaceDN w:val="0"/>
        <w:adjustRightInd w:val="0"/>
        <w:snapToGrid w:val="0"/>
        <w:spacing w:line="360" w:lineRule="auto"/>
        <w:ind w:firstLine="2400" w:firstLineChars="1000"/>
        <w:jc w:val="both"/>
        <w:textAlignment w:val="baseline"/>
        <w:rPr>
          <w:rFonts w:hint="eastAsia" w:ascii="宋体" w:hAnsi="宋体" w:eastAsia="宋体" w:cs="宋体"/>
          <w:highlight w:val="none"/>
          <w:lang w:val="en-US" w:eastAsia="zh-CN"/>
        </w:rPr>
      </w:pPr>
      <w:r>
        <w:rPr>
          <w:rFonts w:hint="eastAsia" w:ascii="宋体" w:hAnsi="宋体" w:eastAsia="宋体" w:cs="宋体"/>
          <w:snapToGrid w:val="0"/>
          <w:color w:val="000000"/>
          <w:kern w:val="0"/>
          <w:sz w:val="24"/>
          <w:szCs w:val="24"/>
          <w:highlight w:val="none"/>
          <w:lang w:eastAsia="zh-CN"/>
        </w:rPr>
        <w:t>成交供应商：</w:t>
      </w:r>
    </w:p>
    <w:p>
      <w:pPr>
        <w:widowControl/>
        <w:kinsoku w:val="0"/>
        <w:autoSpaceDE w:val="0"/>
        <w:autoSpaceDN w:val="0"/>
        <w:adjustRightInd w:val="0"/>
        <w:snapToGrid w:val="0"/>
        <w:spacing w:line="360" w:lineRule="auto"/>
        <w:ind w:firstLine="2400" w:firstLineChars="1000"/>
        <w:jc w:val="both"/>
        <w:textAlignment w:val="baseline"/>
        <w:rPr>
          <w:rFonts w:hint="eastAsia" w:ascii="宋体" w:hAnsi="宋体" w:eastAsia="宋体" w:cs="宋体"/>
          <w:snapToGrid w:val="0"/>
          <w:color w:val="000000"/>
          <w:kern w:val="0"/>
          <w:sz w:val="24"/>
          <w:szCs w:val="24"/>
          <w:highlight w:val="none"/>
          <w:u w:val="single"/>
          <w:lang w:val="en-US" w:eastAsia="zh-CN"/>
        </w:rPr>
      </w:pPr>
      <w:r>
        <w:rPr>
          <w:rFonts w:hint="eastAsia" w:ascii="宋体" w:hAnsi="宋体" w:eastAsia="宋体" w:cs="宋体"/>
          <w:snapToGrid w:val="0"/>
          <w:color w:val="000000"/>
          <w:kern w:val="0"/>
          <w:sz w:val="24"/>
          <w:szCs w:val="24"/>
          <w:highlight w:val="none"/>
          <w:lang w:eastAsia="zh-CN"/>
        </w:rPr>
        <w:t>签订日期：</w:t>
      </w: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4"/>
          <w:szCs w:val="24"/>
          <w:highlight w:val="none"/>
          <w:lang w:eastAsia="zh-CN"/>
        </w:rPr>
      </w:pPr>
    </w:p>
    <w:p>
      <w:pPr>
        <w:pStyle w:val="23"/>
        <w:rPr>
          <w:rFonts w:hint="eastAsia" w:ascii="宋体" w:hAnsi="宋体" w:eastAsia="宋体" w:cs="宋体"/>
          <w:snapToGrid w:val="0"/>
          <w:color w:val="000000"/>
          <w:kern w:val="0"/>
          <w:sz w:val="24"/>
          <w:szCs w:val="24"/>
          <w:highlight w:val="none"/>
          <w:lang w:eastAsia="zh-CN"/>
        </w:rPr>
      </w:pPr>
    </w:p>
    <w:p>
      <w:pPr>
        <w:pStyle w:val="23"/>
        <w:rPr>
          <w:rFonts w:hint="eastAsia" w:ascii="宋体" w:hAnsi="宋体" w:eastAsia="宋体" w:cs="宋体"/>
          <w:snapToGrid w:val="0"/>
          <w:color w:val="000000"/>
          <w:kern w:val="0"/>
          <w:sz w:val="24"/>
          <w:szCs w:val="24"/>
          <w:highlight w:val="none"/>
          <w:lang w:eastAsia="zh-CN"/>
        </w:rPr>
      </w:pPr>
    </w:p>
    <w:p>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000000"/>
          <w:kern w:val="0"/>
          <w:sz w:val="24"/>
          <w:szCs w:val="24"/>
          <w:highlight w:val="none"/>
          <w:lang w:eastAsia="zh-CN"/>
        </w:rPr>
      </w:pPr>
      <w:bookmarkStart w:id="21" w:name="_Toc5234"/>
      <w:r>
        <w:rPr>
          <w:rFonts w:hint="eastAsia" w:ascii="宋体" w:hAnsi="宋体" w:eastAsia="宋体" w:cs="宋体"/>
          <w:snapToGrid w:val="0"/>
          <w:color w:val="000000"/>
          <w:kern w:val="0"/>
          <w:sz w:val="24"/>
          <w:szCs w:val="24"/>
          <w:highlight w:val="none"/>
          <w:lang w:eastAsia="zh-CN"/>
        </w:rPr>
        <w:t>南京市工商行政管理局</w:t>
      </w:r>
      <w:bookmarkEnd w:id="21"/>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8"/>
          <w:szCs w:val="28"/>
          <w:highlight w:val="none"/>
          <w:lang w:eastAsia="zh-CN"/>
        </w:rPr>
      </w:pPr>
    </w:p>
    <w:p>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8"/>
          <w:szCs w:val="28"/>
          <w:highlight w:val="none"/>
          <w:lang w:eastAsia="zh-CN"/>
        </w:rPr>
        <w:sectPr>
          <w:headerReference r:id="rId7" w:type="default"/>
          <w:footerReference r:id="rId8" w:type="default"/>
          <w:pgSz w:w="12240" w:h="15840"/>
          <w:pgMar w:top="1083" w:right="1440" w:bottom="1083" w:left="1440" w:header="720" w:footer="720" w:gutter="0"/>
          <w:paperSrc/>
          <w:pgNumType w:fmt="numberInDash"/>
          <w:cols w:space="720" w:num="1"/>
          <w:rtlGutter w:val="0"/>
          <w:docGrid w:linePitch="1" w:charSpace="0"/>
        </w:sectPr>
      </w:pPr>
    </w:p>
    <w:tbl>
      <w:tblPr>
        <w:tblStyle w:val="18"/>
        <w:tblW w:w="8804" w:type="dxa"/>
        <w:tblInd w:w="-108" w:type="dxa"/>
        <w:tblLayout w:type="fixed"/>
        <w:tblCellMar>
          <w:top w:w="0" w:type="dxa"/>
          <w:left w:w="0" w:type="dxa"/>
          <w:bottom w:w="0" w:type="dxa"/>
          <w:right w:w="0" w:type="dxa"/>
        </w:tblCellMar>
      </w:tblPr>
      <w:tblGrid>
        <w:gridCol w:w="4054"/>
        <w:gridCol w:w="4750"/>
      </w:tblGrid>
      <w:tr>
        <w:tblPrEx>
          <w:tblCellMar>
            <w:top w:w="0" w:type="dxa"/>
            <w:left w:w="0" w:type="dxa"/>
            <w:bottom w:w="0" w:type="dxa"/>
            <w:right w:w="0" w:type="dxa"/>
          </w:tblCellMar>
        </w:tblPrEx>
        <w:trPr>
          <w:trHeight w:val="471" w:hRule="atLeast"/>
        </w:trPr>
        <w:tc>
          <w:tcPr>
            <w:tcW w:w="4054" w:type="dxa"/>
            <w:noWrap w:val="0"/>
            <w:vAlign w:val="top"/>
          </w:tcPr>
          <w:p>
            <w:pPr>
              <w:adjustRightInd w:val="0"/>
              <w:spacing w:line="360" w:lineRule="auto"/>
              <w:ind w:right="567"/>
              <w:rPr>
                <w:rFonts w:hint="eastAsia"/>
                <w:bCs/>
                <w:szCs w:val="21"/>
                <w:highlight w:val="none"/>
              </w:rPr>
            </w:pPr>
            <w:r>
              <w:rPr>
                <w:rFonts w:hint="eastAsia"/>
                <w:bCs/>
                <w:szCs w:val="21"/>
                <w:highlight w:val="none"/>
              </w:rPr>
              <w:t>采购人（以下称甲方）：</w:t>
            </w:r>
          </w:p>
        </w:tc>
        <w:tc>
          <w:tcPr>
            <w:tcW w:w="4750" w:type="dxa"/>
            <w:noWrap w:val="0"/>
            <w:vAlign w:val="top"/>
          </w:tcPr>
          <w:p>
            <w:pPr>
              <w:adjustRightInd w:val="0"/>
              <w:spacing w:line="360" w:lineRule="auto"/>
              <w:ind w:right="567"/>
              <w:rPr>
                <w:bCs/>
                <w:szCs w:val="21"/>
                <w:highlight w:val="none"/>
              </w:rPr>
            </w:pPr>
            <w:r>
              <w:rPr>
                <w:rFonts w:hint="eastAsia"/>
                <w:bCs/>
                <w:szCs w:val="21"/>
                <w:highlight w:val="none"/>
              </w:rPr>
              <w:t>供应商：（以下称乙方）</w:t>
            </w:r>
          </w:p>
        </w:tc>
      </w:tr>
    </w:tbl>
    <w:p>
      <w:pPr>
        <w:adjustRightInd w:val="0"/>
        <w:spacing w:line="360" w:lineRule="auto"/>
        <w:ind w:left="210" w:leftChars="100" w:right="567" w:firstLine="420" w:firstLineChars="200"/>
        <w:rPr>
          <w:bCs/>
          <w:szCs w:val="21"/>
          <w:highlight w:val="none"/>
        </w:rPr>
      </w:pPr>
      <w:r>
        <w:rPr>
          <w:rFonts w:hint="eastAsia"/>
          <w:bCs/>
          <w:szCs w:val="21"/>
          <w:highlight w:val="none"/>
        </w:rPr>
        <w:t>根据《中华人民共和国政府采购法》、《中华人民共和国民法典》等法律法规的规定，甲乙双方按照采购结果签订本合同。</w:t>
      </w:r>
    </w:p>
    <w:p>
      <w:pPr>
        <w:adjustRightInd w:val="0"/>
        <w:spacing w:line="360" w:lineRule="auto"/>
        <w:ind w:left="420" w:leftChars="200" w:right="567" w:firstLine="210" w:firstLineChars="100"/>
        <w:jc w:val="left"/>
        <w:rPr>
          <w:bCs/>
          <w:highlight w:val="none"/>
        </w:rPr>
      </w:pPr>
      <w:r>
        <w:rPr>
          <w:rFonts w:hint="eastAsia"/>
          <w:bCs/>
          <w:szCs w:val="21"/>
          <w:highlight w:val="none"/>
        </w:rPr>
        <w:t>第一条合同标的乙方根据甲方需求提供下列服务：</w:t>
      </w:r>
      <w:r>
        <w:rPr>
          <w:rFonts w:hint="eastAsia"/>
          <w:bCs/>
          <w:highlight w:val="none"/>
          <w:u w:val="single"/>
        </w:rPr>
        <w:t>（项目编号：）</w:t>
      </w:r>
      <w:r>
        <w:rPr>
          <w:rFonts w:hint="eastAsia"/>
          <w:bCs/>
          <w:highlight w:val="none"/>
        </w:rPr>
        <w:t>，详见乙方响应文件。</w:t>
      </w:r>
    </w:p>
    <w:p>
      <w:pPr>
        <w:adjustRightInd w:val="0"/>
        <w:spacing w:line="360" w:lineRule="auto"/>
        <w:ind w:left="210" w:leftChars="100" w:right="567" w:firstLine="420" w:firstLineChars="200"/>
        <w:rPr>
          <w:bCs/>
          <w:highlight w:val="none"/>
        </w:rPr>
      </w:pPr>
      <w:r>
        <w:rPr>
          <w:rFonts w:hint="eastAsia"/>
          <w:bCs/>
          <w:highlight w:val="none"/>
        </w:rPr>
        <w:t>第二条总价款，项目总报价为（大写）元人民币。</w:t>
      </w:r>
    </w:p>
    <w:p>
      <w:pPr>
        <w:adjustRightInd w:val="0"/>
        <w:spacing w:line="360" w:lineRule="auto"/>
        <w:ind w:left="210" w:leftChars="100" w:right="567" w:firstLine="420" w:firstLineChars="200"/>
        <w:rPr>
          <w:bCs/>
          <w:szCs w:val="21"/>
          <w:highlight w:val="none"/>
        </w:rPr>
      </w:pPr>
      <w:r>
        <w:rPr>
          <w:rFonts w:hint="eastAsia"/>
          <w:bCs/>
          <w:szCs w:val="21"/>
          <w:highlight w:val="none"/>
        </w:rPr>
        <w:t>报价为全包费用报价，</w:t>
      </w:r>
      <w:r>
        <w:rPr>
          <w:rFonts w:hint="eastAsia"/>
          <w:bCs/>
          <w:highlight w:val="none"/>
        </w:rPr>
        <w:t>报价应是本采购文件所包含确定的全部工作内容及本采购文件未说明但完成该项目必须包含的所有全包费用的价格体现</w:t>
      </w:r>
      <w:r>
        <w:rPr>
          <w:bCs/>
          <w:spacing w:val="-2"/>
          <w:szCs w:val="21"/>
          <w:highlight w:val="none"/>
        </w:rPr>
        <w:t>。</w:t>
      </w:r>
      <w:r>
        <w:rPr>
          <w:rFonts w:hint="eastAsia"/>
          <w:bCs/>
          <w:szCs w:val="21"/>
          <w:highlight w:val="none"/>
        </w:rPr>
        <w:t>供应商的任何错漏、优惠、竞争性报价不得作为减轻责任、减少服务、增加收费、降低质量的理由。</w:t>
      </w:r>
      <w:r>
        <w:rPr>
          <w:rFonts w:hint="eastAsia"/>
          <w:bCs/>
          <w:highlight w:val="none"/>
        </w:rPr>
        <w:t>在项目验收过程中，如发现有漏项、缺件，卖方应无条件、无偿补齐，所发生的一切费用，视为已包含在卖方的最终报价中。</w:t>
      </w:r>
    </w:p>
    <w:p>
      <w:pPr>
        <w:adjustRightInd w:val="0"/>
        <w:spacing w:line="360" w:lineRule="auto"/>
        <w:ind w:left="210" w:leftChars="100" w:right="567" w:firstLine="420" w:firstLineChars="200"/>
        <w:rPr>
          <w:bCs/>
          <w:szCs w:val="21"/>
          <w:highlight w:val="none"/>
        </w:rPr>
      </w:pPr>
      <w:r>
        <w:rPr>
          <w:rFonts w:hint="eastAsia"/>
          <w:bCs/>
          <w:szCs w:val="21"/>
          <w:highlight w:val="none"/>
        </w:rPr>
        <w:t>服务期限为两年，合同一年一签，服务期间项目总价款不变。</w:t>
      </w:r>
    </w:p>
    <w:p>
      <w:pPr>
        <w:adjustRightInd w:val="0"/>
        <w:spacing w:line="360" w:lineRule="auto"/>
        <w:ind w:left="210" w:leftChars="100" w:right="567" w:firstLine="420" w:firstLineChars="200"/>
        <w:rPr>
          <w:bCs/>
          <w:szCs w:val="21"/>
          <w:highlight w:val="none"/>
        </w:rPr>
      </w:pPr>
      <w:r>
        <w:rPr>
          <w:rFonts w:hint="eastAsia"/>
          <w:bCs/>
          <w:szCs w:val="21"/>
          <w:highlight w:val="none"/>
        </w:rPr>
        <w:t>第三条组成本合同的有关文件下列关于</w:t>
      </w:r>
      <w:r>
        <w:rPr>
          <w:rFonts w:hint="eastAsia"/>
          <w:bCs/>
          <w:highlight w:val="none"/>
          <w:u w:val="single"/>
        </w:rPr>
        <w:t>（项目编号：）</w:t>
      </w:r>
      <w:r>
        <w:rPr>
          <w:rFonts w:hint="eastAsia"/>
          <w:bCs/>
          <w:szCs w:val="21"/>
          <w:highlight w:val="none"/>
        </w:rPr>
        <w:t>的招标文件、供应商响应文件，或与本次采购活动方式相适应的文件，以及有关附件是本合同不可分割的组成部分，与本合同具有同等法律效力，这些文件包括但不限于：</w:t>
      </w:r>
    </w:p>
    <w:p>
      <w:pPr>
        <w:adjustRightInd w:val="0"/>
        <w:spacing w:line="360" w:lineRule="auto"/>
        <w:ind w:left="210" w:leftChars="100" w:right="567" w:firstLine="420" w:firstLineChars="200"/>
        <w:rPr>
          <w:bCs/>
          <w:szCs w:val="21"/>
          <w:highlight w:val="none"/>
        </w:rPr>
      </w:pPr>
      <w:r>
        <w:rPr>
          <w:rFonts w:hint="eastAsia"/>
          <w:bCs/>
          <w:szCs w:val="21"/>
          <w:highlight w:val="none"/>
        </w:rPr>
        <w:t>（</w:t>
      </w:r>
      <w:r>
        <w:rPr>
          <w:bCs/>
          <w:szCs w:val="21"/>
          <w:highlight w:val="none"/>
        </w:rPr>
        <w:t>1</w:t>
      </w:r>
      <w:r>
        <w:rPr>
          <w:rFonts w:hint="eastAsia"/>
          <w:bCs/>
          <w:szCs w:val="21"/>
          <w:highlight w:val="none"/>
        </w:rPr>
        <w:t>）乙方提供的响应文件和报价表；</w:t>
      </w:r>
    </w:p>
    <w:p>
      <w:pPr>
        <w:adjustRightInd w:val="0"/>
        <w:spacing w:line="360" w:lineRule="auto"/>
        <w:ind w:left="210" w:leftChars="100" w:right="567" w:firstLine="420" w:firstLineChars="200"/>
        <w:rPr>
          <w:bCs/>
          <w:szCs w:val="21"/>
          <w:highlight w:val="none"/>
        </w:rPr>
      </w:pPr>
      <w:r>
        <w:rPr>
          <w:rFonts w:hint="eastAsia"/>
          <w:bCs/>
          <w:szCs w:val="21"/>
          <w:highlight w:val="none"/>
        </w:rPr>
        <w:t>（2）技术规格响应表；</w:t>
      </w:r>
    </w:p>
    <w:p>
      <w:pPr>
        <w:adjustRightInd w:val="0"/>
        <w:spacing w:line="360" w:lineRule="auto"/>
        <w:ind w:left="210" w:leftChars="100" w:right="567" w:firstLine="420" w:firstLineChars="200"/>
        <w:rPr>
          <w:bCs/>
          <w:szCs w:val="21"/>
          <w:highlight w:val="none"/>
        </w:rPr>
      </w:pPr>
      <w:r>
        <w:rPr>
          <w:rFonts w:hint="eastAsia"/>
          <w:bCs/>
          <w:szCs w:val="21"/>
          <w:highlight w:val="none"/>
        </w:rPr>
        <w:t>（3）</w:t>
      </w:r>
      <w:r>
        <w:rPr>
          <w:rFonts w:hint="eastAsia"/>
          <w:bCs/>
          <w:spacing w:val="-2"/>
          <w:szCs w:val="21"/>
          <w:highlight w:val="none"/>
        </w:rPr>
        <w:t>采购</w:t>
      </w:r>
      <w:r>
        <w:rPr>
          <w:rFonts w:hint="eastAsia"/>
          <w:bCs/>
          <w:szCs w:val="21"/>
          <w:highlight w:val="none"/>
        </w:rPr>
        <w:t>承诺/服务承诺；</w:t>
      </w:r>
    </w:p>
    <w:p>
      <w:pPr>
        <w:adjustRightInd w:val="0"/>
        <w:spacing w:line="360" w:lineRule="auto"/>
        <w:ind w:left="210" w:leftChars="100" w:right="567" w:firstLine="420" w:firstLineChars="200"/>
        <w:rPr>
          <w:rFonts w:hint="eastAsia" w:eastAsia="宋体"/>
          <w:bCs/>
          <w:szCs w:val="21"/>
          <w:highlight w:val="none"/>
          <w:lang w:val="en-US" w:eastAsia="zh-CN"/>
        </w:rPr>
      </w:pPr>
      <w:r>
        <w:rPr>
          <w:rFonts w:hint="eastAsia"/>
          <w:bCs/>
          <w:szCs w:val="21"/>
          <w:highlight w:val="none"/>
        </w:rPr>
        <w:t>（4）成交通知书；</w:t>
      </w:r>
    </w:p>
    <w:p>
      <w:pPr>
        <w:adjustRightInd w:val="0"/>
        <w:spacing w:line="360" w:lineRule="auto"/>
        <w:ind w:left="210" w:leftChars="100" w:right="567" w:firstLine="420" w:firstLineChars="200"/>
        <w:rPr>
          <w:rFonts w:hint="eastAsia"/>
          <w:bCs/>
          <w:szCs w:val="21"/>
          <w:highlight w:val="none"/>
        </w:rPr>
      </w:pPr>
      <w:r>
        <w:rPr>
          <w:rFonts w:hint="eastAsia"/>
          <w:bCs/>
          <w:szCs w:val="21"/>
          <w:highlight w:val="none"/>
        </w:rPr>
        <w:t>（5）甲乙双方商定的其他文件等。</w:t>
      </w:r>
    </w:p>
    <w:p>
      <w:pPr>
        <w:adjustRightInd w:val="0"/>
        <w:spacing w:line="360" w:lineRule="auto"/>
        <w:ind w:left="210" w:leftChars="100" w:right="567" w:firstLine="420" w:firstLineChars="200"/>
        <w:rPr>
          <w:rFonts w:hint="eastAsia" w:ascii="Times New Roman" w:hAnsi="Times New Roman"/>
          <w:bCs/>
          <w:szCs w:val="21"/>
          <w:highlight w:val="none"/>
        </w:rPr>
      </w:pPr>
      <w:r>
        <w:rPr>
          <w:rFonts w:hint="eastAsia" w:ascii="Times New Roman" w:hAnsi="Times New Roman"/>
          <w:bCs/>
          <w:szCs w:val="21"/>
          <w:highlight w:val="none"/>
        </w:rPr>
        <w:t>第四条服务内容及服务要求</w:t>
      </w: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en-US" w:eastAsia="zh-CN"/>
        </w:rPr>
      </w:pPr>
      <w:r>
        <w:rPr>
          <w:rFonts w:hint="eastAsia" w:ascii="Times New Roman" w:hAnsi="Times New Roman" w:eastAsia="宋体" w:cs="Times New Roman"/>
          <w:b/>
          <w:bCs w:val="0"/>
          <w:szCs w:val="21"/>
          <w:highlight w:val="none"/>
          <w:lang w:val="en-US" w:eastAsia="zh-CN"/>
        </w:rPr>
        <w:t>（一）服务标准</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1.</w:t>
      </w:r>
      <w:r>
        <w:rPr>
          <w:rFonts w:hint="eastAsia" w:ascii="Times New Roman" w:hAnsi="Times New Roman" w:eastAsia="宋体" w:cs="Times New Roman"/>
          <w:bCs/>
          <w:szCs w:val="21"/>
          <w:highlight w:val="none"/>
          <w:lang w:val="zh-CN"/>
        </w:rPr>
        <w:t>清洁管理无盲点；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2.</w:t>
      </w:r>
      <w:r>
        <w:rPr>
          <w:rFonts w:hint="eastAsia" w:ascii="Times New Roman" w:hAnsi="Times New Roman" w:eastAsia="宋体" w:cs="Times New Roman"/>
          <w:bCs/>
          <w:szCs w:val="21"/>
          <w:highlight w:val="none"/>
          <w:lang w:val="zh-CN"/>
        </w:rPr>
        <w:t>管理服务范围保持环境整洁，环境垃圾日产日清；</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3.</w:t>
      </w:r>
      <w:r>
        <w:rPr>
          <w:rFonts w:hint="eastAsia" w:ascii="Times New Roman" w:hAnsi="Times New Roman" w:eastAsia="宋体" w:cs="Times New Roman"/>
          <w:bCs/>
          <w:szCs w:val="21"/>
          <w:highlight w:val="none"/>
          <w:lang w:val="zh-CN"/>
        </w:rPr>
        <w:t>合理调整垃圾桶，每日清运。</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4.</w:t>
      </w:r>
      <w:r>
        <w:rPr>
          <w:rFonts w:hint="eastAsia" w:ascii="Times New Roman" w:hAnsi="Times New Roman" w:eastAsia="宋体" w:cs="Times New Roman"/>
          <w:bCs/>
          <w:szCs w:val="21"/>
          <w:highlight w:val="none"/>
          <w:lang w:val="zh-CN"/>
        </w:rPr>
        <w:t>物业人员应统一着装，佩带胸牌、仪容仪表整洁端庄；</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5.</w:t>
      </w:r>
      <w:r>
        <w:rPr>
          <w:rFonts w:hint="eastAsia" w:ascii="Times New Roman" w:hAnsi="Times New Roman" w:eastAsia="宋体" w:cs="Times New Roman"/>
          <w:bCs/>
          <w:szCs w:val="21"/>
          <w:highlight w:val="none"/>
          <w:lang w:val="zh-CN"/>
        </w:rPr>
        <w:t>操作规范化、管理科学化；</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6.</w:t>
      </w:r>
      <w:r>
        <w:rPr>
          <w:rFonts w:hint="eastAsia" w:ascii="Times New Roman" w:hAnsi="Times New Roman" w:eastAsia="宋体" w:cs="Times New Roman"/>
          <w:bCs/>
          <w:szCs w:val="21"/>
          <w:highlight w:val="none"/>
          <w:lang w:val="zh-CN"/>
        </w:rPr>
        <w:t>适时、及时、准时进行保洁服务；</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7.</w:t>
      </w:r>
      <w:r>
        <w:rPr>
          <w:rFonts w:hint="eastAsia" w:ascii="Times New Roman" w:hAnsi="Times New Roman" w:eastAsia="宋体" w:cs="Times New Roman"/>
          <w:bCs/>
          <w:szCs w:val="21"/>
          <w:highlight w:val="none"/>
          <w:lang w:val="zh-CN"/>
        </w:rPr>
        <w:t>爱护物业各项设施及财物；</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8.</w:t>
      </w:r>
      <w:r>
        <w:rPr>
          <w:rFonts w:hint="eastAsia" w:ascii="Times New Roman" w:hAnsi="Times New Roman" w:eastAsia="宋体" w:cs="Times New Roman"/>
          <w:bCs/>
          <w:szCs w:val="21"/>
          <w:highlight w:val="none"/>
          <w:lang w:val="zh-CN"/>
        </w:rPr>
        <w:t>及时处理垃圾、废弃物分类按指定地点安放；</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9.</w:t>
      </w:r>
      <w:r>
        <w:rPr>
          <w:rFonts w:hint="eastAsia" w:ascii="Times New Roman" w:hAnsi="Times New Roman" w:eastAsia="宋体" w:cs="Times New Roman"/>
          <w:bCs/>
          <w:szCs w:val="21"/>
          <w:highlight w:val="none"/>
          <w:lang w:val="zh-CN"/>
        </w:rPr>
        <w:t>节约用电、用水；</w:t>
      </w: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en-US" w:eastAsia="zh-CN"/>
        </w:rPr>
      </w:pPr>
      <w:r>
        <w:rPr>
          <w:rFonts w:hint="eastAsia" w:ascii="Times New Roman" w:hAnsi="Times New Roman" w:eastAsia="宋体" w:cs="Times New Roman"/>
          <w:b/>
          <w:bCs w:val="0"/>
          <w:szCs w:val="21"/>
          <w:highlight w:val="none"/>
          <w:lang w:val="en-US" w:eastAsia="zh-CN"/>
        </w:rPr>
        <w:t>（二）服务流程</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 xml:space="preserve">（7：00-8：00）拖扫门厅，走道，楼梯，冲洗开水间、卫生间等。 </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（8：00-9：00）清洁走道玻璃。</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（9：00-10：30）再次打扫，保持卫生区域的清洁，进行空气消毒。</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（13：30-14：30）拖扫门厅，走道等卫生区域。</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（15：30-16：30）垃圾清运人员收送垃圾（生活垃圾）至垃圾站，分类处理。医用垃圾送指定地点。</w:t>
      </w: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en-US" w:eastAsia="zh-CN"/>
        </w:rPr>
      </w:pPr>
      <w:r>
        <w:rPr>
          <w:rFonts w:hint="eastAsia" w:ascii="Times New Roman" w:hAnsi="Times New Roman" w:eastAsia="宋体" w:cs="Times New Roman"/>
          <w:b/>
          <w:bCs w:val="0"/>
          <w:szCs w:val="21"/>
          <w:highlight w:val="none"/>
          <w:lang w:val="en-US" w:eastAsia="zh-CN"/>
        </w:rPr>
        <w:t>（三）以环境保护为目的，预防交叉感染，特作以下物料，工具，消毒液使用规定。</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1、垃圾袋使用规定</w:t>
      </w:r>
    </w:p>
    <w:tbl>
      <w:tblPr>
        <w:tblStyle w:val="18"/>
        <w:tblW w:w="0" w:type="auto"/>
        <w:jc w:val="center"/>
        <w:tblLayout w:type="fixed"/>
        <w:tblCellMar>
          <w:top w:w="0" w:type="dxa"/>
          <w:left w:w="108" w:type="dxa"/>
          <w:bottom w:w="0" w:type="dxa"/>
          <w:right w:w="108" w:type="dxa"/>
        </w:tblCellMar>
      </w:tblPr>
      <w:tblGrid>
        <w:gridCol w:w="3898"/>
        <w:gridCol w:w="4624"/>
      </w:tblGrid>
      <w:tr>
        <w:tblPrEx>
          <w:tblCellMar>
            <w:top w:w="0" w:type="dxa"/>
            <w:left w:w="108" w:type="dxa"/>
            <w:bottom w:w="0" w:type="dxa"/>
            <w:right w:w="108" w:type="dxa"/>
          </w:tblCellMar>
        </w:tblPrEx>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品      名</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垃圾袋颜色</w:t>
            </w:r>
          </w:p>
        </w:tc>
      </w:tr>
      <w:tr>
        <w:tblPrEx>
          <w:tblCellMar>
            <w:top w:w="0" w:type="dxa"/>
            <w:left w:w="108" w:type="dxa"/>
            <w:bottom w:w="0" w:type="dxa"/>
            <w:right w:w="108" w:type="dxa"/>
          </w:tblCellMar>
        </w:tblPrEx>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医用垃圾</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黄色垃圾袋</w:t>
            </w:r>
          </w:p>
        </w:tc>
      </w:tr>
      <w:tr>
        <w:tblPrEx>
          <w:tblCellMar>
            <w:top w:w="0" w:type="dxa"/>
            <w:left w:w="108" w:type="dxa"/>
            <w:bottom w:w="0" w:type="dxa"/>
            <w:right w:w="108" w:type="dxa"/>
          </w:tblCellMar>
        </w:tblPrEx>
        <w:trPr>
          <w:jc w:val="center"/>
        </w:trPr>
        <w:tc>
          <w:tcPr>
            <w:tcW w:w="3898"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生活垃圾</w:t>
            </w:r>
          </w:p>
        </w:tc>
        <w:tc>
          <w:tcPr>
            <w:tcW w:w="462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黑色垃圾袋</w:t>
            </w:r>
          </w:p>
        </w:tc>
      </w:tr>
    </w:tbl>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2、卫生工具使用规定</w:t>
      </w:r>
    </w:p>
    <w:tbl>
      <w:tblPr>
        <w:tblStyle w:val="18"/>
        <w:tblW w:w="0" w:type="auto"/>
        <w:jc w:val="center"/>
        <w:tblLayout w:type="fixed"/>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rPr>
          <w:jc w:val="center"/>
        </w:trPr>
        <w:tc>
          <w:tcPr>
            <w:tcW w:w="2840"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名    称</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区    域</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标    记</w:t>
            </w:r>
          </w:p>
        </w:tc>
      </w:tr>
      <w:tr>
        <w:tblPrEx>
          <w:tblCellMar>
            <w:top w:w="0" w:type="dxa"/>
            <w:left w:w="108" w:type="dxa"/>
            <w:bottom w:w="0" w:type="dxa"/>
            <w:right w:w="108" w:type="dxa"/>
          </w:tblCellMar>
        </w:tblPrEx>
        <w:trPr>
          <w:trHeight w:val="452" w:hRule="atLeast"/>
          <w:jc w:val="center"/>
        </w:trPr>
        <w:tc>
          <w:tcPr>
            <w:tcW w:w="2840" w:type="dxa"/>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抢救室、处置室、公共走道楼梯等</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红色标记</w:t>
            </w:r>
          </w:p>
        </w:tc>
      </w:tr>
      <w:tr>
        <w:tblPrEx>
          <w:tblCellMar>
            <w:top w:w="0" w:type="dxa"/>
            <w:left w:w="108" w:type="dxa"/>
            <w:bottom w:w="0" w:type="dxa"/>
            <w:right w:w="108" w:type="dxa"/>
          </w:tblCellMar>
        </w:tblPrEx>
        <w:trPr>
          <w:trHeight w:val="736" w:hRule="atLeast"/>
          <w:jc w:val="center"/>
        </w:trPr>
        <w:tc>
          <w:tcPr>
            <w:tcW w:w="2840" w:type="dxa"/>
            <w:vMerge w:val="continue"/>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卫生间</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黑色标记</w:t>
            </w:r>
          </w:p>
        </w:tc>
      </w:tr>
      <w:tr>
        <w:tblPrEx>
          <w:tblCellMar>
            <w:top w:w="0" w:type="dxa"/>
            <w:left w:w="108" w:type="dxa"/>
            <w:bottom w:w="0" w:type="dxa"/>
            <w:right w:w="108" w:type="dxa"/>
          </w:tblCellMar>
        </w:tblPrEx>
        <w:trPr>
          <w:trHeight w:val="670" w:hRule="atLeast"/>
          <w:jc w:val="center"/>
        </w:trPr>
        <w:tc>
          <w:tcPr>
            <w:tcW w:w="2840" w:type="dxa"/>
            <w:vMerge w:val="continue"/>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办公区域</w:t>
            </w:r>
          </w:p>
        </w:tc>
        <w:tc>
          <w:tcPr>
            <w:tcW w:w="2841"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蓝色标记</w:t>
            </w:r>
          </w:p>
        </w:tc>
      </w:tr>
    </w:tbl>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en-US" w:eastAsia="zh-CN"/>
        </w:rPr>
      </w:pPr>
      <w:r>
        <w:rPr>
          <w:rFonts w:hint="eastAsia" w:ascii="Times New Roman" w:hAnsi="Times New Roman" w:eastAsia="宋体" w:cs="Times New Roman"/>
          <w:b/>
          <w:bCs w:val="0"/>
          <w:szCs w:val="21"/>
          <w:highlight w:val="none"/>
          <w:lang w:val="en-US" w:eastAsia="zh-CN"/>
        </w:rPr>
        <w:t>（四）物业服务内容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1、服务工作范围及人员配置表</w:t>
      </w:r>
    </w:p>
    <w:tbl>
      <w:tblPr>
        <w:tblStyle w:val="18"/>
        <w:tblW w:w="8522" w:type="dxa"/>
        <w:jc w:val="center"/>
        <w:tblLayout w:type="fixed"/>
        <w:tblCellMar>
          <w:top w:w="0" w:type="dxa"/>
          <w:left w:w="108" w:type="dxa"/>
          <w:bottom w:w="0" w:type="dxa"/>
          <w:right w:w="108" w:type="dxa"/>
        </w:tblCellMar>
      </w:tblPr>
      <w:tblGrid>
        <w:gridCol w:w="4014"/>
        <w:gridCol w:w="1763"/>
        <w:gridCol w:w="2745"/>
      </w:tblGrid>
      <w:tr>
        <w:trPr>
          <w:jc w:val="center"/>
        </w:trPr>
        <w:tc>
          <w:tcPr>
            <w:tcW w:w="401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服务工作区域</w:t>
            </w:r>
          </w:p>
        </w:tc>
        <w:tc>
          <w:tcPr>
            <w:tcW w:w="176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人员配置</w:t>
            </w:r>
          </w:p>
        </w:tc>
        <w:tc>
          <w:tcPr>
            <w:tcW w:w="27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人数（名）</w:t>
            </w:r>
          </w:p>
        </w:tc>
      </w:tr>
      <w:tr>
        <w:tblPrEx>
          <w:tblCellMar>
            <w:top w:w="0" w:type="dxa"/>
            <w:left w:w="108" w:type="dxa"/>
            <w:bottom w:w="0" w:type="dxa"/>
            <w:right w:w="108" w:type="dxa"/>
          </w:tblCellMar>
        </w:tblPrEx>
        <w:trPr>
          <w:trHeight w:val="1135" w:hRule="atLeast"/>
          <w:jc w:val="center"/>
        </w:trPr>
        <w:tc>
          <w:tcPr>
            <w:tcW w:w="401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lang w:val="zh-CN"/>
              </w:rPr>
              <w:t>明匙路中心（</w:t>
            </w:r>
            <w:r>
              <w:rPr>
                <w:rFonts w:hint="eastAsia" w:ascii="Times New Roman" w:hAnsi="Times New Roman" w:eastAsia="宋体" w:cs="Times New Roman"/>
                <w:bCs/>
                <w:szCs w:val="21"/>
                <w:highlight w:val="none"/>
              </w:rPr>
              <w:t>1—7楼</w:t>
            </w:r>
            <w:r>
              <w:rPr>
                <w:rFonts w:hint="eastAsia" w:ascii="Times New Roman" w:hAnsi="Times New Roman" w:eastAsia="宋体" w:cs="Times New Roman"/>
                <w:bCs/>
                <w:szCs w:val="21"/>
                <w:highlight w:val="none"/>
                <w:lang w:val="zh-CN"/>
              </w:rPr>
              <w:t>）、辅助用房及院落、</w:t>
            </w:r>
            <w:r>
              <w:rPr>
                <w:rFonts w:hint="eastAsia" w:ascii="Times New Roman" w:hAnsi="Times New Roman" w:eastAsia="宋体" w:cs="Times New Roman"/>
                <w:bCs/>
                <w:szCs w:val="21"/>
                <w:highlight w:val="none"/>
              </w:rPr>
              <w:t>门卫</w:t>
            </w:r>
          </w:p>
        </w:tc>
        <w:tc>
          <w:tcPr>
            <w:tcW w:w="176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7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w:t>
            </w:r>
          </w:p>
        </w:tc>
      </w:tr>
      <w:tr>
        <w:tblPrEx>
          <w:tblCellMar>
            <w:top w:w="0" w:type="dxa"/>
            <w:left w:w="108" w:type="dxa"/>
            <w:bottom w:w="0" w:type="dxa"/>
            <w:right w:w="108" w:type="dxa"/>
          </w:tblCellMar>
        </w:tblPrEx>
        <w:trPr>
          <w:trHeight w:val="90" w:hRule="atLeast"/>
          <w:jc w:val="center"/>
        </w:trPr>
        <w:tc>
          <w:tcPr>
            <w:tcW w:w="4014"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rPr>
              <w:t>工作服收发清洗及双桥站的取送血样（含部分药品和物资）</w:t>
            </w:r>
          </w:p>
        </w:tc>
        <w:tc>
          <w:tcPr>
            <w:tcW w:w="176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745"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1</w:t>
            </w:r>
          </w:p>
        </w:tc>
      </w:tr>
      <w:tr>
        <w:tblPrEx>
          <w:tblCellMar>
            <w:top w:w="0" w:type="dxa"/>
            <w:left w:w="108" w:type="dxa"/>
            <w:bottom w:w="0" w:type="dxa"/>
            <w:right w:w="108" w:type="dxa"/>
          </w:tblCellMar>
        </w:tblPrEx>
        <w:trPr>
          <w:jc w:val="center"/>
        </w:trPr>
        <w:tc>
          <w:tcPr>
            <w:tcW w:w="4014" w:type="dxa"/>
            <w:tcBorders>
              <w:top w:val="single" w:color="auto" w:sz="6" w:space="0"/>
              <w:left w:val="single" w:color="auto" w:sz="6" w:space="0"/>
              <w:bottom w:val="single" w:color="auto" w:sz="4"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双桥站辅助用房及院落</w:t>
            </w:r>
          </w:p>
        </w:tc>
        <w:tc>
          <w:tcPr>
            <w:tcW w:w="1763" w:type="dxa"/>
            <w:tcBorders>
              <w:top w:val="single" w:color="auto" w:sz="6" w:space="0"/>
              <w:left w:val="single" w:color="auto" w:sz="6" w:space="0"/>
              <w:bottom w:val="single" w:color="auto" w:sz="4"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745" w:type="dxa"/>
            <w:tcBorders>
              <w:top w:val="single" w:color="auto" w:sz="6" w:space="0"/>
              <w:left w:val="single" w:color="auto" w:sz="6" w:space="0"/>
              <w:bottom w:val="single" w:color="auto" w:sz="4"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1</w:t>
            </w:r>
          </w:p>
        </w:tc>
      </w:tr>
      <w:tr>
        <w:tblPrEx>
          <w:tblCellMar>
            <w:top w:w="0" w:type="dxa"/>
            <w:left w:w="108" w:type="dxa"/>
            <w:bottom w:w="0" w:type="dxa"/>
            <w:right w:w="108" w:type="dxa"/>
          </w:tblCellMar>
        </w:tblPrEx>
        <w:trPr>
          <w:trHeight w:val="225" w:hRule="atLeast"/>
          <w:jc w:val="center"/>
        </w:trPr>
        <w:tc>
          <w:tcPr>
            <w:tcW w:w="4014" w:type="dxa"/>
            <w:tcBorders>
              <w:top w:val="single" w:color="auto" w:sz="4" w:space="0"/>
              <w:left w:val="single" w:color="auto" w:sz="6" w:space="0"/>
              <w:bottom w:val="single" w:color="auto" w:sz="4" w:space="0"/>
              <w:right w:val="single" w:color="auto" w:sz="6" w:space="0"/>
            </w:tcBorders>
            <w:noWrap w:val="0"/>
            <w:vAlign w:val="center"/>
          </w:tcPr>
          <w:p>
            <w:pPr>
              <w:adjustRightInd w:val="0"/>
              <w:spacing w:line="360" w:lineRule="auto"/>
              <w:ind w:right="567"/>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汇景和园医疗点、汇景家园医疗点</w:t>
            </w:r>
          </w:p>
        </w:tc>
        <w:tc>
          <w:tcPr>
            <w:tcW w:w="1763" w:type="dxa"/>
            <w:tcBorders>
              <w:top w:val="single" w:color="auto" w:sz="4" w:space="0"/>
              <w:left w:val="single" w:color="auto" w:sz="6" w:space="0"/>
              <w:bottom w:val="single" w:color="auto" w:sz="4"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745" w:type="dxa"/>
            <w:tcBorders>
              <w:top w:val="single" w:color="auto" w:sz="4" w:space="0"/>
              <w:left w:val="single" w:color="auto" w:sz="6" w:space="0"/>
              <w:bottom w:val="single" w:color="auto" w:sz="4"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rPr>
              <w:t>1</w:t>
            </w:r>
          </w:p>
        </w:tc>
      </w:tr>
      <w:tr>
        <w:tblPrEx>
          <w:tblCellMar>
            <w:top w:w="0" w:type="dxa"/>
            <w:left w:w="108" w:type="dxa"/>
            <w:bottom w:w="0" w:type="dxa"/>
            <w:right w:w="108" w:type="dxa"/>
          </w:tblCellMar>
        </w:tblPrEx>
        <w:trPr>
          <w:trHeight w:val="270" w:hRule="atLeast"/>
          <w:jc w:val="center"/>
        </w:trPr>
        <w:tc>
          <w:tcPr>
            <w:tcW w:w="4014" w:type="dxa"/>
            <w:tcBorders>
              <w:top w:val="single" w:color="auto" w:sz="4"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合计</w:t>
            </w:r>
          </w:p>
        </w:tc>
        <w:tc>
          <w:tcPr>
            <w:tcW w:w="1763" w:type="dxa"/>
            <w:tcBorders>
              <w:top w:val="single" w:color="auto" w:sz="4"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p>
        </w:tc>
        <w:tc>
          <w:tcPr>
            <w:tcW w:w="2745" w:type="dxa"/>
            <w:tcBorders>
              <w:top w:val="single" w:color="auto" w:sz="4" w:space="0"/>
              <w:left w:val="single" w:color="auto" w:sz="6" w:space="0"/>
              <w:bottom w:val="single" w:color="auto" w:sz="6" w:space="0"/>
              <w:right w:val="single" w:color="auto" w:sz="6" w:space="0"/>
            </w:tcBorders>
            <w:noWrap w:val="0"/>
            <w:vAlign w:val="center"/>
          </w:tcPr>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6人</w:t>
            </w:r>
          </w:p>
        </w:tc>
      </w:tr>
    </w:tbl>
    <w:p>
      <w:pPr>
        <w:numPr>
          <w:ilvl w:val="0"/>
          <w:numId w:val="7"/>
        </w:num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日常工作安排及标准</w:t>
      </w:r>
    </w:p>
    <w:tbl>
      <w:tblPr>
        <w:tblStyle w:val="18"/>
        <w:tblW w:w="0" w:type="auto"/>
        <w:jc w:val="center"/>
        <w:tblLayout w:type="fixed"/>
        <w:tblCellMar>
          <w:top w:w="0" w:type="dxa"/>
          <w:left w:w="108" w:type="dxa"/>
          <w:bottom w:w="0" w:type="dxa"/>
          <w:right w:w="108" w:type="dxa"/>
        </w:tblCellMar>
      </w:tblPr>
      <w:tblGrid>
        <w:gridCol w:w="496"/>
        <w:gridCol w:w="2473"/>
        <w:gridCol w:w="2876"/>
        <w:gridCol w:w="6"/>
        <w:gridCol w:w="2650"/>
      </w:tblGrid>
      <w:tr>
        <w:tblPrEx>
          <w:tblCellMar>
            <w:top w:w="0" w:type="dxa"/>
            <w:left w:w="108" w:type="dxa"/>
            <w:bottom w:w="0" w:type="dxa"/>
            <w:right w:w="108" w:type="dxa"/>
          </w:tblCellMar>
        </w:tblPrEx>
        <w:trPr>
          <w:trHeight w:val="461" w:hRule="atLeast"/>
          <w:jc w:val="center"/>
        </w:trPr>
        <w:tc>
          <w:tcPr>
            <w:tcW w:w="2969"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工作内容</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频率/日</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标    准</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地面</w:t>
            </w:r>
            <w:r>
              <w:rPr>
                <w:rFonts w:hint="eastAsia" w:ascii="宋体" w:hAnsi="宋体" w:cs="宋体"/>
                <w:kern w:val="2"/>
                <w:sz w:val="21"/>
                <w:szCs w:val="21"/>
                <w:lang w:val="zh-CN"/>
              </w:rPr>
              <w:t>清洁</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洗地机拖</w:t>
            </w:r>
            <w:r>
              <w:rPr>
                <w:rFonts w:hint="eastAsia" w:ascii="宋体" w:hAnsi="宋体" w:eastAsia="宋体" w:cs="宋体"/>
                <w:kern w:val="2"/>
                <w:sz w:val="21"/>
                <w:szCs w:val="21"/>
              </w:rPr>
              <w:t>2</w:t>
            </w:r>
            <w:r>
              <w:rPr>
                <w:rFonts w:hint="eastAsia" w:ascii="宋体" w:hAnsi="宋体" w:eastAsia="宋体" w:cs="宋体"/>
                <w:kern w:val="2"/>
                <w:sz w:val="21"/>
                <w:szCs w:val="21"/>
                <w:lang w:val="zh-CN"/>
              </w:rPr>
              <w:t>次，30分左右巡场一次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无尘，无水，无杂物，无粘遗物。</w:t>
            </w:r>
          </w:p>
        </w:tc>
      </w:tr>
      <w:tr>
        <w:tblPrEx>
          <w:tblCellMar>
            <w:top w:w="0" w:type="dxa"/>
            <w:left w:w="108" w:type="dxa"/>
            <w:bottom w:w="0" w:type="dxa"/>
            <w:right w:w="108" w:type="dxa"/>
          </w:tblCellMar>
        </w:tblPrEx>
        <w:trPr>
          <w:trHeight w:val="433"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墙面</w:t>
            </w:r>
            <w:r>
              <w:rPr>
                <w:rFonts w:hint="eastAsia" w:ascii="宋体" w:hAnsi="宋体" w:cs="宋体"/>
                <w:kern w:val="2"/>
                <w:sz w:val="21"/>
                <w:szCs w:val="21"/>
                <w:lang w:val="zh-CN"/>
              </w:rPr>
              <w:t>清洁</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擦抹一次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无印迹，无杂物，清洁光亮</w:t>
            </w:r>
          </w:p>
        </w:tc>
      </w:tr>
      <w:tr>
        <w:tblPrEx>
          <w:tblCellMar>
            <w:top w:w="0" w:type="dxa"/>
            <w:left w:w="108" w:type="dxa"/>
            <w:bottom w:w="0" w:type="dxa"/>
            <w:right w:w="108" w:type="dxa"/>
          </w:tblCellMar>
        </w:tblPrEx>
        <w:trPr>
          <w:trHeight w:val="467"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方柱</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擦抹一次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无印迹，无杂物，清洁光亮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公共过道门、窗</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擦抹一次，清洗一次/月</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无胶质，无杂物，透明光亮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卫生间</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全面</w:t>
            </w:r>
            <w:r>
              <w:rPr>
                <w:rFonts w:hint="eastAsia" w:ascii="宋体" w:hAnsi="宋体" w:cs="宋体"/>
                <w:kern w:val="2"/>
                <w:sz w:val="21"/>
                <w:szCs w:val="21"/>
                <w:lang w:val="zh-CN"/>
              </w:rPr>
              <w:t>清洁</w:t>
            </w:r>
            <w:r>
              <w:rPr>
                <w:rFonts w:hint="eastAsia" w:ascii="宋体" w:hAnsi="宋体" w:eastAsia="宋体" w:cs="宋体"/>
                <w:kern w:val="2"/>
                <w:sz w:val="21"/>
                <w:szCs w:val="21"/>
                <w:lang w:val="zh-CN"/>
              </w:rPr>
              <w:t>4次，随脏随洁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无异味，无脏迹，无尿碱，无水垢，镜面、墙面、地面清洁光亮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门厅</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全面</w:t>
            </w:r>
            <w:r>
              <w:rPr>
                <w:rFonts w:hint="eastAsia" w:ascii="宋体" w:hAnsi="宋体" w:cs="宋体"/>
                <w:kern w:val="2"/>
                <w:sz w:val="21"/>
                <w:szCs w:val="21"/>
                <w:lang w:val="zh-CN"/>
              </w:rPr>
              <w:t>清洁</w:t>
            </w:r>
            <w:r>
              <w:rPr>
                <w:rFonts w:hint="eastAsia" w:ascii="宋体" w:hAnsi="宋体" w:eastAsia="宋体" w:cs="宋体"/>
                <w:kern w:val="2"/>
                <w:sz w:val="21"/>
                <w:szCs w:val="21"/>
                <w:lang w:val="zh-CN"/>
              </w:rPr>
              <w:t>4次，随脏随洁，30分钟牵尘一次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地面清洁，玻璃光亮，无污垢，杂物</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开水间</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全面</w:t>
            </w:r>
            <w:r>
              <w:rPr>
                <w:rFonts w:hint="eastAsia" w:ascii="宋体" w:hAnsi="宋体" w:cs="宋体"/>
                <w:kern w:val="2"/>
                <w:sz w:val="21"/>
                <w:szCs w:val="21"/>
                <w:lang w:val="zh-CN"/>
              </w:rPr>
              <w:t>清洁</w:t>
            </w:r>
            <w:r>
              <w:rPr>
                <w:rFonts w:hint="eastAsia" w:ascii="宋体" w:hAnsi="宋体" w:eastAsia="宋体" w:cs="宋体"/>
                <w:kern w:val="2"/>
                <w:sz w:val="21"/>
                <w:szCs w:val="21"/>
                <w:lang w:val="zh-CN"/>
              </w:rPr>
              <w:t>2次，随脏随洁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桌面、地面、垃圾等全面保洁2次</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公共过道</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湿拖</w:t>
            </w:r>
            <w:r>
              <w:rPr>
                <w:rFonts w:hint="eastAsia" w:ascii="宋体" w:hAnsi="宋体" w:eastAsia="宋体" w:cs="宋体"/>
                <w:kern w:val="2"/>
                <w:sz w:val="21"/>
                <w:szCs w:val="21"/>
              </w:rPr>
              <w:t>2</w:t>
            </w:r>
            <w:r>
              <w:rPr>
                <w:rFonts w:hint="eastAsia" w:ascii="宋体" w:hAnsi="宋体" w:eastAsia="宋体" w:cs="宋体"/>
                <w:kern w:val="2"/>
                <w:sz w:val="21"/>
                <w:szCs w:val="21"/>
                <w:lang w:val="zh-CN"/>
              </w:rPr>
              <w:t>次，30分钟巡场一次，随脏随洁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地面清洁，无污垢，水迹，烟头等杂物</w:t>
            </w:r>
          </w:p>
        </w:tc>
      </w:tr>
      <w:tr>
        <w:tblPrEx>
          <w:tblCellMar>
            <w:top w:w="0" w:type="dxa"/>
            <w:left w:w="108" w:type="dxa"/>
            <w:bottom w:w="0" w:type="dxa"/>
            <w:right w:w="108" w:type="dxa"/>
          </w:tblCellMar>
        </w:tblPrEx>
        <w:trPr>
          <w:trHeight w:val="398"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9</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天棚</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无灰尘、挂灰，无蜘蛛网</w:t>
            </w:r>
          </w:p>
        </w:tc>
      </w:tr>
      <w:tr>
        <w:tblPrEx>
          <w:tblCellMar>
            <w:top w:w="0" w:type="dxa"/>
            <w:left w:w="108" w:type="dxa"/>
            <w:bottom w:w="0" w:type="dxa"/>
            <w:right w:w="108" w:type="dxa"/>
          </w:tblCellMar>
        </w:tblPrEx>
        <w:trPr>
          <w:trHeight w:val="459"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10</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公共过道开关</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无灰尘，清洁光亮</w:t>
            </w:r>
          </w:p>
        </w:tc>
      </w:tr>
      <w:tr>
        <w:tblPrEx>
          <w:tblCellMar>
            <w:top w:w="0" w:type="dxa"/>
            <w:left w:w="108" w:type="dxa"/>
            <w:bottom w:w="0" w:type="dxa"/>
            <w:right w:w="108" w:type="dxa"/>
          </w:tblCellMar>
        </w:tblPrEx>
        <w:trPr>
          <w:trHeight w:val="465"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11</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标示牌</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每周清洗一次</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无尘，清洁光亮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12</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楼梯</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抹手擦抹，湿拖2次，随脏随洁</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梯间无泥沙，无蜘蛛网、挂灰，清洁光亮</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13</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垃圾收集</w:t>
            </w:r>
          </w:p>
        </w:tc>
        <w:tc>
          <w:tcPr>
            <w:tcW w:w="287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垃圾日产日清</w:t>
            </w:r>
          </w:p>
        </w:tc>
        <w:tc>
          <w:tcPr>
            <w:tcW w:w="2656"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垃圾篓无堆积，无积水，无污迹</w:t>
            </w:r>
          </w:p>
        </w:tc>
      </w:tr>
      <w:tr>
        <w:tblPrEx>
          <w:tblCellMar>
            <w:top w:w="0" w:type="dxa"/>
            <w:left w:w="108" w:type="dxa"/>
            <w:bottom w:w="0" w:type="dxa"/>
            <w:right w:w="108" w:type="dxa"/>
          </w:tblCellMar>
        </w:tblPrEx>
        <w:trPr>
          <w:trHeight w:val="624" w:hRule="atLeast"/>
          <w:jc w:val="center"/>
        </w:trPr>
        <w:tc>
          <w:tcPr>
            <w:tcW w:w="496"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14</w:t>
            </w:r>
          </w:p>
        </w:tc>
        <w:tc>
          <w:tcPr>
            <w:tcW w:w="2473"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院内</w:t>
            </w:r>
          </w:p>
        </w:tc>
        <w:tc>
          <w:tcPr>
            <w:tcW w:w="2882" w:type="dxa"/>
            <w:gridSpan w:val="2"/>
            <w:tcBorders>
              <w:top w:val="single" w:color="auto" w:sz="6" w:space="0"/>
              <w:left w:val="single" w:color="auto" w:sz="6" w:space="0"/>
              <w:bottom w:val="single" w:color="auto" w:sz="6" w:space="0"/>
              <w:right w:val="single" w:color="auto" w:sz="6" w:space="0"/>
            </w:tcBorders>
            <w:noWrap w:val="0"/>
            <w:vAlign w:val="center"/>
          </w:tcPr>
          <w:p>
            <w:pPr>
              <w:spacing w:line="240" w:lineRule="atLeast"/>
              <w:ind w:right="-126"/>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随脏随洁</w:t>
            </w:r>
          </w:p>
        </w:tc>
        <w:tc>
          <w:tcPr>
            <w:tcW w:w="2650" w:type="dxa"/>
            <w:tcBorders>
              <w:top w:val="single" w:color="auto" w:sz="6" w:space="0"/>
              <w:left w:val="single" w:color="auto" w:sz="6" w:space="0"/>
              <w:bottom w:val="single" w:color="auto" w:sz="6" w:space="0"/>
              <w:right w:val="single" w:color="auto" w:sz="6" w:space="0"/>
            </w:tcBorders>
            <w:noWrap w:val="0"/>
            <w:vAlign w:val="center"/>
          </w:tcPr>
          <w:p>
            <w:pPr>
              <w:spacing w:line="240" w:lineRule="atLeas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地面清洁，无杂物</w:t>
            </w:r>
          </w:p>
        </w:tc>
      </w:tr>
    </w:tbl>
    <w:p>
      <w:pPr>
        <w:pStyle w:val="2"/>
        <w:numPr>
          <w:ilvl w:val="0"/>
          <w:numId w:val="0"/>
        </w:numPr>
        <w:rPr>
          <w:rFonts w:hint="eastAsia"/>
          <w:lang w:val="zh-CN"/>
        </w:rPr>
      </w:pP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w:t>
      </w:r>
      <w:r>
        <w:rPr>
          <w:rFonts w:hint="eastAsia" w:ascii="Times New Roman" w:hAnsi="Times New Roman" w:eastAsia="宋体" w:cs="Times New Roman"/>
          <w:bCs/>
          <w:szCs w:val="21"/>
          <w:highlight w:val="none"/>
          <w:lang w:val="zh-CN"/>
        </w:rPr>
        <w:t>工具使用及消毒程序</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为预防交叉感染，严格规范工具使用及消毒程序。</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（1）拖布、笤帚、抹布等清洁工具分区使用，并设有标记，共分2类。第一类为公共区域使用，第二类为洗手间使用，工具在每日下班前消毒一次，抹布使用前后均经（1：20）84消毒液消毒30分钟。</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（2）各物业服务区域地面墙面抹手，每日以（1：20）84消毒液消毒擦抹一次。</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4、物业人员的工作内容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内勤</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（1）清洁大厅、走廊、台阶地面，候诊沙发随脏随洁。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（2）开水间、厕所卫生，并随脏随洁。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（3）清理各科室汇总垃圾一次。</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（4）清理各科室床头柜、桌椅、床架浮灰一次；清理大厅及过道的电视机、灭蝇灯、台面、展板等浮灰一次。一桌一布，用后使用1：20配制84消毒液消毒，清洗后晾干。</w:t>
      </w: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zh-CN"/>
        </w:rPr>
      </w:pPr>
      <w:r>
        <w:rPr>
          <w:rFonts w:hint="eastAsia" w:ascii="Times New Roman" w:hAnsi="Times New Roman" w:eastAsia="宋体" w:cs="Times New Roman"/>
          <w:b/>
          <w:bCs w:val="0"/>
          <w:szCs w:val="21"/>
          <w:highlight w:val="none"/>
          <w:lang w:val="zh-CN"/>
        </w:rPr>
        <w:t>5、工作程序</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5.1 拖扫地面：</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（1）打扫和干拖交替进行。</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（2）把墙身、墙边，楼梯台阶、花盆底打扫干净。</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（3）地面必须保持清洁，无杂物。</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5.2 墙面的清洁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（1）用鸡毛掸子或干净的拖把轻轻拂去墙面的灰尘。</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（2）用干毛巾清擦墙面的污迹，擦不掉的污迹使用细砂纸轻轻擦掉。</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（3）用铲刀铲掉墙面上粘附的泥沙、痰迹。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（4）扫净地面灰尘，再用湿拖把拖将地面。</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5.3 玻璃门、镜的清洁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（1）发现玻璃粘有污迹时，先用玻璃刀铲除干净。</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（2）用毛套没入玻璃水中。</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（3）毛套用套按在玻璃顶端上下垂直抹（有污迹的地方重复抹）。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（4）玻璃刮刮去玻璃上的水分。</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（5）一洗一刮连贯进行，当玻璃的位置和地面较近时，可把毛套和水刮作横轴移动。</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（6）用毛巾抹玻璃面上的水珠和地面上的污水。</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5.4 门窗的清洁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（1）门拉手接触次数特别多，容易传播细菌，故清洁时，把清洁剂喷在无毛绒的毛巾上抹，达到无污迹、无尘埃为止。</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（2）定期用（1：20）84消毒液消毒。</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5.5 洗手间的清洁</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（1）台面、地面无水珠、无杂物</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（2）地面墙壁无灰尘、无污迹。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（3）马桶墙面无水污迹。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（4）无异味、无蚊、蝇、蛆虫。</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（5）卫生间无灰尘，碱油盒无污迹。</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（6）各项设施完好无损，如发现有损坏及时报告管理处，并协助保护现场，查明原因。</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（7）日常物业服务工作要保持洗手间较高的卫生标准。</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（8）每天上下班前后对洗手间进行全面大清洁（包括洗马桶、洗地面、洗擦洗手盆及台面，抹擦玻璃门等）。</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5.6 电梯清洁保养</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（1）按时消毒。</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（2）清洁玻璃镜面，手扶梯面、侧面、手扶带。</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（3）用半干、湿布擦电梯门（指导塑料和胶条部分）及木板。</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（4）关上电梯门。</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（5）用无毛绒的布清洁电梯门及不锈钢部分。</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（6）地面清洁（保持无灰尘、杂物）。</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5.7 清除虫和蜘蛛网</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勤巡查空调、天棚出风口、立柱、灯具、灯置内是否有虫和蜘蛛网，一经发现，立即消除。</w:t>
      </w:r>
    </w:p>
    <w:p>
      <w:pPr>
        <w:adjustRightInd w:val="0"/>
        <w:spacing w:line="360" w:lineRule="auto"/>
        <w:ind w:left="420" w:leftChars="200" w:right="567" w:firstLine="211" w:firstLineChars="100"/>
        <w:jc w:val="left"/>
        <w:rPr>
          <w:rFonts w:hint="eastAsia" w:ascii="Times New Roman" w:hAnsi="Times New Roman" w:eastAsia="宋体" w:cs="Times New Roman"/>
          <w:b/>
          <w:bCs w:val="0"/>
          <w:szCs w:val="21"/>
          <w:highlight w:val="none"/>
          <w:lang w:val="zh-CN"/>
        </w:rPr>
      </w:pPr>
      <w:r>
        <w:rPr>
          <w:rFonts w:hint="eastAsia" w:ascii="Times New Roman" w:hAnsi="Times New Roman" w:eastAsia="宋体" w:cs="Times New Roman"/>
          <w:b/>
          <w:bCs w:val="0"/>
          <w:szCs w:val="21"/>
          <w:highlight w:val="none"/>
          <w:lang w:val="zh-CN"/>
        </w:rPr>
        <w:t>6、日常工作考核细则</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en-US" w:eastAsia="zh-CN"/>
        </w:rPr>
        <w:t xml:space="preserve"> 考核方案详见下表，考核分≥85分为考核合格；考核分&lt;85分，每低1分从月度结算款中扣100元；考核分≤65分，医院有权解约。</w:t>
      </w:r>
    </w:p>
    <w:p>
      <w:pPr>
        <w:adjustRightInd w:val="0"/>
        <w:spacing w:line="360" w:lineRule="auto"/>
        <w:ind w:left="420" w:leftChars="200" w:right="567" w:firstLine="210" w:firstLineChars="100"/>
        <w:jc w:val="center"/>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日常工作考评表</w:t>
      </w:r>
    </w:p>
    <w:tbl>
      <w:tblPr>
        <w:tblStyle w:val="18"/>
        <w:tblW w:w="9773" w:type="dxa"/>
        <w:jc w:val="center"/>
        <w:tblLayout w:type="fixed"/>
        <w:tblCellMar>
          <w:top w:w="0" w:type="dxa"/>
          <w:left w:w="108" w:type="dxa"/>
          <w:bottom w:w="0" w:type="dxa"/>
          <w:right w:w="108" w:type="dxa"/>
        </w:tblCellMar>
      </w:tblPr>
      <w:tblGrid>
        <w:gridCol w:w="755"/>
        <w:gridCol w:w="755"/>
        <w:gridCol w:w="755"/>
        <w:gridCol w:w="5240"/>
        <w:gridCol w:w="756"/>
        <w:gridCol w:w="756"/>
        <w:gridCol w:w="756"/>
      </w:tblGrid>
      <w:tr>
        <w:tblPrEx>
          <w:tblCellMar>
            <w:top w:w="0" w:type="dxa"/>
            <w:left w:w="108" w:type="dxa"/>
            <w:bottom w:w="0" w:type="dxa"/>
            <w:right w:w="108" w:type="dxa"/>
          </w:tblCellMar>
        </w:tblPrEx>
        <w:trPr>
          <w:trHeight w:val="904"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项目</w:t>
            </w: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满分</w:t>
            </w: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序号</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标准要求</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highlight w:val="none"/>
                <w:lang w:val="zh-CN"/>
              </w:rPr>
              <w:t>分值</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得分</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备注</w:t>
            </w:r>
          </w:p>
        </w:tc>
      </w:tr>
      <w:tr>
        <w:tblPrEx>
          <w:tblCellMar>
            <w:top w:w="0" w:type="dxa"/>
            <w:left w:w="108" w:type="dxa"/>
            <w:bottom w:w="0" w:type="dxa"/>
            <w:right w:w="108" w:type="dxa"/>
          </w:tblCellMar>
        </w:tblPrEx>
        <w:trPr>
          <w:trHeight w:val="737" w:hRule="atLeast"/>
          <w:jc w:val="center"/>
        </w:trPr>
        <w:tc>
          <w:tcPr>
            <w:tcW w:w="75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5" w:type="dxa"/>
            <w:vMerge w:val="restart"/>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面保洁：无尘，无水，无杂物，无粘遗物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墙面保洁：无印迹，无尘，清洁光亮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立柱：无印迹，无杂物，清洁光亮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公共过道门窗玻璃：无胶质，无杂物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卫生间：无异味，无脏迹，无尿碱，无水垢，镜面，墙面，地面清洁光亮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门厅：地面清洁，玻璃光亮，无污垢，杂物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公共过道：地面清洁，无污垢，水迹，烟头等杂物</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天棚：无灰尘，挂灰，无蜘蛛网</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9</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灯具开关：无灰尘，清洁光亮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10</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标示牌：无尘，清洁光亮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11</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楼梯：梯间无泥沙，无蜘蛛网，挂灰，清洁光亮</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r>
        <w:tblPrEx>
          <w:tblCellMar>
            <w:top w:w="0" w:type="dxa"/>
            <w:left w:w="108" w:type="dxa"/>
            <w:bottom w:w="0" w:type="dxa"/>
            <w:right w:w="108" w:type="dxa"/>
          </w:tblCellMar>
        </w:tblPrEx>
        <w:trPr>
          <w:trHeight w:val="737" w:hRule="atLeast"/>
          <w:jc w:val="center"/>
        </w:trPr>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宋体"/>
                <w:kern w:val="2"/>
                <w:sz w:val="21"/>
                <w:szCs w:val="21"/>
                <w:lang w:val="zh-CN"/>
              </w:rPr>
            </w:pPr>
          </w:p>
        </w:tc>
        <w:tc>
          <w:tcPr>
            <w:tcW w:w="75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12</w:t>
            </w:r>
          </w:p>
        </w:tc>
        <w:tc>
          <w:tcPr>
            <w:tcW w:w="5240" w:type="dxa"/>
            <w:tcBorders>
              <w:top w:val="single" w:color="auto" w:sz="6" w:space="0"/>
              <w:left w:val="single" w:color="auto" w:sz="6" w:space="0"/>
              <w:bottom w:val="single" w:color="auto" w:sz="6" w:space="0"/>
              <w:right w:val="single" w:color="auto" w:sz="6" w:space="0"/>
            </w:tcBorders>
            <w:noWrap w:val="0"/>
            <w:vAlign w:val="center"/>
          </w:tcPr>
          <w:p>
            <w:pPr>
              <w:spacing w:line="240" w:lineRule="auto"/>
              <w:jc w:val="center"/>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垃圾收集：垃圾篓无堆积，无积水，无污迹，垃圾清运率达100%</w:t>
            </w: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c>
          <w:tcPr>
            <w:tcW w:w="756"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宋体" w:hAnsi="宋体" w:eastAsia="宋体" w:cs="宋体"/>
                <w:kern w:val="2"/>
                <w:sz w:val="21"/>
                <w:szCs w:val="21"/>
                <w:lang w:val="zh-CN"/>
              </w:rPr>
            </w:pPr>
          </w:p>
        </w:tc>
      </w:tr>
    </w:tbl>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rPr>
      </w:pP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物业工作质量三查制度</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1、员工自查：每个员工根据有关作业规程，对自己负责分管区域的物业服务项目进行自查，及时发现问题、解决问题，并做好记录。</w:t>
      </w:r>
    </w:p>
    <w:p>
      <w:pPr>
        <w:adjustRightInd w:val="0"/>
        <w:spacing w:line="360" w:lineRule="auto"/>
        <w:ind w:left="420" w:leftChars="200" w:right="567" w:firstLine="210" w:firstLineChars="100"/>
        <w:jc w:val="left"/>
        <w:rPr>
          <w:rFonts w:hint="eastAsia"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2、领班巡查：领班应把巡回检查作为自己的主要工作，对管理区域内所有服务内容、项目进行巡回检查，每天不得少于二次，并做好纪录。</w:t>
      </w:r>
    </w:p>
    <w:p>
      <w:pPr>
        <w:adjustRightInd w:val="0"/>
        <w:spacing w:line="360" w:lineRule="auto"/>
        <w:ind w:left="420" w:leftChars="200" w:right="567" w:firstLine="210" w:firstLineChars="100"/>
        <w:jc w:val="left"/>
        <w:rPr>
          <w:rFonts w:hint="default" w:ascii="Times New Roman" w:hAnsi="Times New Roman" w:eastAsia="宋体" w:cs="Times New Roman"/>
          <w:bCs/>
          <w:color w:val="000000"/>
          <w:sz w:val="21"/>
          <w:szCs w:val="21"/>
          <w:highlight w:val="none"/>
          <w:lang w:val="en-US" w:eastAsia="zh-CN" w:bidi="ar-SA"/>
        </w:rPr>
      </w:pPr>
      <w:r>
        <w:rPr>
          <w:rFonts w:hint="eastAsia" w:ascii="Times New Roman" w:hAnsi="Times New Roman" w:eastAsia="宋体" w:cs="Times New Roman"/>
          <w:bCs/>
          <w:szCs w:val="21"/>
          <w:highlight w:val="none"/>
          <w:lang w:val="zh-CN"/>
        </w:rPr>
        <w:t>3、中心抽查：主管每日抽查不得少于一次，并应会同中心分管领导每月三次联合检查，并做好纪录。</w:t>
      </w:r>
    </w:p>
    <w:p>
      <w:pPr>
        <w:adjustRightInd w:val="0"/>
        <w:spacing w:line="360" w:lineRule="auto"/>
        <w:ind w:left="210" w:leftChars="100" w:right="567" w:firstLine="420" w:firstLineChars="200"/>
        <w:rPr>
          <w:bCs/>
          <w:szCs w:val="21"/>
          <w:highlight w:val="none"/>
        </w:rPr>
      </w:pPr>
      <w:r>
        <w:rPr>
          <w:rFonts w:hint="eastAsia"/>
          <w:bCs/>
          <w:szCs w:val="21"/>
          <w:highlight w:val="none"/>
        </w:rPr>
        <w:t>第五条各方责任和义务</w:t>
      </w:r>
    </w:p>
    <w:p>
      <w:pPr>
        <w:adjustRightInd w:val="0"/>
        <w:spacing w:line="360" w:lineRule="auto"/>
        <w:ind w:left="210" w:leftChars="100" w:right="567" w:firstLine="420" w:firstLineChars="200"/>
        <w:rPr>
          <w:rFonts w:hint="eastAsia"/>
          <w:bCs/>
          <w:szCs w:val="21"/>
          <w:highlight w:val="none"/>
        </w:rPr>
      </w:pPr>
      <w:r>
        <w:rPr>
          <w:rFonts w:hint="eastAsia"/>
          <w:bCs/>
          <w:szCs w:val="21"/>
          <w:highlight w:val="none"/>
        </w:rPr>
        <w:t>1、甲方负责对乙方管理运营活动进行指导和监管，每季度对乙方的管理运营情况进行考核；</w:t>
      </w:r>
    </w:p>
    <w:p>
      <w:pPr>
        <w:adjustRightInd w:val="0"/>
        <w:spacing w:line="360" w:lineRule="auto"/>
        <w:ind w:left="210" w:leftChars="100" w:right="567" w:firstLine="420" w:firstLineChars="200"/>
        <w:rPr>
          <w:rFonts w:hint="eastAsia"/>
          <w:bCs/>
          <w:szCs w:val="21"/>
          <w:highlight w:val="none"/>
        </w:rPr>
      </w:pPr>
      <w:r>
        <w:rPr>
          <w:rFonts w:hint="eastAsia"/>
          <w:bCs/>
          <w:szCs w:val="21"/>
          <w:highlight w:val="none"/>
        </w:rPr>
        <w:t>2、乙方按合同要求负责</w:t>
      </w:r>
      <w:r>
        <w:rPr>
          <w:rFonts w:hint="eastAsia"/>
          <w:bCs/>
          <w:szCs w:val="21"/>
          <w:highlight w:val="none"/>
          <w:lang w:val="en-US" w:eastAsia="zh-CN"/>
        </w:rPr>
        <w:t>纪念</w:t>
      </w:r>
      <w:r>
        <w:rPr>
          <w:rFonts w:hint="eastAsia"/>
          <w:bCs/>
          <w:szCs w:val="21"/>
          <w:highlight w:val="none"/>
        </w:rPr>
        <w:t>堂的管理运营服务工作；本合同期后不再续约的，乙方应当做好向甲的资料、设备、服务记录等的移交工作，并由甲</w:t>
      </w:r>
      <w:r>
        <w:rPr>
          <w:rFonts w:hint="eastAsia"/>
          <w:bCs/>
          <w:szCs w:val="21"/>
          <w:highlight w:val="none"/>
          <w:lang w:val="en-US" w:eastAsia="zh-CN"/>
        </w:rPr>
        <w:t>方</w:t>
      </w:r>
      <w:r>
        <w:rPr>
          <w:rFonts w:hint="eastAsia"/>
          <w:bCs/>
          <w:szCs w:val="21"/>
          <w:highlight w:val="none"/>
        </w:rPr>
        <w:t>予以确认；</w:t>
      </w:r>
    </w:p>
    <w:p>
      <w:pPr>
        <w:adjustRightInd w:val="0"/>
        <w:spacing w:line="360" w:lineRule="auto"/>
        <w:ind w:left="210" w:leftChars="100" w:right="567" w:firstLine="420" w:firstLineChars="200"/>
        <w:rPr>
          <w:bCs/>
          <w:szCs w:val="21"/>
          <w:highlight w:val="none"/>
        </w:rPr>
      </w:pPr>
      <w:r>
        <w:rPr>
          <w:rFonts w:hint="eastAsia"/>
          <w:bCs/>
          <w:szCs w:val="21"/>
          <w:highlight w:val="none"/>
        </w:rPr>
        <w:t>第六条质量保证</w:t>
      </w:r>
    </w:p>
    <w:p>
      <w:pPr>
        <w:adjustRightInd w:val="0"/>
        <w:spacing w:line="360" w:lineRule="auto"/>
        <w:ind w:left="210" w:leftChars="100" w:right="567" w:firstLine="420" w:firstLineChars="200"/>
        <w:rPr>
          <w:rFonts w:hint="eastAsia" w:eastAsia="宋体"/>
          <w:bCs/>
          <w:szCs w:val="21"/>
          <w:highlight w:val="none"/>
          <w:lang w:eastAsia="zh-CN"/>
        </w:rPr>
      </w:pPr>
      <w:r>
        <w:rPr>
          <w:rFonts w:hint="eastAsia"/>
          <w:bCs/>
          <w:szCs w:val="21"/>
          <w:highlight w:val="none"/>
        </w:rPr>
        <w:t>乙方提供的服务和在服务过程中使用的任何产品必须全部达到采购文件的各项要求和国家法律、法规规定的质量标准。若技术性能无特殊说明，则以国家有关部门最新颁布的标准及规范为准。</w:t>
      </w:r>
    </w:p>
    <w:p>
      <w:pPr>
        <w:adjustRightInd w:val="0"/>
        <w:spacing w:line="360" w:lineRule="auto"/>
        <w:ind w:left="210" w:leftChars="100" w:right="567" w:firstLine="420" w:firstLineChars="200"/>
        <w:rPr>
          <w:rFonts w:hint="eastAsia"/>
          <w:bCs/>
          <w:szCs w:val="21"/>
          <w:highlight w:val="none"/>
        </w:rPr>
      </w:pPr>
      <w:r>
        <w:rPr>
          <w:rFonts w:hint="eastAsia"/>
          <w:bCs/>
          <w:szCs w:val="21"/>
          <w:highlight w:val="none"/>
        </w:rPr>
        <w:t>第七条验收评估</w:t>
      </w:r>
    </w:p>
    <w:p>
      <w:pPr>
        <w:pStyle w:val="24"/>
        <w:autoSpaceDE w:val="0"/>
        <w:autoSpaceDN w:val="0"/>
        <w:spacing w:line="360" w:lineRule="auto"/>
        <w:ind w:firstLine="630" w:firstLineChars="300"/>
        <w:rPr>
          <w:rFonts w:hint="eastAsia"/>
          <w:bCs/>
          <w:szCs w:val="21"/>
          <w:highlight w:val="none"/>
        </w:rPr>
      </w:pPr>
      <w:r>
        <w:rPr>
          <w:rFonts w:hint="eastAsia"/>
          <w:bCs/>
          <w:szCs w:val="21"/>
          <w:highlight w:val="none"/>
        </w:rPr>
        <w:t>验收标准：按照招标文件中</w:t>
      </w:r>
      <w:r>
        <w:rPr>
          <w:rFonts w:hint="eastAsia"/>
          <w:bCs/>
          <w:szCs w:val="21"/>
          <w:highlight w:val="none"/>
          <w:lang w:val="en-US" w:eastAsia="zh-CN"/>
        </w:rPr>
        <w:t>的服务</w:t>
      </w:r>
      <w:r>
        <w:rPr>
          <w:rFonts w:hint="eastAsia"/>
          <w:bCs/>
          <w:szCs w:val="21"/>
          <w:highlight w:val="none"/>
        </w:rPr>
        <w:t>标准和乙方响应文件的承诺，结合本合同相关服务内容进行项目验收评估。验收由甲方组织实施（并不低于国家相关标准）。</w:t>
      </w:r>
    </w:p>
    <w:p>
      <w:pPr>
        <w:adjustRightInd w:val="0"/>
        <w:spacing w:line="360" w:lineRule="auto"/>
        <w:ind w:left="210" w:leftChars="100" w:right="567" w:firstLine="420" w:firstLineChars="200"/>
        <w:rPr>
          <w:bCs/>
          <w:szCs w:val="21"/>
          <w:highlight w:val="none"/>
        </w:rPr>
      </w:pPr>
      <w:r>
        <w:rPr>
          <w:rFonts w:hint="eastAsia"/>
          <w:bCs/>
          <w:szCs w:val="21"/>
          <w:highlight w:val="none"/>
        </w:rPr>
        <w:t>第八条合同款支付</w:t>
      </w:r>
    </w:p>
    <w:p>
      <w:pPr>
        <w:adjustRightInd w:val="0"/>
        <w:spacing w:line="360" w:lineRule="auto"/>
        <w:ind w:left="210" w:leftChars="100" w:right="567" w:firstLine="420" w:firstLineChars="200"/>
        <w:rPr>
          <w:rFonts w:hint="eastAsia" w:eastAsia="宋体"/>
          <w:bCs/>
          <w:szCs w:val="21"/>
          <w:highlight w:val="yellow"/>
          <w:lang w:eastAsia="zh-CN"/>
        </w:rPr>
      </w:pPr>
      <w:r>
        <w:rPr>
          <w:rFonts w:hint="eastAsia" w:ascii="Times New Roman" w:hAnsi="Times New Roman" w:eastAsia="宋体" w:cs="Times New Roman"/>
          <w:bCs/>
          <w:szCs w:val="21"/>
          <w:highlight w:val="yellow"/>
          <w:lang w:val="en-US" w:eastAsia="zh-CN"/>
        </w:rPr>
        <w:t>1、</w:t>
      </w:r>
      <w:r>
        <w:rPr>
          <w:rFonts w:hint="eastAsia"/>
          <w:bCs/>
          <w:szCs w:val="21"/>
          <w:highlight w:val="yellow"/>
        </w:rPr>
        <w:t>本合同下所有款项均以人民币支付，服务总价款为人民币元（大写：）</w:t>
      </w:r>
      <w:r>
        <w:rPr>
          <w:rFonts w:hint="eastAsia"/>
          <w:bCs/>
          <w:szCs w:val="21"/>
          <w:highlight w:val="yellow"/>
          <w:lang w:eastAsia="zh-CN"/>
        </w:rPr>
        <w:t>。</w:t>
      </w:r>
    </w:p>
    <w:p>
      <w:pPr>
        <w:adjustRightInd w:val="0"/>
        <w:spacing w:line="360" w:lineRule="auto"/>
        <w:ind w:left="210" w:leftChars="100" w:right="567" w:firstLine="420" w:firstLineChars="200"/>
        <w:rPr>
          <w:rFonts w:hint="eastAsia" w:ascii="Times New Roman" w:hAnsi="Times New Roman" w:eastAsia="宋体" w:cs="Times New Roman"/>
          <w:bCs/>
          <w:szCs w:val="21"/>
          <w:highlight w:val="yellow"/>
          <w:lang w:val="en-US" w:eastAsia="zh-CN"/>
        </w:rPr>
      </w:pPr>
      <w:r>
        <w:rPr>
          <w:rFonts w:hint="eastAsia" w:ascii="Times New Roman" w:hAnsi="Times New Roman" w:eastAsia="宋体" w:cs="Times New Roman"/>
          <w:bCs/>
          <w:szCs w:val="21"/>
          <w:highlight w:val="yellow"/>
          <w:lang w:val="en-US" w:eastAsia="zh-CN"/>
        </w:rPr>
        <w:t>2、采购人按照磋商文件的约定对中标单位的服务质量进行检查考核,并根据季度考核结果向中标单位等额支付服务费,支付时间为季度考核后下一个季度第一个月的十日前。</w:t>
      </w:r>
    </w:p>
    <w:p>
      <w:pPr>
        <w:adjustRightInd w:val="0"/>
        <w:spacing w:line="360" w:lineRule="auto"/>
        <w:ind w:left="210" w:leftChars="100" w:right="567" w:firstLine="420" w:firstLineChars="200"/>
        <w:rPr>
          <w:bCs/>
          <w:szCs w:val="21"/>
          <w:highlight w:val="none"/>
        </w:rPr>
      </w:pPr>
      <w:r>
        <w:rPr>
          <w:rFonts w:hint="eastAsia"/>
          <w:bCs/>
          <w:szCs w:val="21"/>
          <w:highlight w:val="none"/>
        </w:rPr>
        <w:t>第九条违约责任</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rPr>
        <w:t>1</w:t>
      </w:r>
      <w:r>
        <w:rPr>
          <w:rFonts w:hint="eastAsia"/>
          <w:bCs/>
          <w:szCs w:val="21"/>
          <w:highlight w:val="none"/>
          <w:lang w:eastAsia="zh-CN"/>
        </w:rPr>
        <w:t>、</w:t>
      </w:r>
      <w:r>
        <w:rPr>
          <w:rFonts w:hint="eastAsia"/>
          <w:bCs/>
          <w:szCs w:val="21"/>
          <w:highlight w:val="none"/>
        </w:rPr>
        <w:t>如乙方不能按照要求完成本合同约定的内容，经甲方催告后仍不履行的，甲方有权解除合同并要求乙方返还甲方已支付的费用，乙方应向甲方支付合同总价款5%的违约金。</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2、</w:t>
      </w:r>
      <w:r>
        <w:rPr>
          <w:rFonts w:hint="eastAsia"/>
          <w:bCs/>
          <w:szCs w:val="21"/>
          <w:highlight w:val="none"/>
        </w:rPr>
        <w:t>乙方逾期交付的，每逾期1天，乙方应向甲方支付合同总价款的5‰的违约金。如乙方逾期交付达10天，甲方有权解除合同并要求乙方返还甲方已支付的费用，解除合同的通知自到达乙方时生效。</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3、</w:t>
      </w:r>
      <w:r>
        <w:rPr>
          <w:rFonts w:hint="eastAsia"/>
          <w:bCs/>
          <w:szCs w:val="21"/>
          <w:highlight w:val="none"/>
        </w:rPr>
        <w:t>乙方所交付的项目成果不符合合同约定的，甲方有权拒收。甲方拒收的，乙方返还甲方已支付的费用并应向甲方支付合同总价款5%的违约金。</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4、</w:t>
      </w:r>
      <w:r>
        <w:rPr>
          <w:rFonts w:hint="eastAsia"/>
          <w:bCs/>
          <w:szCs w:val="21"/>
          <w:highlight w:val="none"/>
        </w:rPr>
        <w:t>乙方所交付的项目成果不符合合同约定的，甲方有权要求乙方整改，乙方整改仍不能达到合同约定的质量标准，甲方有权解除合同，乙方应退回全部合同价款，并按上述第9.3款处理；同时，乙方还须赔偿甲方因此遭受的损失。</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5、</w:t>
      </w:r>
      <w:r>
        <w:rPr>
          <w:rFonts w:hint="eastAsia"/>
          <w:bCs/>
          <w:szCs w:val="21"/>
          <w:highlight w:val="none"/>
        </w:rPr>
        <w:t>乙方未按本合同的规定和“服务承诺”提供伴随服务的，应按合同总价款的5%向甲方支付违约金。</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6、</w:t>
      </w:r>
      <w:r>
        <w:rPr>
          <w:rFonts w:hint="eastAsia"/>
          <w:bCs/>
          <w:szCs w:val="21"/>
          <w:highlight w:val="none"/>
        </w:rPr>
        <w:t>乙方在承担上述一项或多项违约责任后，仍应继续履行合同约定的义务（甲方解除合同的除外）。甲方未能及时追究乙方的任何一项违约责任并不表明甲方放弃追究乙方该项或其他违约责任。</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7、</w:t>
      </w:r>
      <w:r>
        <w:rPr>
          <w:rFonts w:hint="eastAsia"/>
          <w:bCs/>
          <w:szCs w:val="21"/>
          <w:highlight w:val="none"/>
        </w:rPr>
        <w:t>乙方投标属虚假承诺，或经权威部门检测提供的服务不能满足招标文件要求，或由于乙方的过错造成合同无法继续履行的，应返还甲方已支付的费用并向甲方支付不少于合同总价款30%的违约金。</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lang w:val="en-US" w:eastAsia="zh-CN"/>
        </w:rPr>
        <w:t>8、</w:t>
      </w:r>
      <w:r>
        <w:rPr>
          <w:rFonts w:hint="eastAsia"/>
          <w:bCs/>
          <w:szCs w:val="21"/>
          <w:highlight w:val="none"/>
        </w:rPr>
        <w:t>乙方履行义务达不到合同约定要求的，甲方有权向政府采购主管部门上报有关情况。情节严重的，乙方将被列入政府采购不良行为供应商名单。</w:t>
      </w:r>
    </w:p>
    <w:p>
      <w:pPr>
        <w:widowControl/>
        <w:adjustRightInd w:val="0"/>
        <w:spacing w:line="360" w:lineRule="auto"/>
        <w:ind w:left="210" w:leftChars="100" w:right="567" w:firstLine="420" w:firstLineChars="200"/>
        <w:rPr>
          <w:rFonts w:hint="eastAsia" w:eastAsia="宋体"/>
          <w:bCs/>
          <w:szCs w:val="21"/>
          <w:highlight w:val="none"/>
          <w:lang w:eastAsia="zh-CN"/>
        </w:rPr>
      </w:pPr>
      <w:r>
        <w:rPr>
          <w:rFonts w:hint="eastAsia"/>
          <w:bCs/>
          <w:szCs w:val="21"/>
          <w:highlight w:val="none"/>
          <w:lang w:val="en-US" w:eastAsia="zh-CN"/>
        </w:rPr>
        <w:t>9、</w:t>
      </w:r>
      <w:r>
        <w:rPr>
          <w:rFonts w:hint="eastAsia"/>
          <w:bCs/>
          <w:szCs w:val="21"/>
          <w:highlight w:val="none"/>
        </w:rPr>
        <w:t>如发生乙方应当支付违约金或赔偿损失的情形，甲方有权在合同总价款中先行扣除，不足部分，乙方应当及时支付。</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第十条合同的变更和终止</w:t>
      </w:r>
    </w:p>
    <w:p>
      <w:pPr>
        <w:widowControl/>
        <w:adjustRightInd w:val="0"/>
        <w:spacing w:line="360" w:lineRule="auto"/>
        <w:ind w:left="210" w:leftChars="100" w:right="567" w:firstLine="420" w:firstLineChars="200"/>
        <w:rPr>
          <w:bCs/>
          <w:szCs w:val="21"/>
          <w:highlight w:val="none"/>
        </w:rPr>
      </w:pPr>
      <w:r>
        <w:rPr>
          <w:bCs/>
          <w:szCs w:val="21"/>
          <w:highlight w:val="none"/>
        </w:rPr>
        <w:t>1</w:t>
      </w:r>
      <w:r>
        <w:rPr>
          <w:rFonts w:hint="eastAsia"/>
          <w:bCs/>
          <w:szCs w:val="21"/>
          <w:highlight w:val="none"/>
        </w:rPr>
        <w:t>、除《政府采购法》第</w:t>
      </w:r>
      <w:r>
        <w:rPr>
          <w:bCs/>
          <w:szCs w:val="21"/>
          <w:highlight w:val="none"/>
        </w:rPr>
        <w:t>50</w:t>
      </w:r>
      <w:r>
        <w:rPr>
          <w:rFonts w:hint="eastAsia"/>
          <w:bCs/>
          <w:szCs w:val="21"/>
          <w:highlight w:val="none"/>
        </w:rPr>
        <w:t>条第二款规定的情形外，本合同一经签订，甲乙双方不得擅自变更、中止或终止合同。</w:t>
      </w:r>
    </w:p>
    <w:p>
      <w:pPr>
        <w:widowControl/>
        <w:adjustRightInd w:val="0"/>
        <w:spacing w:line="360" w:lineRule="auto"/>
        <w:ind w:left="210" w:leftChars="100" w:right="567" w:firstLine="420" w:firstLineChars="200"/>
        <w:rPr>
          <w:rFonts w:hint="eastAsia"/>
          <w:bCs/>
          <w:szCs w:val="21"/>
          <w:highlight w:val="none"/>
        </w:rPr>
      </w:pPr>
      <w:r>
        <w:rPr>
          <w:bCs/>
          <w:szCs w:val="21"/>
          <w:highlight w:val="none"/>
        </w:rPr>
        <w:t>2</w:t>
      </w:r>
      <w:r>
        <w:rPr>
          <w:rFonts w:hint="eastAsia"/>
          <w:bCs/>
          <w:szCs w:val="21"/>
          <w:highlight w:val="none"/>
        </w:rPr>
        <w:t>、除发生法律规定的不能预见、不能避免并不能克服的客观情况外，甲乙双方不得放弃或拒绝履行合同。乙方放弃或拒绝履行合同，保证金不予退还。</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第十一条合同的转让</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乙方不得擅自部分或全部转让其应履行的合同义务。</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第十二条争议的解决</w:t>
      </w:r>
    </w:p>
    <w:p>
      <w:pPr>
        <w:widowControl/>
        <w:adjustRightInd w:val="0"/>
        <w:spacing w:line="360" w:lineRule="auto"/>
        <w:ind w:left="210" w:leftChars="100" w:right="567" w:firstLine="420" w:firstLineChars="200"/>
        <w:rPr>
          <w:bCs/>
          <w:szCs w:val="21"/>
          <w:highlight w:val="none"/>
        </w:rPr>
      </w:pPr>
      <w:r>
        <w:rPr>
          <w:bCs/>
          <w:szCs w:val="21"/>
          <w:highlight w:val="none"/>
        </w:rPr>
        <w:t>1</w:t>
      </w:r>
      <w:r>
        <w:rPr>
          <w:rFonts w:hint="eastAsia"/>
          <w:bCs/>
          <w:szCs w:val="21"/>
          <w:highlight w:val="none"/>
        </w:rPr>
        <w:t>、因服务的质量问题发生争议的，应当邀请国家认可的质量检测机构对服务质量进行鉴定。符合标准的，鉴定费由甲方承担；不符合质量标准的，鉴定费由乙方承担。</w:t>
      </w:r>
    </w:p>
    <w:p>
      <w:pPr>
        <w:widowControl/>
        <w:adjustRightInd w:val="0"/>
        <w:spacing w:line="360" w:lineRule="auto"/>
        <w:ind w:left="210" w:leftChars="100" w:right="567" w:firstLine="420" w:firstLineChars="200"/>
        <w:rPr>
          <w:bCs/>
          <w:szCs w:val="21"/>
          <w:highlight w:val="none"/>
        </w:rPr>
      </w:pPr>
      <w:r>
        <w:rPr>
          <w:bCs/>
          <w:szCs w:val="21"/>
          <w:highlight w:val="none"/>
        </w:rPr>
        <w:t>2</w:t>
      </w:r>
      <w:r>
        <w:rPr>
          <w:rFonts w:hint="eastAsia"/>
          <w:bCs/>
          <w:szCs w:val="21"/>
          <w:highlight w:val="none"/>
        </w:rPr>
        <w:t>、因履行本合同引起的或与本合同有关的争议，甲、乙双方应首先通过友好协商解决，如果协商不能解决争议，则采取以下第（1）种方式解决争议：</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w:t>
      </w:r>
      <w:r>
        <w:rPr>
          <w:bCs/>
          <w:szCs w:val="21"/>
          <w:highlight w:val="none"/>
        </w:rPr>
        <w:t>1</w:t>
      </w:r>
      <w:r>
        <w:rPr>
          <w:rFonts w:hint="eastAsia"/>
          <w:bCs/>
          <w:szCs w:val="21"/>
          <w:highlight w:val="none"/>
        </w:rPr>
        <w:t>）向甲方所在地有管辖权的人民法院提起诉讼；</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w:t>
      </w:r>
      <w:r>
        <w:rPr>
          <w:bCs/>
          <w:szCs w:val="21"/>
          <w:highlight w:val="none"/>
        </w:rPr>
        <w:t>2</w:t>
      </w:r>
      <w:r>
        <w:rPr>
          <w:rFonts w:hint="eastAsia"/>
          <w:bCs/>
          <w:szCs w:val="21"/>
          <w:highlight w:val="none"/>
        </w:rPr>
        <w:t>）向南京仲裁委员会按其仲裁规则申请仲裁。</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如没有约定，默认采取第2种方式解决争议。</w:t>
      </w:r>
    </w:p>
    <w:p>
      <w:pPr>
        <w:widowControl/>
        <w:adjustRightInd w:val="0"/>
        <w:spacing w:line="360" w:lineRule="auto"/>
        <w:ind w:left="210" w:leftChars="100" w:right="567" w:firstLine="420" w:firstLineChars="200"/>
        <w:rPr>
          <w:bCs/>
          <w:szCs w:val="21"/>
          <w:highlight w:val="none"/>
        </w:rPr>
      </w:pPr>
      <w:r>
        <w:rPr>
          <w:bCs/>
          <w:szCs w:val="21"/>
          <w:highlight w:val="none"/>
        </w:rPr>
        <w:t>3</w:t>
      </w:r>
      <w:r>
        <w:rPr>
          <w:rFonts w:hint="eastAsia"/>
          <w:bCs/>
          <w:szCs w:val="21"/>
          <w:highlight w:val="none"/>
        </w:rPr>
        <w:t>、在仲裁期间，本合同应继续履行，除非甲方同意解除本合同。</w:t>
      </w:r>
    </w:p>
    <w:p>
      <w:pPr>
        <w:widowControl/>
        <w:adjustRightInd w:val="0"/>
        <w:spacing w:line="360" w:lineRule="auto"/>
        <w:ind w:left="210" w:leftChars="100" w:right="567" w:firstLine="420" w:firstLineChars="200"/>
        <w:rPr>
          <w:rFonts w:hint="eastAsia" w:eastAsia="宋体"/>
          <w:bCs/>
          <w:szCs w:val="21"/>
          <w:highlight w:val="none"/>
          <w:lang w:eastAsia="zh-CN"/>
        </w:rPr>
      </w:pPr>
      <w:r>
        <w:rPr>
          <w:rFonts w:hint="eastAsia"/>
          <w:bCs/>
          <w:szCs w:val="21"/>
          <w:highlight w:val="none"/>
        </w:rPr>
        <w:t>第十三条诚实信用</w:t>
      </w:r>
    </w:p>
    <w:p>
      <w:pPr>
        <w:widowControl/>
        <w:adjustRightInd w:val="0"/>
        <w:spacing w:line="360" w:lineRule="auto"/>
        <w:ind w:left="210" w:leftChars="100" w:right="567" w:firstLine="420" w:firstLineChars="200"/>
        <w:rPr>
          <w:rFonts w:hint="eastAsia"/>
          <w:bCs/>
          <w:szCs w:val="21"/>
          <w:highlight w:val="none"/>
        </w:rPr>
      </w:pPr>
      <w:r>
        <w:rPr>
          <w:rFonts w:hint="eastAsia"/>
          <w:bCs/>
          <w:szCs w:val="21"/>
          <w:highlight w:val="none"/>
        </w:rPr>
        <w:t>乙方应诚实信用，严格按照招标文件要求和响应承诺履行合同，不向甲方进行商业贿赂或者提供不正当利益。</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第十</w:t>
      </w:r>
      <w:r>
        <w:rPr>
          <w:rFonts w:hint="eastAsia"/>
          <w:bCs/>
          <w:szCs w:val="21"/>
          <w:highlight w:val="none"/>
          <w:lang w:val="en-US" w:eastAsia="zh-CN"/>
        </w:rPr>
        <w:t>四</w:t>
      </w:r>
      <w:r>
        <w:rPr>
          <w:rFonts w:hint="eastAsia"/>
          <w:bCs/>
          <w:szCs w:val="21"/>
          <w:highlight w:val="none"/>
        </w:rPr>
        <w:t>条其他事项</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1、甲乙双方在履行合同中发生矛盾及纠纷时，明确责任后，违约、滞纳金，由违约方在柒日内支付给对方；</w:t>
      </w:r>
    </w:p>
    <w:p>
      <w:pPr>
        <w:widowControl/>
        <w:adjustRightInd w:val="0"/>
        <w:spacing w:line="360" w:lineRule="auto"/>
        <w:ind w:left="630" w:leftChars="300" w:right="567" w:firstLine="0" w:firstLineChars="0"/>
        <w:rPr>
          <w:rFonts w:hint="eastAsia" w:eastAsia="宋体"/>
          <w:bCs/>
          <w:szCs w:val="21"/>
          <w:highlight w:val="none"/>
          <w:lang w:eastAsia="zh-CN"/>
        </w:rPr>
      </w:pPr>
      <w:r>
        <w:rPr>
          <w:rFonts w:hint="eastAsia"/>
          <w:bCs/>
          <w:szCs w:val="21"/>
          <w:highlight w:val="none"/>
        </w:rPr>
        <w:t>2、本合同一式</w:t>
      </w:r>
      <w:r>
        <w:rPr>
          <w:rFonts w:hint="eastAsia"/>
          <w:bCs/>
          <w:szCs w:val="21"/>
          <w:highlight w:val="none"/>
          <w:lang w:val="en-US" w:eastAsia="zh-CN"/>
        </w:rPr>
        <w:t>肆</w:t>
      </w:r>
      <w:r>
        <w:rPr>
          <w:rFonts w:hint="eastAsia"/>
          <w:bCs/>
          <w:szCs w:val="21"/>
          <w:highlight w:val="none"/>
        </w:rPr>
        <w:t>份，甲、乙</w:t>
      </w:r>
      <w:r>
        <w:rPr>
          <w:rFonts w:hint="eastAsia"/>
          <w:bCs/>
          <w:szCs w:val="21"/>
          <w:highlight w:val="none"/>
          <w:lang w:val="en-US" w:eastAsia="zh-CN"/>
        </w:rPr>
        <w:t>双</w:t>
      </w:r>
      <w:r>
        <w:rPr>
          <w:rFonts w:hint="eastAsia"/>
          <w:bCs/>
          <w:szCs w:val="21"/>
          <w:highlight w:val="none"/>
        </w:rPr>
        <w:t>方各执</w:t>
      </w:r>
      <w:r>
        <w:rPr>
          <w:rFonts w:hint="eastAsia"/>
          <w:bCs/>
          <w:szCs w:val="21"/>
          <w:highlight w:val="none"/>
          <w:lang w:val="en-US" w:eastAsia="zh-CN"/>
        </w:rPr>
        <w:t>两</w:t>
      </w:r>
      <w:r>
        <w:rPr>
          <w:rFonts w:hint="eastAsia"/>
          <w:bCs/>
          <w:szCs w:val="21"/>
          <w:highlight w:val="none"/>
        </w:rPr>
        <w:t>份，每份均具有同等法律效力。</w:t>
      </w:r>
    </w:p>
    <w:p>
      <w:pPr>
        <w:widowControl/>
        <w:adjustRightInd w:val="0"/>
        <w:spacing w:line="360" w:lineRule="auto"/>
        <w:ind w:left="630" w:leftChars="300" w:right="567" w:firstLine="0" w:firstLineChars="0"/>
        <w:rPr>
          <w:bCs/>
          <w:szCs w:val="21"/>
          <w:highlight w:val="none"/>
        </w:rPr>
      </w:pPr>
      <w:r>
        <w:rPr>
          <w:rFonts w:hint="eastAsia"/>
          <w:bCs/>
          <w:szCs w:val="21"/>
          <w:highlight w:val="none"/>
        </w:rPr>
        <w:t>3、本合同应按照中华人民共和国的现行法律进行解释。</w:t>
      </w:r>
    </w:p>
    <w:p>
      <w:pPr>
        <w:widowControl/>
        <w:adjustRightInd w:val="0"/>
        <w:spacing w:line="360" w:lineRule="auto"/>
        <w:ind w:left="210" w:leftChars="100" w:right="567" w:firstLine="420" w:firstLineChars="200"/>
        <w:rPr>
          <w:bCs/>
          <w:szCs w:val="21"/>
          <w:highlight w:val="none"/>
        </w:rPr>
      </w:pPr>
      <w:r>
        <w:rPr>
          <w:rFonts w:hint="eastAsia"/>
          <w:bCs/>
          <w:szCs w:val="21"/>
          <w:highlight w:val="none"/>
        </w:rPr>
        <w:t>4、本合同一经双方签字盖章后，即发生法律效力；</w:t>
      </w:r>
    </w:p>
    <w:p>
      <w:pPr>
        <w:widowControl/>
        <w:adjustRightInd w:val="0"/>
        <w:spacing w:line="440" w:lineRule="exact"/>
        <w:jc w:val="left"/>
        <w:rPr>
          <w:rFonts w:cs="宋体"/>
          <w:bCs/>
          <w:kern w:val="0"/>
          <w:szCs w:val="21"/>
          <w:highlight w:val="none"/>
          <w:lang w:val="zh-CN"/>
        </w:rPr>
      </w:pPr>
      <w:r>
        <w:rPr>
          <w:rFonts w:hint="eastAsia" w:cs="宋体"/>
          <w:bCs/>
          <w:kern w:val="0"/>
          <w:szCs w:val="21"/>
          <w:highlight w:val="none"/>
          <w:lang w:val="zh-CN"/>
        </w:rPr>
        <w:t>甲方（采购人）：（盖章）</w:t>
      </w:r>
      <w:r>
        <w:rPr>
          <w:rFonts w:hint="eastAsia" w:cs="宋体"/>
          <w:bCs/>
          <w:kern w:val="0"/>
          <w:szCs w:val="21"/>
          <w:highlight w:val="none"/>
        </w:rPr>
        <w:t>乙方（供应商）</w:t>
      </w:r>
      <w:r>
        <w:rPr>
          <w:rFonts w:hint="eastAsia" w:cs="宋体"/>
          <w:bCs/>
          <w:kern w:val="0"/>
          <w:szCs w:val="21"/>
          <w:highlight w:val="none"/>
          <w:lang w:val="zh-CN"/>
        </w:rPr>
        <w:t>：（盖章）</w:t>
      </w:r>
    </w:p>
    <w:p>
      <w:pPr>
        <w:spacing w:line="440" w:lineRule="exact"/>
        <w:rPr>
          <w:bCs/>
          <w:szCs w:val="21"/>
          <w:highlight w:val="none"/>
        </w:rPr>
      </w:pPr>
    </w:p>
    <w:p>
      <w:pPr>
        <w:spacing w:line="440" w:lineRule="exact"/>
        <w:rPr>
          <w:bCs/>
          <w:szCs w:val="21"/>
          <w:highlight w:val="none"/>
        </w:rPr>
      </w:pPr>
      <w:r>
        <w:rPr>
          <w:rFonts w:hint="eastAsia"/>
          <w:bCs/>
          <w:szCs w:val="21"/>
          <w:highlight w:val="none"/>
        </w:rPr>
        <w:t>代表人：代表人：</w:t>
      </w:r>
    </w:p>
    <w:p>
      <w:pPr>
        <w:widowControl/>
        <w:adjustRightInd w:val="0"/>
        <w:spacing w:line="440" w:lineRule="exact"/>
        <w:jc w:val="left"/>
        <w:rPr>
          <w:rFonts w:cs="宋体"/>
          <w:bCs/>
          <w:kern w:val="0"/>
          <w:szCs w:val="21"/>
          <w:highlight w:val="none"/>
        </w:rPr>
      </w:pPr>
      <w:r>
        <w:rPr>
          <w:rFonts w:hint="eastAsia" w:cs="宋体"/>
          <w:bCs/>
          <w:kern w:val="0"/>
          <w:szCs w:val="21"/>
          <w:highlight w:val="none"/>
          <w:lang w:val="zh-CN"/>
        </w:rPr>
        <w:t>电话：</w:t>
      </w:r>
      <w:r>
        <w:rPr>
          <w:rFonts w:hint="eastAsia" w:cs="宋体"/>
          <w:bCs/>
          <w:kern w:val="0"/>
          <w:szCs w:val="21"/>
          <w:highlight w:val="none"/>
        </w:rPr>
        <w:t>电话：</w:t>
      </w:r>
    </w:p>
    <w:p>
      <w:pPr>
        <w:widowControl/>
        <w:adjustRightInd w:val="0"/>
        <w:spacing w:line="440" w:lineRule="exact"/>
        <w:jc w:val="left"/>
        <w:rPr>
          <w:rFonts w:cs="宋体"/>
          <w:bCs/>
          <w:kern w:val="0"/>
          <w:szCs w:val="21"/>
          <w:highlight w:val="none"/>
          <w:lang w:val="zh-CN"/>
        </w:rPr>
      </w:pPr>
      <w:r>
        <w:rPr>
          <w:rFonts w:hint="eastAsia" w:cs="宋体"/>
          <w:bCs/>
          <w:kern w:val="0"/>
          <w:szCs w:val="21"/>
          <w:highlight w:val="none"/>
          <w:lang w:val="zh-CN"/>
        </w:rPr>
        <w:t>开户银行：开户银行：</w:t>
      </w:r>
    </w:p>
    <w:p>
      <w:pPr>
        <w:widowControl/>
        <w:adjustRightInd w:val="0"/>
        <w:spacing w:line="440" w:lineRule="exact"/>
        <w:jc w:val="left"/>
        <w:rPr>
          <w:rFonts w:cs="宋体"/>
          <w:bCs/>
          <w:kern w:val="0"/>
          <w:szCs w:val="21"/>
          <w:highlight w:val="none"/>
        </w:rPr>
      </w:pPr>
      <w:r>
        <w:rPr>
          <w:rFonts w:hint="eastAsia" w:cs="宋体"/>
          <w:bCs/>
          <w:kern w:val="0"/>
          <w:szCs w:val="21"/>
          <w:highlight w:val="none"/>
          <w:lang w:val="zh-CN"/>
        </w:rPr>
        <w:t>账号：</w:t>
      </w:r>
      <w:r>
        <w:rPr>
          <w:rFonts w:hint="eastAsia" w:cs="宋体"/>
          <w:bCs/>
          <w:kern w:val="0"/>
          <w:szCs w:val="21"/>
          <w:highlight w:val="none"/>
        </w:rPr>
        <w:t>账号：</w:t>
      </w:r>
    </w:p>
    <w:p>
      <w:pPr>
        <w:widowControl/>
        <w:adjustRightInd w:val="0"/>
        <w:spacing w:line="440" w:lineRule="exact"/>
        <w:jc w:val="left"/>
        <w:rPr>
          <w:rFonts w:hint="eastAsia" w:cs="宋体"/>
          <w:bCs/>
          <w:kern w:val="0"/>
          <w:szCs w:val="21"/>
          <w:highlight w:val="none"/>
          <w:lang w:val="zh-CN"/>
        </w:rPr>
      </w:pPr>
      <w:r>
        <w:rPr>
          <w:rFonts w:hint="eastAsia" w:cs="宋体"/>
          <w:bCs/>
          <w:kern w:val="0"/>
          <w:szCs w:val="21"/>
          <w:highlight w:val="none"/>
          <w:lang w:val="zh-CN"/>
        </w:rPr>
        <w:t>日期</w:t>
      </w:r>
      <w:r>
        <w:rPr>
          <w:rFonts w:hint="eastAsia" w:cs="宋体"/>
          <w:bCs/>
          <w:kern w:val="0"/>
          <w:szCs w:val="21"/>
          <w:highlight w:val="none"/>
        </w:rPr>
        <w:t>：</w:t>
      </w:r>
      <w:r>
        <w:rPr>
          <w:rFonts w:hint="eastAsia" w:cs="宋体"/>
          <w:bCs/>
          <w:kern w:val="0"/>
          <w:szCs w:val="21"/>
          <w:highlight w:val="none"/>
          <w:lang w:val="zh-CN"/>
        </w:rPr>
        <w:t>年月日日期</w:t>
      </w:r>
      <w:r>
        <w:rPr>
          <w:rFonts w:hint="eastAsia" w:cs="宋体"/>
          <w:bCs/>
          <w:kern w:val="0"/>
          <w:szCs w:val="21"/>
          <w:highlight w:val="none"/>
        </w:rPr>
        <w:t>：</w:t>
      </w:r>
      <w:r>
        <w:rPr>
          <w:rFonts w:hint="eastAsia" w:cs="宋体"/>
          <w:bCs/>
          <w:kern w:val="0"/>
          <w:szCs w:val="21"/>
          <w:highlight w:val="none"/>
          <w:lang w:val="zh-CN"/>
        </w:rPr>
        <w:t>年月日</w:t>
      </w:r>
    </w:p>
    <w:p>
      <w:pPr>
        <w:pStyle w:val="2"/>
        <w:rPr>
          <w:rFonts w:hint="eastAsia"/>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pStyle w:val="2"/>
        <w:rPr>
          <w:rFonts w:hint="eastAsia" w:cs="宋体"/>
          <w:bCs/>
          <w:kern w:val="0"/>
          <w:szCs w:val="21"/>
          <w:highlight w:val="none"/>
          <w:lang w:val="zh-CN"/>
        </w:rPr>
      </w:pPr>
    </w:p>
    <w:p>
      <w:pPr>
        <w:widowControl/>
        <w:adjustRightInd w:val="0"/>
        <w:spacing w:line="440" w:lineRule="exact"/>
        <w:jc w:val="left"/>
        <w:rPr>
          <w:rFonts w:cs="宋体"/>
          <w:bCs/>
          <w:kern w:val="0"/>
          <w:szCs w:val="21"/>
          <w:highlight w:val="none"/>
        </w:rPr>
      </w:pPr>
    </w:p>
    <w:p>
      <w:pPr>
        <w:pStyle w:val="3"/>
        <w:numPr>
          <w:ilvl w:val="0"/>
          <w:numId w:val="3"/>
        </w:numPr>
        <w:bidi w:val="0"/>
        <w:ind w:left="0" w:leftChars="0" w:firstLine="0" w:firstLineChars="0"/>
        <w:rPr>
          <w:highlight w:val="none"/>
          <w:lang w:eastAsia="zh-CN"/>
        </w:rPr>
      </w:pPr>
      <w:r>
        <w:rPr>
          <w:rFonts w:hint="eastAsia" w:ascii="宋体" w:hAnsi="宋体" w:eastAsia="宋体" w:cs="宋体"/>
          <w:highlight w:val="none"/>
          <w:lang w:val="en-US" w:eastAsia="zh-CN"/>
        </w:rPr>
        <w:t>投标文件响应格式</w:t>
      </w:r>
    </w:p>
    <w:p>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磋商响应文件（正本或副本）</w:t>
      </w:r>
    </w:p>
    <w:p>
      <w:pPr>
        <w:spacing w:line="360" w:lineRule="auto"/>
        <w:ind w:firstLine="480" w:firstLineChars="200"/>
        <w:rPr>
          <w:rFonts w:hint="eastAsia" w:ascii="宋体" w:hAnsi="宋体" w:eastAsia="宋体" w:cs="宋体"/>
          <w:sz w:val="24"/>
          <w:highlight w:val="none"/>
        </w:rPr>
      </w:pPr>
    </w:p>
    <w:p>
      <w:pPr>
        <w:spacing w:line="360" w:lineRule="auto"/>
        <w:jc w:val="center"/>
        <w:rPr>
          <w:rFonts w:hint="eastAsia" w:ascii="宋体" w:hAnsi="宋体" w:eastAsia="宋体" w:cs="宋体"/>
          <w:b/>
          <w:bCs/>
          <w:sz w:val="40"/>
          <w:szCs w:val="22"/>
          <w:highlight w:val="none"/>
          <w:lang w:val="en-US" w:eastAsia="zh-CN"/>
        </w:rPr>
      </w:pPr>
      <w:r>
        <w:rPr>
          <w:rFonts w:hint="eastAsia" w:ascii="宋体" w:hAnsi="宋体" w:eastAsia="宋体" w:cs="宋体"/>
          <w:b/>
          <w:bCs/>
          <w:sz w:val="40"/>
          <w:szCs w:val="22"/>
          <w:highlight w:val="none"/>
          <w:lang w:val="en-US" w:eastAsia="zh-CN"/>
        </w:rPr>
        <w:t>竞争性磋商响应文件</w:t>
      </w: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highlight w:val="none"/>
        </w:rPr>
      </w:pPr>
    </w:p>
    <w:p>
      <w:pPr>
        <w:spacing w:line="360" w:lineRule="auto"/>
        <w:rPr>
          <w:rFonts w:hint="eastAsia" w:ascii="宋体" w:hAnsi="宋体" w:eastAsia="宋体" w:cs="宋体"/>
          <w:sz w:val="28"/>
          <w:highlight w:val="none"/>
        </w:rPr>
      </w:pPr>
      <w:r>
        <w:rPr>
          <w:rFonts w:hint="eastAsia" w:ascii="宋体" w:hAnsi="宋体" w:eastAsia="宋体" w:cs="宋体"/>
          <w:sz w:val="28"/>
          <w:highlight w:val="none"/>
          <w:lang w:val="en-US" w:eastAsia="zh-CN"/>
        </w:rPr>
        <w:t>项目</w:t>
      </w:r>
      <w:r>
        <w:rPr>
          <w:rFonts w:hint="eastAsia" w:ascii="宋体" w:hAnsi="宋体" w:eastAsia="宋体" w:cs="宋体"/>
          <w:sz w:val="28"/>
          <w:highlight w:val="none"/>
        </w:rPr>
        <w:t>编号：</w:t>
      </w:r>
    </w:p>
    <w:p>
      <w:pPr>
        <w:spacing w:line="360" w:lineRule="auto"/>
        <w:rPr>
          <w:rFonts w:hint="eastAsia" w:ascii="宋体" w:hAnsi="宋体" w:eastAsia="宋体" w:cs="宋体"/>
          <w:sz w:val="28"/>
          <w:highlight w:val="none"/>
        </w:rPr>
      </w:pPr>
    </w:p>
    <w:p>
      <w:pPr>
        <w:spacing w:line="360" w:lineRule="auto"/>
        <w:rPr>
          <w:rFonts w:hint="eastAsia" w:ascii="宋体" w:hAnsi="宋体" w:eastAsia="宋体" w:cs="宋体"/>
          <w:sz w:val="28"/>
          <w:highlight w:val="none"/>
        </w:rPr>
      </w:pPr>
      <w:r>
        <w:rPr>
          <w:rFonts w:hint="eastAsia" w:ascii="宋体" w:hAnsi="宋体" w:eastAsia="宋体" w:cs="宋体"/>
          <w:sz w:val="28"/>
          <w:highlight w:val="none"/>
        </w:rPr>
        <w:t>项目名称：</w:t>
      </w:r>
    </w:p>
    <w:p>
      <w:pPr>
        <w:spacing w:line="360" w:lineRule="auto"/>
        <w:rPr>
          <w:rFonts w:hint="eastAsia" w:ascii="宋体" w:hAnsi="宋体" w:eastAsia="宋体" w:cs="宋体"/>
          <w:sz w:val="28"/>
          <w:highlight w:val="none"/>
        </w:rPr>
      </w:pPr>
    </w:p>
    <w:p>
      <w:pPr>
        <w:pStyle w:val="2"/>
        <w:rPr>
          <w:rFonts w:hint="eastAsia" w:ascii="宋体" w:hAnsi="宋体" w:eastAsia="宋体" w:cs="宋体"/>
          <w:sz w:val="28"/>
          <w:highlight w:val="none"/>
        </w:rPr>
      </w:pPr>
    </w:p>
    <w:p>
      <w:pPr>
        <w:pStyle w:val="2"/>
        <w:rPr>
          <w:rFonts w:hint="eastAsia" w:ascii="宋体" w:hAnsi="宋体" w:eastAsia="宋体" w:cs="宋体"/>
          <w:sz w:val="28"/>
          <w:highlight w:val="none"/>
        </w:rPr>
      </w:pPr>
    </w:p>
    <w:p>
      <w:pPr>
        <w:pStyle w:val="2"/>
        <w:rPr>
          <w:rFonts w:hint="eastAsia" w:ascii="宋体" w:hAnsi="宋体" w:eastAsia="宋体" w:cs="宋体"/>
          <w:sz w:val="28"/>
          <w:highlight w:val="none"/>
        </w:rPr>
      </w:pPr>
    </w:p>
    <w:p>
      <w:pPr>
        <w:pStyle w:val="2"/>
        <w:rPr>
          <w:rFonts w:hint="eastAsia" w:ascii="宋体" w:hAnsi="宋体" w:eastAsia="宋体" w:cs="宋体"/>
          <w:sz w:val="28"/>
          <w:highlight w:val="none"/>
        </w:rPr>
      </w:pPr>
    </w:p>
    <w:p>
      <w:pPr>
        <w:spacing w:line="360" w:lineRule="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供应商名称：</w:t>
      </w:r>
    </w:p>
    <w:p>
      <w:pPr>
        <w:pStyle w:val="2"/>
        <w:rPr>
          <w:rFonts w:hint="eastAsia"/>
          <w:highlight w:val="none"/>
          <w:lang w:val="en-US" w:eastAsia="zh-CN"/>
        </w:rPr>
      </w:pPr>
    </w:p>
    <w:p>
      <w:pPr>
        <w:spacing w:line="360" w:lineRule="auto"/>
        <w:rPr>
          <w:rFonts w:hint="eastAsia" w:ascii="宋体" w:hAnsi="宋体" w:eastAsia="宋体" w:cs="宋体"/>
          <w:sz w:val="28"/>
          <w:highlight w:val="none"/>
          <w:lang w:val="en-US" w:eastAsia="zh-CN"/>
        </w:rPr>
      </w:pPr>
      <w:r>
        <w:rPr>
          <w:rFonts w:hint="eastAsia" w:ascii="宋体" w:hAnsi="宋体" w:eastAsia="宋体" w:cs="宋体"/>
          <w:sz w:val="28"/>
          <w:highlight w:val="none"/>
          <w:lang w:val="en-US" w:eastAsia="zh-CN"/>
        </w:rPr>
        <w:t>日期：</w:t>
      </w: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23"/>
        <w:spacing w:line="360" w:lineRule="auto"/>
        <w:ind w:left="0" w:leftChars="0" w:firstLine="0" w:firstLineChars="0"/>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240" w:lineRule="auto"/>
        <w:textAlignment w:val="auto"/>
        <w:rPr>
          <w:rFonts w:hint="eastAsia" w:ascii="宋体" w:hAnsi="宋体" w:eastAsia="宋体" w:cs="宋体"/>
          <w:kern w:val="0"/>
          <w:sz w:val="24"/>
          <w:szCs w:val="24"/>
          <w:highlight w:val="none"/>
          <w:lang w:val="zh-CN"/>
        </w:rPr>
      </w:pPr>
      <w:bookmarkStart w:id="22" w:name="_Toc89686190"/>
      <w:r>
        <w:rPr>
          <w:rFonts w:hint="eastAsia" w:ascii="宋体" w:hAnsi="宋体" w:eastAsia="宋体" w:cs="宋体"/>
          <w:b/>
          <w:bCs/>
          <w:color w:val="000000"/>
          <w:kern w:val="2"/>
          <w:sz w:val="24"/>
          <w:szCs w:val="24"/>
          <w:highlight w:val="none"/>
          <w:lang w:val="zh-CN"/>
        </w:rPr>
        <w:t>附件一、投标申请及声明格式</w:t>
      </w:r>
      <w:bookmarkEnd w:id="22"/>
    </w:p>
    <w:p>
      <w:pPr>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磋商申请及声明</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致：</w:t>
      </w:r>
      <w:r>
        <w:rPr>
          <w:rFonts w:hint="eastAsia" w:ascii="宋体" w:hAnsi="宋体" w:eastAsia="宋体" w:cs="宋体"/>
          <w:b/>
          <w:sz w:val="24"/>
          <w:szCs w:val="24"/>
          <w:highlight w:val="none"/>
          <w:lang w:val="zh-CN"/>
        </w:rPr>
        <w:t>南京市秦淮区红花社区卫生服务中心</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根据贵方</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zh-CN"/>
        </w:rPr>
        <w:t>（项目名称）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zh-CN"/>
        </w:rPr>
        <w:t>（项目编号）</w:t>
      </w:r>
      <w:r>
        <w:rPr>
          <w:rFonts w:hint="eastAsia" w:ascii="宋体" w:hAnsi="宋体" w:eastAsia="宋体" w:cs="宋体"/>
          <w:color w:val="000000"/>
          <w:sz w:val="24"/>
          <w:szCs w:val="24"/>
          <w:highlight w:val="none"/>
          <w:lang w:val="zh-CN"/>
        </w:rPr>
        <w:t>投标邀请，正式授权下述</w:t>
      </w:r>
      <w:r>
        <w:rPr>
          <w:rFonts w:hint="eastAsia" w:ascii="宋体" w:hAnsi="宋体" w:eastAsia="宋体" w:cs="宋体"/>
          <w:color w:val="000000"/>
          <w:sz w:val="24"/>
          <w:szCs w:val="24"/>
          <w:highlight w:val="none"/>
          <w:u w:val="none"/>
          <w:lang w:val="zh-CN"/>
        </w:rPr>
        <w:t>签字人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zh-CN"/>
        </w:rPr>
        <w:t>(姓名和职务)代表投标人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lang w:val="zh-CN"/>
        </w:rPr>
        <w:t>（投标人名称）</w:t>
      </w:r>
      <w:r>
        <w:rPr>
          <w:rFonts w:hint="eastAsia" w:ascii="宋体" w:hAnsi="宋体" w:eastAsia="宋体" w:cs="宋体"/>
          <w:color w:val="000000"/>
          <w:sz w:val="24"/>
          <w:szCs w:val="24"/>
          <w:highlight w:val="none"/>
          <w:lang w:val="zh-CN"/>
        </w:rPr>
        <w:t>，提交投标文件。</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据此函，签字人兹宣布声明和承诺如下：</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1、</w:t>
      </w:r>
      <w:r>
        <w:rPr>
          <w:rFonts w:hint="eastAsia" w:ascii="宋体" w:hAnsi="宋体" w:eastAsia="宋体" w:cs="宋体"/>
          <w:b/>
          <w:color w:val="000000"/>
          <w:sz w:val="24"/>
          <w:szCs w:val="24"/>
          <w:highlight w:val="none"/>
          <w:lang w:val="zh-CN"/>
        </w:rPr>
        <w:t>我们的资格条件完全符合政府采购法和本次招标要求</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rPr>
        <w:t>我们</w:t>
      </w:r>
      <w:r>
        <w:rPr>
          <w:rFonts w:hint="eastAsia" w:ascii="宋体" w:hAnsi="宋体" w:eastAsia="宋体" w:cs="宋体"/>
          <w:color w:val="000000"/>
          <w:sz w:val="24"/>
          <w:szCs w:val="24"/>
          <w:highlight w:val="none"/>
          <w:lang w:val="zh-CN"/>
        </w:rPr>
        <w:t>同意并向贵方提供了与投标有关的所有证据和资料。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zh-CN"/>
        </w:rPr>
        <w:t>按招标要求，我们的投标总报价为</w:t>
      </w:r>
      <w:r>
        <w:rPr>
          <w:rFonts w:hint="eastAsia" w:ascii="宋体" w:hAnsi="宋体" w:eastAsia="宋体" w:cs="宋体"/>
          <w:color w:val="000000"/>
          <w:sz w:val="24"/>
          <w:szCs w:val="24"/>
          <w:highlight w:val="none"/>
          <w:u w:val="single"/>
          <w:lang w:val="zh-CN"/>
        </w:rPr>
        <w:t>（大写）</w:t>
      </w:r>
      <w:r>
        <w:rPr>
          <w:rFonts w:hint="eastAsia" w:ascii="宋体" w:hAnsi="宋体" w:eastAsia="宋体" w:cs="宋体"/>
          <w:color w:val="000000"/>
          <w:sz w:val="24"/>
          <w:szCs w:val="24"/>
          <w:highlight w:val="none"/>
          <w:lang w:val="zh-CN"/>
        </w:rPr>
        <w:t>元人民币，</w:t>
      </w:r>
      <w:r>
        <w:rPr>
          <w:rFonts w:hint="eastAsia" w:ascii="宋体" w:hAnsi="宋体" w:eastAsia="宋体" w:cs="宋体"/>
          <w:color w:val="000000"/>
          <w:sz w:val="24"/>
          <w:szCs w:val="24"/>
          <w:highlight w:val="none"/>
          <w:u w:val="single"/>
          <w:lang w:val="zh-CN"/>
        </w:rPr>
        <w:t>（小写）</w:t>
      </w:r>
      <w:r>
        <w:rPr>
          <w:rFonts w:hint="eastAsia" w:ascii="宋体" w:hAnsi="宋体" w:eastAsia="宋体" w:cs="宋体"/>
          <w:color w:val="000000"/>
          <w:sz w:val="24"/>
          <w:szCs w:val="24"/>
          <w:highlight w:val="none"/>
          <w:lang w:val="zh-CN"/>
        </w:rPr>
        <w:t>元人民币，</w:t>
      </w:r>
      <w:r>
        <w:rPr>
          <w:rFonts w:hint="eastAsia" w:ascii="宋体" w:hAnsi="宋体" w:eastAsia="宋体" w:cs="宋体"/>
          <w:color w:val="000000"/>
          <w:sz w:val="24"/>
          <w:szCs w:val="24"/>
          <w:highlight w:val="none"/>
          <w:lang w:val="en-US" w:eastAsia="zh-CN"/>
        </w:rPr>
        <w:t>服务期</w:t>
      </w:r>
      <w:r>
        <w:rPr>
          <w:rFonts w:hint="eastAsia" w:ascii="宋体" w:hAnsi="宋体" w:eastAsia="宋体" w:cs="宋体"/>
          <w:b/>
          <w:bCs/>
          <w:color w:val="000000"/>
          <w:sz w:val="24"/>
          <w:szCs w:val="24"/>
          <w:highlight w:val="none"/>
          <w:u w:val="single"/>
          <w:lang w:val="zh-CN"/>
        </w:rPr>
        <w:t>（天）</w:t>
      </w:r>
      <w:r>
        <w:rPr>
          <w:rFonts w:hint="eastAsia" w:ascii="宋体" w:hAnsi="宋体" w:eastAsia="宋体" w:cs="宋体"/>
          <w:bCs/>
          <w:color w:val="000000"/>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3、我方项目负责人为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zh-CN"/>
        </w:rPr>
        <w:t>。</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4、我们已详细审核全部磋商文件及其有效补充文件，我们放弃对磋商文件任何误解的权利，提交响应文件后，不对磋商文件本身提出质疑。否则，属于不诚信和故意扰乱政府采购活动行为，我们将无条件接受处罚。</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5、一旦我方成交，我方将根据磋商文件的规定，严格履行合同，保证于承诺的时间内完成本项目规定的服务内容。</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6、我方决不提供虚假材料谋取成交、决不采取不正当手段诋毁、排挤其他供应商、决不与采购人、其它供应商或者代理机构恶意串通、决不向采购人、代理机构工作人员和磋商小组进行商业贿赂、决不拒绝有关部门监督检查或提供虚假情况，如有违反，无条件接受贵方及相关管理部门的处罚。</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7、我方正式通讯方式为：</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地址：</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电话：</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传真：</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8、我方正式开户银行和帐号为：</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开户银行：</w:t>
      </w:r>
    </w:p>
    <w:p>
      <w:pPr>
        <w:pStyle w:val="2"/>
        <w:spacing w:line="36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帐号：</w:t>
      </w:r>
    </w:p>
    <w:p>
      <w:pPr>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供应商授权代表姓名（签字）：</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供应商名称（公章）：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b/>
          <w:sz w:val="24"/>
          <w:szCs w:val="24"/>
          <w:highlight w:val="none"/>
          <w:lang w:val="zh-CN"/>
        </w:rPr>
      </w:pPr>
      <w:bookmarkStart w:id="23" w:name="_Toc89686191"/>
      <w:r>
        <w:rPr>
          <w:rFonts w:hint="eastAsia" w:ascii="宋体" w:hAnsi="宋体" w:eastAsia="宋体" w:cs="宋体"/>
          <w:b/>
          <w:bCs/>
          <w:kern w:val="2"/>
          <w:sz w:val="24"/>
          <w:szCs w:val="24"/>
          <w:highlight w:val="none"/>
          <w:lang w:val="zh-CN" w:eastAsia="zh-CN" w:bidi="ar-SA"/>
        </w:rPr>
        <w:t>附件二、法定代表人授权书格式</w:t>
      </w:r>
      <w:bookmarkEnd w:id="23"/>
    </w:p>
    <w:p>
      <w:pPr>
        <w:pageBreakBefore w:val="0"/>
        <w:widowControl w:val="0"/>
        <w:kinsoku/>
        <w:wordWrap/>
        <w:overflowPunct/>
        <w:topLinePunct w:val="0"/>
        <w:bidi w:val="0"/>
        <w:snapToGrid/>
        <w:spacing w:line="30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法定代表人授权书</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南京市秦淮区红花社区卫生服务中心：</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书声明：注册于（供应商住址）的（供应商名称）法定代表人（法定代表人姓名、职务）代表本公司授权在下面签字的（供应商代表姓名、职务）为本公司的合法代理人，就贵方组织的项目名称，项目编号：磋商，以本公司名义处理一切与之有关的事务。</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本授权书于年月日签字生效，特此声明。</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法定代表人签字：</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被授权人签字：</w:t>
      </w:r>
    </w:p>
    <w:p>
      <w:pPr>
        <w:pageBreakBefore w:val="0"/>
        <w:widowControl w:val="0"/>
        <w:tabs>
          <w:tab w:val="left" w:pos="1440"/>
        </w:tabs>
        <w:kinsoku/>
        <w:wordWrap/>
        <w:overflowPunct/>
        <w:topLinePunct w:val="0"/>
        <w:autoSpaceDE w:val="0"/>
        <w:autoSpaceDN w:val="0"/>
        <w:bidi w:val="0"/>
        <w:adjustRightInd w:val="0"/>
        <w:snapToGrid/>
        <w:spacing w:line="360" w:lineRule="auto"/>
        <w:ind w:firstLine="420"/>
        <w:textAlignment w:val="auto"/>
        <w:rPr>
          <w:rFonts w:hint="eastAsia" w:ascii="宋体" w:hAnsi="宋体" w:eastAsia="宋体" w:cs="宋体"/>
          <w:b/>
          <w:kern w:val="0"/>
          <w:sz w:val="24"/>
          <w:szCs w:val="24"/>
          <w:highlight w:val="none"/>
          <w:lang w:val="zh-CN"/>
        </w:rPr>
      </w:pPr>
      <w:r>
        <w:rPr>
          <w:rFonts w:hint="eastAsia" w:ascii="宋体" w:hAnsi="宋体" w:eastAsia="宋体" w:cs="宋体"/>
          <w:sz w:val="24"/>
          <w:szCs w:val="24"/>
          <w:highlight w:val="none"/>
          <w:lang w:val="zh-CN"/>
        </w:rPr>
        <w:t>日期：年月日</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法人的身份证明的复印件：</w:t>
      </w:r>
    </w:p>
    <w:p>
      <w:pPr>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kern w:val="0"/>
          <w:sz w:val="24"/>
          <w:szCs w:val="24"/>
          <w:highlight w:val="none"/>
          <w:lang w:val="zh-CN"/>
        </w:rPr>
      </w:pPr>
      <w:r>
        <w:rPr>
          <w:rFonts w:hint="eastAsia" w:ascii="宋体" w:hAnsi="宋体" w:eastAsia="宋体" w:cs="宋体"/>
          <w:b/>
          <w:kern w:val="0"/>
          <w:sz w:val="24"/>
          <w:szCs w:val="24"/>
          <w:highlight w:val="none"/>
          <w:lang w:val="zh-CN"/>
        </w:rPr>
        <w:t>代理人的身份证明文件的复印件：</w:t>
      </w:r>
    </w:p>
    <w:p>
      <w:pPr>
        <w:pStyle w:val="5"/>
        <w:rPr>
          <w:rFonts w:hint="eastAsia" w:ascii="宋体" w:hAnsi="宋体" w:eastAsia="宋体" w:cs="宋体"/>
          <w:b/>
          <w:bCs/>
          <w:kern w:val="2"/>
          <w:sz w:val="24"/>
          <w:szCs w:val="24"/>
          <w:highlight w:val="none"/>
          <w:lang w:val="zh-CN" w:eastAsia="zh-CN" w:bidi="ar-SA"/>
        </w:rPr>
      </w:pPr>
      <w:bookmarkStart w:id="24" w:name="_Toc89686192"/>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5"/>
        <w:rPr>
          <w:rFonts w:hint="eastAsia" w:ascii="宋体" w:hAnsi="宋体" w:eastAsia="宋体" w:cs="宋体"/>
          <w:b/>
          <w:bCs/>
          <w:kern w:val="2"/>
          <w:sz w:val="24"/>
          <w:szCs w:val="24"/>
          <w:highlight w:val="none"/>
          <w:lang w:val="zh-CN" w:eastAsia="zh-CN" w:bidi="ar-SA"/>
        </w:rPr>
      </w:pPr>
    </w:p>
    <w:p>
      <w:pPr>
        <w:pStyle w:val="4"/>
        <w:pageBreakBefore w:val="0"/>
        <w:kinsoku/>
        <w:wordWrap/>
        <w:overflowPunct/>
        <w:topLinePunct w:val="0"/>
        <w:bidi w:val="0"/>
        <w:spacing w:before="0" w:after="0" w:line="300" w:lineRule="auto"/>
        <w:textAlignment w:val="auto"/>
        <w:rPr>
          <w:rFonts w:hint="eastAsia" w:ascii="宋体" w:hAnsi="宋体" w:eastAsia="宋体" w:cs="宋体"/>
          <w:b/>
          <w:bCs/>
          <w:kern w:val="2"/>
          <w:sz w:val="24"/>
          <w:szCs w:val="24"/>
          <w:highlight w:val="none"/>
          <w:lang w:val="zh-CN" w:eastAsia="zh-CN" w:bidi="ar-SA"/>
        </w:rPr>
        <w:sectPr>
          <w:headerReference r:id="rId9" w:type="default"/>
          <w:footerReference r:id="rId10" w:type="default"/>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pStyle w:val="4"/>
        <w:pageBreakBefore w:val="0"/>
        <w:kinsoku/>
        <w:wordWrap/>
        <w:overflowPunct/>
        <w:topLinePunct w:val="0"/>
        <w:bidi w:val="0"/>
        <w:spacing w:before="0" w:after="0" w:line="300" w:lineRule="auto"/>
        <w:textAlignment w:val="auto"/>
        <w:rPr>
          <w:rFonts w:hint="eastAsia" w:ascii="宋体" w:hAnsi="宋体" w:eastAsia="宋体" w:cs="宋体"/>
          <w:b/>
          <w:sz w:val="24"/>
          <w:szCs w:val="24"/>
          <w:highlight w:val="none"/>
          <w:lang w:val="zh-CN"/>
        </w:rPr>
      </w:pPr>
      <w:r>
        <w:rPr>
          <w:rFonts w:hint="eastAsia" w:ascii="宋体" w:hAnsi="宋体" w:eastAsia="宋体" w:cs="宋体"/>
          <w:b/>
          <w:bCs/>
          <w:kern w:val="2"/>
          <w:sz w:val="24"/>
          <w:szCs w:val="24"/>
          <w:highlight w:val="none"/>
          <w:lang w:val="zh-CN" w:eastAsia="zh-CN" w:bidi="ar-SA"/>
        </w:rPr>
        <w:t>附件三、报价表</w:t>
      </w:r>
      <w:bookmarkEnd w:id="24"/>
    </w:p>
    <w:p>
      <w:pPr>
        <w:pageBreakBefore w:val="0"/>
        <w:kinsoku/>
        <w:wordWrap/>
        <w:overflowPunct/>
        <w:topLinePunct w:val="0"/>
        <w:bidi w:val="0"/>
        <w:spacing w:line="30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开标一览表</w:t>
      </w:r>
    </w:p>
    <w:tbl>
      <w:tblPr>
        <w:tblStyle w:val="18"/>
        <w:tblW w:w="0" w:type="auto"/>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31"/>
        <w:gridCol w:w="1155"/>
        <w:gridCol w:w="1618"/>
        <w:gridCol w:w="508"/>
        <w:gridCol w:w="28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6038" w:type="dxa"/>
            <w:gridSpan w:val="4"/>
            <w:tcBorders>
              <w:top w:val="nil"/>
              <w:left w:val="nil"/>
              <w:right w:val="nil"/>
            </w:tcBorders>
            <w:noWrap w:val="0"/>
            <w:vAlign w:val="center"/>
          </w:tcPr>
          <w:p>
            <w:pPr>
              <w:pageBreakBefore w:val="0"/>
              <w:widowControl/>
              <w:kinsoku/>
              <w:wordWrap/>
              <w:overflowPunct/>
              <w:topLinePunct w:val="0"/>
              <w:bidi w:val="0"/>
              <w:snapToGrid w:val="0"/>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3348" w:type="dxa"/>
            <w:gridSpan w:val="2"/>
            <w:tcBorders>
              <w:top w:val="nil"/>
              <w:left w:val="nil"/>
              <w:right w:val="nil"/>
            </w:tcBorders>
            <w:noWrap w:val="0"/>
            <w:vAlign w:val="center"/>
          </w:tcPr>
          <w:p>
            <w:pPr>
              <w:pageBreakBefore w:val="0"/>
              <w:widowControl/>
              <w:kinsoku/>
              <w:wordWrap/>
              <w:overflowPunct/>
              <w:topLinePunct w:val="0"/>
              <w:bidi w:val="0"/>
              <w:snapToGrid w:val="0"/>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734" w:type="dxa"/>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序号</w:t>
            </w:r>
          </w:p>
        </w:tc>
        <w:tc>
          <w:tcPr>
            <w:tcW w:w="3686" w:type="dxa"/>
            <w:gridSpan w:val="2"/>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名称</w:t>
            </w:r>
          </w:p>
        </w:tc>
        <w:tc>
          <w:tcPr>
            <w:tcW w:w="2126" w:type="dxa"/>
            <w:gridSpan w:val="2"/>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报价（元）</w:t>
            </w:r>
          </w:p>
        </w:tc>
        <w:tc>
          <w:tcPr>
            <w:tcW w:w="2840" w:type="dxa"/>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34" w:type="dxa"/>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pacing w:val="-2"/>
                <w:sz w:val="24"/>
                <w:szCs w:val="24"/>
                <w:highlight w:val="none"/>
              </w:rPr>
            </w:pPr>
            <w:r>
              <w:rPr>
                <w:rFonts w:hint="eastAsia" w:ascii="宋体" w:hAnsi="宋体" w:eastAsia="宋体" w:cs="宋体"/>
                <w:color w:val="000000"/>
                <w:spacing w:val="-2"/>
                <w:sz w:val="24"/>
                <w:szCs w:val="24"/>
                <w:highlight w:val="none"/>
              </w:rPr>
              <w:t>1</w:t>
            </w:r>
          </w:p>
        </w:tc>
        <w:tc>
          <w:tcPr>
            <w:tcW w:w="3686" w:type="dxa"/>
            <w:gridSpan w:val="2"/>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pacing w:val="-2"/>
                <w:sz w:val="24"/>
                <w:szCs w:val="24"/>
                <w:highlight w:val="none"/>
              </w:rPr>
            </w:pPr>
          </w:p>
        </w:tc>
        <w:tc>
          <w:tcPr>
            <w:tcW w:w="2126" w:type="dxa"/>
            <w:gridSpan w:val="2"/>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p>
        </w:tc>
        <w:tc>
          <w:tcPr>
            <w:tcW w:w="2840" w:type="dxa"/>
            <w:noWrap w:val="0"/>
            <w:vAlign w:val="center"/>
          </w:tcPr>
          <w:p>
            <w:pPr>
              <w:pageBreakBefore w:val="0"/>
              <w:kinsoku/>
              <w:wordWrap/>
              <w:overflowPunct/>
              <w:topLinePunct w:val="0"/>
              <w:bidi w:val="0"/>
              <w:spacing w:line="300" w:lineRule="auto"/>
              <w:jc w:val="center"/>
              <w:textAlignment w:val="auto"/>
              <w:rPr>
                <w:rFonts w:hint="eastAsia" w:ascii="宋体" w:hAnsi="宋体" w:eastAsia="宋体" w:cs="宋体"/>
                <w:color w:val="000000"/>
                <w:sz w:val="24"/>
                <w:szCs w:val="24"/>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3265" w:type="dxa"/>
            <w:gridSpan w:val="2"/>
            <w:noWrap w:val="0"/>
            <w:vAlign w:val="center"/>
          </w:tcPr>
          <w:p>
            <w:pPr>
              <w:pageBreakBefore w:val="0"/>
              <w:widowControl/>
              <w:kinsoku/>
              <w:wordWrap/>
              <w:overflowPunct/>
              <w:topLinePunct w:val="0"/>
              <w:bidi w:val="0"/>
              <w:snapToGrid w:val="0"/>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投标总价（人民币）</w:t>
            </w:r>
          </w:p>
        </w:tc>
        <w:tc>
          <w:tcPr>
            <w:tcW w:w="6121" w:type="dxa"/>
            <w:gridSpan w:val="4"/>
            <w:noWrap w:val="0"/>
            <w:vAlign w:val="center"/>
          </w:tcPr>
          <w:p>
            <w:pPr>
              <w:pageBreakBefore w:val="0"/>
              <w:widowControl/>
              <w:kinsoku/>
              <w:wordWrap/>
              <w:overflowPunct/>
              <w:topLinePunct w:val="0"/>
              <w:bidi w:val="0"/>
              <w:snapToGrid w:val="0"/>
              <w:spacing w:line="300" w:lineRule="auto"/>
              <w:ind w:firstLine="720" w:firstLineChars="300"/>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（大写）元,（小写）元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2" w:hRule="atLeast"/>
        </w:trPr>
        <w:tc>
          <w:tcPr>
            <w:tcW w:w="3265" w:type="dxa"/>
            <w:gridSpan w:val="2"/>
            <w:noWrap w:val="0"/>
            <w:vAlign w:val="center"/>
          </w:tcPr>
          <w:p>
            <w:pPr>
              <w:pageBreakBefore w:val="0"/>
              <w:widowControl/>
              <w:kinsoku/>
              <w:wordWrap/>
              <w:overflowPunct/>
              <w:topLinePunct w:val="0"/>
              <w:bidi w:val="0"/>
              <w:snapToGrid w:val="0"/>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供应商是否属于小微型企业</w:t>
            </w:r>
          </w:p>
        </w:tc>
        <w:tc>
          <w:tcPr>
            <w:tcW w:w="6121" w:type="dxa"/>
            <w:gridSpan w:val="4"/>
            <w:noWrap w:val="0"/>
            <w:vAlign w:val="center"/>
          </w:tcPr>
          <w:p>
            <w:pPr>
              <w:pageBreakBefore w:val="0"/>
              <w:widowControl/>
              <w:kinsoku/>
              <w:wordWrap/>
              <w:overflowPunct/>
              <w:topLinePunct w:val="0"/>
              <w:bidi w:val="0"/>
              <w:snapToGrid w:val="0"/>
              <w:spacing w:line="300" w:lineRule="auto"/>
              <w:ind w:firstLine="3120" w:firstLineChars="1300"/>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sz w:val="24"/>
                <w:szCs w:val="24"/>
                <w:highlight w:val="none"/>
              </w:rPr>
              <w:sym w:font="Wingdings 2" w:char="00A3"/>
            </w:r>
            <w:r>
              <w:rPr>
                <w:rFonts w:hint="eastAsia" w:ascii="宋体" w:hAnsi="宋体" w:eastAsia="宋体" w:cs="宋体"/>
                <w:color w:val="000000"/>
                <w:kern w:val="0"/>
                <w:sz w:val="24"/>
                <w:szCs w:val="24"/>
                <w:highlight w:val="none"/>
                <w:lang w:val="zh-CN"/>
              </w:rPr>
              <w:t>是</w:t>
            </w:r>
            <w:r>
              <w:rPr>
                <w:rFonts w:hint="eastAsia" w:ascii="宋体" w:hAnsi="宋体" w:eastAsia="宋体" w:cs="宋体"/>
                <w:sz w:val="24"/>
                <w:szCs w:val="24"/>
                <w:highlight w:val="none"/>
              </w:rPr>
              <w:sym w:font="Wingdings 2" w:char="00A3"/>
            </w:r>
            <w:r>
              <w:rPr>
                <w:rFonts w:hint="eastAsia" w:ascii="宋体" w:hAnsi="宋体" w:eastAsia="宋体" w:cs="宋体"/>
                <w:color w:val="000000"/>
                <w:kern w:val="0"/>
                <w:sz w:val="24"/>
                <w:szCs w:val="24"/>
                <w:highlight w:val="none"/>
                <w:lang w:val="zh-CN"/>
              </w:rPr>
              <w:t>否</w:t>
            </w:r>
          </w:p>
        </w:tc>
      </w:tr>
    </w:tbl>
    <w:p>
      <w:pPr>
        <w:pageBreakBefore w:val="0"/>
        <w:widowControl/>
        <w:shd w:val="clear" w:color="auto" w:fill="auto"/>
        <w:kinsoku/>
        <w:wordWrap/>
        <w:overflowPunct/>
        <w:topLinePunct w:val="0"/>
        <w:bidi w:val="0"/>
        <w:spacing w:line="300" w:lineRule="auto"/>
        <w:jc w:val="left"/>
        <w:textAlignment w:val="auto"/>
        <w:rPr>
          <w:rFonts w:hint="eastAsia" w:ascii="宋体" w:hAnsi="宋体" w:eastAsia="宋体" w:cs="宋体"/>
          <w:kern w:val="0"/>
          <w:sz w:val="24"/>
          <w:szCs w:val="24"/>
          <w:highlight w:val="none"/>
        </w:rPr>
      </w:pPr>
    </w:p>
    <w:p>
      <w:pPr>
        <w:pageBreakBefore w:val="0"/>
        <w:widowControl/>
        <w:shd w:val="clear" w:color="auto" w:fill="auto"/>
        <w:kinsoku/>
        <w:wordWrap/>
        <w:overflowPunct/>
        <w:topLinePunct w:val="0"/>
        <w:bidi w:val="0"/>
        <w:spacing w:line="300" w:lineRule="auto"/>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投标</w:t>
      </w:r>
      <w:r>
        <w:rPr>
          <w:rFonts w:hint="eastAsia" w:ascii="宋体" w:hAnsi="宋体" w:eastAsia="宋体" w:cs="宋体"/>
          <w:kern w:val="0"/>
          <w:sz w:val="24"/>
          <w:szCs w:val="24"/>
          <w:highlight w:val="none"/>
        </w:rPr>
        <w:t>单位（盖章）:</w:t>
      </w:r>
      <w:r>
        <w:rPr>
          <w:rFonts w:hint="eastAsia" w:ascii="宋体" w:hAnsi="宋体" w:eastAsia="宋体" w:cs="宋体"/>
          <w:kern w:val="0"/>
          <w:sz w:val="24"/>
          <w:szCs w:val="24"/>
          <w:highlight w:val="none"/>
          <w:u w:val="single"/>
        </w:rPr>
        <w:t>                      </w:t>
      </w:r>
    </w:p>
    <w:p>
      <w:pPr>
        <w:pageBreakBefore w:val="0"/>
        <w:widowControl/>
        <w:shd w:val="clear" w:color="auto" w:fill="auto"/>
        <w:kinsoku/>
        <w:wordWrap/>
        <w:overflowPunct/>
        <w:topLinePunct w:val="0"/>
        <w:bidi w:val="0"/>
        <w:spacing w:line="300" w:lineRule="auto"/>
        <w:jc w:val="left"/>
        <w:textAlignment w:val="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授权代表（签字）：</w:t>
      </w:r>
      <w:r>
        <w:rPr>
          <w:rFonts w:hint="eastAsia" w:ascii="宋体" w:hAnsi="宋体" w:eastAsia="宋体" w:cs="宋体"/>
          <w:kern w:val="0"/>
          <w:sz w:val="24"/>
          <w:szCs w:val="24"/>
          <w:highlight w:val="none"/>
          <w:u w:val="single"/>
        </w:rPr>
        <w:t>                      </w:t>
      </w:r>
    </w:p>
    <w:p>
      <w:pPr>
        <w:pageBreakBefore w:val="0"/>
        <w:widowControl/>
        <w:shd w:val="clear" w:color="auto" w:fill="auto"/>
        <w:kinsoku/>
        <w:wordWrap/>
        <w:overflowPunct/>
        <w:topLinePunct w:val="0"/>
        <w:bidi w:val="0"/>
        <w:spacing w:line="30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日期：年月日</w:t>
      </w:r>
    </w:p>
    <w:p>
      <w:pPr>
        <w:pageBreakBefore w:val="0"/>
        <w:widowControl/>
        <w:shd w:val="clear" w:color="auto" w:fill="auto"/>
        <w:kinsoku/>
        <w:wordWrap/>
        <w:overflowPunct/>
        <w:topLinePunct w:val="0"/>
        <w:bidi w:val="0"/>
        <w:spacing w:line="30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p>
      <w:pPr>
        <w:pageBreakBefore w:val="0"/>
        <w:widowControl/>
        <w:shd w:val="clear" w:color="auto" w:fill="auto"/>
        <w:kinsoku/>
        <w:wordWrap/>
        <w:overflowPunct/>
        <w:topLinePunct w:val="0"/>
        <w:bidi w:val="0"/>
        <w:spacing w:line="300" w:lineRule="auto"/>
        <w:ind w:firstLine="482" w:firstLineChars="200"/>
        <w:jc w:val="left"/>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1、在“供应商是否属于小和微型企业”栏后“是”或“否”上打“√”。投标人需提供</w:t>
      </w:r>
      <w:r>
        <w:rPr>
          <w:rFonts w:hint="eastAsia" w:ascii="宋体" w:hAnsi="宋体" w:eastAsia="宋体" w:cs="宋体"/>
          <w:b/>
          <w:kern w:val="0"/>
          <w:sz w:val="24"/>
          <w:szCs w:val="24"/>
          <w:highlight w:val="none"/>
          <w:lang w:val="zh-CN"/>
        </w:rPr>
        <w:t>《中小企业声明函》</w:t>
      </w:r>
      <w:r>
        <w:rPr>
          <w:rFonts w:hint="eastAsia" w:ascii="宋体" w:hAnsi="宋体" w:eastAsia="宋体" w:cs="宋体"/>
          <w:b/>
          <w:kern w:val="0"/>
          <w:sz w:val="24"/>
          <w:szCs w:val="24"/>
          <w:highlight w:val="none"/>
        </w:rPr>
        <w:t>，如未按要求填写或</w:t>
      </w:r>
      <w:r>
        <w:rPr>
          <w:rFonts w:hint="eastAsia" w:ascii="宋体" w:hAnsi="宋体" w:eastAsia="宋体" w:cs="宋体"/>
          <w:b/>
          <w:kern w:val="0"/>
          <w:sz w:val="24"/>
          <w:szCs w:val="24"/>
          <w:highlight w:val="none"/>
          <w:lang w:val="zh-CN"/>
        </w:rPr>
        <w:t>相关内容表述不清的，</w:t>
      </w:r>
      <w:r>
        <w:rPr>
          <w:rFonts w:hint="eastAsia" w:ascii="宋体" w:hAnsi="宋体" w:eastAsia="宋体" w:cs="宋体"/>
          <w:b/>
          <w:kern w:val="0"/>
          <w:sz w:val="24"/>
          <w:szCs w:val="24"/>
          <w:highlight w:val="none"/>
        </w:rPr>
        <w:t>不得享受价格扣除。</w:t>
      </w:r>
    </w:p>
    <w:p>
      <w:pPr>
        <w:tabs>
          <w:tab w:val="left" w:pos="1440"/>
        </w:tabs>
        <w:autoSpaceDE w:val="0"/>
        <w:autoSpaceDN w:val="0"/>
        <w:adjustRightInd w:val="0"/>
        <w:spacing w:line="360" w:lineRule="auto"/>
        <w:rPr>
          <w:rFonts w:hint="eastAsia" w:ascii="宋体" w:hAnsi="宋体" w:eastAsia="宋体" w:cs="宋体"/>
          <w:kern w:val="0"/>
          <w:sz w:val="24"/>
          <w:szCs w:val="24"/>
          <w:highlight w:val="none"/>
        </w:rPr>
      </w:pPr>
    </w:p>
    <w:p>
      <w:pPr>
        <w:tabs>
          <w:tab w:val="left" w:pos="1440"/>
        </w:tabs>
        <w:autoSpaceDE w:val="0"/>
        <w:autoSpaceDN w:val="0"/>
        <w:adjustRightInd w:val="0"/>
        <w:spacing w:line="360" w:lineRule="auto"/>
        <w:rPr>
          <w:rFonts w:hint="eastAsia" w:ascii="宋体" w:hAnsi="宋体" w:eastAsia="宋体" w:cs="宋体"/>
          <w:kern w:val="0"/>
          <w:sz w:val="24"/>
          <w:szCs w:val="24"/>
          <w:highlight w:val="none"/>
        </w:rPr>
      </w:pPr>
    </w:p>
    <w:p>
      <w:pPr>
        <w:pageBreakBefore w:val="0"/>
        <w:kinsoku/>
        <w:wordWrap/>
        <w:overflowPunct/>
        <w:topLinePunct w:val="0"/>
        <w:bidi w:val="0"/>
        <w:spacing w:line="300" w:lineRule="auto"/>
        <w:jc w:val="center"/>
        <w:textAlignment w:val="auto"/>
        <w:rPr>
          <w:rFonts w:hint="eastAsia" w:ascii="宋体" w:hAnsi="宋体" w:eastAsia="宋体" w:cs="宋体"/>
          <w:sz w:val="24"/>
          <w:szCs w:val="24"/>
          <w:highlight w:val="none"/>
          <w:lang w:val="zh-CN" w:eastAsia="zh-CN"/>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pageBreakBefore w:val="0"/>
        <w:kinsoku/>
        <w:wordWrap/>
        <w:overflowPunct/>
        <w:topLinePunct w:val="0"/>
        <w:bidi w:val="0"/>
        <w:spacing w:line="300" w:lineRule="auto"/>
        <w:jc w:val="center"/>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CN" w:eastAsia="zh-CN"/>
        </w:rPr>
        <w:t>）分项报价表</w:t>
      </w:r>
    </w:p>
    <w:tbl>
      <w:tblPr>
        <w:tblStyle w:val="18"/>
        <w:tblW w:w="52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78"/>
        <w:gridCol w:w="1468"/>
        <w:gridCol w:w="2325"/>
        <w:gridCol w:w="1923"/>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jc w:val="center"/>
        </w:trPr>
        <w:tc>
          <w:tcPr>
            <w:tcW w:w="402" w:type="pct"/>
            <w:noWrap w:val="0"/>
            <w:vAlign w:val="center"/>
          </w:tcPr>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序号</w:t>
            </w:r>
          </w:p>
        </w:tc>
        <w:tc>
          <w:tcPr>
            <w:tcW w:w="788" w:type="pct"/>
            <w:noWrap w:val="0"/>
            <w:vAlign w:val="center"/>
          </w:tcPr>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名称</w:t>
            </w:r>
          </w:p>
        </w:tc>
        <w:tc>
          <w:tcPr>
            <w:tcW w:w="733" w:type="pct"/>
            <w:noWrap w:val="0"/>
            <w:vAlign w:val="center"/>
          </w:tcPr>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单价</w:t>
            </w:r>
          </w:p>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（元）</w:t>
            </w:r>
          </w:p>
        </w:tc>
        <w:tc>
          <w:tcPr>
            <w:tcW w:w="1161" w:type="pct"/>
            <w:noWrap w:val="0"/>
            <w:vAlign w:val="center"/>
          </w:tcPr>
          <w:p>
            <w:pPr>
              <w:widowControl/>
              <w:adjustRightInd w:val="0"/>
              <w:snapToGrid w:val="0"/>
              <w:spacing w:before="100" w:beforeAutospacing="1" w:line="560" w:lineRule="exact"/>
              <w:jc w:val="center"/>
              <w:rPr>
                <w:rFonts w:hint="eastAsia" w:ascii="Times New Roman" w:hAnsi="Times New Roman" w:eastAsia="微软雅黑" w:cs="Times New Roman"/>
                <w:kern w:val="2"/>
                <w:szCs w:val="24"/>
                <w:highlight w:val="none"/>
                <w:lang w:val="en-US" w:eastAsia="zh-CN"/>
              </w:rPr>
            </w:pPr>
            <w:r>
              <w:rPr>
                <w:rFonts w:hint="eastAsia" w:ascii="宋体" w:hAnsi="宋体" w:eastAsia="宋体" w:cs="宋体"/>
                <w:color w:val="auto"/>
                <w:kern w:val="2"/>
                <w:sz w:val="28"/>
                <w:szCs w:val="28"/>
                <w:highlight w:val="none"/>
                <w:lang w:val="en-US" w:eastAsia="zh-CN"/>
              </w:rPr>
              <w:t>数量</w:t>
            </w:r>
          </w:p>
        </w:tc>
        <w:tc>
          <w:tcPr>
            <w:tcW w:w="960" w:type="pct"/>
            <w:noWrap w:val="0"/>
            <w:vAlign w:val="center"/>
          </w:tcPr>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合价</w:t>
            </w:r>
          </w:p>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（元）</w:t>
            </w:r>
          </w:p>
        </w:tc>
        <w:tc>
          <w:tcPr>
            <w:tcW w:w="955" w:type="pct"/>
            <w:noWrap w:val="0"/>
            <w:vAlign w:val="center"/>
          </w:tcPr>
          <w:p>
            <w:pPr>
              <w:widowControl/>
              <w:adjustRightInd w:val="0"/>
              <w:snapToGrid w:val="0"/>
              <w:spacing w:before="100" w:beforeAutospacing="1" w:line="560" w:lineRule="exact"/>
              <w:jc w:val="center"/>
              <w:rPr>
                <w:rFonts w:hint="eastAsia" w:ascii="宋体" w:hAnsi="宋体" w:eastAsia="宋体" w:cs="宋体"/>
                <w:color w:val="auto"/>
                <w:kern w:val="2"/>
                <w:sz w:val="28"/>
                <w:szCs w:val="28"/>
                <w:highlight w:val="none"/>
                <w:lang w:val="en-US" w:eastAsia="zh-CN"/>
              </w:rPr>
            </w:pPr>
            <w:r>
              <w:rPr>
                <w:rFonts w:hint="eastAsia" w:ascii="宋体" w:hAnsi="宋体" w:eastAsia="宋体" w:cs="宋体"/>
                <w:color w:val="auto"/>
                <w:kern w:val="2"/>
                <w:sz w:val="28"/>
                <w:szCs w:val="28"/>
                <w:highlight w:val="none"/>
                <w:lang w:val="en-US" w:eastAsia="zh-CN"/>
              </w:rPr>
              <w:t>备注（符合小微企业等规定的请注明）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top"/>
          </w:tcPr>
          <w:p>
            <w:pPr>
              <w:widowControl/>
              <w:spacing w:line="560" w:lineRule="exact"/>
              <w:rPr>
                <w:rFonts w:hint="eastAsia" w:ascii="宋体" w:hAnsi="宋体" w:eastAsia="宋体" w:cs="宋体"/>
                <w:color w:val="auto"/>
                <w:kern w:val="2"/>
                <w:sz w:val="28"/>
                <w:szCs w:val="28"/>
                <w:highlight w:val="none"/>
                <w:lang w:val="en-US" w:eastAsia="zh-CN"/>
              </w:rPr>
            </w:pPr>
          </w:p>
        </w:tc>
        <w:tc>
          <w:tcPr>
            <w:tcW w:w="788"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733"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top"/>
          </w:tcPr>
          <w:p>
            <w:pPr>
              <w:widowControl/>
              <w:spacing w:line="560" w:lineRule="exact"/>
              <w:rPr>
                <w:rFonts w:hint="eastAsia" w:ascii="宋体" w:hAnsi="宋体" w:eastAsia="宋体" w:cs="宋体"/>
                <w:color w:val="auto"/>
                <w:kern w:val="2"/>
                <w:sz w:val="28"/>
                <w:szCs w:val="28"/>
                <w:highlight w:val="none"/>
                <w:lang w:val="en-US" w:eastAsia="zh-CN"/>
              </w:rPr>
            </w:pPr>
          </w:p>
        </w:tc>
        <w:tc>
          <w:tcPr>
            <w:tcW w:w="788"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733"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top"/>
          </w:tcPr>
          <w:p>
            <w:pPr>
              <w:widowControl/>
              <w:spacing w:line="560" w:lineRule="exact"/>
              <w:rPr>
                <w:rFonts w:hint="eastAsia" w:ascii="宋体" w:hAnsi="宋体" w:eastAsia="宋体" w:cs="宋体"/>
                <w:color w:val="auto"/>
                <w:kern w:val="2"/>
                <w:sz w:val="28"/>
                <w:szCs w:val="28"/>
                <w:highlight w:val="none"/>
                <w:lang w:val="en-US" w:eastAsia="zh-CN"/>
              </w:rPr>
            </w:pPr>
          </w:p>
        </w:tc>
        <w:tc>
          <w:tcPr>
            <w:tcW w:w="788"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733"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top"/>
          </w:tcPr>
          <w:p>
            <w:pPr>
              <w:widowControl/>
              <w:spacing w:line="560" w:lineRule="exact"/>
              <w:rPr>
                <w:rFonts w:hint="eastAsia" w:ascii="宋体" w:hAnsi="宋体" w:eastAsia="宋体" w:cs="宋体"/>
                <w:color w:val="auto"/>
                <w:kern w:val="2"/>
                <w:sz w:val="28"/>
                <w:szCs w:val="28"/>
                <w:highlight w:val="none"/>
                <w:lang w:val="en-US" w:eastAsia="zh-CN"/>
              </w:rPr>
            </w:pPr>
          </w:p>
        </w:tc>
        <w:tc>
          <w:tcPr>
            <w:tcW w:w="788" w:type="pct"/>
            <w:noWrap w:val="0"/>
            <w:vAlign w:val="top"/>
          </w:tcPr>
          <w:p>
            <w:pPr>
              <w:widowControl/>
              <w:spacing w:line="560" w:lineRule="exact"/>
              <w:jc w:val="center"/>
              <w:rPr>
                <w:rFonts w:ascii="宋体" w:hAnsi="宋体" w:eastAsia="宋体" w:cs="宋体"/>
                <w:color w:val="auto"/>
                <w:kern w:val="2"/>
                <w:szCs w:val="22"/>
                <w:highlight w:val="none"/>
                <w:lang w:val="en-US" w:eastAsia="zh-CN"/>
              </w:rPr>
            </w:pPr>
          </w:p>
        </w:tc>
        <w:tc>
          <w:tcPr>
            <w:tcW w:w="733"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top"/>
          </w:tcPr>
          <w:p>
            <w:pPr>
              <w:widowControl/>
              <w:spacing w:line="560" w:lineRule="exact"/>
              <w:rPr>
                <w:rFonts w:hint="eastAsia" w:ascii="宋体" w:hAnsi="宋体" w:eastAsia="宋体" w:cs="宋体"/>
                <w:color w:val="auto"/>
                <w:kern w:val="2"/>
                <w:sz w:val="28"/>
                <w:szCs w:val="28"/>
                <w:highlight w:val="none"/>
                <w:lang w:val="en-US" w:eastAsia="zh-CN"/>
              </w:rPr>
            </w:pPr>
          </w:p>
        </w:tc>
        <w:tc>
          <w:tcPr>
            <w:tcW w:w="788"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733" w:type="pct"/>
            <w:noWrap w:val="0"/>
            <w:vAlign w:val="top"/>
          </w:tcPr>
          <w:p>
            <w:pPr>
              <w:widowControl/>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center"/>
          </w:tcPr>
          <w:p>
            <w:pPr>
              <w:spacing w:line="560" w:lineRule="exact"/>
              <w:jc w:val="center"/>
              <w:rPr>
                <w:rFonts w:hint="eastAsia" w:ascii="宋体" w:hAnsi="宋体" w:eastAsia="宋体" w:cs="宋体"/>
                <w:i/>
                <w:iCs/>
                <w:color w:val="auto"/>
                <w:kern w:val="2"/>
                <w:sz w:val="28"/>
                <w:szCs w:val="28"/>
                <w:highlight w:val="none"/>
                <w:lang w:val="en-US" w:eastAsia="zh-CN"/>
              </w:rPr>
            </w:pPr>
            <w:r>
              <w:rPr>
                <w:rFonts w:hint="eastAsia" w:ascii="宋体" w:hAnsi="宋体" w:eastAsia="宋体" w:cs="宋体"/>
                <w:i/>
                <w:iCs/>
                <w:color w:val="auto"/>
                <w:kern w:val="2"/>
                <w:sz w:val="28"/>
                <w:szCs w:val="28"/>
                <w:highlight w:val="none"/>
                <w:lang w:val="en-US" w:eastAsia="zh-CN"/>
              </w:rPr>
              <w:t>…</w:t>
            </w:r>
          </w:p>
        </w:tc>
        <w:tc>
          <w:tcPr>
            <w:tcW w:w="788" w:type="pct"/>
            <w:noWrap w:val="0"/>
            <w:vAlign w:val="center"/>
          </w:tcPr>
          <w:p>
            <w:pPr>
              <w:spacing w:line="560" w:lineRule="exact"/>
              <w:jc w:val="center"/>
              <w:rPr>
                <w:rFonts w:hint="eastAsia" w:ascii="宋体" w:hAnsi="宋体" w:eastAsia="宋体" w:cs="宋体"/>
                <w:iCs/>
                <w:color w:val="auto"/>
                <w:kern w:val="2"/>
                <w:szCs w:val="22"/>
                <w:highlight w:val="none"/>
                <w:lang w:val="en-US" w:eastAsia="zh-CN"/>
              </w:rPr>
            </w:pPr>
          </w:p>
        </w:tc>
        <w:tc>
          <w:tcPr>
            <w:tcW w:w="733"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02" w:type="pct"/>
            <w:noWrap w:val="0"/>
            <w:vAlign w:val="center"/>
          </w:tcPr>
          <w:p>
            <w:pPr>
              <w:spacing w:line="560" w:lineRule="exact"/>
              <w:jc w:val="center"/>
              <w:rPr>
                <w:rFonts w:hint="eastAsia" w:ascii="宋体" w:hAnsi="宋体" w:eastAsia="宋体" w:cs="宋体"/>
                <w:i/>
                <w:iCs/>
                <w:color w:val="auto"/>
                <w:kern w:val="2"/>
                <w:sz w:val="28"/>
                <w:szCs w:val="28"/>
                <w:highlight w:val="none"/>
                <w:lang w:val="en-US" w:eastAsia="zh-CN"/>
              </w:rPr>
            </w:pPr>
          </w:p>
        </w:tc>
        <w:tc>
          <w:tcPr>
            <w:tcW w:w="1521" w:type="pct"/>
            <w:gridSpan w:val="2"/>
            <w:noWrap w:val="0"/>
            <w:vAlign w:val="center"/>
          </w:tcPr>
          <w:p>
            <w:pPr>
              <w:spacing w:line="560" w:lineRule="exact"/>
              <w:jc w:val="center"/>
              <w:rPr>
                <w:rFonts w:hint="eastAsia" w:ascii="宋体" w:hAnsi="宋体" w:eastAsia="宋体" w:cs="宋体"/>
                <w:color w:val="auto"/>
                <w:kern w:val="2"/>
                <w:szCs w:val="22"/>
                <w:highlight w:val="none"/>
                <w:lang w:val="en-US" w:eastAsia="zh-CN"/>
              </w:rPr>
            </w:pPr>
            <w:r>
              <w:rPr>
                <w:rFonts w:hint="eastAsia" w:ascii="宋体" w:hAnsi="宋体" w:eastAsia="宋体" w:cs="宋体"/>
                <w:iCs/>
                <w:color w:val="auto"/>
                <w:kern w:val="2"/>
                <w:szCs w:val="22"/>
                <w:highlight w:val="none"/>
                <w:lang w:val="en-US" w:eastAsia="zh-CN"/>
              </w:rPr>
              <w:t>合计</w:t>
            </w:r>
          </w:p>
        </w:tc>
        <w:tc>
          <w:tcPr>
            <w:tcW w:w="1161"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60"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c>
          <w:tcPr>
            <w:tcW w:w="955" w:type="pct"/>
            <w:noWrap w:val="0"/>
            <w:vAlign w:val="center"/>
          </w:tcPr>
          <w:p>
            <w:pPr>
              <w:spacing w:line="560" w:lineRule="exact"/>
              <w:jc w:val="center"/>
              <w:rPr>
                <w:rFonts w:hint="eastAsia" w:ascii="宋体" w:hAnsi="宋体" w:eastAsia="宋体" w:cs="宋体"/>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190" w:type="pct"/>
            <w:gridSpan w:val="2"/>
            <w:noWrap w:val="0"/>
            <w:vAlign w:val="center"/>
          </w:tcPr>
          <w:p>
            <w:pPr>
              <w:spacing w:line="560" w:lineRule="exact"/>
              <w:jc w:val="center"/>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投标</w:t>
            </w:r>
          </w:p>
          <w:p>
            <w:pPr>
              <w:spacing w:line="560" w:lineRule="exact"/>
              <w:jc w:val="center"/>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 w:val="28"/>
                <w:szCs w:val="28"/>
                <w:highlight w:val="none"/>
                <w:lang w:val="en-US" w:eastAsia="zh-CN"/>
              </w:rPr>
              <w:t>报价总计</w:t>
            </w:r>
          </w:p>
        </w:tc>
        <w:tc>
          <w:tcPr>
            <w:tcW w:w="2854" w:type="pct"/>
            <w:gridSpan w:val="3"/>
            <w:noWrap w:val="0"/>
            <w:vAlign w:val="center"/>
          </w:tcPr>
          <w:p>
            <w:pPr>
              <w:spacing w:line="560" w:lineRule="exact"/>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Cs w:val="22"/>
                <w:highlight w:val="none"/>
                <w:lang w:val="en-US" w:eastAsia="zh-CN"/>
              </w:rPr>
              <w:t>￥</w:t>
            </w:r>
          </w:p>
          <w:p>
            <w:pPr>
              <w:spacing w:line="560" w:lineRule="exact"/>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Cs w:val="22"/>
                <w:highlight w:val="none"/>
                <w:lang w:val="en-US" w:eastAsia="zh-CN"/>
              </w:rPr>
              <w:t>人民币（大写）：</w:t>
            </w:r>
          </w:p>
          <w:p>
            <w:pPr>
              <w:spacing w:line="560" w:lineRule="exact"/>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Cs w:val="22"/>
                <w:highlight w:val="none"/>
                <w:lang w:val="en-US" w:eastAsia="zh-CN"/>
              </w:rPr>
              <w:t>仟佰拾万仟佰拾元角分</w:t>
            </w:r>
          </w:p>
        </w:tc>
        <w:tc>
          <w:tcPr>
            <w:tcW w:w="955" w:type="pct"/>
            <w:noWrap w:val="0"/>
            <w:vAlign w:val="center"/>
          </w:tcPr>
          <w:p>
            <w:pPr>
              <w:spacing w:line="560" w:lineRule="exact"/>
              <w:rPr>
                <w:rFonts w:hint="eastAsia" w:ascii="宋体" w:hAnsi="宋体" w:eastAsia="宋体" w:cs="宋体"/>
                <w:b/>
                <w:bCs/>
                <w:color w:val="auto"/>
                <w:kern w:val="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6" w:hRule="atLeast"/>
          <w:jc w:val="center"/>
        </w:trPr>
        <w:tc>
          <w:tcPr>
            <w:tcW w:w="1190" w:type="pct"/>
            <w:gridSpan w:val="2"/>
            <w:noWrap w:val="0"/>
            <w:vAlign w:val="center"/>
          </w:tcPr>
          <w:p>
            <w:pPr>
              <w:spacing w:line="500" w:lineRule="exact"/>
              <w:jc w:val="center"/>
              <w:rPr>
                <w:rFonts w:hint="eastAsia" w:ascii="宋体" w:hAnsi="宋体" w:eastAsia="宋体" w:cs="宋体"/>
                <w:b/>
                <w:bCs/>
                <w:color w:val="auto"/>
                <w:kern w:val="2"/>
                <w:sz w:val="28"/>
                <w:szCs w:val="28"/>
                <w:highlight w:val="none"/>
                <w:lang w:val="en-US" w:eastAsia="zh-CN"/>
              </w:rPr>
            </w:pPr>
            <w:r>
              <w:rPr>
                <w:rFonts w:hint="eastAsia" w:ascii="宋体" w:hAnsi="宋体" w:eastAsia="宋体" w:cs="宋体"/>
                <w:b/>
                <w:bCs/>
                <w:color w:val="auto"/>
                <w:kern w:val="2"/>
                <w:sz w:val="28"/>
                <w:szCs w:val="28"/>
                <w:highlight w:val="none"/>
                <w:lang w:val="en-US" w:eastAsia="zh-CN"/>
              </w:rPr>
              <w:t>其中，小微型企业、监狱企业或残疾人福利性单位的产品报价总计</w:t>
            </w:r>
          </w:p>
        </w:tc>
        <w:tc>
          <w:tcPr>
            <w:tcW w:w="2854" w:type="pct"/>
            <w:gridSpan w:val="3"/>
            <w:noWrap w:val="0"/>
            <w:vAlign w:val="center"/>
          </w:tcPr>
          <w:p>
            <w:pPr>
              <w:spacing w:line="500" w:lineRule="exact"/>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Cs w:val="22"/>
                <w:highlight w:val="none"/>
                <w:lang w:val="en-US" w:eastAsia="zh-CN"/>
              </w:rPr>
              <w:t>￥</w:t>
            </w:r>
          </w:p>
          <w:p>
            <w:pPr>
              <w:spacing w:line="500" w:lineRule="exact"/>
              <w:rPr>
                <w:rFonts w:hint="eastAsia" w:ascii="宋体" w:hAnsi="宋体" w:eastAsia="宋体" w:cs="宋体"/>
                <w:b/>
                <w:bCs/>
                <w:color w:val="auto"/>
                <w:kern w:val="2"/>
                <w:szCs w:val="22"/>
                <w:highlight w:val="none"/>
                <w:lang w:val="en-US" w:eastAsia="zh-CN"/>
              </w:rPr>
            </w:pPr>
            <w:r>
              <w:rPr>
                <w:rFonts w:hint="eastAsia" w:ascii="宋体" w:hAnsi="宋体" w:eastAsia="宋体" w:cs="宋体"/>
                <w:b/>
                <w:bCs/>
                <w:color w:val="auto"/>
                <w:kern w:val="2"/>
                <w:szCs w:val="22"/>
                <w:highlight w:val="none"/>
                <w:lang w:val="en-US" w:eastAsia="zh-CN"/>
              </w:rPr>
              <w:t>人民币（大写）：佰拾万仟佰拾元角分</w:t>
            </w:r>
          </w:p>
        </w:tc>
        <w:tc>
          <w:tcPr>
            <w:tcW w:w="955" w:type="pct"/>
            <w:noWrap w:val="0"/>
            <w:vAlign w:val="center"/>
          </w:tcPr>
          <w:p>
            <w:pPr>
              <w:spacing w:line="500" w:lineRule="exact"/>
              <w:rPr>
                <w:rFonts w:hint="eastAsia" w:ascii="宋体" w:hAnsi="宋体" w:eastAsia="宋体" w:cs="宋体"/>
                <w:b/>
                <w:bCs/>
                <w:color w:val="auto"/>
                <w:kern w:val="2"/>
                <w:szCs w:val="22"/>
                <w:highlight w:val="none"/>
                <w:lang w:val="en-US" w:eastAsia="zh-CN"/>
              </w:rPr>
            </w:pPr>
          </w:p>
        </w:tc>
      </w:tr>
    </w:tbl>
    <w:p>
      <w:pPr>
        <w:rPr>
          <w:rFonts w:hint="eastAsia" w:ascii="宋体" w:hAnsi="宋体" w:eastAsia="宋体" w:cs="宋体"/>
          <w:kern w:val="0"/>
          <w:sz w:val="24"/>
          <w:szCs w:val="24"/>
          <w:highlight w:val="none"/>
        </w:rPr>
      </w:pPr>
    </w:p>
    <w:p>
      <w:pPr>
        <w:keepNext w:val="0"/>
        <w:keepLines w:val="0"/>
        <w:pageBreakBefore w:val="0"/>
        <w:widowControl/>
        <w:kinsoku/>
        <w:wordWrap/>
        <w:overflowPunct/>
        <w:topLinePunct w:val="0"/>
        <w:autoSpaceDE/>
        <w:autoSpaceDN/>
        <w:bidi w:val="0"/>
        <w:adjustRightInd w:val="0"/>
        <w:spacing w:line="360" w:lineRule="auto"/>
        <w:textAlignment w:val="auto"/>
        <w:rPr>
          <w:rFonts w:hint="eastAsia" w:ascii="宋体" w:hAnsi="宋体" w:eastAsia="宋体" w:cs="宋体"/>
          <w:sz w:val="24"/>
          <w:szCs w:val="24"/>
          <w:highlight w:val="none"/>
          <w:lang w:val="zh-CN"/>
        </w:rPr>
      </w:pPr>
      <w:bookmarkStart w:id="25" w:name="_Toc89686194"/>
      <w:r>
        <w:rPr>
          <w:rFonts w:hint="eastAsia" w:ascii="宋体" w:hAnsi="宋体" w:eastAsia="宋体" w:cs="宋体"/>
          <w:sz w:val="24"/>
          <w:szCs w:val="24"/>
          <w:highlight w:val="none"/>
          <w:lang w:val="en-US" w:eastAsia="zh-Hans"/>
        </w:rPr>
        <w:t>供应商</w:t>
      </w:r>
      <w:r>
        <w:rPr>
          <w:rFonts w:hint="eastAsia" w:ascii="宋体" w:hAnsi="宋体" w:eastAsia="宋体" w:cs="宋体"/>
          <w:sz w:val="24"/>
          <w:szCs w:val="24"/>
          <w:highlight w:val="none"/>
          <w:lang w:val="zh-CN"/>
        </w:rPr>
        <w:t>名称（盖章）:</w:t>
      </w:r>
    </w:p>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日     期：</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w:t>
      </w:r>
      <w:r>
        <w:rPr>
          <w:rFonts w:hint="eastAsia" w:ascii="宋体" w:hAnsi="宋体" w:eastAsia="宋体" w:cs="宋体"/>
          <w:sz w:val="24"/>
          <w:szCs w:val="24"/>
          <w:highlight w:val="none"/>
          <w:lang w:eastAsia="zh-CN"/>
        </w:rPr>
        <w:t>日</w:t>
      </w:r>
    </w:p>
    <w:p>
      <w:pPr>
        <w:pStyle w:val="4"/>
        <w:pageBreakBefore w:val="0"/>
        <w:widowControl w:val="0"/>
        <w:kinsoku/>
        <w:wordWrap/>
        <w:overflowPunct/>
        <w:autoSpaceDE/>
        <w:autoSpaceDN/>
        <w:bidi w:val="0"/>
        <w:adjustRightInd/>
        <w:snapToGrid/>
        <w:spacing w:before="0" w:after="0" w:line="300" w:lineRule="auto"/>
        <w:textAlignment w:val="auto"/>
        <w:rPr>
          <w:rFonts w:hint="eastAsia" w:ascii="宋体" w:hAnsi="宋体" w:eastAsia="宋体" w:cs="宋体"/>
          <w:b/>
          <w:bCs/>
          <w:kern w:val="0"/>
          <w:sz w:val="24"/>
          <w:szCs w:val="24"/>
          <w:highlight w:val="none"/>
          <w:lang w:val="zh-CN" w:eastAsia="zh-CN" w:bidi="ar-SA"/>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pStyle w:val="4"/>
        <w:pageBreakBefore w:val="0"/>
        <w:widowControl w:val="0"/>
        <w:kinsoku/>
        <w:wordWrap/>
        <w:overflowPunct/>
        <w:autoSpaceDE/>
        <w:autoSpaceDN/>
        <w:bidi w:val="0"/>
        <w:adjustRightInd/>
        <w:snapToGrid/>
        <w:spacing w:before="0" w:after="0" w:line="300" w:lineRule="auto"/>
        <w:textAlignment w:val="auto"/>
        <w:rPr>
          <w:rFonts w:hint="eastAsia" w:ascii="宋体" w:hAnsi="宋体" w:eastAsia="宋体" w:cs="宋体"/>
          <w:b/>
          <w:sz w:val="24"/>
          <w:szCs w:val="24"/>
          <w:highlight w:val="none"/>
          <w:lang w:val="zh-CN"/>
        </w:rPr>
      </w:pPr>
      <w:r>
        <w:rPr>
          <w:rFonts w:hint="eastAsia" w:ascii="宋体" w:hAnsi="宋体" w:eastAsia="宋体" w:cs="宋体"/>
          <w:b/>
          <w:bCs/>
          <w:kern w:val="0"/>
          <w:sz w:val="24"/>
          <w:szCs w:val="24"/>
          <w:highlight w:val="none"/>
          <w:lang w:val="zh-CN" w:eastAsia="zh-CN" w:bidi="ar-SA"/>
        </w:rPr>
        <w:t>附件</w:t>
      </w: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kern w:val="0"/>
          <w:sz w:val="24"/>
          <w:szCs w:val="24"/>
          <w:highlight w:val="none"/>
          <w:lang w:val="zh-CN" w:eastAsia="zh-CN" w:bidi="ar-SA"/>
        </w:rPr>
        <w:t>、</w:t>
      </w:r>
      <w:bookmarkEnd w:id="25"/>
      <w:r>
        <w:rPr>
          <w:rFonts w:hint="eastAsia" w:ascii="宋体" w:hAnsi="宋体" w:eastAsia="宋体" w:cs="宋体"/>
          <w:b/>
          <w:bCs/>
          <w:kern w:val="0"/>
          <w:sz w:val="24"/>
          <w:szCs w:val="24"/>
          <w:highlight w:val="none"/>
          <w:lang w:val="en-US" w:eastAsia="zh-CN" w:bidi="ar-SA"/>
        </w:rPr>
        <w:t>项</w:t>
      </w:r>
      <w:r>
        <w:rPr>
          <w:rFonts w:hint="eastAsia" w:ascii="宋体" w:hAnsi="宋体" w:eastAsia="宋体" w:cs="宋体"/>
          <w:sz w:val="24"/>
          <w:szCs w:val="24"/>
          <w:highlight w:val="none"/>
          <w:lang w:val="en-US"/>
        </w:rPr>
        <w:t>目组成人员一览表格式</w:t>
      </w:r>
    </w:p>
    <w:p>
      <w:pPr>
        <w:pageBreakBefore w:val="0"/>
        <w:widowControl w:val="0"/>
        <w:kinsoku/>
        <w:wordWrap/>
        <w:overflowPunct/>
        <w:topLinePunct/>
        <w:autoSpaceDE/>
        <w:autoSpaceDN/>
        <w:bidi w:val="0"/>
        <w:adjustRightInd/>
        <w:snapToGrid/>
        <w:spacing w:line="30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项目组成人员一览表</w:t>
      </w:r>
    </w:p>
    <w:p>
      <w:pPr>
        <w:pStyle w:val="6"/>
        <w:jc w:val="left"/>
        <w:rPr>
          <w:rFonts w:hint="eastAsia"/>
          <w:highlight w:val="none"/>
        </w:rPr>
      </w:pPr>
    </w:p>
    <w:tbl>
      <w:tblPr>
        <w:tblStyle w:val="18"/>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410"/>
        <w:gridCol w:w="918"/>
        <w:gridCol w:w="1047"/>
        <w:gridCol w:w="1665"/>
        <w:gridCol w:w="855"/>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21" w:type="dxa"/>
            <w:noWrap w:val="0"/>
            <w:vAlign w:val="center"/>
          </w:tcPr>
          <w:p>
            <w:pPr>
              <w:pageBreakBefore w:val="0"/>
              <w:widowControl w:val="0"/>
              <w:kinsoku/>
              <w:wordWrap/>
              <w:overflowPunct/>
              <w:autoSpaceDE/>
              <w:autoSpaceDN/>
              <w:bidi w:val="0"/>
              <w:adjustRightInd/>
              <w:snapToGrid/>
              <w:spacing w:line="300" w:lineRule="auto"/>
              <w:jc w:val="left"/>
              <w:textAlignment w:val="auto"/>
              <w:rPr>
                <w:rFonts w:hint="eastAsia" w:ascii="宋体" w:hAnsi="宋体" w:eastAsia="宋体" w:cs="宋体"/>
                <w:snapToGrid w:val="0"/>
                <w:sz w:val="22"/>
                <w:szCs w:val="22"/>
                <w:highlight w:val="none"/>
              </w:rPr>
            </w:pPr>
            <w:r>
              <w:rPr>
                <w:rFonts w:hint="eastAsia" w:ascii="宋体" w:hAnsi="宋体" w:eastAsia="宋体" w:cs="宋体"/>
                <w:snapToGrid w:val="0"/>
                <w:sz w:val="22"/>
                <w:szCs w:val="22"/>
                <w:highlight w:val="none"/>
              </w:rPr>
              <w:t>序号</w:t>
            </w:r>
          </w:p>
        </w:tc>
        <w:tc>
          <w:tcPr>
            <w:tcW w:w="141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lang w:eastAsia="zh-CN"/>
              </w:rPr>
            </w:pPr>
            <w:r>
              <w:rPr>
                <w:rFonts w:hint="eastAsia" w:ascii="宋体" w:hAnsi="宋体" w:eastAsia="宋体" w:cs="宋体"/>
                <w:snapToGrid w:val="0"/>
                <w:sz w:val="22"/>
                <w:szCs w:val="22"/>
                <w:highlight w:val="none"/>
                <w:lang w:val="en-US" w:eastAsia="zh-CN"/>
              </w:rPr>
              <w:t>人员类别</w:t>
            </w:r>
          </w:p>
        </w:tc>
        <w:tc>
          <w:tcPr>
            <w:tcW w:w="918"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r>
              <w:rPr>
                <w:rFonts w:hint="eastAsia" w:ascii="宋体" w:hAnsi="宋体" w:eastAsia="宋体" w:cs="宋体"/>
                <w:snapToGrid w:val="0"/>
                <w:sz w:val="22"/>
                <w:szCs w:val="22"/>
                <w:highlight w:val="none"/>
              </w:rPr>
              <w:t>姓名</w:t>
            </w:r>
          </w:p>
        </w:tc>
        <w:tc>
          <w:tcPr>
            <w:tcW w:w="1047"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r>
              <w:rPr>
                <w:rFonts w:hint="eastAsia" w:ascii="宋体" w:hAnsi="宋体" w:eastAsia="宋体" w:cs="宋体"/>
                <w:snapToGrid w:val="0"/>
                <w:sz w:val="22"/>
                <w:szCs w:val="22"/>
                <w:highlight w:val="none"/>
              </w:rPr>
              <w:t>年龄</w:t>
            </w:r>
          </w:p>
        </w:tc>
        <w:tc>
          <w:tcPr>
            <w:tcW w:w="166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trike/>
                <w:snapToGrid w:val="0"/>
                <w:sz w:val="22"/>
                <w:szCs w:val="22"/>
                <w:highlight w:val="none"/>
              </w:rPr>
            </w:pPr>
            <w:r>
              <w:rPr>
                <w:rFonts w:hint="eastAsia" w:ascii="宋体" w:hAnsi="宋体" w:eastAsia="宋体" w:cs="宋体"/>
                <w:snapToGrid w:val="0"/>
                <w:sz w:val="22"/>
                <w:szCs w:val="22"/>
                <w:highlight w:val="none"/>
              </w:rPr>
              <w:t>执业资格</w:t>
            </w:r>
          </w:p>
        </w:tc>
        <w:tc>
          <w:tcPr>
            <w:tcW w:w="85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学历</w:t>
            </w:r>
          </w:p>
        </w:tc>
        <w:tc>
          <w:tcPr>
            <w:tcW w:w="162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职称</w:t>
            </w:r>
          </w:p>
        </w:tc>
        <w:tc>
          <w:tcPr>
            <w:tcW w:w="180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21"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410" w:type="dxa"/>
            <w:noWrap w:val="0"/>
            <w:vAlign w:val="center"/>
          </w:tcPr>
          <w:p>
            <w:pPr>
              <w:pageBreakBefore w:val="0"/>
              <w:widowControl w:val="0"/>
              <w:kinsoku/>
              <w:wordWrap/>
              <w:overflowPunct/>
              <w:autoSpaceDE/>
              <w:autoSpaceDN/>
              <w:bidi w:val="0"/>
              <w:adjustRightInd/>
              <w:snapToGrid/>
              <w:spacing w:line="24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项目负责人</w:t>
            </w:r>
          </w:p>
        </w:tc>
        <w:tc>
          <w:tcPr>
            <w:tcW w:w="918"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047"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66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85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62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80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21"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41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w:t>
            </w:r>
          </w:p>
        </w:tc>
        <w:tc>
          <w:tcPr>
            <w:tcW w:w="918"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047" w:type="dxa"/>
            <w:noWrap w:val="0"/>
            <w:vAlign w:val="center"/>
          </w:tcPr>
          <w:p>
            <w:pPr>
              <w:jc w:val="center"/>
              <w:rPr>
                <w:rFonts w:hint="eastAsia" w:ascii="宋体" w:hAnsi="宋体" w:eastAsia="宋体" w:cs="宋体"/>
                <w:color w:val="000000"/>
                <w:sz w:val="22"/>
                <w:szCs w:val="22"/>
                <w:highlight w:val="none"/>
                <w:lang w:val="en-US" w:eastAsia="zh-CN"/>
              </w:rPr>
            </w:pPr>
          </w:p>
        </w:tc>
        <w:tc>
          <w:tcPr>
            <w:tcW w:w="166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85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62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80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21"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41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w:t>
            </w:r>
          </w:p>
        </w:tc>
        <w:tc>
          <w:tcPr>
            <w:tcW w:w="918"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047" w:type="dxa"/>
            <w:noWrap w:val="0"/>
            <w:vAlign w:val="center"/>
          </w:tcPr>
          <w:p>
            <w:pPr>
              <w:jc w:val="center"/>
              <w:rPr>
                <w:rFonts w:hint="eastAsia" w:ascii="宋体" w:hAnsi="宋体" w:eastAsia="宋体" w:cs="宋体"/>
                <w:color w:val="000000"/>
                <w:sz w:val="22"/>
                <w:szCs w:val="22"/>
                <w:highlight w:val="none"/>
                <w:lang w:val="en-US" w:eastAsia="zh-CN"/>
              </w:rPr>
            </w:pPr>
          </w:p>
        </w:tc>
        <w:tc>
          <w:tcPr>
            <w:tcW w:w="166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85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62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80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21"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41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default"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w:t>
            </w:r>
          </w:p>
        </w:tc>
        <w:tc>
          <w:tcPr>
            <w:tcW w:w="918"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047" w:type="dxa"/>
            <w:noWrap w:val="0"/>
            <w:vAlign w:val="center"/>
          </w:tcPr>
          <w:p>
            <w:pPr>
              <w:jc w:val="center"/>
              <w:rPr>
                <w:rFonts w:hint="eastAsia" w:ascii="宋体" w:hAnsi="宋体" w:eastAsia="宋体" w:cs="宋体"/>
                <w:color w:val="000000"/>
                <w:sz w:val="22"/>
                <w:szCs w:val="22"/>
                <w:highlight w:val="none"/>
                <w:lang w:val="en-US" w:eastAsia="zh-CN"/>
              </w:rPr>
            </w:pPr>
          </w:p>
        </w:tc>
        <w:tc>
          <w:tcPr>
            <w:tcW w:w="166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855"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62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c>
          <w:tcPr>
            <w:tcW w:w="1800" w:type="dxa"/>
            <w:noWrap w:val="0"/>
            <w:vAlign w:val="center"/>
          </w:tcPr>
          <w:p>
            <w:pPr>
              <w:pageBreakBefore w:val="0"/>
              <w:widowControl w:val="0"/>
              <w:kinsoku/>
              <w:wordWrap/>
              <w:overflowPunct/>
              <w:autoSpaceDE/>
              <w:autoSpaceDN/>
              <w:bidi w:val="0"/>
              <w:adjustRightInd/>
              <w:snapToGrid/>
              <w:spacing w:line="300" w:lineRule="auto"/>
              <w:jc w:val="center"/>
              <w:textAlignment w:val="auto"/>
              <w:rPr>
                <w:rFonts w:hint="eastAsia" w:ascii="宋体" w:hAnsi="宋体" w:eastAsia="宋体" w:cs="宋体"/>
                <w:snapToGrid w:val="0"/>
                <w:sz w:val="22"/>
                <w:szCs w:val="22"/>
                <w:highlight w:val="none"/>
              </w:rPr>
            </w:pPr>
          </w:p>
        </w:tc>
      </w:tr>
    </w:tbl>
    <w:p>
      <w:pPr>
        <w:pStyle w:val="4"/>
        <w:tabs>
          <w:tab w:val="left" w:pos="1440"/>
          <w:tab w:val="left" w:pos="5670"/>
        </w:tabs>
        <w:spacing w:before="240" w:after="24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注：1、在填写时，如本表格不适合投标单位的实际情况，可根据本表格式自行划表填写。</w:t>
      </w:r>
    </w:p>
    <w:p>
      <w:pPr>
        <w:pStyle w:val="4"/>
        <w:tabs>
          <w:tab w:val="left" w:pos="1440"/>
          <w:tab w:val="left" w:pos="5670"/>
        </w:tabs>
        <w:spacing w:before="240" w:after="240" w:line="360" w:lineRule="auto"/>
        <w:rPr>
          <w:rFonts w:hint="eastAsia" w:ascii="宋体" w:hAnsi="宋体" w:eastAsia="宋体" w:cs="宋体"/>
          <w:sz w:val="24"/>
          <w:szCs w:val="24"/>
          <w:highlight w:val="none"/>
          <w:lang w:eastAsia="zh-CN"/>
        </w:rPr>
      </w:pPr>
    </w:p>
    <w:p>
      <w:pPr>
        <w:pStyle w:val="4"/>
        <w:tabs>
          <w:tab w:val="left" w:pos="1440"/>
          <w:tab w:val="left" w:pos="5670"/>
        </w:tabs>
        <w:spacing w:before="240" w:after="24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投标人名称：</w:t>
      </w:r>
      <w:r>
        <w:rPr>
          <w:rFonts w:hint="eastAsia" w:ascii="宋体" w:hAnsi="宋体" w:eastAsia="宋体" w:cs="宋体"/>
          <w:b w:val="0"/>
          <w:bCs w:val="0"/>
          <w:sz w:val="24"/>
          <w:szCs w:val="24"/>
          <w:highlight w:val="none"/>
          <w:u w:val="single"/>
          <w:lang w:eastAsia="zh-CN"/>
        </w:rPr>
        <w:t>           </w:t>
      </w:r>
      <w:r>
        <w:rPr>
          <w:rFonts w:hint="eastAsia" w:ascii="宋体" w:hAnsi="宋体" w:eastAsia="宋体" w:cs="宋体"/>
          <w:b w:val="0"/>
          <w:bCs w:val="0"/>
          <w:sz w:val="24"/>
          <w:szCs w:val="24"/>
          <w:highlight w:val="none"/>
          <w:lang w:eastAsia="zh-CN"/>
        </w:rPr>
        <w:t>（盖章）</w:t>
      </w:r>
    </w:p>
    <w:p>
      <w:pPr>
        <w:pStyle w:val="4"/>
        <w:tabs>
          <w:tab w:val="left" w:pos="1440"/>
          <w:tab w:val="left" w:pos="5670"/>
        </w:tabs>
        <w:spacing w:before="240" w:after="24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投标人授权代表姓名（签字或盖章）：</w:t>
      </w:r>
      <w:r>
        <w:rPr>
          <w:rFonts w:hint="eastAsia" w:ascii="宋体" w:hAnsi="宋体" w:eastAsia="宋体" w:cs="宋体"/>
          <w:b w:val="0"/>
          <w:bCs w:val="0"/>
          <w:sz w:val="24"/>
          <w:szCs w:val="24"/>
          <w:highlight w:val="none"/>
          <w:u w:val="single"/>
          <w:lang w:eastAsia="zh-CN"/>
        </w:rPr>
        <w:t>       </w:t>
      </w:r>
      <w:r>
        <w:rPr>
          <w:rFonts w:hint="eastAsia" w:ascii="宋体" w:hAnsi="宋体" w:eastAsia="宋体" w:cs="宋体"/>
          <w:b w:val="0"/>
          <w:bCs w:val="0"/>
          <w:sz w:val="24"/>
          <w:szCs w:val="24"/>
          <w:highlight w:val="none"/>
          <w:lang w:eastAsia="zh-CN"/>
        </w:rPr>
        <w:t> </w:t>
      </w:r>
    </w:p>
    <w:p>
      <w:pPr>
        <w:pStyle w:val="4"/>
        <w:tabs>
          <w:tab w:val="left" w:pos="1440"/>
          <w:tab w:val="left" w:pos="5670"/>
        </w:tabs>
        <w:spacing w:before="240" w:after="240"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日 期：</w:t>
      </w:r>
      <w:r>
        <w:rPr>
          <w:rFonts w:hint="eastAsia" w:ascii="宋体" w:hAnsi="宋体" w:eastAsia="宋体" w:cs="宋体"/>
          <w:b w:val="0"/>
          <w:bCs w:val="0"/>
          <w:sz w:val="24"/>
          <w:szCs w:val="24"/>
          <w:highlight w:val="none"/>
          <w:u w:val="single"/>
          <w:lang w:eastAsia="zh-CN"/>
        </w:rPr>
        <w:t>    </w:t>
      </w:r>
      <w:r>
        <w:rPr>
          <w:rFonts w:hint="eastAsia" w:ascii="宋体" w:hAnsi="宋体" w:eastAsia="宋体" w:cs="宋体"/>
          <w:b w:val="0"/>
          <w:bCs w:val="0"/>
          <w:sz w:val="24"/>
          <w:szCs w:val="24"/>
          <w:highlight w:val="none"/>
          <w:lang w:eastAsia="zh-CN"/>
        </w:rPr>
        <w:t>年</w:t>
      </w:r>
      <w:r>
        <w:rPr>
          <w:rFonts w:hint="eastAsia" w:ascii="宋体" w:hAnsi="宋体" w:eastAsia="宋体" w:cs="宋体"/>
          <w:b w:val="0"/>
          <w:bCs w:val="0"/>
          <w:sz w:val="24"/>
          <w:szCs w:val="24"/>
          <w:highlight w:val="none"/>
          <w:u w:val="single"/>
          <w:lang w:eastAsia="zh-CN"/>
        </w:rPr>
        <w:t>   </w:t>
      </w:r>
      <w:r>
        <w:rPr>
          <w:rFonts w:hint="eastAsia" w:ascii="宋体" w:hAnsi="宋体" w:eastAsia="宋体" w:cs="宋体"/>
          <w:b w:val="0"/>
          <w:bCs w:val="0"/>
          <w:sz w:val="24"/>
          <w:szCs w:val="24"/>
          <w:highlight w:val="none"/>
          <w:lang w:eastAsia="zh-CN"/>
        </w:rPr>
        <w:t>月</w:t>
      </w:r>
      <w:r>
        <w:rPr>
          <w:rFonts w:hint="eastAsia" w:ascii="宋体" w:hAnsi="宋体" w:eastAsia="宋体" w:cs="宋体"/>
          <w:b w:val="0"/>
          <w:bCs w:val="0"/>
          <w:sz w:val="24"/>
          <w:szCs w:val="24"/>
          <w:highlight w:val="none"/>
          <w:u w:val="single"/>
          <w:lang w:eastAsia="zh-CN"/>
        </w:rPr>
        <w:t>   </w:t>
      </w:r>
      <w:r>
        <w:rPr>
          <w:rFonts w:hint="eastAsia" w:ascii="宋体" w:hAnsi="宋体" w:eastAsia="宋体" w:cs="宋体"/>
          <w:b w:val="0"/>
          <w:bCs w:val="0"/>
          <w:sz w:val="24"/>
          <w:szCs w:val="24"/>
          <w:highlight w:val="none"/>
          <w:lang w:eastAsia="zh-CN"/>
        </w:rPr>
        <w:t>日</w:t>
      </w:r>
    </w:p>
    <w:p>
      <w:pPr>
        <w:pStyle w:val="5"/>
        <w:rPr>
          <w:rFonts w:hint="eastAsia"/>
          <w:highlight w:val="none"/>
          <w:lang w:eastAsia="zh-CN"/>
        </w:rPr>
      </w:pPr>
    </w:p>
    <w:p>
      <w:pPr>
        <w:pStyle w:val="4"/>
        <w:tabs>
          <w:tab w:val="left" w:pos="1440"/>
          <w:tab w:val="left" w:pos="5670"/>
        </w:tabs>
        <w:spacing w:before="240" w:after="240" w:line="360" w:lineRule="auto"/>
        <w:rPr>
          <w:rFonts w:hint="eastAsia" w:ascii="宋体" w:hAnsi="宋体" w:eastAsia="宋体" w:cs="宋体"/>
          <w:sz w:val="24"/>
          <w:szCs w:val="24"/>
          <w:highlight w:val="none"/>
          <w:lang w:eastAsia="zh-CN"/>
        </w:rPr>
      </w:pPr>
    </w:p>
    <w:p>
      <w:pPr>
        <w:pStyle w:val="5"/>
        <w:rPr>
          <w:rFonts w:hint="eastAsia" w:ascii="宋体" w:hAnsi="宋体" w:eastAsia="宋体" w:cs="宋体"/>
          <w:sz w:val="24"/>
          <w:szCs w:val="24"/>
          <w:highlight w:val="none"/>
          <w:lang w:eastAsia="zh-CN"/>
        </w:rPr>
      </w:pPr>
    </w:p>
    <w:p>
      <w:pPr>
        <w:pStyle w:val="5"/>
        <w:rPr>
          <w:rFonts w:hint="eastAsia" w:ascii="宋体" w:hAnsi="宋体" w:eastAsia="宋体" w:cs="宋体"/>
          <w:sz w:val="24"/>
          <w:szCs w:val="24"/>
          <w:highlight w:val="none"/>
          <w:lang w:eastAsia="zh-CN"/>
        </w:rPr>
      </w:pPr>
    </w:p>
    <w:p>
      <w:pPr>
        <w:pStyle w:val="5"/>
        <w:rPr>
          <w:rFonts w:hint="eastAsia" w:ascii="宋体" w:hAnsi="宋体" w:eastAsia="宋体" w:cs="宋体"/>
          <w:sz w:val="24"/>
          <w:szCs w:val="24"/>
          <w:highlight w:val="none"/>
          <w:lang w:eastAsia="zh-CN"/>
        </w:rPr>
      </w:pPr>
    </w:p>
    <w:p>
      <w:pPr>
        <w:pStyle w:val="4"/>
        <w:tabs>
          <w:tab w:val="left" w:pos="1440"/>
          <w:tab w:val="left" w:pos="5670"/>
        </w:tabs>
        <w:spacing w:before="240" w:after="240" w:line="360" w:lineRule="auto"/>
        <w:rPr>
          <w:rFonts w:hint="eastAsia" w:ascii="宋体" w:hAnsi="宋体" w:eastAsia="宋体" w:cs="宋体"/>
          <w:sz w:val="24"/>
          <w:szCs w:val="24"/>
          <w:highlight w:val="none"/>
          <w:lang w:eastAsia="zh-CN"/>
        </w:rPr>
      </w:pPr>
    </w:p>
    <w:p>
      <w:pPr>
        <w:pStyle w:val="4"/>
        <w:tabs>
          <w:tab w:val="left" w:pos="1440"/>
          <w:tab w:val="left" w:pos="5670"/>
        </w:tabs>
        <w:spacing w:before="240" w:after="240" w:line="360" w:lineRule="auto"/>
        <w:rPr>
          <w:rFonts w:hint="eastAsia" w:ascii="宋体" w:hAnsi="宋体" w:eastAsia="宋体" w:cs="宋体"/>
          <w:sz w:val="24"/>
          <w:szCs w:val="24"/>
          <w:highlight w:val="none"/>
          <w:lang w:eastAsia="zh-CN"/>
        </w:rPr>
      </w:pPr>
    </w:p>
    <w:p>
      <w:pPr>
        <w:pStyle w:val="5"/>
        <w:rPr>
          <w:rFonts w:hint="eastAsia" w:ascii="宋体" w:hAnsi="宋体" w:eastAsia="宋体" w:cs="宋体"/>
          <w:sz w:val="24"/>
          <w:szCs w:val="24"/>
          <w:highlight w:val="none"/>
          <w:lang w:eastAsia="zh-CN"/>
        </w:rPr>
      </w:pPr>
    </w:p>
    <w:p>
      <w:pPr>
        <w:pStyle w:val="5"/>
        <w:rPr>
          <w:rFonts w:hint="eastAsia" w:ascii="宋体" w:hAnsi="宋体" w:eastAsia="宋体" w:cs="宋体"/>
          <w:sz w:val="24"/>
          <w:szCs w:val="24"/>
          <w:highlight w:val="none"/>
          <w:lang w:eastAsia="zh-CN"/>
        </w:rPr>
      </w:pPr>
    </w:p>
    <w:p>
      <w:pPr>
        <w:pStyle w:val="5"/>
        <w:rPr>
          <w:rFonts w:hint="eastAsia"/>
          <w:highlight w:val="none"/>
          <w:lang w:eastAsia="zh-CN"/>
        </w:rPr>
      </w:pPr>
    </w:p>
    <w:p>
      <w:pPr>
        <w:pStyle w:val="4"/>
        <w:tabs>
          <w:tab w:val="left" w:pos="1440"/>
          <w:tab w:val="left" w:pos="5670"/>
        </w:tabs>
        <w:spacing w:before="240" w:after="24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、业绩情况一览表</w:t>
      </w:r>
    </w:p>
    <w:p>
      <w:pPr>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业绩情况一览表</w:t>
      </w:r>
    </w:p>
    <w:tbl>
      <w:tblPr>
        <w:tblStyle w:val="18"/>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1559"/>
        <w:gridCol w:w="1321"/>
        <w:gridCol w:w="150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04" w:type="dxa"/>
            <w:noWrap/>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410" w:type="dxa"/>
            <w:noWrap/>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59" w:type="dxa"/>
            <w:noWrap/>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业主方</w:t>
            </w:r>
          </w:p>
        </w:tc>
        <w:tc>
          <w:tcPr>
            <w:tcW w:w="1321" w:type="dxa"/>
            <w:noWrap/>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项目规模</w:t>
            </w:r>
          </w:p>
        </w:tc>
        <w:tc>
          <w:tcPr>
            <w:tcW w:w="1500" w:type="dxa"/>
            <w:noWrap/>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签约时间</w:t>
            </w:r>
          </w:p>
        </w:tc>
        <w:tc>
          <w:tcPr>
            <w:tcW w:w="981" w:type="dxa"/>
            <w:noWrap/>
            <w:vAlign w:val="center"/>
          </w:tcPr>
          <w:p>
            <w:pPr>
              <w:spacing w:line="360" w:lineRule="auto"/>
              <w:ind w:firstLine="229" w:firstLineChars="95"/>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top"/>
          </w:tcPr>
          <w:p>
            <w:pPr>
              <w:spacing w:line="360" w:lineRule="auto"/>
              <w:ind w:firstLine="420"/>
              <w:jc w:val="center"/>
              <w:rPr>
                <w:rFonts w:hint="eastAsia" w:ascii="宋体" w:hAnsi="宋体" w:eastAsia="宋体" w:cs="宋体"/>
                <w:sz w:val="24"/>
                <w:szCs w:val="24"/>
                <w:highlight w:val="none"/>
              </w:rPr>
            </w:pPr>
          </w:p>
        </w:tc>
        <w:tc>
          <w:tcPr>
            <w:tcW w:w="2410" w:type="dxa"/>
            <w:noWrap/>
            <w:vAlign w:val="top"/>
          </w:tcPr>
          <w:p>
            <w:pPr>
              <w:spacing w:line="360" w:lineRule="auto"/>
              <w:ind w:firstLine="420"/>
              <w:jc w:val="center"/>
              <w:rPr>
                <w:rFonts w:hint="eastAsia" w:ascii="宋体" w:hAnsi="宋体" w:eastAsia="宋体" w:cs="宋体"/>
                <w:sz w:val="24"/>
                <w:szCs w:val="24"/>
                <w:highlight w:val="none"/>
              </w:rPr>
            </w:pPr>
          </w:p>
        </w:tc>
        <w:tc>
          <w:tcPr>
            <w:tcW w:w="1559" w:type="dxa"/>
            <w:noWrap/>
            <w:vAlign w:val="top"/>
          </w:tcPr>
          <w:p>
            <w:pPr>
              <w:spacing w:line="360" w:lineRule="auto"/>
              <w:ind w:firstLine="120" w:firstLineChars="50"/>
              <w:rPr>
                <w:rFonts w:hint="eastAsia" w:ascii="宋体" w:hAnsi="宋体" w:eastAsia="宋体" w:cs="宋体"/>
                <w:sz w:val="24"/>
                <w:szCs w:val="24"/>
                <w:highlight w:val="none"/>
              </w:rPr>
            </w:pPr>
          </w:p>
        </w:tc>
        <w:tc>
          <w:tcPr>
            <w:tcW w:w="1321" w:type="dxa"/>
            <w:noWrap/>
            <w:vAlign w:val="top"/>
          </w:tcPr>
          <w:p>
            <w:pPr>
              <w:spacing w:line="360" w:lineRule="auto"/>
              <w:ind w:firstLine="420"/>
              <w:jc w:val="center"/>
              <w:rPr>
                <w:rFonts w:hint="eastAsia" w:ascii="宋体" w:hAnsi="宋体" w:eastAsia="宋体" w:cs="宋体"/>
                <w:sz w:val="24"/>
                <w:szCs w:val="24"/>
                <w:highlight w:val="none"/>
              </w:rPr>
            </w:pPr>
          </w:p>
        </w:tc>
        <w:tc>
          <w:tcPr>
            <w:tcW w:w="1500" w:type="dxa"/>
            <w:noWrap/>
            <w:vAlign w:val="top"/>
          </w:tcPr>
          <w:p>
            <w:pPr>
              <w:spacing w:line="360" w:lineRule="auto"/>
              <w:ind w:firstLine="420"/>
              <w:jc w:val="center"/>
              <w:rPr>
                <w:rFonts w:hint="eastAsia" w:ascii="宋体" w:hAnsi="宋体" w:eastAsia="宋体" w:cs="宋体"/>
                <w:sz w:val="24"/>
                <w:szCs w:val="24"/>
                <w:highlight w:val="none"/>
              </w:rPr>
            </w:pPr>
          </w:p>
        </w:tc>
        <w:tc>
          <w:tcPr>
            <w:tcW w:w="981" w:type="dxa"/>
            <w:noWrap/>
            <w:vAlign w:val="top"/>
          </w:tcPr>
          <w:p>
            <w:pPr>
              <w:spacing w:line="360" w:lineRule="auto"/>
              <w:ind w:firstLine="42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4" w:type="dxa"/>
            <w:noWrap/>
            <w:vAlign w:val="top"/>
          </w:tcPr>
          <w:p>
            <w:pPr>
              <w:spacing w:line="360" w:lineRule="auto"/>
              <w:ind w:firstLine="420"/>
              <w:jc w:val="center"/>
              <w:rPr>
                <w:rFonts w:hint="eastAsia" w:ascii="宋体" w:hAnsi="宋体" w:eastAsia="宋体" w:cs="宋体"/>
                <w:sz w:val="24"/>
                <w:szCs w:val="24"/>
                <w:highlight w:val="none"/>
              </w:rPr>
            </w:pPr>
          </w:p>
        </w:tc>
        <w:tc>
          <w:tcPr>
            <w:tcW w:w="2410" w:type="dxa"/>
            <w:noWrap/>
            <w:vAlign w:val="top"/>
          </w:tcPr>
          <w:p>
            <w:pPr>
              <w:spacing w:line="360" w:lineRule="auto"/>
              <w:ind w:firstLine="420"/>
              <w:jc w:val="center"/>
              <w:rPr>
                <w:rFonts w:hint="eastAsia" w:ascii="宋体" w:hAnsi="宋体" w:eastAsia="宋体" w:cs="宋体"/>
                <w:sz w:val="24"/>
                <w:szCs w:val="24"/>
                <w:highlight w:val="none"/>
              </w:rPr>
            </w:pPr>
          </w:p>
        </w:tc>
        <w:tc>
          <w:tcPr>
            <w:tcW w:w="1559" w:type="dxa"/>
            <w:noWrap/>
            <w:vAlign w:val="top"/>
          </w:tcPr>
          <w:p>
            <w:pPr>
              <w:spacing w:line="360" w:lineRule="auto"/>
              <w:ind w:firstLine="420"/>
              <w:jc w:val="center"/>
              <w:rPr>
                <w:rFonts w:hint="eastAsia" w:ascii="宋体" w:hAnsi="宋体" w:eastAsia="宋体" w:cs="宋体"/>
                <w:sz w:val="24"/>
                <w:szCs w:val="24"/>
                <w:highlight w:val="none"/>
              </w:rPr>
            </w:pPr>
          </w:p>
        </w:tc>
        <w:tc>
          <w:tcPr>
            <w:tcW w:w="1321" w:type="dxa"/>
            <w:noWrap/>
            <w:vAlign w:val="top"/>
          </w:tcPr>
          <w:p>
            <w:pPr>
              <w:spacing w:line="360" w:lineRule="auto"/>
              <w:ind w:firstLine="420"/>
              <w:jc w:val="center"/>
              <w:rPr>
                <w:rFonts w:hint="eastAsia" w:ascii="宋体" w:hAnsi="宋体" w:eastAsia="宋体" w:cs="宋体"/>
                <w:sz w:val="24"/>
                <w:szCs w:val="24"/>
                <w:highlight w:val="none"/>
              </w:rPr>
            </w:pPr>
          </w:p>
        </w:tc>
        <w:tc>
          <w:tcPr>
            <w:tcW w:w="1500" w:type="dxa"/>
            <w:noWrap/>
            <w:vAlign w:val="top"/>
          </w:tcPr>
          <w:p>
            <w:pPr>
              <w:spacing w:line="360" w:lineRule="auto"/>
              <w:ind w:firstLine="420"/>
              <w:jc w:val="center"/>
              <w:rPr>
                <w:rFonts w:hint="eastAsia" w:ascii="宋体" w:hAnsi="宋体" w:eastAsia="宋体" w:cs="宋体"/>
                <w:sz w:val="24"/>
                <w:szCs w:val="24"/>
                <w:highlight w:val="none"/>
              </w:rPr>
            </w:pPr>
          </w:p>
        </w:tc>
        <w:tc>
          <w:tcPr>
            <w:tcW w:w="981" w:type="dxa"/>
            <w:noWrap/>
            <w:vAlign w:val="top"/>
          </w:tcPr>
          <w:p>
            <w:pPr>
              <w:spacing w:line="360" w:lineRule="auto"/>
              <w:ind w:firstLine="42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noWrap/>
            <w:vAlign w:val="top"/>
          </w:tcPr>
          <w:p>
            <w:pPr>
              <w:spacing w:line="360" w:lineRule="auto"/>
              <w:ind w:firstLine="420"/>
              <w:jc w:val="center"/>
              <w:rPr>
                <w:rFonts w:hint="eastAsia" w:ascii="宋体" w:hAnsi="宋体" w:eastAsia="宋体" w:cs="宋体"/>
                <w:sz w:val="24"/>
                <w:szCs w:val="24"/>
                <w:highlight w:val="none"/>
              </w:rPr>
            </w:pPr>
          </w:p>
        </w:tc>
        <w:tc>
          <w:tcPr>
            <w:tcW w:w="2410" w:type="dxa"/>
            <w:noWrap/>
            <w:vAlign w:val="top"/>
          </w:tcPr>
          <w:p>
            <w:pPr>
              <w:spacing w:line="360" w:lineRule="auto"/>
              <w:ind w:firstLine="420"/>
              <w:jc w:val="center"/>
              <w:rPr>
                <w:rFonts w:hint="eastAsia" w:ascii="宋体" w:hAnsi="宋体" w:eastAsia="宋体" w:cs="宋体"/>
                <w:sz w:val="24"/>
                <w:szCs w:val="24"/>
                <w:highlight w:val="none"/>
              </w:rPr>
            </w:pPr>
          </w:p>
        </w:tc>
        <w:tc>
          <w:tcPr>
            <w:tcW w:w="1559" w:type="dxa"/>
            <w:noWrap/>
            <w:vAlign w:val="top"/>
          </w:tcPr>
          <w:p>
            <w:pPr>
              <w:spacing w:line="360" w:lineRule="auto"/>
              <w:ind w:firstLine="420"/>
              <w:jc w:val="center"/>
              <w:rPr>
                <w:rFonts w:hint="eastAsia" w:ascii="宋体" w:hAnsi="宋体" w:eastAsia="宋体" w:cs="宋体"/>
                <w:sz w:val="24"/>
                <w:szCs w:val="24"/>
                <w:highlight w:val="none"/>
              </w:rPr>
            </w:pPr>
          </w:p>
        </w:tc>
        <w:tc>
          <w:tcPr>
            <w:tcW w:w="1321" w:type="dxa"/>
            <w:noWrap/>
            <w:vAlign w:val="top"/>
          </w:tcPr>
          <w:p>
            <w:pPr>
              <w:spacing w:line="360" w:lineRule="auto"/>
              <w:ind w:firstLine="420"/>
              <w:jc w:val="center"/>
              <w:rPr>
                <w:rFonts w:hint="eastAsia" w:ascii="宋体" w:hAnsi="宋体" w:eastAsia="宋体" w:cs="宋体"/>
                <w:sz w:val="24"/>
                <w:szCs w:val="24"/>
                <w:highlight w:val="none"/>
              </w:rPr>
            </w:pPr>
          </w:p>
        </w:tc>
        <w:tc>
          <w:tcPr>
            <w:tcW w:w="1500" w:type="dxa"/>
            <w:noWrap/>
            <w:vAlign w:val="top"/>
          </w:tcPr>
          <w:p>
            <w:pPr>
              <w:spacing w:line="360" w:lineRule="auto"/>
              <w:ind w:firstLine="420"/>
              <w:jc w:val="center"/>
              <w:rPr>
                <w:rFonts w:hint="eastAsia" w:ascii="宋体" w:hAnsi="宋体" w:eastAsia="宋体" w:cs="宋体"/>
                <w:sz w:val="24"/>
                <w:szCs w:val="24"/>
                <w:highlight w:val="none"/>
              </w:rPr>
            </w:pPr>
          </w:p>
        </w:tc>
        <w:tc>
          <w:tcPr>
            <w:tcW w:w="981" w:type="dxa"/>
            <w:noWrap/>
            <w:vAlign w:val="top"/>
          </w:tcPr>
          <w:p>
            <w:pPr>
              <w:spacing w:line="360" w:lineRule="auto"/>
              <w:ind w:firstLine="42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noWrap/>
            <w:vAlign w:val="top"/>
          </w:tcPr>
          <w:p>
            <w:pPr>
              <w:spacing w:line="360" w:lineRule="auto"/>
              <w:ind w:firstLine="420"/>
              <w:jc w:val="center"/>
              <w:rPr>
                <w:rFonts w:hint="eastAsia" w:ascii="宋体" w:hAnsi="宋体" w:eastAsia="宋体" w:cs="宋体"/>
                <w:sz w:val="24"/>
                <w:szCs w:val="24"/>
                <w:highlight w:val="none"/>
              </w:rPr>
            </w:pPr>
          </w:p>
        </w:tc>
        <w:tc>
          <w:tcPr>
            <w:tcW w:w="2410" w:type="dxa"/>
            <w:noWrap/>
            <w:vAlign w:val="top"/>
          </w:tcPr>
          <w:p>
            <w:pPr>
              <w:spacing w:line="360" w:lineRule="auto"/>
              <w:ind w:firstLine="420"/>
              <w:jc w:val="center"/>
              <w:rPr>
                <w:rFonts w:hint="eastAsia" w:ascii="宋体" w:hAnsi="宋体" w:eastAsia="宋体" w:cs="宋体"/>
                <w:sz w:val="24"/>
                <w:szCs w:val="24"/>
                <w:highlight w:val="none"/>
              </w:rPr>
            </w:pPr>
          </w:p>
        </w:tc>
        <w:tc>
          <w:tcPr>
            <w:tcW w:w="1559" w:type="dxa"/>
            <w:noWrap/>
            <w:vAlign w:val="top"/>
          </w:tcPr>
          <w:p>
            <w:pPr>
              <w:spacing w:line="360" w:lineRule="auto"/>
              <w:ind w:firstLine="420"/>
              <w:jc w:val="center"/>
              <w:rPr>
                <w:rFonts w:hint="eastAsia" w:ascii="宋体" w:hAnsi="宋体" w:eastAsia="宋体" w:cs="宋体"/>
                <w:sz w:val="24"/>
                <w:szCs w:val="24"/>
                <w:highlight w:val="none"/>
              </w:rPr>
            </w:pPr>
          </w:p>
        </w:tc>
        <w:tc>
          <w:tcPr>
            <w:tcW w:w="1321" w:type="dxa"/>
            <w:noWrap/>
            <w:vAlign w:val="top"/>
          </w:tcPr>
          <w:p>
            <w:pPr>
              <w:spacing w:line="360" w:lineRule="auto"/>
              <w:ind w:firstLine="420"/>
              <w:jc w:val="center"/>
              <w:rPr>
                <w:rFonts w:hint="eastAsia" w:ascii="宋体" w:hAnsi="宋体" w:eastAsia="宋体" w:cs="宋体"/>
                <w:sz w:val="24"/>
                <w:szCs w:val="24"/>
                <w:highlight w:val="none"/>
              </w:rPr>
            </w:pPr>
          </w:p>
        </w:tc>
        <w:tc>
          <w:tcPr>
            <w:tcW w:w="1500" w:type="dxa"/>
            <w:noWrap/>
            <w:vAlign w:val="top"/>
          </w:tcPr>
          <w:p>
            <w:pPr>
              <w:spacing w:line="360" w:lineRule="auto"/>
              <w:ind w:firstLine="420"/>
              <w:jc w:val="center"/>
              <w:rPr>
                <w:rFonts w:hint="eastAsia" w:ascii="宋体" w:hAnsi="宋体" w:eastAsia="宋体" w:cs="宋体"/>
                <w:sz w:val="24"/>
                <w:szCs w:val="24"/>
                <w:highlight w:val="none"/>
              </w:rPr>
            </w:pPr>
          </w:p>
        </w:tc>
        <w:tc>
          <w:tcPr>
            <w:tcW w:w="981" w:type="dxa"/>
            <w:noWrap/>
            <w:vAlign w:val="top"/>
          </w:tcPr>
          <w:p>
            <w:pPr>
              <w:spacing w:line="360" w:lineRule="auto"/>
              <w:ind w:firstLine="420"/>
              <w:jc w:val="center"/>
              <w:rPr>
                <w:rFonts w:hint="eastAsia" w:ascii="宋体" w:hAnsi="宋体" w:eastAsia="宋体" w:cs="宋体"/>
                <w:sz w:val="24"/>
                <w:szCs w:val="24"/>
                <w:highlight w:val="none"/>
              </w:rPr>
            </w:pPr>
          </w:p>
        </w:tc>
      </w:tr>
    </w:tbl>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注：附</w:t>
      </w:r>
      <w:r>
        <w:rPr>
          <w:rFonts w:hint="eastAsia" w:ascii="宋体" w:hAnsi="宋体" w:eastAsia="宋体" w:cs="宋体"/>
          <w:sz w:val="24"/>
          <w:szCs w:val="24"/>
          <w:highlight w:val="none"/>
          <w:lang w:eastAsia="zh-CN"/>
        </w:rPr>
        <w:t>相关证明材料</w:t>
      </w:r>
      <w:r>
        <w:rPr>
          <w:rFonts w:hint="eastAsia" w:ascii="宋体" w:hAnsi="宋体" w:eastAsia="宋体" w:cs="宋体"/>
          <w:sz w:val="24"/>
          <w:szCs w:val="24"/>
          <w:highlight w:val="none"/>
        </w:rPr>
        <w:t>复印件。</w:t>
      </w:r>
    </w:p>
    <w:p>
      <w:pPr>
        <w:pStyle w:val="5"/>
        <w:rPr>
          <w:rFonts w:hint="eastAsia" w:ascii="宋体" w:hAnsi="宋体" w:eastAsia="宋体" w:cs="宋体"/>
          <w:highlight w:val="none"/>
        </w:rPr>
      </w:pPr>
      <w:bookmarkStart w:id="26" w:name="_Toc89686195"/>
    </w:p>
    <w:p>
      <w:pPr>
        <w:pStyle w:val="5"/>
        <w:ind w:left="0" w:leftChars="0" w:firstLine="0" w:firstLineChars="0"/>
        <w:rPr>
          <w:rFonts w:hint="eastAsia" w:ascii="宋体" w:hAnsi="宋体" w:eastAsia="宋体" w:cs="宋体"/>
          <w:b/>
          <w:bCs/>
          <w:sz w:val="24"/>
          <w:szCs w:val="24"/>
          <w:highlight w:val="none"/>
        </w:rPr>
      </w:pPr>
    </w:p>
    <w:p>
      <w:pPr>
        <w:spacing w:line="360" w:lineRule="auto"/>
        <w:ind w:left="210" w:leftChars="100" w:right="567" w:firstLine="480" w:firstLineChars="200"/>
        <w:rPr>
          <w:highlight w:val="none"/>
        </w:rPr>
      </w:pPr>
      <w:r>
        <w:rPr>
          <w:rFonts w:hint="eastAsia"/>
          <w:sz w:val="24"/>
          <w:highlight w:val="none"/>
        </w:rPr>
        <w:t>投标人名称：</w:t>
      </w:r>
      <w:r>
        <w:rPr>
          <w:rFonts w:hint="eastAsia"/>
          <w:sz w:val="24"/>
          <w:highlight w:val="none"/>
          <w:u w:val="single"/>
        </w:rPr>
        <w:t>           </w:t>
      </w:r>
      <w:r>
        <w:rPr>
          <w:rFonts w:hint="eastAsia"/>
          <w:sz w:val="24"/>
          <w:highlight w:val="none"/>
        </w:rPr>
        <w:t>（盖章）</w:t>
      </w:r>
    </w:p>
    <w:p>
      <w:pPr>
        <w:shd w:val="clear" w:color="auto" w:fill="FFFFFF"/>
        <w:spacing w:line="360" w:lineRule="auto"/>
        <w:ind w:left="210" w:leftChars="100" w:right="567" w:firstLine="480" w:firstLineChars="200"/>
        <w:rPr>
          <w:sz w:val="24"/>
          <w:highlight w:val="none"/>
        </w:rPr>
      </w:pPr>
      <w:r>
        <w:rPr>
          <w:rFonts w:hint="eastAsia"/>
          <w:sz w:val="24"/>
          <w:highlight w:val="none"/>
        </w:rPr>
        <w:t>投标人授权代表姓名（签字或盖章）：</w:t>
      </w:r>
      <w:r>
        <w:rPr>
          <w:rFonts w:hint="eastAsia"/>
          <w:sz w:val="24"/>
          <w:highlight w:val="none"/>
          <w:u w:val="single"/>
        </w:rPr>
        <w:t>        </w:t>
      </w:r>
    </w:p>
    <w:p>
      <w:pPr>
        <w:spacing w:line="360" w:lineRule="auto"/>
        <w:ind w:left="210" w:leftChars="100" w:right="567" w:firstLine="480" w:firstLineChars="200"/>
        <w:rPr>
          <w:spacing w:val="4"/>
          <w:highlight w:val="none"/>
        </w:rPr>
      </w:pPr>
      <w:r>
        <w:rPr>
          <w:rFonts w:hint="eastAsia"/>
          <w:sz w:val="24"/>
          <w:highlight w:val="none"/>
        </w:rPr>
        <w:t>日 期：</w:t>
      </w:r>
      <w:r>
        <w:rPr>
          <w:rFonts w:hint="eastAsia"/>
          <w:sz w:val="24"/>
          <w:highlight w:val="none"/>
          <w:u w:val="single"/>
        </w:rPr>
        <w:t>    </w:t>
      </w:r>
      <w:r>
        <w:rPr>
          <w:rFonts w:hint="eastAsia"/>
          <w:sz w:val="24"/>
          <w:highlight w:val="none"/>
        </w:rPr>
        <w:t>年</w:t>
      </w:r>
      <w:r>
        <w:rPr>
          <w:rFonts w:hint="eastAsia"/>
          <w:sz w:val="24"/>
          <w:highlight w:val="none"/>
          <w:u w:val="single"/>
        </w:rPr>
        <w:t>   </w:t>
      </w:r>
      <w:r>
        <w:rPr>
          <w:rFonts w:hint="eastAsia"/>
          <w:sz w:val="24"/>
          <w:highlight w:val="none"/>
        </w:rPr>
        <w:t>月</w:t>
      </w:r>
      <w:r>
        <w:rPr>
          <w:rFonts w:hint="eastAsia"/>
          <w:sz w:val="24"/>
          <w:highlight w:val="none"/>
          <w:u w:val="single"/>
        </w:rPr>
        <w:t>   </w:t>
      </w:r>
      <w:r>
        <w:rPr>
          <w:rFonts w:hint="eastAsia"/>
          <w:sz w:val="24"/>
          <w:highlight w:val="none"/>
        </w:rPr>
        <w:t>日</w:t>
      </w:r>
    </w:p>
    <w:p>
      <w:pPr>
        <w:pStyle w:val="4"/>
        <w:pageBreakBefore w:val="0"/>
        <w:kinsoku/>
        <w:wordWrap/>
        <w:overflowPunct/>
        <w:topLinePunct w:val="0"/>
        <w:autoSpaceDE/>
        <w:autoSpaceDN/>
        <w:bidi w:val="0"/>
        <w:snapToGrid/>
        <w:spacing w:before="0" w:after="0" w:line="300" w:lineRule="auto"/>
        <w:textAlignment w:val="auto"/>
        <w:rPr>
          <w:rFonts w:hint="eastAsia" w:ascii="宋体" w:hAnsi="宋体" w:eastAsia="宋体" w:cs="宋体"/>
          <w:b/>
          <w:bCs/>
          <w:sz w:val="24"/>
          <w:szCs w:val="24"/>
          <w:highlight w:val="none"/>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pStyle w:val="4"/>
        <w:pageBreakBefore w:val="0"/>
        <w:kinsoku/>
        <w:wordWrap/>
        <w:overflowPunct/>
        <w:topLinePunct w:val="0"/>
        <w:autoSpaceDE/>
        <w:autoSpaceDN/>
        <w:bidi w:val="0"/>
        <w:snapToGrid/>
        <w:spacing w:before="0" w:after="0" w:line="300" w:lineRule="auto"/>
        <w:textAlignment w:val="auto"/>
        <w:rPr>
          <w:rFonts w:hint="eastAsia" w:ascii="宋体" w:hAnsi="宋体" w:eastAsia="宋体" w:cs="宋体"/>
          <w:sz w:val="24"/>
          <w:szCs w:val="24"/>
          <w:highlight w:val="none"/>
          <w:lang w:val="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六</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技术规格偏离表格式</w:t>
      </w:r>
    </w:p>
    <w:p>
      <w:pPr>
        <w:pageBreakBefore w:val="0"/>
        <w:kinsoku/>
        <w:wordWrap/>
        <w:overflowPunct/>
        <w:topLinePunct w:val="0"/>
        <w:autoSpaceDE/>
        <w:autoSpaceDN/>
        <w:bidi w:val="0"/>
        <w:snapToGrid/>
        <w:spacing w:line="30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技术规格偏离表</w:t>
      </w:r>
    </w:p>
    <w:tbl>
      <w:tblPr>
        <w:tblStyle w:val="18"/>
        <w:tblW w:w="0" w:type="auto"/>
        <w:jc w:val="center"/>
        <w:tblLayout w:type="fixed"/>
        <w:tblCellMar>
          <w:top w:w="0" w:type="dxa"/>
          <w:left w:w="10" w:type="dxa"/>
          <w:bottom w:w="0" w:type="dxa"/>
          <w:right w:w="10" w:type="dxa"/>
        </w:tblCellMar>
      </w:tblPr>
      <w:tblGrid>
        <w:gridCol w:w="765"/>
        <w:gridCol w:w="1620"/>
        <w:gridCol w:w="2700"/>
        <w:gridCol w:w="1620"/>
        <w:gridCol w:w="1620"/>
        <w:gridCol w:w="1110"/>
      </w:tblGrid>
      <w:tr>
        <w:tblPrEx>
          <w:tblCellMar>
            <w:top w:w="0" w:type="dxa"/>
            <w:left w:w="10" w:type="dxa"/>
            <w:bottom w:w="0" w:type="dxa"/>
            <w:right w:w="10" w:type="dxa"/>
          </w:tblCellMar>
        </w:tblPrEx>
        <w:trPr>
          <w:trHeight w:val="284" w:hRule="atLeast"/>
          <w:jc w:val="center"/>
        </w:trPr>
        <w:tc>
          <w:tcPr>
            <w:tcW w:w="6705" w:type="dxa"/>
            <w:gridSpan w:val="4"/>
            <w:tcBorders>
              <w:top w:val="nil"/>
              <w:left w:val="nil"/>
              <w:bottom w:val="single" w:color="auto" w:sz="6" w:space="0"/>
              <w:right w:val="nil"/>
            </w:tcBorders>
            <w:noWrap w:val="0"/>
            <w:vAlign w:val="center"/>
          </w:tcPr>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2730" w:type="dxa"/>
            <w:gridSpan w:val="2"/>
            <w:tcBorders>
              <w:top w:val="nil"/>
              <w:left w:val="nil"/>
              <w:bottom w:val="single" w:color="auto" w:sz="6" w:space="0"/>
              <w:right w:val="nil"/>
            </w:tcBorders>
            <w:noWrap w:val="0"/>
            <w:vAlign w:val="center"/>
          </w:tcPr>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偏离</w:t>
            </w:r>
          </w:p>
        </w:tc>
      </w:tr>
      <w:tr>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CellMar>
            <w:top w:w="0" w:type="dxa"/>
            <w:left w:w="10" w:type="dxa"/>
            <w:bottom w:w="0" w:type="dxa"/>
            <w:right w:w="1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bl>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说明：</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1、如果行数不够，请自行增加。</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投标人名称：（盖章）</w:t>
      </w:r>
    </w:p>
    <w:p>
      <w:pPr>
        <w:pStyle w:val="4"/>
        <w:pageBreakBefore w:val="0"/>
        <w:kinsoku/>
        <w:wordWrap/>
        <w:overflowPunct/>
        <w:topLinePunct w:val="0"/>
        <w:autoSpaceDE/>
        <w:autoSpaceDN/>
        <w:bidi w:val="0"/>
        <w:snapToGrid/>
        <w:spacing w:before="0" w:after="0" w:line="300" w:lineRule="auto"/>
        <w:textAlignment w:val="auto"/>
        <w:rPr>
          <w:rFonts w:hint="eastAsia" w:ascii="宋体" w:hAnsi="宋体" w:eastAsia="宋体" w:cs="宋体"/>
          <w:b/>
          <w:bCs/>
          <w:sz w:val="24"/>
          <w:szCs w:val="24"/>
          <w:highlight w:val="none"/>
        </w:rPr>
      </w:pPr>
    </w:p>
    <w:p>
      <w:pPr>
        <w:pStyle w:val="5"/>
        <w:rPr>
          <w:rFonts w:hint="eastAsia"/>
          <w:highlight w:val="none"/>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pStyle w:val="4"/>
        <w:pageBreakBefore w:val="0"/>
        <w:kinsoku/>
        <w:wordWrap/>
        <w:overflowPunct/>
        <w:topLinePunct w:val="0"/>
        <w:autoSpaceDE/>
        <w:autoSpaceDN/>
        <w:bidi w:val="0"/>
        <w:snapToGrid/>
        <w:spacing w:before="0" w:after="0" w:line="300" w:lineRule="auto"/>
        <w:textAlignment w:val="auto"/>
        <w:rPr>
          <w:rFonts w:hint="eastAsia" w:ascii="宋体" w:hAnsi="宋体" w:eastAsia="宋体" w:cs="宋体"/>
          <w:b/>
          <w:color w:val="000000"/>
          <w:kern w:val="0"/>
          <w:sz w:val="24"/>
          <w:szCs w:val="24"/>
          <w:highlight w:val="none"/>
          <w:lang w:val="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七</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商务条款偏离表格式</w:t>
      </w:r>
    </w:p>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商务条款偏离表</w:t>
      </w:r>
    </w:p>
    <w:p>
      <w:pPr>
        <w:pageBreakBefore w:val="0"/>
        <w:kinsoku/>
        <w:wordWrap/>
        <w:overflowPunct/>
        <w:topLinePunct w:val="0"/>
        <w:autoSpaceDE/>
        <w:autoSpaceDN/>
        <w:bidi w:val="0"/>
        <w:snapToGrid/>
        <w:spacing w:line="300" w:lineRule="auto"/>
        <w:jc w:val="center"/>
        <w:textAlignment w:val="auto"/>
        <w:rPr>
          <w:rFonts w:hint="eastAsia" w:ascii="宋体" w:hAnsi="宋体" w:eastAsia="宋体" w:cs="宋体"/>
          <w:sz w:val="24"/>
          <w:szCs w:val="24"/>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51"/>
        <w:gridCol w:w="1620"/>
        <w:gridCol w:w="2700"/>
        <w:gridCol w:w="1620"/>
        <w:gridCol w:w="160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blHeader/>
          <w:jc w:val="center"/>
        </w:trPr>
        <w:tc>
          <w:tcPr>
            <w:tcW w:w="6591" w:type="dxa"/>
            <w:gridSpan w:val="4"/>
            <w:tcBorders>
              <w:top w:val="nil"/>
              <w:left w:val="nil"/>
              <w:right w:val="nil"/>
            </w:tcBorders>
            <w:noWrap w:val="0"/>
            <w:vAlign w:val="center"/>
          </w:tcPr>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项目名称：</w:t>
            </w:r>
          </w:p>
        </w:tc>
        <w:tc>
          <w:tcPr>
            <w:tcW w:w="2625" w:type="dxa"/>
            <w:gridSpan w:val="2"/>
            <w:tcBorders>
              <w:top w:val="nil"/>
              <w:left w:val="nil"/>
              <w:right w:val="nil"/>
            </w:tcBorders>
            <w:noWrap w:val="0"/>
            <w:vAlign w:val="center"/>
          </w:tcPr>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序号</w:t>
            </w: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磋商文件条目号</w:t>
            </w: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磋商文件要求的商务条款</w:t>
            </w: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投标响应</w:t>
            </w: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jc w:val="center"/>
        </w:trPr>
        <w:tc>
          <w:tcPr>
            <w:tcW w:w="651"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6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270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3225" w:type="dxa"/>
            <w:gridSpan w:val="2"/>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c>
          <w:tcPr>
            <w:tcW w:w="1020" w:type="dxa"/>
            <w:noWrap w:val="0"/>
            <w:vAlign w:val="center"/>
          </w:tcPr>
          <w:p>
            <w:pPr>
              <w:pageBreakBefore w:val="0"/>
              <w:widowControl/>
              <w:kinsoku/>
              <w:wordWrap/>
              <w:overflowPunct/>
              <w:topLinePunct w:val="0"/>
              <w:autoSpaceDE/>
              <w:autoSpaceDN/>
              <w:bidi w:val="0"/>
              <w:adjustRightInd w:val="0"/>
              <w:snapToGrid/>
              <w:spacing w:line="300" w:lineRule="auto"/>
              <w:jc w:val="center"/>
              <w:textAlignment w:val="auto"/>
              <w:rPr>
                <w:rFonts w:hint="eastAsia" w:ascii="宋体" w:hAnsi="宋体" w:eastAsia="宋体" w:cs="宋体"/>
                <w:color w:val="000000"/>
                <w:kern w:val="0"/>
                <w:sz w:val="24"/>
                <w:szCs w:val="24"/>
                <w:highlight w:val="none"/>
                <w:lang w:val="zh-CN"/>
              </w:rPr>
            </w:pPr>
          </w:p>
        </w:tc>
      </w:tr>
    </w:tbl>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说明：如果行数不够，请自行增加。</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sz w:val="24"/>
          <w:szCs w:val="24"/>
          <w:highlight w:val="none"/>
          <w:lang w:eastAsia="zh-CN"/>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宋体" w:hAnsi="宋体" w:eastAsia="宋体" w:cs="宋体"/>
          <w:color w:val="000000"/>
          <w:kern w:val="0"/>
          <w:sz w:val="24"/>
          <w:szCs w:val="24"/>
          <w:highlight w:val="none"/>
          <w:lang w:val="zh-CN"/>
        </w:rPr>
        <w:t>投标人名称：（盖</w:t>
      </w:r>
    </w:p>
    <w:p>
      <w:pPr>
        <w:pStyle w:val="4"/>
        <w:pageBreakBefore w:val="0"/>
        <w:kinsoku/>
        <w:wordWrap/>
        <w:overflowPunct/>
        <w:topLinePunct w:val="0"/>
        <w:autoSpaceDE/>
        <w:autoSpaceDN/>
        <w:bidi w:val="0"/>
        <w:snapToGrid/>
        <w:spacing w:before="0" w:after="0" w:line="300" w:lineRule="auto"/>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附件</w:t>
      </w:r>
      <w:r>
        <w:rPr>
          <w:rFonts w:hint="eastAsia" w:ascii="宋体" w:hAnsi="宋体" w:eastAsia="宋体" w:cs="宋体"/>
          <w:highlight w:val="none"/>
          <w:lang w:val="en-US" w:eastAsia="zh-CN"/>
        </w:rPr>
        <w:t>八</w:t>
      </w:r>
      <w:r>
        <w:rPr>
          <w:rFonts w:hint="eastAsia" w:ascii="宋体" w:hAnsi="宋体" w:eastAsia="宋体" w:cs="宋体"/>
          <w:highlight w:val="none"/>
          <w:lang w:eastAsia="zh-CN"/>
        </w:rPr>
        <w:t>、</w:t>
      </w:r>
      <w:r>
        <w:rPr>
          <w:rFonts w:hint="eastAsia" w:ascii="宋体" w:hAnsi="宋体" w:eastAsia="宋体" w:cs="宋体"/>
          <w:highlight w:val="none"/>
        </w:rPr>
        <w:t>满足《中华人民共和国政府采购法政府采购法》第二十二条的相关规定，投标人提供《南京市政府采购供应商信用记录表暨信用承诺书》</w:t>
      </w:r>
      <w:r>
        <w:rPr>
          <w:rFonts w:hint="eastAsia" w:ascii="宋体" w:hAnsi="宋体" w:eastAsia="宋体" w:cs="宋体"/>
          <w:highlight w:val="none"/>
          <w:lang w:eastAsia="zh-CN"/>
        </w:rPr>
        <w:t>详见附件。</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1.1具有独立承担民事责任的能力；</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（企业提供企业法人营业执照或营业执照，事业单位提供事业单位法人证书，非企业专业服务机构提供执业许可证，个体工商户提供个体工商户营业执照，自然人提供自然人身份证明）</w:t>
      </w:r>
    </w:p>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highlight w:val="none"/>
        </w:rPr>
      </w:pPr>
      <w:r>
        <w:rPr>
          <w:rFonts w:hint="eastAsia" w:ascii="宋体" w:hAnsi="宋体" w:eastAsia="宋体" w:cs="宋体"/>
          <w:sz w:val="36"/>
          <w:szCs w:val="36"/>
          <w:highlight w:val="none"/>
        </w:rPr>
        <w:t>具有独立承担民事责任的能力</w:t>
      </w:r>
    </w:p>
    <w:p>
      <w:pPr>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ageBreakBefore w:val="0"/>
        <w:kinsoku/>
        <w:wordWrap/>
        <w:overflowPunct/>
        <w:topLinePunct w:val="0"/>
        <w:autoSpaceDE/>
        <w:autoSpaceDN/>
        <w:bidi w:val="0"/>
        <w:snapToGrid/>
        <w:spacing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我单位（供应商名称）郑重声明：</w:t>
      </w:r>
    </w:p>
    <w:p>
      <w:pPr>
        <w:pageBreakBefore w:val="0"/>
        <w:widowControl/>
        <w:kinsoku/>
        <w:wordWrap/>
        <w:overflowPunct/>
        <w:topLinePunct w:val="0"/>
        <w:autoSpaceDE/>
        <w:autoSpaceDN/>
        <w:bidi w:val="0"/>
        <w:adjustRightInd w:val="0"/>
        <w:snapToGrid/>
        <w:spacing w:line="360" w:lineRule="auto"/>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我单位具有履行</w:t>
      </w:r>
      <w:r>
        <w:rPr>
          <w:rFonts w:hint="eastAsia" w:ascii="宋体" w:hAnsi="宋体" w:eastAsia="宋体" w:cs="宋体"/>
          <w:b/>
          <w:sz w:val="24"/>
          <w:szCs w:val="24"/>
          <w:highlight w:val="none"/>
          <w:u w:val="single"/>
        </w:rPr>
        <w:t>（项目）</w:t>
      </w:r>
      <w:r>
        <w:rPr>
          <w:rFonts w:hint="eastAsia" w:ascii="宋体" w:hAnsi="宋体" w:eastAsia="宋体" w:cs="宋体"/>
          <w:color w:val="000000"/>
          <w:sz w:val="24"/>
          <w:szCs w:val="24"/>
          <w:highlight w:val="none"/>
        </w:rPr>
        <w:t>合同所必需的独立承担民事责任的能力。</w:t>
      </w:r>
    </w:p>
    <w:p>
      <w:pPr>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15"/>
          <w:sz w:val="24"/>
          <w:szCs w:val="24"/>
          <w:highlight w:val="none"/>
        </w:rPr>
      </w:pPr>
    </w:p>
    <w:p>
      <w:pPr>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声明单位（公章）</w:t>
      </w:r>
    </w:p>
    <w:p>
      <w:pPr>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法定代表人（签字或盖章）</w:t>
      </w:r>
    </w:p>
    <w:p>
      <w:pPr>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代理人（签字或盖章）</w:t>
      </w:r>
    </w:p>
    <w:p>
      <w:pPr>
        <w:pageBreakBefore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15"/>
          <w:sz w:val="24"/>
          <w:szCs w:val="24"/>
          <w:highlight w:val="none"/>
        </w:rPr>
      </w:pPr>
      <w:r>
        <w:rPr>
          <w:rFonts w:hint="eastAsia" w:ascii="宋体" w:hAnsi="宋体" w:eastAsia="宋体" w:cs="宋体"/>
          <w:color w:val="000000"/>
          <w:spacing w:val="15"/>
          <w:sz w:val="24"/>
          <w:szCs w:val="24"/>
          <w:highlight w:val="none"/>
        </w:rPr>
        <w:t>日期：</w:t>
      </w:r>
    </w:p>
    <w:p>
      <w:pPr>
        <w:bidi w:val="0"/>
        <w:spacing w:line="360" w:lineRule="auto"/>
        <w:rPr>
          <w:rFonts w:hint="eastAsia" w:ascii="宋体" w:hAnsi="宋体" w:eastAsia="宋体" w:cs="宋体"/>
          <w:sz w:val="24"/>
          <w:szCs w:val="24"/>
          <w:highlight w:val="none"/>
        </w:rPr>
      </w:pP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1.2具有良好的商业信誉和健全的财务会计制度；</w:t>
      </w: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供应商具有良好的商业信誉和健全的财务会计制度声明</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我单位（供应商名称）郑重声明：</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我单位具有履行（项目）合同所必需的良好的商业信誉和健全的财务会计制度。</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声明单位（公章）</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法定代表人（签字或盖章）</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代理人（签字或盖章）</w:t>
      </w:r>
    </w:p>
    <w:p>
      <w:pPr>
        <w:pageBreakBefore w:val="0"/>
        <w:widowControl/>
        <w:kinsoku/>
        <w:wordWrap/>
        <w:overflowPunct/>
        <w:topLinePunct w:val="0"/>
        <w:autoSpaceDE/>
        <w:autoSpaceDN/>
        <w:bidi w:val="0"/>
        <w:adjustRightInd w:val="0"/>
        <w:snapToGrid/>
        <w:spacing w:line="300" w:lineRule="auto"/>
        <w:jc w:val="left"/>
        <w:textAlignment w:val="auto"/>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日期：</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color w:val="000000"/>
          <w:sz w:val="36"/>
          <w:szCs w:val="36"/>
          <w:highlight w:val="none"/>
        </w:rPr>
      </w:pPr>
      <w:r>
        <w:rPr>
          <w:rFonts w:hint="eastAsia" w:ascii="宋体" w:hAnsi="宋体" w:eastAsia="宋体" w:cs="宋体"/>
          <w:sz w:val="24"/>
          <w:szCs w:val="24"/>
          <w:highlight w:val="none"/>
        </w:rPr>
        <w:t>1.3具有履行合同所必需的设备和专业技术能力；</w:t>
      </w: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highlight w:val="none"/>
        </w:rPr>
      </w:pPr>
      <w:r>
        <w:rPr>
          <w:rFonts w:hint="eastAsia" w:ascii="宋体" w:hAnsi="宋体" w:eastAsia="宋体" w:cs="宋体"/>
          <w:color w:val="000000"/>
          <w:sz w:val="36"/>
          <w:szCs w:val="36"/>
          <w:highlight w:val="none"/>
        </w:rPr>
        <w:t>供应商具有履行合同所必需的设备或专业技术能力声明</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pageBreakBefore w:val="0"/>
        <w:kinsoku/>
        <w:wordWrap/>
        <w:overflowPunct/>
        <w:topLinePunct w:val="0"/>
        <w:autoSpaceDE/>
        <w:autoSpaceDN/>
        <w:bidi w:val="0"/>
        <w:snapToGrid/>
        <w:spacing w:line="300" w:lineRule="auto"/>
        <w:ind w:left="0" w:leftChars="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我单位（供应商名称）郑重声明：</w:t>
      </w:r>
    </w:p>
    <w:p>
      <w:pPr>
        <w:pageBreakBefore w:val="0"/>
        <w:widowControl/>
        <w:kinsoku/>
        <w:wordWrap/>
        <w:overflowPunct/>
        <w:topLinePunct w:val="0"/>
        <w:autoSpaceDE/>
        <w:autoSpaceDN/>
        <w:bidi w:val="0"/>
        <w:adjustRightInd w:val="0"/>
        <w:snapToGrid/>
        <w:spacing w:line="300" w:lineRule="auto"/>
        <w:ind w:left="0" w:leftChars="0"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我单位具有履行</w:t>
      </w:r>
      <w:r>
        <w:rPr>
          <w:rFonts w:hint="eastAsia" w:ascii="宋体" w:hAnsi="宋体" w:eastAsia="宋体" w:cs="宋体"/>
          <w:b/>
          <w:sz w:val="24"/>
          <w:szCs w:val="24"/>
          <w:highlight w:val="none"/>
          <w:u w:val="single"/>
        </w:rPr>
        <w:t>（项目）</w:t>
      </w:r>
      <w:r>
        <w:rPr>
          <w:rFonts w:hint="eastAsia" w:ascii="宋体" w:hAnsi="宋体" w:eastAsia="宋体" w:cs="宋体"/>
          <w:color w:val="000000"/>
          <w:sz w:val="24"/>
          <w:szCs w:val="24"/>
          <w:highlight w:val="none"/>
        </w:rPr>
        <w:t>合同所必需的设备或专业技术能力。</w:t>
      </w:r>
    </w:p>
    <w:p>
      <w:pPr>
        <w:pStyle w:val="17"/>
        <w:pageBreakBefore w:val="0"/>
        <w:kinsoku/>
        <w:wordWrap/>
        <w:overflowPunct/>
        <w:topLinePunct w:val="0"/>
        <w:autoSpaceDE/>
        <w:autoSpaceDN/>
        <w:bidi w:val="0"/>
        <w:snapToGrid/>
        <w:spacing w:line="300" w:lineRule="auto"/>
        <w:ind w:left="0" w:leftChars="0" w:firstLine="210"/>
        <w:textAlignment w:val="auto"/>
        <w:rPr>
          <w:rFonts w:hint="eastAsia" w:ascii="宋体" w:hAnsi="宋体" w:eastAsia="宋体" w:cs="宋体"/>
          <w:highlight w:val="none"/>
        </w:rPr>
      </w:pP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声明单位（公章）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法定代表人（签字或盖章）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代理人（签字或盖章）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rPr>
      </w:pPr>
      <w:r>
        <w:rPr>
          <w:rFonts w:hint="eastAsia" w:ascii="宋体" w:hAnsi="宋体" w:eastAsia="宋体" w:cs="宋体"/>
          <w:color w:val="000000"/>
          <w:spacing w:val="15"/>
          <w:sz w:val="24"/>
          <w:szCs w:val="24"/>
          <w:highlight w:val="none"/>
        </w:rPr>
        <w:t>日期：</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1.4有依法缴纳税收和社会保障资金的良好记录；</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sz w:val="36"/>
          <w:szCs w:val="36"/>
          <w:highlight w:val="none"/>
        </w:rPr>
      </w:pPr>
      <w:r>
        <w:rPr>
          <w:rFonts w:hint="eastAsia" w:ascii="宋体" w:hAnsi="宋体" w:eastAsia="宋体" w:cs="宋体"/>
          <w:color w:val="000000"/>
          <w:sz w:val="36"/>
          <w:szCs w:val="36"/>
          <w:highlight w:val="none"/>
        </w:rPr>
        <w:t>供应商具有依法缴纳税收和社会保障资金的良好记录声明</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highlight w:val="none"/>
        </w:rPr>
        <w:tab/>
      </w:r>
      <w:r>
        <w:rPr>
          <w:rFonts w:hint="eastAsia" w:ascii="宋体" w:hAnsi="宋体" w:eastAsia="宋体" w:cs="宋体"/>
          <w:sz w:val="24"/>
          <w:szCs w:val="24"/>
          <w:highlight w:val="none"/>
        </w:rPr>
        <w:t>：</w:t>
      </w:r>
    </w:p>
    <w:p>
      <w:pPr>
        <w:pageBreakBefore w:val="0"/>
        <w:kinsoku/>
        <w:wordWrap/>
        <w:overflowPunct/>
        <w:topLinePunct w:val="0"/>
        <w:autoSpaceDE/>
        <w:autoSpaceDN/>
        <w:bidi w:val="0"/>
        <w:snapToGrid/>
        <w:spacing w:line="300" w:lineRule="auto"/>
        <w:ind w:left="0" w:leftChars="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我单位（供应商名称）郑重声明：</w:t>
      </w:r>
    </w:p>
    <w:p>
      <w:pPr>
        <w:pageBreakBefore w:val="0"/>
        <w:widowControl/>
        <w:kinsoku/>
        <w:wordWrap/>
        <w:overflowPunct/>
        <w:topLinePunct w:val="0"/>
        <w:autoSpaceDE/>
        <w:autoSpaceDN/>
        <w:bidi w:val="0"/>
        <w:adjustRightInd w:val="0"/>
        <w:snapToGrid/>
        <w:spacing w:line="300" w:lineRule="auto"/>
        <w:ind w:left="0" w:leftChars="0" w:firstLine="42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我单位具有履行</w:t>
      </w:r>
      <w:r>
        <w:rPr>
          <w:rFonts w:hint="eastAsia" w:ascii="宋体" w:hAnsi="宋体" w:eastAsia="宋体" w:cs="宋体"/>
          <w:b/>
          <w:sz w:val="24"/>
          <w:szCs w:val="24"/>
          <w:highlight w:val="none"/>
          <w:u w:val="single"/>
        </w:rPr>
        <w:t>（项目）</w:t>
      </w:r>
      <w:r>
        <w:rPr>
          <w:rFonts w:hint="eastAsia" w:ascii="宋体" w:hAnsi="宋体" w:eastAsia="宋体" w:cs="宋体"/>
          <w:color w:val="000000"/>
          <w:sz w:val="24"/>
          <w:szCs w:val="24"/>
          <w:highlight w:val="none"/>
        </w:rPr>
        <w:t>合同所必需的依法缴纳税收和社会保障资金的良好记录。</w:t>
      </w:r>
    </w:p>
    <w:p>
      <w:pPr>
        <w:pStyle w:val="15"/>
        <w:pageBreakBefore w:val="0"/>
        <w:kinsoku/>
        <w:wordWrap/>
        <w:overflowPunct/>
        <w:topLinePunct w:val="0"/>
        <w:autoSpaceDE/>
        <w:autoSpaceDN/>
        <w:bidi w:val="0"/>
        <w:snapToGrid/>
        <w:spacing w:after="0" w:line="300" w:lineRule="auto"/>
        <w:ind w:left="0" w:leftChars="0"/>
        <w:textAlignment w:val="auto"/>
        <w:rPr>
          <w:rFonts w:hint="eastAsia" w:ascii="宋体" w:hAnsi="宋体" w:eastAsia="宋体" w:cs="宋体"/>
          <w:highlight w:val="none"/>
          <w:lang w:eastAsia="zh-CN"/>
        </w:rPr>
      </w:pP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声明单位（公章）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法定代表人（签字或盖章）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代理人（签字或盖章）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highlight w:val="none"/>
          <w:lang w:eastAsia="zh-CN"/>
        </w:rPr>
        <w:sect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000000"/>
          <w:spacing w:val="15"/>
          <w:sz w:val="24"/>
          <w:szCs w:val="24"/>
          <w:highlight w:val="none"/>
        </w:rPr>
        <w:t>日</w:t>
      </w:r>
    </w:p>
    <w:p>
      <w:pPr>
        <w:pageBreakBefore w:val="0"/>
        <w:kinsoku/>
        <w:wordWrap/>
        <w:overflowPunct/>
        <w:topLinePunct w:val="0"/>
        <w:autoSpaceDE/>
        <w:autoSpaceDN/>
        <w:bidi w:val="0"/>
        <w:snapToGrid/>
        <w:spacing w:line="300" w:lineRule="auto"/>
        <w:ind w:left="0" w:lef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1.5参加政府采购活动前三年内，在经营活动中没有重大违法记录；</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t>无重大违法记录声明</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p>
      <w:pPr>
        <w:pageBreakBefore w:val="0"/>
        <w:kinsoku/>
        <w:wordWrap/>
        <w:overflowPunct/>
        <w:topLinePunct w:val="0"/>
        <w:autoSpaceDE/>
        <w:autoSpaceDN/>
        <w:bidi w:val="0"/>
        <w:snapToGrid/>
        <w:spacing w:line="30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我单位（供应商名称）郑重声明：</w:t>
      </w:r>
    </w:p>
    <w:p>
      <w:pPr>
        <w:pageBreakBefore w:val="0"/>
        <w:kinsoku/>
        <w:wordWrap/>
        <w:overflowPunct/>
        <w:topLinePunct w:val="0"/>
        <w:autoSpaceDE/>
        <w:autoSpaceDN/>
        <w:bidi w:val="0"/>
        <w:snapToGrid/>
        <w:spacing w:line="30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参加采购活动前3年内在经营活动中（在下划线上如实填写：有或没有）重大违法记录。</w:t>
      </w:r>
    </w:p>
    <w:p>
      <w:pPr>
        <w:pageBreakBefore w:val="0"/>
        <w:kinsoku/>
        <w:wordWrap/>
        <w:overflowPunct/>
        <w:topLinePunct w:val="0"/>
        <w:autoSpaceDE/>
        <w:autoSpaceDN/>
        <w:bidi w:val="0"/>
        <w:snapToGrid/>
        <w:spacing w:line="300" w:lineRule="auto"/>
        <w:ind w:left="0" w:leftChars="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（说明：采购法第二十二条第一款第五项所称重大违法记录，是指供应商因违法经营受到刑事处罚或者责令停产停业、吊销许可证或者执照、较大数额罚款等行政处罚。）</w:t>
      </w:r>
    </w:p>
    <w:p>
      <w:pPr>
        <w:pageBreakBefore w:val="0"/>
        <w:kinsoku/>
        <w:wordWrap/>
        <w:overflowPunct/>
        <w:topLinePunct w:val="0"/>
        <w:autoSpaceDE/>
        <w:autoSpaceDN/>
        <w:bidi w:val="0"/>
        <w:snapToGrid/>
        <w:spacing w:line="300" w:lineRule="auto"/>
        <w:ind w:left="0" w:leftChars="0" w:firstLine="420"/>
        <w:textAlignment w:val="auto"/>
        <w:rPr>
          <w:rFonts w:hint="eastAsia" w:ascii="宋体" w:hAnsi="宋体" w:eastAsia="宋体" w:cs="宋体"/>
          <w:sz w:val="24"/>
          <w:szCs w:val="24"/>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声明人：（公章）</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日期：年月日</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1.6法律、行政法规规定的其他条件：无。</w:t>
      </w: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color w:val="000000"/>
          <w:sz w:val="36"/>
          <w:szCs w:val="36"/>
          <w:highlight w:val="none"/>
        </w:rPr>
      </w:pPr>
    </w:p>
    <w:p>
      <w:pPr>
        <w:pageBreakBefore w:val="0"/>
        <w:kinsoku/>
        <w:wordWrap/>
        <w:overflowPunct/>
        <w:topLinePunct w:val="0"/>
        <w:autoSpaceDE/>
        <w:autoSpaceDN/>
        <w:bidi w:val="0"/>
        <w:snapToGrid/>
        <w:spacing w:line="300" w:lineRule="auto"/>
        <w:ind w:left="0" w:leftChars="0"/>
        <w:jc w:val="center"/>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供应商具有法律、行政法规和采购文件规定的其他条件声明</w:t>
      </w: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highlight w:val="none"/>
        </w:rPr>
      </w:pPr>
    </w:p>
    <w:p>
      <w:pPr>
        <w:pageBreakBefore w:val="0"/>
        <w:kinsoku/>
        <w:wordWrap/>
        <w:overflowPunct/>
        <w:topLinePunct w:val="0"/>
        <w:autoSpaceDE/>
        <w:autoSpaceDN/>
        <w:bidi w:val="0"/>
        <w:snapToGrid/>
        <w:spacing w:line="30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highlight w:val="none"/>
        </w:rPr>
        <w:tab/>
      </w:r>
      <w:r>
        <w:rPr>
          <w:rFonts w:hint="eastAsia" w:ascii="宋体" w:hAnsi="宋体" w:eastAsia="宋体" w:cs="宋体"/>
          <w:sz w:val="24"/>
          <w:szCs w:val="24"/>
          <w:highlight w:val="none"/>
        </w:rPr>
        <w:t>：</w:t>
      </w:r>
    </w:p>
    <w:p>
      <w:pPr>
        <w:pageBreakBefore w:val="0"/>
        <w:kinsoku/>
        <w:wordWrap/>
        <w:overflowPunct/>
        <w:topLinePunct w:val="0"/>
        <w:autoSpaceDE/>
        <w:autoSpaceDN/>
        <w:bidi w:val="0"/>
        <w:snapToGrid/>
        <w:spacing w:line="300" w:lineRule="auto"/>
        <w:ind w:left="0" w:leftChars="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我单位（供应商名称）郑重声明：</w:t>
      </w:r>
    </w:p>
    <w:p>
      <w:pPr>
        <w:pageBreakBefore w:val="0"/>
        <w:widowControl/>
        <w:kinsoku/>
        <w:wordWrap/>
        <w:overflowPunct/>
        <w:topLinePunct w:val="0"/>
        <w:autoSpaceDE/>
        <w:autoSpaceDN/>
        <w:bidi w:val="0"/>
        <w:adjustRightInd w:val="0"/>
        <w:snapToGrid/>
        <w:spacing w:line="300" w:lineRule="auto"/>
        <w:ind w:left="0" w:leftChars="0"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我单位具有履行</w:t>
      </w:r>
      <w:r>
        <w:rPr>
          <w:rFonts w:hint="eastAsia" w:ascii="宋体" w:hAnsi="宋体" w:eastAsia="宋体" w:cs="宋体"/>
          <w:b/>
          <w:sz w:val="24"/>
          <w:szCs w:val="24"/>
          <w:highlight w:val="none"/>
          <w:u w:val="single"/>
        </w:rPr>
        <w:t>（项目）</w:t>
      </w:r>
      <w:r>
        <w:rPr>
          <w:rFonts w:hint="eastAsia" w:ascii="宋体" w:hAnsi="宋体" w:eastAsia="宋体" w:cs="宋体"/>
          <w:color w:val="000000"/>
          <w:sz w:val="24"/>
          <w:szCs w:val="24"/>
          <w:highlight w:val="none"/>
        </w:rPr>
        <w:t>合同所必需的法律、行政法规和采购文件规定的其他条件。</w:t>
      </w:r>
    </w:p>
    <w:p>
      <w:pPr>
        <w:pStyle w:val="17"/>
        <w:pageBreakBefore w:val="0"/>
        <w:kinsoku/>
        <w:wordWrap/>
        <w:overflowPunct/>
        <w:topLinePunct w:val="0"/>
        <w:autoSpaceDE/>
        <w:autoSpaceDN/>
        <w:bidi w:val="0"/>
        <w:snapToGrid/>
        <w:spacing w:line="300" w:lineRule="auto"/>
        <w:ind w:left="0" w:leftChars="0" w:firstLine="210"/>
        <w:textAlignment w:val="auto"/>
        <w:rPr>
          <w:rFonts w:hint="eastAsia" w:ascii="宋体" w:hAnsi="宋体" w:eastAsia="宋体" w:cs="宋体"/>
          <w:highlight w:val="none"/>
        </w:rPr>
      </w:pP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声明单位（公章）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法定代表人（签字或盖章）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color w:val="000000"/>
          <w:spacing w:val="15"/>
          <w:sz w:val="24"/>
          <w:szCs w:val="24"/>
          <w:highlight w:val="none"/>
          <w:u w:val="single"/>
        </w:rPr>
      </w:pPr>
      <w:r>
        <w:rPr>
          <w:rFonts w:hint="eastAsia" w:ascii="宋体" w:hAnsi="宋体" w:eastAsia="宋体" w:cs="宋体"/>
          <w:color w:val="000000"/>
          <w:spacing w:val="15"/>
          <w:sz w:val="24"/>
          <w:szCs w:val="24"/>
          <w:highlight w:val="none"/>
        </w:rPr>
        <w:t>代理人（签字或盖章）</w:t>
      </w:r>
    </w:p>
    <w:p>
      <w:pPr>
        <w:pageBreakBefore w:val="0"/>
        <w:kinsoku/>
        <w:wordWrap/>
        <w:overflowPunct/>
        <w:topLinePunct w:val="0"/>
        <w:autoSpaceDE/>
        <w:autoSpaceDN/>
        <w:bidi w:val="0"/>
        <w:adjustRightInd w:val="0"/>
        <w:snapToGrid/>
        <w:spacing w:line="300" w:lineRule="auto"/>
        <w:ind w:left="0" w:leftChars="0"/>
        <w:textAlignment w:val="auto"/>
        <w:rPr>
          <w:rFonts w:hint="eastAsia" w:ascii="宋体" w:hAnsi="宋体" w:eastAsia="宋体" w:cs="宋体"/>
          <w:b/>
          <w:bCs/>
          <w:color w:val="000000"/>
          <w:spacing w:val="15"/>
          <w:sz w:val="24"/>
          <w:szCs w:val="24"/>
          <w:highlight w:val="none"/>
        </w:rPr>
      </w:pPr>
      <w:r>
        <w:rPr>
          <w:rFonts w:hint="eastAsia" w:ascii="宋体" w:hAnsi="宋体" w:eastAsia="宋体" w:cs="宋体"/>
          <w:color w:val="000000"/>
          <w:spacing w:val="15"/>
          <w:sz w:val="24"/>
          <w:szCs w:val="24"/>
          <w:highlight w:val="none"/>
        </w:rPr>
        <w:t>日期：</w:t>
      </w:r>
    </w:p>
    <w:p>
      <w:pPr>
        <w:spacing w:line="360" w:lineRule="auto"/>
        <w:ind w:left="855"/>
        <w:jc w:val="center"/>
        <w:rPr>
          <w:rFonts w:hint="eastAsia" w:ascii="宋体" w:hAnsi="宋体" w:eastAsia="宋体" w:cs="宋体"/>
          <w:color w:val="2B2A2F"/>
          <w:spacing w:val="-21"/>
          <w:w w:val="110"/>
          <w:kern w:val="0"/>
          <w:sz w:val="24"/>
          <w:szCs w:val="24"/>
          <w:highlight w:val="none"/>
        </w:rPr>
      </w:pPr>
    </w:p>
    <w:p>
      <w:pPr>
        <w:spacing w:line="360" w:lineRule="auto"/>
        <w:ind w:left="855"/>
        <w:jc w:val="center"/>
        <w:rPr>
          <w:rFonts w:hint="eastAsia" w:ascii="宋体" w:hAnsi="宋体" w:eastAsia="宋体" w:cs="宋体"/>
          <w:color w:val="2B2A2F"/>
          <w:spacing w:val="-21"/>
          <w:w w:val="110"/>
          <w:kern w:val="0"/>
          <w:sz w:val="24"/>
          <w:szCs w:val="24"/>
          <w:highlight w:val="none"/>
        </w:rPr>
      </w:pPr>
    </w:p>
    <w:p>
      <w:pPr>
        <w:pStyle w:val="2"/>
        <w:rPr>
          <w:rFonts w:hint="eastAsia" w:ascii="宋体" w:hAnsi="宋体" w:eastAsia="宋体" w:cs="宋体"/>
          <w:color w:val="2B2A2F"/>
          <w:spacing w:val="-21"/>
          <w:w w:val="110"/>
          <w:kern w:val="0"/>
          <w:sz w:val="24"/>
          <w:szCs w:val="24"/>
          <w:highlight w:val="none"/>
        </w:rPr>
      </w:pPr>
    </w:p>
    <w:p>
      <w:pPr>
        <w:pStyle w:val="2"/>
        <w:rPr>
          <w:rFonts w:hint="eastAsia" w:ascii="宋体" w:hAnsi="宋体" w:eastAsia="宋体" w:cs="宋体"/>
          <w:color w:val="2B2A2F"/>
          <w:spacing w:val="-21"/>
          <w:w w:val="110"/>
          <w:kern w:val="0"/>
          <w:sz w:val="24"/>
          <w:szCs w:val="24"/>
          <w:highlight w:val="none"/>
        </w:rPr>
      </w:pPr>
    </w:p>
    <w:p>
      <w:pPr>
        <w:spacing w:line="360" w:lineRule="auto"/>
        <w:ind w:left="855"/>
        <w:jc w:val="center"/>
        <w:rPr>
          <w:rFonts w:hint="eastAsia" w:ascii="宋体" w:hAnsi="宋体" w:eastAsia="宋体" w:cs="宋体"/>
          <w:color w:val="2B2A2F"/>
          <w:spacing w:val="-21"/>
          <w:w w:val="110"/>
          <w:kern w:val="0"/>
          <w:sz w:val="24"/>
          <w:szCs w:val="24"/>
          <w:highlight w:val="none"/>
        </w:rPr>
      </w:pPr>
    </w:p>
    <w:p>
      <w:pPr>
        <w:spacing w:line="360" w:lineRule="auto"/>
        <w:ind w:left="855"/>
        <w:jc w:val="center"/>
        <w:rPr>
          <w:rFonts w:hint="eastAsia" w:ascii="宋体" w:hAnsi="宋体" w:eastAsia="宋体" w:cs="宋体"/>
          <w:color w:val="2B2A2F"/>
          <w:spacing w:val="-21"/>
          <w:w w:val="110"/>
          <w:kern w:val="0"/>
          <w:sz w:val="24"/>
          <w:szCs w:val="24"/>
          <w:highlight w:val="none"/>
        </w:rPr>
      </w:pPr>
    </w:p>
    <w:p>
      <w:pPr>
        <w:pStyle w:val="2"/>
        <w:rPr>
          <w:rFonts w:hint="eastAsia"/>
        </w:rPr>
      </w:pPr>
    </w:p>
    <w:p>
      <w:pPr>
        <w:spacing w:line="360" w:lineRule="auto"/>
        <w:ind w:left="855"/>
        <w:jc w:val="center"/>
        <w:rPr>
          <w:rFonts w:hint="eastAsia" w:ascii="宋体" w:hAnsi="宋体" w:eastAsia="宋体" w:cs="宋体"/>
          <w:color w:val="2B2A2F"/>
          <w:spacing w:val="-21"/>
          <w:w w:val="110"/>
          <w:kern w:val="0"/>
          <w:sz w:val="24"/>
          <w:szCs w:val="24"/>
          <w:highlight w:val="none"/>
        </w:rPr>
      </w:pPr>
    </w:p>
    <w:p>
      <w:pPr>
        <w:spacing w:line="360" w:lineRule="auto"/>
        <w:ind w:left="855"/>
        <w:jc w:val="center"/>
        <w:rPr>
          <w:rFonts w:hint="eastAsia" w:ascii="宋体" w:hAnsi="宋体" w:eastAsia="宋体" w:cs="宋体"/>
          <w:color w:val="2B2A2F"/>
          <w:spacing w:val="-21"/>
          <w:w w:val="110"/>
          <w:kern w:val="0"/>
          <w:sz w:val="24"/>
          <w:szCs w:val="24"/>
          <w:highlight w:val="none"/>
        </w:rPr>
      </w:pPr>
      <w:r>
        <w:rPr>
          <w:rFonts w:hint="eastAsia" w:ascii="宋体" w:hAnsi="宋体" w:eastAsia="宋体" w:cs="宋体"/>
          <w:color w:val="2B2A2F"/>
          <w:spacing w:val="-21"/>
          <w:w w:val="110"/>
          <w:kern w:val="0"/>
          <w:sz w:val="24"/>
          <w:szCs w:val="24"/>
          <w:highlight w:val="none"/>
        </w:rPr>
        <w:t>南京市政府采购供应商信用记录表暨信用承诺书</w:t>
      </w:r>
    </w:p>
    <w:p>
      <w:pPr>
        <w:spacing w:line="360" w:lineRule="auto"/>
        <w:ind w:left="855"/>
        <w:jc w:val="right"/>
        <w:rPr>
          <w:rFonts w:hint="eastAsia" w:ascii="宋体" w:hAnsi="宋体" w:eastAsia="宋体" w:cs="宋体"/>
          <w:color w:val="2B2A2F"/>
          <w:spacing w:val="-21"/>
          <w:w w:val="110"/>
          <w:kern w:val="0"/>
          <w:sz w:val="24"/>
          <w:szCs w:val="24"/>
          <w:highlight w:val="none"/>
        </w:rPr>
      </w:pPr>
      <w:r>
        <w:rPr>
          <w:rFonts w:hint="eastAsia" w:ascii="宋体" w:hAnsi="宋体" w:eastAsia="宋体" w:cs="宋体"/>
          <w:color w:val="2B2A2F"/>
          <w:spacing w:val="-21"/>
          <w:w w:val="110"/>
          <w:kern w:val="0"/>
          <w:sz w:val="24"/>
          <w:szCs w:val="24"/>
          <w:highlight w:val="none"/>
        </w:rPr>
        <w:t>年月日</w:t>
      </w:r>
    </w:p>
    <w:tbl>
      <w:tblPr>
        <w:tblStyle w:val="18"/>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260"/>
        <w:gridCol w:w="2463"/>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tc>
        <w:tc>
          <w:tcPr>
            <w:tcW w:w="3260" w:type="dxa"/>
            <w:noWrap w:val="0"/>
            <w:vAlign w:val="center"/>
          </w:tcPr>
          <w:p>
            <w:pPr>
              <w:spacing w:line="360" w:lineRule="auto"/>
              <w:rPr>
                <w:rFonts w:hint="eastAsia" w:ascii="宋体" w:hAnsi="宋体" w:eastAsia="宋体" w:cs="宋体"/>
                <w:sz w:val="24"/>
                <w:szCs w:val="24"/>
                <w:highlight w:val="none"/>
              </w:rPr>
            </w:pPr>
          </w:p>
        </w:tc>
        <w:tc>
          <w:tcPr>
            <w:tcW w:w="2463"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215"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3260" w:type="dxa"/>
            <w:noWrap w:val="0"/>
            <w:vAlign w:val="center"/>
          </w:tcPr>
          <w:p>
            <w:pPr>
              <w:spacing w:line="360" w:lineRule="auto"/>
              <w:rPr>
                <w:rFonts w:hint="eastAsia" w:ascii="宋体" w:hAnsi="宋体" w:eastAsia="宋体" w:cs="宋体"/>
                <w:sz w:val="24"/>
                <w:szCs w:val="24"/>
                <w:highlight w:val="none"/>
              </w:rPr>
            </w:pPr>
          </w:p>
        </w:tc>
        <w:tc>
          <w:tcPr>
            <w:tcW w:w="2463"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215"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w:t>
            </w:r>
          </w:p>
        </w:tc>
        <w:tc>
          <w:tcPr>
            <w:tcW w:w="3260" w:type="dxa"/>
            <w:noWrap w:val="0"/>
            <w:vAlign w:val="center"/>
          </w:tcPr>
          <w:p>
            <w:pPr>
              <w:spacing w:line="360" w:lineRule="auto"/>
              <w:rPr>
                <w:rFonts w:hint="eastAsia" w:ascii="宋体" w:hAnsi="宋体" w:eastAsia="宋体" w:cs="宋体"/>
                <w:sz w:val="24"/>
                <w:szCs w:val="24"/>
                <w:highlight w:val="none"/>
              </w:rPr>
            </w:pPr>
          </w:p>
        </w:tc>
        <w:tc>
          <w:tcPr>
            <w:tcW w:w="2463"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2215" w:type="dxa"/>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226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诚信档案记录情况</w:t>
            </w:r>
          </w:p>
        </w:tc>
        <w:tc>
          <w:tcPr>
            <w:tcW w:w="7938" w:type="dxa"/>
            <w:gridSpan w:val="3"/>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269"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信用承诺</w:t>
            </w:r>
          </w:p>
        </w:tc>
        <w:tc>
          <w:tcPr>
            <w:tcW w:w="7938" w:type="dxa"/>
            <w:gridSpan w:val="3"/>
            <w:noWrap w:val="0"/>
            <w:vAlign w:val="top"/>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pPr>
              <w:spacing w:line="360" w:lineRule="auto"/>
              <w:ind w:firstLine="4080" w:firstLineChars="17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供应商名称（盖章）：</w:t>
            </w:r>
          </w:p>
          <w:p>
            <w:pPr>
              <w:spacing w:line="360" w:lineRule="auto"/>
              <w:ind w:firstLine="4080" w:firstLineChars="17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法定代表人（签字）：</w:t>
            </w:r>
          </w:p>
          <w:p>
            <w:pPr>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tc>
      </w:tr>
    </w:tbl>
    <w:p>
      <w:pPr>
        <w:pStyle w:val="23"/>
        <w:rPr>
          <w:rFonts w:hint="eastAsia" w:ascii="宋体" w:hAnsi="宋体" w:eastAsia="宋体" w:cs="宋体"/>
          <w:highlight w:val="none"/>
          <w:lang w:eastAsia="zh-CN"/>
        </w:rPr>
      </w:pPr>
    </w:p>
    <w:p>
      <w:pPr>
        <w:pStyle w:val="23"/>
        <w:rPr>
          <w:rFonts w:hint="eastAsia" w:ascii="宋体" w:hAnsi="宋体" w:eastAsia="宋体" w:cs="宋体"/>
          <w:sz w:val="24"/>
          <w:szCs w:val="24"/>
          <w:highlight w:val="none"/>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r>
        <w:rPr>
          <w:rFonts w:hint="eastAsia" w:ascii="宋体" w:hAnsi="宋体" w:eastAsia="宋体" w:cs="宋体"/>
          <w:sz w:val="24"/>
          <w:szCs w:val="24"/>
          <w:highlight w:val="none"/>
        </w:rPr>
        <w:tab/>
      </w:r>
    </w:p>
    <w:bookmarkEnd w:id="26"/>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bookmarkStart w:id="27" w:name="_Toc89686197"/>
      <w:r>
        <w:rPr>
          <w:rFonts w:hint="eastAsia" w:ascii="宋体" w:hAnsi="宋体" w:eastAsia="宋体" w:cs="宋体"/>
          <w:highlight w:val="none"/>
          <w:lang w:val="zh-CN" w:eastAsia="zh-CN"/>
        </w:rPr>
        <w:t>附件</w:t>
      </w:r>
      <w:r>
        <w:rPr>
          <w:rFonts w:hint="eastAsia" w:ascii="宋体" w:hAnsi="宋体" w:eastAsia="宋体" w:cs="宋体"/>
          <w:highlight w:val="none"/>
          <w:lang w:val="en-US" w:eastAsia="zh-CN"/>
        </w:rPr>
        <w:t>九</w:t>
      </w:r>
      <w:r>
        <w:rPr>
          <w:rFonts w:hint="eastAsia" w:ascii="宋体" w:hAnsi="宋体" w:eastAsia="宋体" w:cs="宋体"/>
          <w:highlight w:val="none"/>
          <w:lang w:val="zh-CN" w:eastAsia="zh-CN"/>
        </w:rPr>
        <w:t>：</w:t>
      </w:r>
      <w:r>
        <w:rPr>
          <w:rFonts w:hint="eastAsia" w:ascii="宋体" w:hAnsi="宋体" w:eastAsia="宋体" w:cs="宋体"/>
          <w:highlight w:val="none"/>
          <w:lang w:val="en-US" w:eastAsia="zh-CN"/>
        </w:rPr>
        <w:t>项目方案</w:t>
      </w:r>
    </w:p>
    <w:p>
      <w:pPr>
        <w:pStyle w:val="5"/>
        <w:rPr>
          <w:rFonts w:hint="eastAsia"/>
          <w:highlight w:val="none"/>
          <w:lang w:val="en-US" w:eastAsia="zh-CN"/>
        </w:rPr>
      </w:pPr>
    </w:p>
    <w:p>
      <w:pPr>
        <w:widowControl/>
        <w:adjustRightInd w:val="0"/>
        <w:spacing w:line="240" w:lineRule="atLeast"/>
        <w:ind w:left="210" w:leftChars="100" w:right="567" w:firstLine="562" w:firstLineChars="200"/>
        <w:jc w:val="center"/>
        <w:rPr>
          <w:b/>
          <w:bCs/>
          <w:sz w:val="28"/>
          <w:szCs w:val="28"/>
          <w:highlight w:val="none"/>
        </w:rPr>
      </w:pPr>
      <w:r>
        <w:rPr>
          <w:rFonts w:hint="eastAsia"/>
          <w:b/>
          <w:bCs/>
          <w:sz w:val="28"/>
          <w:szCs w:val="28"/>
          <w:highlight w:val="none"/>
        </w:rPr>
        <w:t>项目服务方案</w:t>
      </w: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5"/>
        <w:rPr>
          <w:rFonts w:hint="eastAsia" w:ascii="宋体" w:hAnsi="宋体" w:eastAsia="宋体" w:cs="宋体"/>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en-US" w:eastAsia="zh-CN"/>
        </w:rPr>
      </w:pPr>
    </w:p>
    <w:p>
      <w:pPr>
        <w:pStyle w:val="5"/>
        <w:rPr>
          <w:rFonts w:hint="eastAsia"/>
          <w:highlight w:val="none"/>
          <w:lang w:val="en-US" w:eastAsia="zh-CN"/>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附件</w:t>
      </w:r>
      <w:r>
        <w:rPr>
          <w:rFonts w:hint="eastAsia" w:ascii="宋体" w:hAnsi="宋体" w:eastAsia="宋体" w:cs="宋体"/>
          <w:highlight w:val="none"/>
          <w:lang w:val="en-US" w:eastAsia="zh-CN"/>
        </w:rPr>
        <w:t>十</w:t>
      </w:r>
      <w:r>
        <w:rPr>
          <w:rFonts w:hint="eastAsia" w:ascii="宋体" w:hAnsi="宋体" w:eastAsia="宋体" w:cs="宋体"/>
          <w:highlight w:val="none"/>
          <w:lang w:val="zh-CN" w:eastAsia="zh-CN"/>
        </w:rPr>
        <w:t>：</w:t>
      </w:r>
      <w:r>
        <w:rPr>
          <w:rFonts w:hint="eastAsia" w:ascii="宋体" w:hAnsi="宋体" w:eastAsia="宋体" w:cs="宋体"/>
          <w:highlight w:val="none"/>
          <w:lang w:val="zh-CN" w:eastAsia="zh-CN"/>
        </w:rPr>
        <w:t>中小企业声明函</w:t>
      </w:r>
      <w:bookmarkEnd w:id="27"/>
    </w:p>
    <w:p>
      <w:pPr>
        <w:pageBreakBefore w:val="0"/>
        <w:widowControl w:val="0"/>
        <w:kinsoku/>
        <w:wordWrap/>
        <w:overflowPunct/>
        <w:topLinePunct w:val="0"/>
        <w:autoSpaceDE w:val="0"/>
        <w:autoSpaceDN w:val="0"/>
        <w:bidi w:val="0"/>
        <w:adjustRightInd w:val="0"/>
        <w:snapToGrid/>
        <w:spacing w:line="300" w:lineRule="auto"/>
        <w:jc w:val="center"/>
        <w:textAlignment w:val="auto"/>
        <w:rPr>
          <w:rFonts w:hint="eastAsia" w:ascii="宋体" w:hAnsi="宋体" w:eastAsia="宋体" w:cs="宋体"/>
          <w:sz w:val="24"/>
          <w:szCs w:val="24"/>
          <w:highlight w:val="none"/>
        </w:rPr>
      </w:pPr>
    </w:p>
    <w:p>
      <w:pPr>
        <w:spacing w:line="360" w:lineRule="auto"/>
        <w:jc w:val="center"/>
        <w:rPr>
          <w:rFonts w:hint="eastAsia"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zh-CN" w:bidi="zh-CN"/>
        </w:rPr>
        <w:t>中小企业声明函（</w:t>
      </w:r>
      <w:r>
        <w:rPr>
          <w:rFonts w:hint="eastAsia" w:ascii="宋体" w:hAnsi="宋体" w:eastAsia="宋体" w:cs="宋体"/>
          <w:b/>
          <w:bCs/>
          <w:color w:val="auto"/>
          <w:kern w:val="0"/>
          <w:sz w:val="24"/>
          <w:szCs w:val="24"/>
          <w:highlight w:val="none"/>
          <w:lang w:val="en-US" w:bidi="zh-CN"/>
        </w:rPr>
        <w:t>服务</w:t>
      </w:r>
      <w:r>
        <w:rPr>
          <w:rFonts w:hint="eastAsia" w:ascii="宋体" w:hAnsi="宋体" w:eastAsia="宋体" w:cs="宋体"/>
          <w:b/>
          <w:bCs/>
          <w:color w:val="auto"/>
          <w:kern w:val="0"/>
          <w:sz w:val="24"/>
          <w:szCs w:val="24"/>
          <w:highlight w:val="none"/>
          <w:lang w:val="zh-CN" w:bidi="zh-CN"/>
        </w:rPr>
        <w:t>）</w:t>
      </w:r>
    </w:p>
    <w:p>
      <w:pPr>
        <w:widowControl/>
        <w:spacing w:line="360" w:lineRule="auto"/>
        <w:ind w:firstLine="480" w:firstLineChars="200"/>
        <w:rPr>
          <w:rFonts w:ascii="宋体" w:hAnsi="宋体"/>
          <w:iCs/>
          <w:sz w:val="24"/>
          <w:szCs w:val="24"/>
          <w:highlight w:val="none"/>
          <w:lang w:eastAsia="zh-CN"/>
        </w:rPr>
      </w:pPr>
      <w:r>
        <w:rPr>
          <w:rFonts w:hint="eastAsia" w:ascii="宋体" w:hAnsi="宋体"/>
          <w:sz w:val="24"/>
          <w:szCs w:val="24"/>
          <w:highlight w:val="none"/>
          <w:lang w:eastAsia="zh-CN" w:bidi="ar"/>
        </w:rPr>
        <w:t>本公司（联合体）郑重声明，根据《政府采购促进中小企业发展管理办法》（财库﹝2020﹞46号）的规定，本公司（联合体）参加</w:t>
      </w:r>
      <w:r>
        <w:rPr>
          <w:rFonts w:hint="eastAsia" w:ascii="宋体" w:hAnsi="宋体"/>
          <w:i/>
          <w:sz w:val="24"/>
          <w:szCs w:val="24"/>
          <w:highlight w:val="none"/>
          <w:u w:val="single"/>
          <w:lang w:eastAsia="zh-CN" w:bidi="ar"/>
        </w:rPr>
        <w:t>（</w:t>
      </w:r>
      <w:r>
        <w:rPr>
          <w:rFonts w:hint="eastAsia" w:ascii="宋体" w:hAnsi="宋体"/>
          <w:iCs/>
          <w:sz w:val="24"/>
          <w:szCs w:val="24"/>
          <w:highlight w:val="none"/>
          <w:u w:val="single"/>
          <w:lang w:eastAsia="zh-CN" w:bidi="ar"/>
        </w:rPr>
        <w:t>单位名称）</w:t>
      </w:r>
      <w:r>
        <w:rPr>
          <w:rFonts w:hint="eastAsia" w:ascii="宋体" w:hAnsi="宋体"/>
          <w:iCs/>
          <w:sz w:val="24"/>
          <w:szCs w:val="24"/>
          <w:highlight w:val="none"/>
          <w:lang w:eastAsia="zh-CN" w:bidi="ar"/>
        </w:rPr>
        <w:t>的</w:t>
      </w:r>
      <w:r>
        <w:rPr>
          <w:rFonts w:hint="eastAsia" w:ascii="宋体" w:hAnsi="宋体"/>
          <w:iCs/>
          <w:sz w:val="24"/>
          <w:szCs w:val="24"/>
          <w:highlight w:val="none"/>
          <w:u w:val="single"/>
          <w:lang w:eastAsia="zh-CN" w:bidi="ar"/>
        </w:rPr>
        <w:t>（项目名称）</w:t>
      </w:r>
      <w:r>
        <w:rPr>
          <w:rFonts w:hint="eastAsia" w:ascii="宋体" w:hAnsi="宋体"/>
          <w:iCs/>
          <w:sz w:val="24"/>
          <w:szCs w:val="24"/>
          <w:highlight w:val="none"/>
          <w:lang w:eastAsia="zh-CN" w:bidi="ar"/>
        </w:rPr>
        <w:t>采购活动，服务全部由符合政策要求的中小企业承接。相关企业（含联合体中的中小企业、签订分包意向协议的中小企业）的具体情况如下：</w:t>
      </w:r>
    </w:p>
    <w:p>
      <w:pPr>
        <w:widowControl/>
        <w:spacing w:line="360" w:lineRule="auto"/>
        <w:ind w:left="218" w:leftChars="104" w:firstLine="240" w:firstLineChars="100"/>
        <w:rPr>
          <w:rFonts w:ascii="宋体" w:hAnsi="宋体"/>
          <w:iCs/>
          <w:sz w:val="24"/>
          <w:szCs w:val="24"/>
          <w:highlight w:val="none"/>
          <w:lang w:eastAsia="zh-CN"/>
        </w:rPr>
      </w:pPr>
      <w:r>
        <w:rPr>
          <w:rFonts w:hint="eastAsia" w:ascii="宋体" w:hAnsi="宋体"/>
          <w:iCs/>
          <w:sz w:val="24"/>
          <w:szCs w:val="24"/>
          <w:highlight w:val="none"/>
          <w:lang w:eastAsia="zh-CN" w:bidi="ar"/>
        </w:rPr>
        <w:t>1.</w:t>
      </w:r>
      <w:r>
        <w:rPr>
          <w:rFonts w:hint="eastAsia" w:ascii="宋体" w:hAnsi="宋体"/>
          <w:iCs/>
          <w:sz w:val="24"/>
          <w:szCs w:val="24"/>
          <w:highlight w:val="none"/>
          <w:u w:val="single"/>
          <w:lang w:eastAsia="zh-CN" w:bidi="ar"/>
        </w:rPr>
        <w:t>（标的名称）</w:t>
      </w:r>
      <w:r>
        <w:rPr>
          <w:rFonts w:hint="eastAsia" w:ascii="宋体" w:hAnsi="宋体"/>
          <w:iCs/>
          <w:sz w:val="24"/>
          <w:szCs w:val="24"/>
          <w:highlight w:val="none"/>
          <w:lang w:eastAsia="zh-CN" w:bidi="ar"/>
        </w:rPr>
        <w:t>，属于</w:t>
      </w:r>
      <w:r>
        <w:rPr>
          <w:rFonts w:hint="eastAsia" w:ascii="宋体" w:hAnsi="宋体"/>
          <w:iCs/>
          <w:sz w:val="24"/>
          <w:szCs w:val="24"/>
          <w:highlight w:val="none"/>
          <w:u w:val="single"/>
          <w:lang w:eastAsia="zh-CN" w:bidi="ar"/>
        </w:rPr>
        <w:t>建筑业（采购文件中明确的所属行业）</w:t>
      </w:r>
      <w:r>
        <w:rPr>
          <w:rFonts w:hint="eastAsia" w:ascii="宋体" w:hAnsi="宋体"/>
          <w:iCs/>
          <w:sz w:val="24"/>
          <w:szCs w:val="24"/>
          <w:highlight w:val="none"/>
          <w:lang w:eastAsia="zh-CN" w:bidi="ar"/>
        </w:rPr>
        <w:t>；承建（承接）企业为</w:t>
      </w:r>
      <w:r>
        <w:rPr>
          <w:rFonts w:hint="eastAsia" w:ascii="宋体" w:hAnsi="宋体"/>
          <w:iCs/>
          <w:sz w:val="24"/>
          <w:szCs w:val="24"/>
          <w:highlight w:val="none"/>
          <w:u w:val="single"/>
          <w:lang w:eastAsia="zh-CN" w:bidi="ar"/>
        </w:rPr>
        <w:t>（企业名称）</w:t>
      </w:r>
      <w:r>
        <w:rPr>
          <w:rFonts w:hint="eastAsia" w:ascii="宋体" w:hAnsi="宋体"/>
          <w:iCs/>
          <w:sz w:val="24"/>
          <w:szCs w:val="24"/>
          <w:highlight w:val="none"/>
          <w:lang w:eastAsia="zh-CN" w:bidi="ar"/>
        </w:rPr>
        <w:t>，从业人员人，营业收入为万元，资产总额为万元</w:t>
      </w:r>
      <w:r>
        <w:rPr>
          <w:rFonts w:hint="eastAsia" w:ascii="宋体" w:hAnsi="宋体"/>
          <w:b/>
          <w:bCs/>
          <w:iCs/>
          <w:sz w:val="24"/>
          <w:szCs w:val="24"/>
          <w:highlight w:val="none"/>
          <w:vertAlign w:val="superscript"/>
          <w:lang w:eastAsia="zh-CN" w:bidi="ar"/>
        </w:rPr>
        <w:t>1</w:t>
      </w:r>
      <w:r>
        <w:rPr>
          <w:rFonts w:hint="eastAsia" w:ascii="宋体" w:hAnsi="宋体"/>
          <w:iCs/>
          <w:sz w:val="24"/>
          <w:szCs w:val="24"/>
          <w:highlight w:val="none"/>
          <w:lang w:eastAsia="zh-CN" w:bidi="ar"/>
        </w:rPr>
        <w:t>，属于</w:t>
      </w:r>
      <w:r>
        <w:rPr>
          <w:rFonts w:hint="eastAsia" w:ascii="宋体" w:hAnsi="宋体"/>
          <w:iCs/>
          <w:sz w:val="24"/>
          <w:szCs w:val="24"/>
          <w:highlight w:val="none"/>
          <w:u w:val="single"/>
          <w:lang w:eastAsia="zh-CN" w:bidi="ar"/>
        </w:rPr>
        <w:t>（中型企业、小型企业、微型企业）</w:t>
      </w:r>
      <w:r>
        <w:rPr>
          <w:rFonts w:hint="eastAsia" w:ascii="宋体" w:hAnsi="宋体"/>
          <w:iCs/>
          <w:sz w:val="24"/>
          <w:szCs w:val="24"/>
          <w:highlight w:val="none"/>
          <w:lang w:eastAsia="zh-CN" w:bidi="ar"/>
        </w:rPr>
        <w:t>；</w:t>
      </w:r>
    </w:p>
    <w:p>
      <w:pPr>
        <w:widowControl/>
        <w:spacing w:line="360" w:lineRule="auto"/>
        <w:ind w:firstLine="720" w:firstLineChars="300"/>
        <w:rPr>
          <w:rFonts w:ascii="宋体" w:hAnsi="宋体"/>
          <w:sz w:val="24"/>
          <w:szCs w:val="24"/>
          <w:highlight w:val="none"/>
          <w:lang w:eastAsia="zh-CN"/>
        </w:rPr>
      </w:pPr>
      <w:r>
        <w:rPr>
          <w:rFonts w:hint="eastAsia" w:ascii="宋体" w:hAnsi="宋体"/>
          <w:sz w:val="24"/>
          <w:szCs w:val="24"/>
          <w:highlight w:val="none"/>
          <w:lang w:eastAsia="zh-CN" w:bidi="ar"/>
        </w:rPr>
        <w:t>……</w:t>
      </w:r>
    </w:p>
    <w:p>
      <w:pPr>
        <w:widowControl/>
        <w:spacing w:line="360" w:lineRule="auto"/>
        <w:ind w:firstLine="480" w:firstLineChars="200"/>
        <w:rPr>
          <w:rFonts w:ascii="宋体" w:hAnsi="宋体"/>
          <w:sz w:val="24"/>
          <w:szCs w:val="24"/>
          <w:highlight w:val="none"/>
          <w:lang w:eastAsia="zh-CN"/>
        </w:rPr>
      </w:pPr>
      <w:r>
        <w:rPr>
          <w:rFonts w:hint="eastAsia" w:ascii="宋体" w:hAnsi="宋体"/>
          <w:sz w:val="24"/>
          <w:szCs w:val="24"/>
          <w:highlight w:val="none"/>
          <w:lang w:eastAsia="zh-CN" w:bidi="ar"/>
        </w:rPr>
        <w:t>以上企业，不属于大企业的分支机构，不存在控股股东为大企业的情形，也不存在与大企业的负责人为同一人的情形。</w:t>
      </w:r>
    </w:p>
    <w:p>
      <w:pPr>
        <w:widowControl/>
        <w:spacing w:line="360" w:lineRule="auto"/>
        <w:ind w:firstLine="480" w:firstLineChars="200"/>
        <w:rPr>
          <w:rFonts w:ascii="宋体" w:hAnsi="宋体"/>
          <w:sz w:val="24"/>
          <w:szCs w:val="24"/>
          <w:highlight w:val="none"/>
          <w:lang w:eastAsia="zh-CN"/>
        </w:rPr>
      </w:pPr>
      <w:r>
        <w:rPr>
          <w:rFonts w:hint="eastAsia" w:ascii="宋体" w:hAnsi="宋体"/>
          <w:sz w:val="24"/>
          <w:szCs w:val="24"/>
          <w:highlight w:val="none"/>
          <w:lang w:eastAsia="zh-CN" w:bidi="ar"/>
        </w:rPr>
        <w:t>本企业对上述声明内容的真实性负责。如有虚假，将依法承担相应责任。</w:t>
      </w:r>
    </w:p>
    <w:p>
      <w:pPr>
        <w:widowControl/>
        <w:spacing w:line="360" w:lineRule="auto"/>
        <w:ind w:firstLine="4080" w:firstLineChars="1700"/>
        <w:rPr>
          <w:rFonts w:ascii="宋体" w:hAnsi="宋体"/>
          <w:sz w:val="24"/>
          <w:szCs w:val="24"/>
          <w:highlight w:val="none"/>
          <w:lang w:eastAsia="zh-CN"/>
        </w:rPr>
      </w:pPr>
      <w:r>
        <w:rPr>
          <w:rFonts w:hint="eastAsia" w:ascii="宋体" w:hAnsi="宋体"/>
          <w:sz w:val="24"/>
          <w:szCs w:val="24"/>
          <w:highlight w:val="none"/>
          <w:lang w:eastAsia="zh-CN" w:bidi="ar"/>
        </w:rPr>
        <w:t>供应商（盖章）：</w:t>
      </w:r>
    </w:p>
    <w:p>
      <w:pPr>
        <w:widowControl/>
        <w:spacing w:line="360" w:lineRule="auto"/>
        <w:ind w:firstLine="4080" w:firstLineChars="1700"/>
        <w:rPr>
          <w:rFonts w:ascii="宋体" w:hAnsi="宋体"/>
          <w:sz w:val="24"/>
          <w:szCs w:val="24"/>
          <w:highlight w:val="none"/>
          <w:lang w:eastAsia="zh-CN"/>
        </w:rPr>
      </w:pPr>
      <w:r>
        <w:rPr>
          <w:rFonts w:hint="eastAsia" w:ascii="宋体" w:hAnsi="宋体"/>
          <w:sz w:val="24"/>
          <w:szCs w:val="24"/>
          <w:highlight w:val="none"/>
          <w:lang w:eastAsia="zh-CN" w:bidi="ar"/>
        </w:rPr>
        <w:t>日期：</w:t>
      </w:r>
    </w:p>
    <w:p>
      <w:pPr>
        <w:widowControl/>
        <w:spacing w:line="360" w:lineRule="auto"/>
        <w:ind w:firstLine="241" w:firstLineChars="100"/>
        <w:rPr>
          <w:rFonts w:ascii="宋体" w:hAnsi="宋体"/>
          <w:sz w:val="24"/>
          <w:szCs w:val="24"/>
          <w:highlight w:val="none"/>
          <w:lang w:eastAsia="zh-CN" w:bidi="ar"/>
        </w:rPr>
      </w:pPr>
      <w:r>
        <w:rPr>
          <w:rFonts w:hint="eastAsia" w:ascii="宋体" w:hAnsi="宋体"/>
          <w:b/>
          <w:bCs/>
          <w:sz w:val="24"/>
          <w:szCs w:val="24"/>
          <w:highlight w:val="none"/>
          <w:vertAlign w:val="superscript"/>
          <w:lang w:eastAsia="zh-CN" w:bidi="ar"/>
        </w:rPr>
        <w:t>1</w:t>
      </w:r>
      <w:r>
        <w:rPr>
          <w:rFonts w:hint="eastAsia" w:ascii="宋体" w:hAnsi="宋体"/>
          <w:sz w:val="24"/>
          <w:szCs w:val="24"/>
          <w:highlight w:val="none"/>
          <w:lang w:eastAsia="zh-CN" w:bidi="ar"/>
        </w:rPr>
        <w:t>从业人员、营业收入、资产总额填报上一年度数据，无上一年度数据的新成立企业可不填报。</w:t>
      </w:r>
    </w:p>
    <w:p>
      <w:pPr>
        <w:pStyle w:val="12"/>
        <w:spacing w:line="360" w:lineRule="auto"/>
        <w:rPr>
          <w:rFonts w:hAnsi="宋体" w:cs="宋体"/>
          <w:sz w:val="24"/>
          <w:szCs w:val="24"/>
          <w:highlight w:val="none"/>
        </w:rPr>
      </w:pPr>
    </w:p>
    <w:p>
      <w:pPr>
        <w:pStyle w:val="12"/>
        <w:spacing w:line="360" w:lineRule="auto"/>
        <w:ind w:firstLine="480" w:firstLineChars="200"/>
        <w:rPr>
          <w:rFonts w:hAnsi="宋体" w:cs="宋体"/>
          <w:sz w:val="24"/>
          <w:szCs w:val="24"/>
          <w:highlight w:val="none"/>
        </w:rPr>
      </w:pPr>
      <w:r>
        <w:rPr>
          <w:rFonts w:hint="eastAsia" w:hAnsi="宋体" w:cs="宋体"/>
          <w:sz w:val="24"/>
          <w:szCs w:val="24"/>
          <w:highlight w:val="none"/>
        </w:rPr>
        <w:t>备注：</w:t>
      </w:r>
    </w:p>
    <w:p>
      <w:pPr>
        <w:pStyle w:val="12"/>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1.填写前请认真阅读《工业和信息化部　国家统计局　国家发展和改革委员会　财政部关于印发中小企业划型标准规定的通知》(工信部联企业〔2011〕300号)和《财政部　工业和信息化部关于印发〈政府采购促进中小企业发展管理办法〉的通知》(财库〔2020〕46号)相关规定。</w:t>
      </w:r>
    </w:p>
    <w:p>
      <w:pPr>
        <w:autoSpaceDE w:val="0"/>
        <w:autoSpaceDN w:val="0"/>
        <w:adjustRightInd w:val="0"/>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2.授权用投标专用章的，与公章具有相同法律效力。</w:t>
      </w:r>
    </w:p>
    <w:p>
      <w:pPr>
        <w:pageBreakBefore w:val="0"/>
        <w:widowControl w:val="0"/>
        <w:kinsoku/>
        <w:wordWrap/>
        <w:overflowPunct/>
        <w:topLinePunct w:val="0"/>
        <w:autoSpaceDE w:val="0"/>
        <w:autoSpaceDN w:val="0"/>
        <w:bidi w:val="0"/>
        <w:adjustRightInd w:val="0"/>
        <w:snapToGrid/>
        <w:spacing w:line="300" w:lineRule="auto"/>
        <w:textAlignment w:val="auto"/>
        <w:rPr>
          <w:rFonts w:hint="eastAsia" w:ascii="宋体" w:hAnsi="宋体" w:eastAsia="宋体" w:cs="宋体"/>
          <w:sz w:val="24"/>
          <w:szCs w:val="24"/>
          <w:highlight w:val="none"/>
        </w:rPr>
      </w:pPr>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zh-CN" w:eastAsia="zh-CN"/>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bookmarkStart w:id="28" w:name="_Toc89686198"/>
    </w:p>
    <w:p>
      <w:pPr>
        <w:pStyle w:val="4"/>
        <w:pageBreakBefore w:val="0"/>
        <w:widowControl w:val="0"/>
        <w:kinsoku/>
        <w:wordWrap/>
        <w:overflowPunct/>
        <w:topLinePunct w:val="0"/>
        <w:bidi w:val="0"/>
        <w:snapToGrid/>
        <w:spacing w:before="0" w:after="0" w:line="300" w:lineRule="auto"/>
        <w:textAlignment w:val="auto"/>
        <w:rPr>
          <w:rFonts w:hint="eastAsia" w:ascii="宋体" w:hAnsi="宋体" w:eastAsia="宋体" w:cs="宋体"/>
          <w:highlight w:val="none"/>
          <w:lang w:val="zh-CN" w:eastAsia="zh-CN"/>
        </w:rPr>
      </w:pPr>
      <w:r>
        <w:rPr>
          <w:rFonts w:hint="eastAsia" w:ascii="宋体" w:hAnsi="宋体" w:eastAsia="宋体" w:cs="宋体"/>
          <w:highlight w:val="none"/>
          <w:lang w:val="zh-CN" w:eastAsia="zh-CN"/>
        </w:rPr>
        <w:t>附件</w:t>
      </w:r>
      <w:r>
        <w:rPr>
          <w:rFonts w:hint="eastAsia" w:ascii="宋体" w:hAnsi="宋体" w:eastAsia="宋体" w:cs="宋体"/>
          <w:highlight w:val="none"/>
          <w:lang w:val="en-US" w:eastAsia="zh-CN"/>
        </w:rPr>
        <w:t>十一</w:t>
      </w:r>
      <w:r>
        <w:rPr>
          <w:rFonts w:hint="eastAsia" w:ascii="宋体" w:hAnsi="宋体" w:eastAsia="宋体" w:cs="宋体"/>
          <w:highlight w:val="none"/>
          <w:lang w:val="zh-CN" w:eastAsia="zh-CN"/>
        </w:rPr>
        <w:t>：残疾人福利性单位声明函（如有）</w:t>
      </w:r>
      <w:bookmarkEnd w:id="28"/>
    </w:p>
    <w:p>
      <w:pPr>
        <w:pStyle w:val="5"/>
        <w:rPr>
          <w:rFonts w:hint="eastAsia"/>
          <w:highlight w:val="none"/>
        </w:rPr>
      </w:pPr>
    </w:p>
    <w:p>
      <w:pPr>
        <w:autoSpaceDE w:val="0"/>
        <w:autoSpaceDN w:val="0"/>
        <w:adjustRightInd w:val="0"/>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本单位郑重声明，根据《财政部民政部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autoSpaceDE w:val="0"/>
        <w:autoSpaceDN w:val="0"/>
        <w:adjustRightInd w:val="0"/>
        <w:spacing w:line="360" w:lineRule="auto"/>
        <w:rPr>
          <w:rFonts w:hint="eastAsia" w:ascii="宋体" w:hAnsi="宋体"/>
          <w:sz w:val="24"/>
          <w:szCs w:val="24"/>
          <w:highlight w:val="none"/>
          <w:lang w:eastAsia="zh-CN"/>
        </w:rPr>
      </w:pPr>
    </w:p>
    <w:p>
      <w:pPr>
        <w:autoSpaceDE w:val="0"/>
        <w:autoSpaceDN w:val="0"/>
        <w:adjustRightInd w:val="0"/>
        <w:spacing w:line="360" w:lineRule="auto"/>
        <w:ind w:firstLine="5280" w:firstLineChars="2200"/>
        <w:rPr>
          <w:rFonts w:hint="eastAsia" w:ascii="宋体" w:hAnsi="宋体"/>
          <w:sz w:val="24"/>
          <w:szCs w:val="24"/>
          <w:highlight w:val="none"/>
          <w:lang w:eastAsia="zh-CN"/>
        </w:rPr>
      </w:pPr>
      <w:r>
        <w:rPr>
          <w:rFonts w:hint="eastAsia" w:ascii="宋体" w:hAnsi="宋体"/>
          <w:sz w:val="24"/>
          <w:szCs w:val="24"/>
          <w:highlight w:val="none"/>
          <w:lang w:eastAsia="zh-CN"/>
        </w:rPr>
        <w:t>供应商（盖章）：</w:t>
      </w:r>
    </w:p>
    <w:p>
      <w:pPr>
        <w:autoSpaceDE w:val="0"/>
        <w:autoSpaceDN w:val="0"/>
        <w:adjustRightInd w:val="0"/>
        <w:spacing w:line="360" w:lineRule="auto"/>
        <w:ind w:firstLine="5280" w:firstLineChars="2200"/>
        <w:rPr>
          <w:rFonts w:hint="eastAsia" w:ascii="宋体" w:hAnsi="宋体"/>
          <w:sz w:val="24"/>
          <w:szCs w:val="24"/>
          <w:highlight w:val="none"/>
          <w:lang w:eastAsia="zh-CN"/>
        </w:rPr>
      </w:pPr>
      <w:r>
        <w:rPr>
          <w:rFonts w:hint="eastAsia" w:ascii="宋体" w:hAnsi="宋体"/>
          <w:sz w:val="24"/>
          <w:szCs w:val="24"/>
          <w:highlight w:val="none"/>
          <w:lang w:eastAsia="zh-CN"/>
        </w:rPr>
        <w:t>日期：</w:t>
      </w:r>
    </w:p>
    <w:p>
      <w:pPr>
        <w:widowControl/>
        <w:spacing w:line="360" w:lineRule="auto"/>
        <w:rPr>
          <w:rFonts w:ascii="宋体" w:hAnsi="宋体"/>
          <w:b/>
          <w:sz w:val="24"/>
          <w:szCs w:val="24"/>
          <w:highlight w:val="none"/>
          <w:lang w:eastAsia="zh-CN"/>
        </w:rPr>
      </w:pPr>
    </w:p>
    <w:p>
      <w:pPr>
        <w:pStyle w:val="23"/>
        <w:ind w:firstLine="482"/>
        <w:rPr>
          <w:b/>
          <w:sz w:val="24"/>
          <w:szCs w:val="24"/>
          <w:highlight w:val="none"/>
          <w:lang w:eastAsia="zh-CN"/>
        </w:rPr>
      </w:pPr>
    </w:p>
    <w:p>
      <w:pPr>
        <w:autoSpaceDE w:val="0"/>
        <w:autoSpaceDN w:val="0"/>
        <w:adjustRightInd w:val="0"/>
        <w:spacing w:line="360" w:lineRule="auto"/>
        <w:jc w:val="center"/>
        <w:rPr>
          <w:rFonts w:hint="eastAsia" w:ascii="宋体" w:hAnsi="宋体" w:cs="ˎ̥"/>
          <w:b/>
          <w:sz w:val="24"/>
          <w:szCs w:val="24"/>
          <w:highlight w:val="none"/>
          <w:lang w:eastAsia="zh-CN"/>
        </w:rPr>
      </w:pPr>
      <w:r>
        <w:rPr>
          <w:rFonts w:hint="eastAsia" w:ascii="宋体" w:hAnsi="宋体" w:cs="ˎ̥"/>
          <w:b/>
          <w:sz w:val="24"/>
          <w:szCs w:val="24"/>
          <w:highlight w:val="none"/>
          <w:lang w:eastAsia="zh-CN"/>
        </w:rPr>
        <w:t>属于监狱企业的证明文件</w:t>
      </w:r>
    </w:p>
    <w:p>
      <w:pPr>
        <w:autoSpaceDE w:val="0"/>
        <w:autoSpaceDN w:val="0"/>
        <w:adjustRightInd w:val="0"/>
        <w:spacing w:line="360" w:lineRule="auto"/>
        <w:jc w:val="center"/>
        <w:rPr>
          <w:rFonts w:hint="eastAsia" w:ascii="宋体" w:hAnsi="宋体" w:cs="ˎ̥"/>
          <w:bCs/>
          <w:highlight w:val="none"/>
          <w:lang w:eastAsia="zh-CN"/>
        </w:rPr>
      </w:pPr>
      <w:r>
        <w:rPr>
          <w:rFonts w:hint="eastAsia" w:ascii="宋体" w:hAnsi="宋体" w:cs="ˎ̥"/>
          <w:bCs/>
          <w:sz w:val="24"/>
          <w:szCs w:val="24"/>
          <w:highlight w:val="none"/>
          <w:lang w:eastAsia="zh-CN"/>
        </w:rPr>
        <w:t>（提供由省级以上监狱管理局、戒毒管理局(含新疆生产建设兵团)出具的属于监狱企业的证明文件）</w:t>
      </w:r>
    </w:p>
    <w:p>
      <w:pPr>
        <w:pStyle w:val="2"/>
        <w:tabs>
          <w:tab w:val="left" w:pos="6871"/>
          <w:tab w:val="left" w:pos="7831"/>
        </w:tabs>
        <w:spacing w:before="36" w:line="355" w:lineRule="auto"/>
        <w:ind w:left="0" w:right="1233"/>
        <w:rPr>
          <w:b/>
          <w:bCs/>
          <w:sz w:val="21"/>
          <w:szCs w:val="21"/>
          <w:highlight w:val="none"/>
          <w:lang w:eastAsia="zh-CN"/>
        </w:rPr>
        <w:sectPr>
          <w:endnotePr>
            <w:numFmt w:val="decimal"/>
          </w:endnotePr>
          <w:pgSz w:w="12240" w:h="15840"/>
          <w:pgMar w:top="1083" w:right="1440" w:bottom="1083" w:left="1440" w:header="720" w:footer="720" w:gutter="0"/>
          <w:paperSrc/>
          <w:pgBorders>
            <w:top w:val="none" w:sz="0" w:space="0"/>
            <w:left w:val="none" w:sz="0" w:space="0"/>
            <w:bottom w:val="none" w:sz="0" w:space="0"/>
            <w:right w:val="none" w:sz="0" w:space="0"/>
          </w:pgBorders>
          <w:pgNumType w:fmt="decimal"/>
          <w:cols w:space="720" w:num="1"/>
          <w:rtlGutter w:val="0"/>
          <w:docGrid w:linePitch="0" w:charSpace="0"/>
        </w:sectPr>
      </w:pPr>
    </w:p>
    <w:p>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附件十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承诺函</w:t>
      </w:r>
    </w:p>
    <w:p>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p>
    <w:p>
      <w:pPr>
        <w:widowControl/>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根据贵方</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（项目名称）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（采购编号）采购邀请，我公司郑重承诺：</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参加本次采购活动不同供应商的负责人不为同一人，或不同供应商之间存在直接控股、管理关系的；</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被信用中国网站、中国政府采购网站列入失信被执行人名单、重大税收违法案件当事人名单、政府采购严重违法失信行为记录名单及《南京市政府采购供应商信用管理工作暂行办法》宁财规[2018]10号第十一条、十二条所列严重失信行为情形的供应商；</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（2）不为本采购项目提供规范编制，以及项目管理、监理、检测等服务；</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未被信用中国网站、中国政府采购网站列入失信被执行人名单、重大税收违法案件当事人名单、政府采购严重违法失信行为记录名单及《南京市政府采购供应商信用管理工作暂行办法》宁财规[2018]10号第十一条、十二条所列严重失信行为情形的供应商；</w:t>
      </w:r>
    </w:p>
    <w:p>
      <w:pPr>
        <w:widowControl/>
        <w:snapToGrid w:val="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本公司对上述承诺的真实性负责。如有虚假，将依法承担相应责任。</w:t>
      </w:r>
    </w:p>
    <w:p>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（盖章）</w:t>
      </w:r>
    </w:p>
    <w:p>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法定代表人或授权代表（签字或签章）：</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日</w:t>
      </w:r>
    </w:p>
    <w:p>
      <w:pPr>
        <w:pStyle w:val="4"/>
        <w:bidi w:val="0"/>
        <w:rPr>
          <w:rFonts w:hint="eastAsia" w:ascii="宋体" w:hAnsi="宋体" w:eastAsia="宋体" w:cs="宋体"/>
          <w:highlight w:val="none"/>
        </w:rPr>
        <w:sectPr>
          <w:pgSz w:w="12240" w:h="15840"/>
          <w:pgMar w:top="1083" w:right="1440" w:bottom="1083" w:left="1440" w:header="720" w:footer="720" w:gutter="0"/>
          <w:paperSrc/>
          <w:pgNumType w:fmt="decimal"/>
          <w:cols w:space="720" w:num="1"/>
          <w:rtlGutter w:val="0"/>
          <w:docGrid w:linePitch="312" w:charSpace="0"/>
        </w:sectPr>
      </w:pPr>
    </w:p>
    <w:p>
      <w:pPr>
        <w:pStyle w:val="4"/>
        <w:bidi w:val="0"/>
        <w:rPr>
          <w:rFonts w:hint="eastAsia" w:ascii="宋体" w:hAnsi="宋体" w:eastAsia="宋体" w:cs="宋体"/>
          <w:highlight w:val="none"/>
        </w:rPr>
      </w:pPr>
      <w:r>
        <w:rPr>
          <w:rFonts w:hint="eastAsia" w:ascii="宋体" w:hAnsi="宋体" w:eastAsia="宋体" w:cs="宋体"/>
          <w:highlight w:val="none"/>
        </w:rPr>
        <w:t>附件</w:t>
      </w:r>
      <w:r>
        <w:rPr>
          <w:rFonts w:hint="eastAsia" w:ascii="宋体" w:hAnsi="宋体" w:eastAsia="宋体" w:cs="宋体"/>
          <w:highlight w:val="none"/>
          <w:lang w:eastAsia="zh-CN"/>
        </w:rPr>
        <w:t>十</w:t>
      </w:r>
      <w:r>
        <w:rPr>
          <w:rFonts w:hint="eastAsia" w:ascii="宋体" w:hAnsi="宋体" w:eastAsia="宋体" w:cs="宋体"/>
          <w:highlight w:val="none"/>
          <w:lang w:val="en-US" w:eastAsia="zh-CN"/>
        </w:rPr>
        <w:t>三</w:t>
      </w:r>
      <w:r>
        <w:rPr>
          <w:rFonts w:hint="eastAsia" w:ascii="宋体" w:hAnsi="宋体" w:eastAsia="宋体" w:cs="宋体"/>
          <w:highlight w:val="none"/>
        </w:rPr>
        <w:t>、投标人认为需要提供的其他相关材料：</w:t>
      </w:r>
    </w:p>
    <w:p>
      <w:pPr>
        <w:widowControl/>
        <w:numPr>
          <w:ilvl w:val="0"/>
          <w:numId w:val="0"/>
        </w:numPr>
        <w:snapToGrid w:val="0"/>
        <w:spacing w:line="360" w:lineRule="auto"/>
        <w:rPr>
          <w:rFonts w:hint="default" w:ascii="宋体" w:hAnsi="宋体" w:eastAsia="宋体" w:cs="宋体"/>
          <w:bCs/>
          <w:color w:val="auto"/>
          <w:sz w:val="24"/>
          <w:szCs w:val="24"/>
          <w:highlight w:val="none"/>
          <w:lang w:val="en-US" w:eastAsia="zh-CN"/>
        </w:rPr>
      </w:pPr>
    </w:p>
    <w:sectPr>
      <w:pgSz w:w="12240" w:h="15840"/>
      <w:pgMar w:top="1083" w:right="1440" w:bottom="1083" w:left="1440" w:header="720" w:footer="720" w:gutter="0"/>
      <w:paperSrc/>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Times New Roman" w:hAnsi="Times New Roman" w:eastAsia="仿宋_GB2312" w:cs="Times New Roman"/>
        <w:kern w:val="2"/>
        <w:sz w:val="24"/>
        <w:szCs w:val="18"/>
        <w:lang w:val="en-US" w:eastAsia="zh-CN" w:bidi="ar-SA"/>
      </w:rPr>
    </w:pP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- 5 -</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KPtg1bQAQAAogMAAA4AAAAAAAAAAQAgAAAAHwEAAGRy&#10;cy9lMm9Eb2MueG1sUEsFBgAAAAAGAAYAWQEAAGE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- 5 -</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w:t>
                    </w:r>
                  </w:p>
                </w:txbxContent>
              </v:textbox>
            </v:shape>
          </w:pict>
        </mc:Fallback>
      </mc:AlternateContent>
    </w:r>
    <w:r>
      <w:rPr>
        <w:rFonts w:ascii="Times New Roman" w:hAnsi="Times New Roman" w:eastAsia="宋体" w:cs="Times New Roman"/>
        <w:kern w:val="2"/>
        <w:sz w:val="24"/>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ascii="Times New Roman" w:hAnsi="Times New Roman" w:eastAsia="宋体" w:cs="Times New Roma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R3T+f80BAACpAwAADgAAAAAAAAABACAAAAAeAQAAZHJzL2Uy&#10;b0RvYy54bWxQSwUGAAAAAAYABgBZAQAAXQUAAAAA&#10;">
              <v:fill on="f" focussize="0,0"/>
              <v:stroke on="f"/>
              <v:imagedata o:title=""/>
              <o:lock v:ext="edit" aspectratio="f"/>
              <v:textbox inset="0mm,0mm,0mm,0mm" style="mso-fit-shape-to-text:t;">
                <w:txbxContent>
                  <w:p>
                    <w:pPr>
                      <w:rPr>
                        <w:rFonts w:ascii="Times New Roman" w:hAnsi="Times New Roman" w:eastAsia="宋体" w:cs="Times New Roma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第</w:t>
                          </w:r>
                          <w:r>
                            <w:fldChar w:fldCharType="begin"/>
                          </w:r>
                          <w:r>
                            <w:instrText xml:space="preserve"> PAGE  \* MERGEFORMAT </w:instrText>
                          </w:r>
                          <w:r>
                            <w:fldChar w:fldCharType="separate"/>
                          </w:r>
                          <w:r>
                            <w:t>9</w:t>
                          </w:r>
                          <w:r>
                            <w:fldChar w:fldCharType="end"/>
                          </w:r>
                          <w:r>
                            <w:t>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pPr>
                      <w:pStyle w:val="13"/>
                    </w:pPr>
                    <w:r>
                      <w:t>第</w:t>
                    </w:r>
                    <w:r>
                      <w:fldChar w:fldCharType="begin"/>
                    </w:r>
                    <w:r>
                      <w:instrText xml:space="preserve"> PAGE  \* MERGEFORMAT </w:instrText>
                    </w:r>
                    <w:r>
                      <w:fldChar w:fldCharType="separate"/>
                    </w:r>
                    <w:r>
                      <w:t>9</w:t>
                    </w:r>
                    <w:r>
                      <w:fldChar w:fldCharType="end"/>
                    </w:r>
                    <w:r>
                      <w:t>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10095230</wp:posOffset>
              </wp:positionV>
              <wp:extent cx="202501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025015" cy="158115"/>
                      </a:xfrm>
                      <a:prstGeom prst="rect">
                        <a:avLst/>
                      </a:prstGeom>
                      <a:noFill/>
                      <a:ln>
                        <a:noFill/>
                      </a:ln>
                      <a:effectLst/>
                    </wps:spPr>
                    <wps:txbx>
                      <w:txbxContent>
                        <w:p>
                          <w:pPr>
                            <w:spacing w:line="229" w:lineRule="exact"/>
                            <w:rPr>
                              <w:rFonts w:ascii="楷体" w:hAnsi="楷体" w:eastAsia="楷体" w:cs="楷体"/>
                              <w:sz w:val="21"/>
                              <w:szCs w:val="21"/>
                            </w:rPr>
                          </w:pPr>
                        </w:p>
                      </w:txbxContent>
                    </wps:txbx>
                    <wps:bodyPr wrap="square" lIns="0" tIns="0" rIns="0" bIns="0" upright="1"/>
                  </wps:wsp>
                </a:graphicData>
              </a:graphic>
            </wp:anchor>
          </w:drawing>
        </mc:Choice>
        <mc:Fallback>
          <w:pict>
            <v:shape id="_x0000_s1026" o:spid="_x0000_s1026" o:spt="202" type="#_x0000_t202" style="position:absolute;left:0pt;margin-left:69.9pt;margin-top:794.9pt;height:12.45pt;width:159.45pt;mso-position-horizontal-relative:page;mso-position-vertical-relative:page;z-index:-251657216;mso-width-relative:page;mso-height-relative:page;" filled="f" stroked="f" coordsize="21600,21600" o:gfxdata="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TBlmZ2gAAAA0BAAAPAAAAAAAAAAEAIAAAACIAAABkcnMv&#10;ZG93bnJldi54bWxQSwECFAAUAAAACACHTuJAMklJeMgBAACQAwAADgAAAAAAAAABACAAAAApAQAA&#10;ZHJzL2Uyb0RvYy54bWxQSwUGAAAAAAYABgBZAQAAYwUAAAAA&#10;">
              <v:fill on="f" focussize="0,0"/>
              <v:stroke on="f"/>
              <v:imagedata o:title=""/>
              <o:lock v:ext="edit" aspectratio="f"/>
              <v:textbox inset="0mm,0mm,0mm,0mm">
                <w:txbxContent>
                  <w:p>
                    <w:pPr>
                      <w:spacing w:line="229" w:lineRule="exact"/>
                      <w:rPr>
                        <w:rFonts w:ascii="楷体" w:hAnsi="楷体" w:eastAsia="楷体" w:cs="楷体"/>
                        <w:sz w:val="21"/>
                        <w:szCs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left"/>
      <w:rPr>
        <w:rFonts w:hint="default" w:ascii="Times New Roman" w:hAnsi="Times New Roman" w:eastAsia="宋体" w:cs="Times New Roman"/>
        <w:kern w:val="2"/>
        <w:sz w:val="21"/>
        <w:szCs w:val="21"/>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CD570"/>
    <w:multiLevelType w:val="singleLevel"/>
    <w:tmpl w:val="A3DCD570"/>
    <w:lvl w:ilvl="0" w:tentative="0">
      <w:start w:val="1"/>
      <w:numFmt w:val="chineseCounting"/>
      <w:suff w:val="nothing"/>
      <w:lvlText w:val="%1、"/>
      <w:lvlJc w:val="left"/>
      <w:rPr>
        <w:rFonts w:hint="eastAsia"/>
      </w:rPr>
    </w:lvl>
  </w:abstractNum>
  <w:abstractNum w:abstractNumId="1">
    <w:nsid w:val="E4866DFE"/>
    <w:multiLevelType w:val="singleLevel"/>
    <w:tmpl w:val="E4866DFE"/>
    <w:lvl w:ilvl="0" w:tentative="0">
      <w:start w:val="2"/>
      <w:numFmt w:val="decimal"/>
      <w:suff w:val="nothing"/>
      <w:lvlText w:val="%1、"/>
      <w:lvlJc w:val="left"/>
    </w:lvl>
  </w:abstractNum>
  <w:abstractNum w:abstractNumId="2">
    <w:nsid w:val="ECBCB03C"/>
    <w:multiLevelType w:val="singleLevel"/>
    <w:tmpl w:val="ECBCB03C"/>
    <w:lvl w:ilvl="0" w:tentative="0">
      <w:start w:val="2"/>
      <w:numFmt w:val="decimal"/>
      <w:lvlText w:val="%1."/>
      <w:lvlJc w:val="left"/>
      <w:pPr>
        <w:tabs>
          <w:tab w:val="left" w:pos="312"/>
        </w:tabs>
      </w:pPr>
    </w:lvl>
  </w:abstractNum>
  <w:abstractNum w:abstractNumId="3">
    <w:nsid w:val="F74088A0"/>
    <w:multiLevelType w:val="singleLevel"/>
    <w:tmpl w:val="F74088A0"/>
    <w:lvl w:ilvl="0" w:tentative="0">
      <w:start w:val="5"/>
      <w:numFmt w:val="chineseCounting"/>
      <w:suff w:val="space"/>
      <w:lvlText w:val="第%1章"/>
      <w:lvlJc w:val="left"/>
      <w:rPr>
        <w:rFonts w:hint="eastAsia"/>
      </w:rPr>
    </w:lvl>
  </w:abstractNum>
  <w:abstractNum w:abstractNumId="4">
    <w:nsid w:val="08CCEA17"/>
    <w:multiLevelType w:val="singleLevel"/>
    <w:tmpl w:val="08CCEA17"/>
    <w:lvl w:ilvl="0" w:tentative="0">
      <w:start w:val="6"/>
      <w:numFmt w:val="decimal"/>
      <w:suff w:val="nothing"/>
      <w:lvlText w:val="（%1）"/>
      <w:lvlJc w:val="left"/>
    </w:lvl>
  </w:abstractNum>
  <w:abstractNum w:abstractNumId="5">
    <w:nsid w:val="34333F65"/>
    <w:multiLevelType w:val="multilevel"/>
    <w:tmpl w:val="34333F65"/>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338281B"/>
    <w:multiLevelType w:val="singleLevel"/>
    <w:tmpl w:val="6338281B"/>
    <w:lvl w:ilvl="0" w:tentative="0">
      <w:start w:val="1"/>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 w:name="KGWebUrl" w:val="http://jszfcg.jscz.gov.cn/jszc/gateWay/joffice/office?access_token=e945084f-0225-40c2-b652-aacdd861f099"/>
  </w:docVars>
  <w:rsids>
    <w:rsidRoot w:val="0BD4567A"/>
    <w:rsid w:val="00824011"/>
    <w:rsid w:val="02B1630D"/>
    <w:rsid w:val="03123218"/>
    <w:rsid w:val="036A622D"/>
    <w:rsid w:val="036B5288"/>
    <w:rsid w:val="03FD4A45"/>
    <w:rsid w:val="06856661"/>
    <w:rsid w:val="078E044D"/>
    <w:rsid w:val="098759A8"/>
    <w:rsid w:val="0AE26426"/>
    <w:rsid w:val="0B190E0A"/>
    <w:rsid w:val="0BA10130"/>
    <w:rsid w:val="0BD4567A"/>
    <w:rsid w:val="0D340ECA"/>
    <w:rsid w:val="0D9778A1"/>
    <w:rsid w:val="0E4C56C8"/>
    <w:rsid w:val="0F3F2BCC"/>
    <w:rsid w:val="0FF07015"/>
    <w:rsid w:val="11C95550"/>
    <w:rsid w:val="13204E73"/>
    <w:rsid w:val="133B0A30"/>
    <w:rsid w:val="13553A90"/>
    <w:rsid w:val="13E36913"/>
    <w:rsid w:val="146A539A"/>
    <w:rsid w:val="14790EBD"/>
    <w:rsid w:val="14D2231E"/>
    <w:rsid w:val="14D97216"/>
    <w:rsid w:val="160C7839"/>
    <w:rsid w:val="16585EFC"/>
    <w:rsid w:val="16C92DC3"/>
    <w:rsid w:val="171C4A9B"/>
    <w:rsid w:val="179D0F27"/>
    <w:rsid w:val="18BD677A"/>
    <w:rsid w:val="1A4D1254"/>
    <w:rsid w:val="1C2E558C"/>
    <w:rsid w:val="1D3544E5"/>
    <w:rsid w:val="1E391DB3"/>
    <w:rsid w:val="1F9E7E23"/>
    <w:rsid w:val="205471C3"/>
    <w:rsid w:val="21416548"/>
    <w:rsid w:val="220625B2"/>
    <w:rsid w:val="22C72083"/>
    <w:rsid w:val="23650231"/>
    <w:rsid w:val="2403394B"/>
    <w:rsid w:val="24332D85"/>
    <w:rsid w:val="24F93AAC"/>
    <w:rsid w:val="253005FF"/>
    <w:rsid w:val="283050FB"/>
    <w:rsid w:val="290731DA"/>
    <w:rsid w:val="29851241"/>
    <w:rsid w:val="29BC2EB5"/>
    <w:rsid w:val="29F747D6"/>
    <w:rsid w:val="2BF45E36"/>
    <w:rsid w:val="2C09197A"/>
    <w:rsid w:val="2C3072FA"/>
    <w:rsid w:val="2D4A132F"/>
    <w:rsid w:val="2D6C0B5A"/>
    <w:rsid w:val="2E0653E6"/>
    <w:rsid w:val="2E375108"/>
    <w:rsid w:val="2E46751B"/>
    <w:rsid w:val="2E673181"/>
    <w:rsid w:val="2F912229"/>
    <w:rsid w:val="2FA43F3E"/>
    <w:rsid w:val="2FE6260C"/>
    <w:rsid w:val="309725C1"/>
    <w:rsid w:val="30E2126F"/>
    <w:rsid w:val="31E73CE3"/>
    <w:rsid w:val="31F2653F"/>
    <w:rsid w:val="3208203A"/>
    <w:rsid w:val="32160372"/>
    <w:rsid w:val="329970AC"/>
    <w:rsid w:val="33913768"/>
    <w:rsid w:val="33EC030A"/>
    <w:rsid w:val="355B5BBB"/>
    <w:rsid w:val="35B73253"/>
    <w:rsid w:val="35FD4402"/>
    <w:rsid w:val="36635652"/>
    <w:rsid w:val="36DD373B"/>
    <w:rsid w:val="38150529"/>
    <w:rsid w:val="387D413D"/>
    <w:rsid w:val="396D7ACB"/>
    <w:rsid w:val="39C25E92"/>
    <w:rsid w:val="3D126602"/>
    <w:rsid w:val="3D59576C"/>
    <w:rsid w:val="3D8E19D3"/>
    <w:rsid w:val="4022425A"/>
    <w:rsid w:val="43BB656E"/>
    <w:rsid w:val="44145898"/>
    <w:rsid w:val="442D40DB"/>
    <w:rsid w:val="444C66DE"/>
    <w:rsid w:val="46702D1D"/>
    <w:rsid w:val="4806228F"/>
    <w:rsid w:val="491B572D"/>
    <w:rsid w:val="49877032"/>
    <w:rsid w:val="4A931984"/>
    <w:rsid w:val="4ABF4649"/>
    <w:rsid w:val="4F122B43"/>
    <w:rsid w:val="51DF3457"/>
    <w:rsid w:val="548F2152"/>
    <w:rsid w:val="55400E2B"/>
    <w:rsid w:val="557419A7"/>
    <w:rsid w:val="57F74BB7"/>
    <w:rsid w:val="590340DA"/>
    <w:rsid w:val="5AB14481"/>
    <w:rsid w:val="5B4067FB"/>
    <w:rsid w:val="5B96529C"/>
    <w:rsid w:val="5C091FC6"/>
    <w:rsid w:val="5D773EEB"/>
    <w:rsid w:val="5D8365CC"/>
    <w:rsid w:val="5E9B0CDF"/>
    <w:rsid w:val="606B55CC"/>
    <w:rsid w:val="60B22FE1"/>
    <w:rsid w:val="64E81A33"/>
    <w:rsid w:val="66A32DF3"/>
    <w:rsid w:val="682A0F33"/>
    <w:rsid w:val="6A1312AE"/>
    <w:rsid w:val="70514741"/>
    <w:rsid w:val="70D0055D"/>
    <w:rsid w:val="722462BF"/>
    <w:rsid w:val="742D00F6"/>
    <w:rsid w:val="75D3624F"/>
    <w:rsid w:val="76B4114C"/>
    <w:rsid w:val="76E1540E"/>
    <w:rsid w:val="7A1403E9"/>
    <w:rsid w:val="7A237040"/>
    <w:rsid w:val="7A3E4C34"/>
    <w:rsid w:val="7B333C5E"/>
    <w:rsid w:val="7BAD5714"/>
    <w:rsid w:val="7ECA2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qFormat/>
    <w:uiPriority w:val="6"/>
    <w:pPr>
      <w:keepNext/>
      <w:jc w:val="center"/>
      <w:outlineLvl w:val="0"/>
    </w:pPr>
    <w:rPr>
      <w:rFonts w:ascii="楷体_GB2312" w:hAnsi="楷体_GB2312" w:eastAsia="宋体" w:cs="楷体_GB2312"/>
      <w:b/>
      <w:sz w:val="28"/>
      <w:szCs w:val="28"/>
    </w:rPr>
  </w:style>
  <w:style w:type="paragraph" w:styleId="4">
    <w:name w:val="heading 2"/>
    <w:basedOn w:val="1"/>
    <w:next w:val="5"/>
    <w:qFormat/>
    <w:uiPriority w:val="0"/>
    <w:pPr>
      <w:keepNext/>
      <w:keepLines/>
      <w:spacing w:before="260" w:after="260" w:line="413" w:lineRule="auto"/>
      <w:outlineLvl w:val="1"/>
    </w:pPr>
    <w:rPr>
      <w:rFonts w:ascii="Arial" w:hAnsi="Arial" w:eastAsia="宋体"/>
      <w:b/>
      <w:bCs/>
      <w:sz w:val="24"/>
      <w:szCs w:val="32"/>
    </w:rPr>
  </w:style>
  <w:style w:type="paragraph" w:styleId="6">
    <w:name w:val="heading 4"/>
    <w:basedOn w:val="1"/>
    <w:next w:val="1"/>
    <w:qFormat/>
    <w:uiPriority w:val="0"/>
    <w:pPr>
      <w:keepNext/>
      <w:keepLines/>
      <w:spacing w:before="120" w:after="120"/>
      <w:outlineLvl w:val="3"/>
    </w:pPr>
    <w:rPr>
      <w:rFonts w:ascii="Arial" w:hAnsi="Arial" w:eastAsia="黑体"/>
      <w:b/>
      <w:kern w:val="0"/>
      <w:sz w:val="20"/>
      <w:szCs w:val="20"/>
    </w:rPr>
  </w:style>
  <w:style w:type="paragraph" w:styleId="7">
    <w:name w:val="heading 5"/>
    <w:basedOn w:val="1"/>
    <w:next w:val="1"/>
    <w:qFormat/>
    <w:uiPriority w:val="0"/>
    <w:pPr>
      <w:keepNext/>
      <w:keepLines/>
      <w:spacing w:before="280" w:after="290" w:line="376" w:lineRule="auto"/>
      <w:outlineLvl w:val="4"/>
    </w:pPr>
    <w:rPr>
      <w:rFonts w:ascii="Calibri" w:hAnsi="Calibri"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Style w:val="18"/>
      <w:tblCellMar>
        <w:top w:w="0" w:type="dxa"/>
        <w:left w:w="108" w:type="dxa"/>
        <w:bottom w:w="0" w:type="dxa"/>
        <w:right w:w="108" w:type="dxa"/>
      </w:tblCellMar>
    </w:tblPr>
  </w:style>
  <w:style w:type="paragraph" w:styleId="2">
    <w:name w:val="Body Text"/>
    <w:basedOn w:val="1"/>
    <w:next w:val="1"/>
    <w:qFormat/>
    <w:uiPriority w:val="6"/>
    <w:rPr>
      <w:rFonts w:ascii="楷体_GB2312" w:hAnsi="楷体_GB2312" w:eastAsia="楷体" w:cs="Arial"/>
      <w:kern w:val="1"/>
      <w:sz w:val="28"/>
      <w:szCs w:val="28"/>
    </w:rPr>
  </w:style>
  <w:style w:type="paragraph" w:styleId="5">
    <w:name w:val="Normal Indent"/>
    <w:basedOn w:val="1"/>
    <w:qFormat/>
    <w:uiPriority w:val="0"/>
    <w:pPr>
      <w:ind w:firstLine="420"/>
    </w:pPr>
    <w:rPr>
      <w:szCs w:val="20"/>
    </w:rPr>
  </w:style>
  <w:style w:type="paragraph" w:styleId="8">
    <w:name w:val="table of authorities"/>
    <w:basedOn w:val="1"/>
    <w:next w:val="1"/>
    <w:unhideWhenUsed/>
    <w:qFormat/>
    <w:uiPriority w:val="99"/>
    <w:pPr>
      <w:ind w:left="420" w:leftChars="200"/>
    </w:pPr>
    <w:rPr>
      <w:szCs w:val="20"/>
    </w:rPr>
  </w:style>
  <w:style w:type="paragraph" w:styleId="9">
    <w:name w:val="annotation text"/>
    <w:basedOn w:val="1"/>
    <w:qFormat/>
    <w:uiPriority w:val="0"/>
    <w:pPr>
      <w:jc w:val="left"/>
    </w:pPr>
  </w:style>
  <w:style w:type="paragraph" w:styleId="10">
    <w:name w:val="Body Text Indent"/>
    <w:basedOn w:val="1"/>
    <w:uiPriority w:val="0"/>
    <w:pPr>
      <w:spacing w:after="120"/>
      <w:ind w:left="420" w:leftChars="200"/>
      <w:jc w:val="both"/>
    </w:pPr>
    <w:rPr>
      <w:rFonts w:eastAsia="宋体"/>
      <w:kern w:val="2"/>
      <w:sz w:val="21"/>
      <w:szCs w:val="20"/>
    </w:rPr>
  </w:style>
  <w:style w:type="paragraph" w:styleId="11">
    <w:name w:val="index 4"/>
    <w:basedOn w:val="1"/>
    <w:next w:val="1"/>
    <w:semiHidden/>
    <w:qFormat/>
    <w:uiPriority w:val="0"/>
    <w:pPr>
      <w:ind w:left="1260"/>
    </w:pPr>
  </w:style>
  <w:style w:type="paragraph" w:styleId="12">
    <w:name w:val="Plain Text"/>
    <w:basedOn w:val="1"/>
    <w:qFormat/>
    <w:uiPriority w:val="0"/>
    <w:pPr>
      <w:jc w:val="both"/>
    </w:pPr>
    <w:rPr>
      <w:rFonts w:ascii="Ari" w:eastAsia="宋体"/>
      <w:kern w:val="2"/>
      <w:sz w:val="21"/>
      <w:szCs w:val="24"/>
      <w:lang w:eastAsia="zh-CN"/>
    </w:rPr>
  </w:style>
  <w:style w:type="paragraph" w:styleId="13">
    <w:name w:val="footer"/>
    <w:basedOn w:val="1"/>
    <w:qFormat/>
    <w:uiPriority w:val="6"/>
    <w:pPr>
      <w:tabs>
        <w:tab w:val="center" w:pos="4153"/>
        <w:tab w:val="right" w:pos="8306"/>
      </w:tabs>
      <w:jc w:val="left"/>
    </w:pPr>
    <w:rPr>
      <w:kern w:val="1"/>
      <w:sz w:val="18"/>
      <w:szCs w:val="18"/>
    </w:rPr>
  </w:style>
  <w:style w:type="paragraph" w:styleId="14">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15">
    <w:name w:val="List Continue 2"/>
    <w:basedOn w:val="1"/>
    <w:next w:val="1"/>
    <w:qFormat/>
    <w:uiPriority w:val="0"/>
    <w:pPr>
      <w:spacing w:after="120"/>
      <w:ind w:left="840" w:leftChars="400"/>
    </w:pPr>
  </w:style>
  <w:style w:type="paragraph" w:styleId="16">
    <w:name w:val="Normal (Web)"/>
    <w:basedOn w:val="1"/>
    <w:qFormat/>
    <w:uiPriority w:val="7"/>
    <w:pPr>
      <w:widowControl/>
      <w:spacing w:before="100" w:beforeAutospacing="1" w:after="100" w:afterAutospacing="1"/>
      <w:jc w:val="left"/>
    </w:pPr>
    <w:rPr>
      <w:rFonts w:ascii="宋体" w:hAnsi="宋体" w:cs="宋体"/>
      <w:sz w:val="24"/>
      <w:szCs w:val="24"/>
    </w:rPr>
  </w:style>
  <w:style w:type="paragraph" w:styleId="17">
    <w:name w:val="Body Text First Indent"/>
    <w:basedOn w:val="2"/>
    <w:qFormat/>
    <w:uiPriority w:val="0"/>
    <w:pPr>
      <w:ind w:firstLine="420" w:firstLineChars="100"/>
    </w:pPr>
  </w:style>
  <w:style w:type="table" w:styleId="19">
    <w:name w:val="Table Grid"/>
    <w:basedOn w:val="18"/>
    <w:qFormat/>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列出段落1"/>
    <w:basedOn w:val="1"/>
    <w:qFormat/>
    <w:uiPriority w:val="0"/>
    <w:pPr>
      <w:ind w:firstLine="420" w:firstLineChars="200"/>
    </w:pPr>
    <w:rPr>
      <w:rFonts w:ascii="Calibri" w:hAnsi="Calibri"/>
      <w:sz w:val="22"/>
      <w:szCs w:val="20"/>
      <w:lang w:val="zh-CN" w:eastAsia="zh-CN"/>
    </w:rPr>
  </w:style>
  <w:style w:type="paragraph" w:customStyle="1" w:styleId="23">
    <w:name w:val="首行缩进"/>
    <w:basedOn w:val="1"/>
    <w:qFormat/>
    <w:uiPriority w:val="2034"/>
    <w:pPr>
      <w:spacing w:line="360" w:lineRule="auto"/>
      <w:ind w:firstLine="480"/>
      <w:jc w:val="left"/>
    </w:pPr>
    <w:rPr>
      <w:rFonts w:ascii="宋体" w:hAnsi="宋体" w:cs="宋体"/>
      <w:kern w:val="1"/>
      <w:sz w:val="24"/>
      <w:szCs w:val="24"/>
    </w:rPr>
  </w:style>
  <w:style w:type="paragraph" w:styleId="24">
    <w:name w:val="List Paragraph"/>
    <w:basedOn w:val="1"/>
    <w:qFormat/>
    <w:uiPriority w:val="34"/>
    <w:pPr>
      <w:ind w:firstLine="420" w:firstLineChars="200"/>
    </w:pPr>
    <w:rPr>
      <w:rFonts w:ascii="Calibri" w:hAnsi="Calibri" w:eastAsia="宋体" w:cs="Times New Roman"/>
      <w:szCs w:val="22"/>
    </w:rPr>
  </w:style>
  <w:style w:type="character" w:customStyle="1" w:styleId="25">
    <w:name w:val="rvts9"/>
    <w:qFormat/>
    <w:uiPriority w:val="0"/>
    <w:rPr>
      <w:rFonts w:hint="default" w:ascii="KNLe" w:hAnsi="KNLe"/>
    </w:rPr>
  </w:style>
  <w:style w:type="character" w:customStyle="1" w:styleId="26">
    <w:name w:val="rvts11"/>
    <w:qFormat/>
    <w:uiPriority w:val="0"/>
    <w:rPr>
      <w:rFonts w:hint="default" w:ascii="KNLe" w:hAnsi="KNLe"/>
      <w:u w:val="single"/>
    </w:rPr>
  </w:style>
  <w:style w:type="paragraph" w:customStyle="1" w:styleId="27">
    <w:name w:val="rvps1"/>
    <w:basedOn w:val="1"/>
    <w:qFormat/>
    <w:uiPriority w:val="0"/>
    <w:pPr>
      <w:widowControl/>
      <w:jc w:val="center"/>
    </w:pPr>
    <w:rPr>
      <w:sz w:val="24"/>
      <w:szCs w:val="24"/>
    </w:rPr>
  </w:style>
  <w:style w:type="character" w:customStyle="1" w:styleId="28">
    <w:name w:val="rvts40"/>
    <w:qFormat/>
    <w:uiPriority w:val="0"/>
    <w:rPr>
      <w:rFonts w:hint="default" w:ascii="KNLe" w:hAnsi="KNLe"/>
      <w:b/>
      <w:bCs/>
      <w:sz w:val="28"/>
      <w:szCs w:val="28"/>
    </w:rPr>
  </w:style>
  <w:style w:type="character" w:customStyle="1" w:styleId="29">
    <w:name w:val="rvts20"/>
    <w:qFormat/>
    <w:uiPriority w:val="0"/>
    <w:rPr>
      <w:rFonts w:hint="default" w:ascii="KNLe" w:hAnsi="KNLe"/>
    </w:rPr>
  </w:style>
  <w:style w:type="character" w:customStyle="1" w:styleId="30">
    <w:name w:val="rvts19"/>
    <w:basedOn w:val="20"/>
    <w:qFormat/>
    <w:uiPriority w:val="0"/>
    <w:rPr>
      <w:rFonts w:hint="default" w:ascii="KNLe" w:hAnsi="KNLe"/>
      <w:color w:val="000000"/>
    </w:rPr>
  </w:style>
  <w:style w:type="paragraph" w:customStyle="1" w:styleId="31">
    <w:name w:val="Table Paragraph"/>
    <w:basedOn w:val="1"/>
    <w:qFormat/>
    <w:uiPriority w:val="1"/>
    <w:rPr>
      <w:rFonts w:ascii="宋体" w:hAnsi="宋体" w:cs="宋体"/>
      <w:szCs w:val="20"/>
      <w:lang w:val="zh-CN" w:bidi="zh-CN"/>
    </w:rPr>
  </w:style>
  <w:style w:type="character" w:customStyle="1" w:styleId="32">
    <w:name w:val="font11"/>
    <w:basedOn w:val="20"/>
    <w:qFormat/>
    <w:uiPriority w:val="0"/>
    <w:rPr>
      <w:rFonts w:hint="default" w:ascii="Times New Roman" w:hAnsi="Times New Roman" w:eastAsia="宋体" w:cs="Times New Roman"/>
      <w:color w:val="000000"/>
      <w:sz w:val="24"/>
      <w:szCs w:val="24"/>
      <w:u w:val="none"/>
    </w:rPr>
  </w:style>
  <w:style w:type="character" w:customStyle="1" w:styleId="33">
    <w:name w:val="font31"/>
    <w:basedOn w:val="20"/>
    <w:qFormat/>
    <w:uiPriority w:val="0"/>
    <w:rPr>
      <w:rFonts w:hint="eastAsia" w:ascii="宋体" w:hAnsi="宋体" w:eastAsia="宋体" w:cs="宋体"/>
      <w:color w:val="000000"/>
      <w:sz w:val="24"/>
      <w:szCs w:val="24"/>
      <w:u w:val="none"/>
    </w:rPr>
  </w:style>
  <w:style w:type="paragraph" w:customStyle="1" w:styleId="3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5">
    <w:name w:val="标准文本"/>
    <w:qFormat/>
    <w:uiPriority w:val="0"/>
    <w:pPr>
      <w:widowControl w:val="0"/>
      <w:spacing w:line="360" w:lineRule="auto"/>
      <w:ind w:firstLine="480" w:firstLineChars="200"/>
      <w:jc w:val="both"/>
    </w:pPr>
    <w:rPr>
      <w:rFonts w:ascii="Times New Roman" w:hAnsi="Times New Roman" w:eastAsia="宋体" w:cs="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113683</Words>
  <Characters>117865</Characters>
  <Lines>0</Lines>
  <Paragraphs>0</Paragraphs>
  <TotalTime>12</TotalTime>
  <ScaleCrop>false</ScaleCrop>
  <LinksUpToDate>false</LinksUpToDate>
  <CharactersWithSpaces>120088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2022-09-29T01:00:00Z</dcterms:created>
  <dc:creator>中正信合</dc:creator>
  <cp:lastModifiedBy>猪猪</cp:lastModifiedBy>
  <dcterms:modified xsi:type="dcterms:W3CDTF">2024-04-17T09:14:18Z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7450D32F3532489BAB3487224C0808EC_13</vt:lpwstr>
  </property>
</Properties>
</file>