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cs="宋体"/>
          <w:b/>
          <w:kern w:val="0"/>
          <w:sz w:val="48"/>
          <w:szCs w:val="48"/>
        </w:rPr>
      </w:pPr>
    </w:p>
    <w:p>
      <w:pPr>
        <w:widowControl/>
        <w:shd w:val="clear" w:color="auto" w:fill="FFFFFF"/>
        <w:spacing w:line="360" w:lineRule="auto"/>
        <w:jc w:val="center"/>
        <w:rPr>
          <w:rFonts w:ascii="宋体" w:hAnsi="宋体" w:cs="宋体"/>
          <w:b/>
          <w:kern w:val="0"/>
          <w:sz w:val="48"/>
          <w:szCs w:val="48"/>
        </w:rPr>
      </w:pPr>
    </w:p>
    <w:p>
      <w:pPr>
        <w:widowControl/>
        <w:shd w:val="clear" w:color="auto" w:fill="FFFFFF"/>
        <w:spacing w:line="360" w:lineRule="auto"/>
        <w:rPr>
          <w:rFonts w:ascii="宋体" w:hAnsi="宋体" w:cs="宋体"/>
          <w:b/>
          <w:kern w:val="0"/>
          <w:sz w:val="48"/>
          <w:szCs w:val="48"/>
        </w:rPr>
      </w:pPr>
    </w:p>
    <w:p>
      <w:pPr>
        <w:widowControl/>
        <w:shd w:val="clear" w:color="auto" w:fill="FFFFFF"/>
        <w:spacing w:line="360" w:lineRule="auto"/>
        <w:jc w:val="center"/>
        <w:rPr>
          <w:rFonts w:ascii="宋体" w:hAnsi="宋体" w:cs="宋体"/>
          <w:b/>
          <w:sz w:val="48"/>
          <w:szCs w:val="48"/>
          <w:lang w:val="zh-CN"/>
        </w:rPr>
      </w:pPr>
      <w:r>
        <w:rPr>
          <w:rFonts w:hint="eastAsia" w:ascii="宋体" w:hAnsi="宋体" w:cs="宋体"/>
          <w:b/>
          <w:bCs/>
          <w:sz w:val="48"/>
          <w:szCs w:val="48"/>
        </w:rPr>
        <w:t>江宁高新区环保管家服务项目</w:t>
      </w:r>
    </w:p>
    <w:p>
      <w:pPr>
        <w:widowControl/>
        <w:shd w:val="clear" w:color="auto" w:fill="FFFFFF"/>
        <w:spacing w:line="360" w:lineRule="auto"/>
        <w:rPr>
          <w:rFonts w:ascii="宋体" w:hAnsi="宋体" w:cs="宋体"/>
          <w:b/>
          <w:kern w:val="0"/>
          <w:sz w:val="32"/>
          <w:szCs w:val="32"/>
        </w:rPr>
      </w:pPr>
    </w:p>
    <w:p>
      <w:pPr>
        <w:widowControl/>
        <w:spacing w:line="360" w:lineRule="auto"/>
        <w:jc w:val="center"/>
        <w:rPr>
          <w:rFonts w:ascii="宋体" w:hAnsi="宋体" w:cs="宋体"/>
          <w:b/>
          <w:kern w:val="0"/>
          <w:sz w:val="72"/>
          <w:szCs w:val="72"/>
        </w:rPr>
      </w:pPr>
    </w:p>
    <w:p>
      <w:pPr>
        <w:widowControl/>
        <w:spacing w:line="360" w:lineRule="auto"/>
        <w:jc w:val="center"/>
        <w:rPr>
          <w:rFonts w:ascii="宋体" w:hAnsi="宋体" w:cs="宋体"/>
          <w:b/>
          <w:kern w:val="0"/>
          <w:sz w:val="72"/>
          <w:szCs w:val="72"/>
        </w:rPr>
      </w:pPr>
    </w:p>
    <w:p>
      <w:pPr>
        <w:widowControl/>
        <w:spacing w:line="360" w:lineRule="auto"/>
        <w:jc w:val="center"/>
        <w:rPr>
          <w:rFonts w:ascii="宋体" w:hAnsi="宋体" w:cs="宋体"/>
          <w:b/>
          <w:kern w:val="0"/>
          <w:sz w:val="72"/>
          <w:szCs w:val="72"/>
        </w:rPr>
      </w:pPr>
      <w:r>
        <w:rPr>
          <w:rFonts w:hint="eastAsia" w:ascii="宋体" w:hAnsi="宋体" w:cs="宋体"/>
          <w:b/>
          <w:kern w:val="0"/>
          <w:sz w:val="72"/>
          <w:szCs w:val="72"/>
        </w:rPr>
        <w:t>招 标 文 件</w:t>
      </w:r>
    </w:p>
    <w:p>
      <w:pPr>
        <w:widowControl/>
        <w:spacing w:line="360" w:lineRule="auto"/>
        <w:jc w:val="center"/>
        <w:rPr>
          <w:rFonts w:ascii="宋体" w:hAnsi="宋体" w:cs="宋体"/>
          <w:b/>
          <w:kern w:val="0"/>
          <w:sz w:val="36"/>
          <w:szCs w:val="36"/>
        </w:rPr>
      </w:pPr>
    </w:p>
    <w:p>
      <w:pPr>
        <w:widowControl/>
        <w:spacing w:line="360" w:lineRule="auto"/>
        <w:jc w:val="center"/>
        <w:rPr>
          <w:rFonts w:ascii="宋体" w:hAnsi="宋体" w:cs="宋体"/>
          <w:b/>
          <w:kern w:val="0"/>
          <w:sz w:val="36"/>
          <w:szCs w:val="36"/>
        </w:rPr>
      </w:pPr>
    </w:p>
    <w:p>
      <w:pPr>
        <w:widowControl/>
        <w:spacing w:line="360" w:lineRule="auto"/>
        <w:jc w:val="center"/>
        <w:rPr>
          <w:rFonts w:ascii="宋体" w:hAnsi="宋体" w:cs="宋体"/>
          <w:b/>
          <w:kern w:val="0"/>
          <w:sz w:val="36"/>
          <w:szCs w:val="36"/>
        </w:rPr>
      </w:pPr>
      <w:r>
        <w:rPr>
          <w:rFonts w:hint="eastAsia" w:ascii="宋体" w:hAnsi="宋体" w:cs="宋体"/>
          <w:b/>
          <w:kern w:val="0"/>
          <w:sz w:val="36"/>
          <w:szCs w:val="36"/>
        </w:rPr>
        <w:t>项目编号：ZB203224R60081</w:t>
      </w:r>
    </w:p>
    <w:p>
      <w:pPr>
        <w:widowControl/>
        <w:spacing w:line="360" w:lineRule="auto"/>
        <w:jc w:val="center"/>
        <w:rPr>
          <w:rFonts w:ascii="宋体" w:hAnsi="宋体" w:cs="宋体"/>
          <w:b/>
          <w:kern w:val="0"/>
          <w:sz w:val="72"/>
          <w:szCs w:val="72"/>
        </w:rPr>
      </w:pPr>
    </w:p>
    <w:p>
      <w:pPr>
        <w:widowControl/>
        <w:shd w:val="clear" w:color="auto" w:fill="FFFFFF"/>
        <w:spacing w:line="360" w:lineRule="auto"/>
        <w:rPr>
          <w:rFonts w:ascii="宋体" w:hAnsi="宋体" w:cs="宋体"/>
          <w:kern w:val="0"/>
          <w:sz w:val="44"/>
          <w:szCs w:val="44"/>
        </w:rPr>
      </w:pPr>
      <w:r>
        <w:rPr>
          <w:rFonts w:hint="eastAsia" w:ascii="宋体" w:hAnsi="宋体" w:cs="宋体"/>
          <w:kern w:val="0"/>
          <w:sz w:val="32"/>
          <w:szCs w:val="32"/>
        </w:rPr>
        <w:t>  </w:t>
      </w:r>
    </w:p>
    <w:p>
      <w:pPr>
        <w:widowControl/>
        <w:spacing w:line="360" w:lineRule="auto"/>
        <w:jc w:val="center"/>
        <w:rPr>
          <w:rFonts w:ascii="宋体" w:hAnsi="宋体" w:cs="宋体"/>
          <w:b/>
          <w:kern w:val="0"/>
          <w:sz w:val="36"/>
          <w:szCs w:val="36"/>
        </w:rPr>
      </w:pPr>
    </w:p>
    <w:p>
      <w:pPr>
        <w:widowControl/>
        <w:spacing w:line="360" w:lineRule="auto"/>
        <w:jc w:val="center"/>
        <w:rPr>
          <w:rFonts w:ascii="宋体" w:hAnsi="宋体" w:cs="宋体"/>
          <w:b/>
          <w:kern w:val="0"/>
          <w:sz w:val="36"/>
          <w:szCs w:val="36"/>
        </w:rPr>
      </w:pPr>
      <w:r>
        <w:rPr>
          <w:rFonts w:hint="eastAsia" w:ascii="宋体" w:hAnsi="宋体" w:cs="宋体"/>
          <w:b/>
          <w:bCs/>
          <w:kern w:val="0"/>
          <w:sz w:val="36"/>
          <w:szCs w:val="36"/>
        </w:rPr>
        <w:t>采购人：</w:t>
      </w:r>
      <w:r>
        <w:rPr>
          <w:rFonts w:hint="eastAsia" w:ascii="宋体" w:hAnsi="宋体" w:cs="宋体"/>
          <w:b/>
          <w:kern w:val="0"/>
          <w:sz w:val="36"/>
          <w:szCs w:val="36"/>
        </w:rPr>
        <w:t>南京江宁高新技术产业开发区管理委员会</w:t>
      </w:r>
    </w:p>
    <w:p>
      <w:pPr>
        <w:widowControl/>
        <w:spacing w:line="360" w:lineRule="auto"/>
        <w:jc w:val="center"/>
        <w:rPr>
          <w:rFonts w:ascii="宋体" w:hAnsi="宋体" w:cs="宋体"/>
          <w:b/>
          <w:kern w:val="0"/>
          <w:sz w:val="36"/>
          <w:szCs w:val="36"/>
        </w:rPr>
      </w:pPr>
      <w:r>
        <w:rPr>
          <w:rFonts w:hint="eastAsia" w:ascii="宋体" w:hAnsi="宋体" w:cs="宋体"/>
          <w:b/>
          <w:bCs/>
          <w:kern w:val="0"/>
          <w:sz w:val="36"/>
          <w:szCs w:val="36"/>
        </w:rPr>
        <w:t>采购代理机构：</w:t>
      </w:r>
      <w:r>
        <w:rPr>
          <w:rFonts w:hint="eastAsia" w:ascii="宋体" w:hAnsi="宋体" w:cs="宋体"/>
          <w:b/>
          <w:kern w:val="0"/>
          <w:sz w:val="36"/>
          <w:szCs w:val="36"/>
        </w:rPr>
        <w:t>江苏省设备成套股份有限公司</w:t>
      </w:r>
    </w:p>
    <w:p>
      <w:pPr>
        <w:widowControl/>
        <w:spacing w:line="360" w:lineRule="auto"/>
        <w:jc w:val="center"/>
        <w:rPr>
          <w:rFonts w:ascii="宋体" w:hAnsi="宋体" w:cs="宋体"/>
          <w:b/>
          <w:kern w:val="0"/>
          <w:sz w:val="36"/>
          <w:szCs w:val="36"/>
        </w:rPr>
      </w:pPr>
      <w:r>
        <w:rPr>
          <w:rFonts w:hint="eastAsia" w:ascii="宋体" w:hAnsi="宋体" w:cs="宋体"/>
          <w:b/>
          <w:kern w:val="0"/>
          <w:sz w:val="36"/>
          <w:szCs w:val="36"/>
        </w:rPr>
        <w:t>2024年1月</w:t>
      </w:r>
    </w:p>
    <w:p>
      <w:pPr>
        <w:pStyle w:val="157"/>
        <w:jc w:val="center"/>
        <w:rPr>
          <w:rFonts w:ascii="宋体" w:hAnsi="宋体" w:cs="宋体"/>
          <w:color w:val="auto"/>
          <w:sz w:val="36"/>
          <w:szCs w:val="36"/>
          <w:lang w:val="zh-CN"/>
        </w:rPr>
      </w:pPr>
    </w:p>
    <w:p>
      <w:pPr>
        <w:rPr>
          <w:rFonts w:ascii="宋体" w:hAnsi="宋体" w:cs="宋体"/>
          <w:lang w:val="zh-CN"/>
        </w:rPr>
        <w:sectPr>
          <w:headerReference r:id="rId5" w:type="first"/>
          <w:headerReference r:id="rId3" w:type="default"/>
          <w:footerReference r:id="rId6" w:type="default"/>
          <w:headerReference r:id="rId4" w:type="even"/>
          <w:footerReference r:id="rId7" w:type="even"/>
          <w:pgSz w:w="11906" w:h="16838"/>
          <w:pgMar w:top="1440" w:right="1800" w:bottom="1440" w:left="1600" w:header="851" w:footer="992" w:gutter="0"/>
          <w:pgNumType w:start="0"/>
          <w:cols w:space="0" w:num="1"/>
          <w:titlePg/>
          <w:docGrid w:type="lines" w:linePitch="312" w:charSpace="0"/>
        </w:sectPr>
      </w:pPr>
    </w:p>
    <w:p>
      <w:pPr>
        <w:pStyle w:val="157"/>
        <w:jc w:val="center"/>
        <w:rPr>
          <w:rFonts w:ascii="宋体" w:hAnsi="宋体" w:cs="宋体"/>
          <w:color w:val="auto"/>
          <w:sz w:val="36"/>
          <w:szCs w:val="36"/>
        </w:rPr>
      </w:pPr>
      <w:r>
        <w:rPr>
          <w:rFonts w:hint="eastAsia" w:ascii="宋体" w:hAnsi="宋体" w:cs="宋体"/>
          <w:color w:val="auto"/>
          <w:sz w:val="36"/>
          <w:szCs w:val="36"/>
          <w:lang w:val="zh-CN"/>
        </w:rPr>
        <w:t>目  录</w:t>
      </w:r>
    </w:p>
    <w:p>
      <w:pPr>
        <w:pStyle w:val="31"/>
        <w:tabs>
          <w:tab w:val="right" w:leader="dot" w:pos="8296"/>
        </w:tabs>
        <w:rPr>
          <w:rFonts w:ascii="宋体" w:hAnsi="宋体" w:cs="宋体"/>
          <w:sz w:val="28"/>
          <w:szCs w:val="28"/>
        </w:rPr>
      </w:pPr>
    </w:p>
    <w:p>
      <w:pPr>
        <w:pStyle w:val="31"/>
        <w:tabs>
          <w:tab w:val="right" w:leader="dot" w:pos="8506"/>
        </w:tabs>
        <w:spacing w:line="48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TOC \o "1-1" \h \u </w:instrText>
      </w:r>
      <w:r>
        <w:rPr>
          <w:rFonts w:hint="eastAsia" w:ascii="宋体" w:hAnsi="宋体" w:cs="宋体"/>
          <w:sz w:val="24"/>
        </w:rPr>
        <w:fldChar w:fldCharType="separate"/>
      </w:r>
      <w:r>
        <w:fldChar w:fldCharType="begin"/>
      </w:r>
      <w:r>
        <w:instrText xml:space="preserve"> HYPERLINK \l "_Toc11866" </w:instrText>
      </w:r>
      <w:r>
        <w:fldChar w:fldCharType="separate"/>
      </w:r>
      <w:r>
        <w:rPr>
          <w:rFonts w:hint="eastAsia" w:ascii="宋体" w:hAnsi="宋体" w:cs="宋体"/>
          <w:kern w:val="0"/>
          <w:sz w:val="24"/>
        </w:rPr>
        <w:t xml:space="preserve">第一章 </w:t>
      </w:r>
      <w:r>
        <w:rPr>
          <w:rFonts w:hint="eastAsia" w:ascii="宋体" w:hAnsi="宋体" w:cs="宋体"/>
          <w:sz w:val="24"/>
        </w:rPr>
        <w:t>招标公告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_Toc11866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fldChar w:fldCharType="end"/>
      </w:r>
    </w:p>
    <w:p>
      <w:pPr>
        <w:pStyle w:val="31"/>
        <w:tabs>
          <w:tab w:val="right" w:leader="dot" w:pos="8506"/>
        </w:tabs>
        <w:spacing w:line="480" w:lineRule="auto"/>
        <w:rPr>
          <w:rFonts w:ascii="宋体" w:hAnsi="宋体" w:cs="宋体"/>
          <w:sz w:val="24"/>
        </w:rPr>
      </w:pPr>
      <w:r>
        <w:fldChar w:fldCharType="begin"/>
      </w:r>
      <w:r>
        <w:instrText xml:space="preserve"> HYPERLINK \l "_Toc7593" </w:instrText>
      </w:r>
      <w:r>
        <w:fldChar w:fldCharType="separate"/>
      </w:r>
      <w:r>
        <w:rPr>
          <w:rFonts w:hint="eastAsia" w:ascii="宋体" w:hAnsi="宋体" w:cs="宋体"/>
          <w:sz w:val="24"/>
        </w:rPr>
        <w:t>第二章 投标人须知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_Toc7593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pPr>
        <w:pStyle w:val="31"/>
        <w:tabs>
          <w:tab w:val="right" w:leader="dot" w:pos="8506"/>
        </w:tabs>
        <w:spacing w:line="480" w:lineRule="auto"/>
        <w:rPr>
          <w:rFonts w:ascii="宋体" w:hAnsi="宋体" w:cs="宋体"/>
          <w:sz w:val="24"/>
        </w:rPr>
      </w:pPr>
      <w:r>
        <w:fldChar w:fldCharType="begin"/>
      </w:r>
      <w:r>
        <w:instrText xml:space="preserve"> HYPERLINK \l "_Toc11112" </w:instrText>
      </w:r>
      <w:r>
        <w:fldChar w:fldCharType="separate"/>
      </w:r>
      <w:r>
        <w:rPr>
          <w:rFonts w:hint="eastAsia" w:ascii="宋体" w:hAnsi="宋体" w:cs="宋体"/>
          <w:sz w:val="24"/>
        </w:rPr>
        <w:t>第三章 评标标准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_Toc11112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r>
        <w:rPr>
          <w:rFonts w:hint="eastAsia" w:ascii="宋体" w:hAnsi="宋体" w:cs="宋体"/>
          <w:sz w:val="24"/>
        </w:rPr>
        <w:fldChar w:fldCharType="end"/>
      </w:r>
    </w:p>
    <w:p>
      <w:pPr>
        <w:pStyle w:val="31"/>
        <w:tabs>
          <w:tab w:val="right" w:leader="dot" w:pos="8506"/>
        </w:tabs>
        <w:spacing w:line="480" w:lineRule="auto"/>
        <w:rPr>
          <w:rFonts w:ascii="宋体" w:hAnsi="宋体" w:cs="宋体"/>
          <w:sz w:val="24"/>
        </w:rPr>
      </w:pPr>
      <w:r>
        <w:fldChar w:fldCharType="begin"/>
      </w:r>
      <w:r>
        <w:instrText xml:space="preserve"> HYPERLINK \l "_Toc23380" </w:instrText>
      </w:r>
      <w:r>
        <w:fldChar w:fldCharType="separate"/>
      </w:r>
      <w:r>
        <w:rPr>
          <w:rFonts w:hint="eastAsia" w:ascii="宋体" w:hAnsi="宋体" w:cs="宋体"/>
          <w:sz w:val="24"/>
        </w:rPr>
        <w:t>第四章 采购需求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_Toc23380 \h </w:instrText>
      </w:r>
      <w:r>
        <w:rPr>
          <w:rFonts w:hint="eastAsia" w:ascii="宋体" w:hAnsi="宋体" w:cs="宋体"/>
          <w:sz w:val="24"/>
        </w:rPr>
        <w:fldChar w:fldCharType="separate"/>
      </w:r>
      <w:r>
        <w:rPr>
          <w:rFonts w:hint="eastAsia" w:ascii="宋体" w:hAnsi="宋体" w:cs="宋体"/>
          <w:sz w:val="24"/>
        </w:rPr>
        <w:t>21</w:t>
      </w:r>
      <w:r>
        <w:rPr>
          <w:rFonts w:hint="eastAsia" w:ascii="宋体" w:hAnsi="宋体" w:cs="宋体"/>
          <w:sz w:val="24"/>
        </w:rPr>
        <w:fldChar w:fldCharType="end"/>
      </w:r>
      <w:r>
        <w:rPr>
          <w:rFonts w:hint="eastAsia" w:ascii="宋体" w:hAnsi="宋体" w:cs="宋体"/>
          <w:sz w:val="24"/>
        </w:rPr>
        <w:fldChar w:fldCharType="end"/>
      </w:r>
    </w:p>
    <w:p>
      <w:pPr>
        <w:pStyle w:val="31"/>
        <w:tabs>
          <w:tab w:val="right" w:leader="dot" w:pos="8506"/>
        </w:tabs>
        <w:spacing w:line="480" w:lineRule="auto"/>
        <w:rPr>
          <w:rFonts w:ascii="宋体" w:hAnsi="宋体" w:cs="宋体"/>
          <w:sz w:val="24"/>
        </w:rPr>
      </w:pPr>
      <w:r>
        <w:fldChar w:fldCharType="begin"/>
      </w:r>
      <w:r>
        <w:instrText xml:space="preserve"> HYPERLINK \l "_Toc15239" </w:instrText>
      </w:r>
      <w:r>
        <w:fldChar w:fldCharType="separate"/>
      </w:r>
      <w:r>
        <w:rPr>
          <w:rFonts w:hint="eastAsia" w:ascii="宋体" w:hAnsi="宋体" w:cs="宋体"/>
          <w:sz w:val="24"/>
        </w:rPr>
        <w:t>第五章 合同主要条款及格式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_Toc15239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pPr>
        <w:pStyle w:val="31"/>
        <w:tabs>
          <w:tab w:val="right" w:leader="dot" w:pos="8506"/>
        </w:tabs>
        <w:spacing w:line="480" w:lineRule="auto"/>
        <w:rPr>
          <w:rFonts w:ascii="宋体" w:hAnsi="宋体" w:cs="宋体"/>
          <w:sz w:val="24"/>
        </w:rPr>
      </w:pPr>
      <w:r>
        <w:fldChar w:fldCharType="begin"/>
      </w:r>
      <w:r>
        <w:instrText xml:space="preserve"> HYPERLINK \l "_Toc6328" </w:instrText>
      </w:r>
      <w:r>
        <w:fldChar w:fldCharType="separate"/>
      </w:r>
      <w:r>
        <w:rPr>
          <w:rFonts w:hint="eastAsia" w:ascii="宋体" w:hAnsi="宋体" w:cs="宋体"/>
          <w:sz w:val="24"/>
        </w:rPr>
        <w:t>第六章 投标文件格式及附件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_Toc6328 \h </w:instrText>
      </w:r>
      <w:r>
        <w:rPr>
          <w:rFonts w:hint="eastAsia" w:ascii="宋体" w:hAnsi="宋体" w:cs="宋体"/>
          <w:sz w:val="24"/>
        </w:rPr>
        <w:fldChar w:fldCharType="separate"/>
      </w:r>
      <w:r>
        <w:rPr>
          <w:rFonts w:hint="eastAsia" w:ascii="宋体" w:hAnsi="宋体" w:cs="宋体"/>
          <w:sz w:val="24"/>
        </w:rPr>
        <w:t>30</w:t>
      </w:r>
      <w:r>
        <w:rPr>
          <w:rFonts w:hint="eastAsia" w:ascii="宋体" w:hAnsi="宋体" w:cs="宋体"/>
          <w:sz w:val="24"/>
        </w:rPr>
        <w:fldChar w:fldCharType="end"/>
      </w:r>
      <w:r>
        <w:rPr>
          <w:rFonts w:hint="eastAsia" w:ascii="宋体" w:hAnsi="宋体" w:cs="宋体"/>
          <w:sz w:val="24"/>
        </w:rPr>
        <w:fldChar w:fldCharType="end"/>
      </w:r>
    </w:p>
    <w:p>
      <w:pPr>
        <w:spacing w:line="480" w:lineRule="auto"/>
        <w:rPr>
          <w:rFonts w:ascii="宋体" w:hAnsi="宋体" w:cs="宋体"/>
          <w:sz w:val="28"/>
          <w:szCs w:val="28"/>
        </w:rPr>
      </w:pPr>
      <w:r>
        <w:rPr>
          <w:rFonts w:hint="eastAsia" w:ascii="宋体" w:hAnsi="宋体" w:cs="宋体"/>
          <w:sz w:val="24"/>
        </w:rPr>
        <w:fldChar w:fldCharType="end"/>
      </w:r>
    </w:p>
    <w:p>
      <w:pPr>
        <w:pStyle w:val="4"/>
        <w:numPr>
          <w:ilvl w:val="0"/>
          <w:numId w:val="0"/>
        </w:numPr>
        <w:jc w:val="both"/>
        <w:rPr>
          <w:rFonts w:ascii="宋体" w:hAnsi="宋体" w:cs="宋体"/>
          <w:kern w:val="0"/>
          <w:szCs w:val="21"/>
        </w:rPr>
        <w:sectPr>
          <w:footerReference r:id="rId8" w:type="default"/>
          <w:type w:val="continuous"/>
          <w:pgSz w:w="11906" w:h="16838"/>
          <w:pgMar w:top="1440" w:right="1800" w:bottom="1440" w:left="1600" w:header="851" w:footer="992" w:gutter="0"/>
          <w:pgNumType w:start="1"/>
          <w:cols w:space="0" w:num="1"/>
          <w:docGrid w:type="lines" w:linePitch="312" w:charSpace="0"/>
        </w:sectPr>
      </w:pPr>
      <w:bookmarkStart w:id="0" w:name="_Toc481057143"/>
    </w:p>
    <w:p>
      <w:pPr>
        <w:pStyle w:val="4"/>
        <w:rPr>
          <w:rFonts w:ascii="宋体" w:hAnsi="宋体" w:cs="宋体"/>
          <w:kern w:val="0"/>
          <w:szCs w:val="21"/>
        </w:rPr>
      </w:pPr>
      <w:r>
        <w:rPr>
          <w:rFonts w:hint="eastAsia" w:ascii="宋体" w:hAnsi="宋体" w:cs="宋体"/>
          <w:kern w:val="0"/>
          <w:sz w:val="36"/>
          <w:szCs w:val="36"/>
          <w:shd w:val="clear" w:color="auto" w:fill="FFFFFF"/>
        </w:rPr>
        <w:t xml:space="preserve">  </w:t>
      </w:r>
      <w:bookmarkStart w:id="1" w:name="_Toc11866"/>
      <w:r>
        <w:rPr>
          <w:rFonts w:hint="eastAsia" w:ascii="宋体" w:hAnsi="宋体" w:cs="宋体"/>
        </w:rPr>
        <w:t>招标公告</w:t>
      </w:r>
      <w:bookmarkEnd w:id="0"/>
      <w:bookmarkEnd w:id="1"/>
    </w:p>
    <w:p>
      <w:pPr>
        <w:widowControl/>
        <w:pBdr>
          <w:top w:val="single" w:color="auto" w:sz="4" w:space="1"/>
          <w:left w:val="single" w:color="auto" w:sz="4" w:space="4"/>
          <w:bottom w:val="single" w:color="auto" w:sz="4" w:space="1"/>
          <w:right w:val="single" w:color="auto" w:sz="4" w:space="4"/>
        </w:pBdr>
        <w:spacing w:line="360" w:lineRule="auto"/>
        <w:ind w:firstLine="454" w:firstLineChars="200"/>
        <w:rPr>
          <w:rFonts w:ascii="宋体" w:hAnsi="宋体" w:cs="宋体"/>
          <w:b/>
          <w:bCs/>
          <w:spacing w:val="8"/>
          <w:kern w:val="0"/>
        </w:rPr>
      </w:pPr>
      <w:r>
        <w:rPr>
          <w:rFonts w:hint="eastAsia" w:ascii="宋体" w:hAnsi="宋体" w:cs="宋体"/>
          <w:b/>
          <w:bCs/>
          <w:spacing w:val="8"/>
          <w:kern w:val="0"/>
        </w:rPr>
        <w:t>项目概况</w:t>
      </w:r>
    </w:p>
    <w:p>
      <w:pPr>
        <w:widowControl/>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kern w:val="0"/>
        </w:rPr>
      </w:pPr>
      <w:r>
        <w:rPr>
          <w:rFonts w:hint="eastAsia" w:ascii="宋体" w:hAnsi="宋体" w:cs="宋体"/>
          <w:u w:val="single"/>
        </w:rPr>
        <w:t>江宁高新区环保管家服务项目</w:t>
      </w:r>
      <w:r>
        <w:rPr>
          <w:rFonts w:hint="eastAsia" w:ascii="宋体" w:hAnsi="宋体" w:cs="宋体"/>
          <w:spacing w:val="8"/>
          <w:kern w:val="0"/>
        </w:rPr>
        <w:t>的潜在供应商应在</w:t>
      </w:r>
      <w:r>
        <w:rPr>
          <w:rFonts w:hint="eastAsia" w:ascii="宋体" w:hAnsi="宋体" w:cs="宋体"/>
          <w:u w:val="single"/>
        </w:rPr>
        <w:t>江苏省</w:t>
      </w:r>
      <w:r>
        <w:rPr>
          <w:rFonts w:hint="eastAsia" w:ascii="宋体" w:hAnsi="宋体" w:cs="宋体"/>
          <w:color w:val="000000"/>
          <w:spacing w:val="8"/>
          <w:kern w:val="0"/>
          <w:u w:val="single"/>
        </w:rPr>
        <w:t>南京市鼓楼区清江南路18号鼓楼创新广场D栋10楼1003室</w:t>
      </w:r>
      <w:r>
        <w:rPr>
          <w:rFonts w:hint="eastAsia" w:ascii="宋体" w:hAnsi="宋体" w:cs="宋体"/>
        </w:rPr>
        <w:t>获取采购文件，并于</w:t>
      </w:r>
      <w:r>
        <w:rPr>
          <w:rFonts w:hint="eastAsia" w:ascii="宋体" w:hAnsi="宋体" w:cs="宋体"/>
          <w:b/>
          <w:bCs/>
          <w:spacing w:val="8"/>
          <w:kern w:val="0"/>
          <w:u w:val="single"/>
        </w:rPr>
        <w:t>2024年</w:t>
      </w:r>
      <w:r>
        <w:rPr>
          <w:rFonts w:hint="eastAsia" w:ascii="宋体" w:hAnsi="宋体" w:cs="宋体"/>
          <w:b/>
          <w:bCs/>
          <w:spacing w:val="8"/>
          <w:kern w:val="0"/>
          <w:u w:val="single"/>
          <w:lang w:val="en-US" w:eastAsia="zh-CN"/>
        </w:rPr>
        <w:t>2</w:t>
      </w:r>
      <w:r>
        <w:rPr>
          <w:rFonts w:hint="eastAsia" w:ascii="宋体" w:hAnsi="宋体" w:cs="宋体"/>
          <w:b/>
          <w:bCs/>
          <w:spacing w:val="8"/>
          <w:kern w:val="0"/>
          <w:u w:val="single"/>
        </w:rPr>
        <w:t>月</w:t>
      </w:r>
      <w:r>
        <w:rPr>
          <w:rFonts w:hint="eastAsia" w:ascii="宋体" w:hAnsi="宋体" w:cs="宋体"/>
          <w:b/>
          <w:bCs/>
          <w:spacing w:val="8"/>
          <w:kern w:val="0"/>
          <w:u w:val="single"/>
          <w:lang w:val="en-US" w:eastAsia="zh-CN"/>
        </w:rPr>
        <w:t>20</w:t>
      </w:r>
      <w:r>
        <w:rPr>
          <w:rFonts w:hint="eastAsia" w:ascii="宋体" w:hAnsi="宋体" w:cs="宋体"/>
          <w:b/>
          <w:bCs/>
          <w:spacing w:val="8"/>
          <w:kern w:val="0"/>
          <w:u w:val="single"/>
        </w:rPr>
        <w:t>日</w:t>
      </w:r>
      <w:r>
        <w:rPr>
          <w:rFonts w:hint="eastAsia" w:ascii="宋体" w:hAnsi="宋体" w:cs="宋体"/>
          <w:b/>
          <w:bCs/>
          <w:kern w:val="0"/>
          <w:u w:val="single"/>
          <w:lang w:val="en-US" w:eastAsia="zh-CN"/>
        </w:rPr>
        <w:t>14</w:t>
      </w:r>
      <w:r>
        <w:rPr>
          <w:rFonts w:hint="eastAsia" w:ascii="宋体" w:hAnsi="宋体" w:cs="宋体"/>
          <w:b/>
          <w:bCs/>
          <w:kern w:val="0"/>
          <w:u w:val="single"/>
        </w:rPr>
        <w:t>点30</w:t>
      </w:r>
      <w:r>
        <w:rPr>
          <w:rFonts w:hint="eastAsia" w:ascii="宋体" w:hAnsi="宋体" w:cs="宋体"/>
          <w:kern w:val="0"/>
          <w:u w:val="single"/>
        </w:rPr>
        <w:t>分</w:t>
      </w:r>
      <w:r>
        <w:rPr>
          <w:rFonts w:hint="eastAsia" w:ascii="宋体" w:hAnsi="宋体" w:cs="宋体"/>
          <w:kern w:val="0"/>
        </w:rPr>
        <w:t>（北京时间）前递交投标文件。</w:t>
      </w:r>
    </w:p>
    <w:p>
      <w:pPr>
        <w:widowControl/>
        <w:shd w:val="clear" w:color="auto" w:fill="FFFFFF" w:themeFill="background1"/>
        <w:spacing w:line="460" w:lineRule="exact"/>
        <w:ind w:firstLine="369"/>
        <w:rPr>
          <w:rFonts w:ascii="宋体" w:hAnsi="宋体" w:cs="宋体"/>
          <w:spacing w:val="8"/>
          <w:kern w:val="0"/>
          <w:szCs w:val="21"/>
        </w:rPr>
      </w:pPr>
    </w:p>
    <w:p>
      <w:pPr>
        <w:widowControl/>
        <w:shd w:val="clear" w:color="auto" w:fill="FFFFFF" w:themeFill="background1"/>
        <w:spacing w:line="360" w:lineRule="auto"/>
        <w:outlineLvl w:val="1"/>
        <w:rPr>
          <w:rFonts w:ascii="宋体" w:hAnsi="宋体" w:cs="宋体"/>
          <w:b/>
          <w:spacing w:val="8"/>
          <w:kern w:val="0"/>
          <w:sz w:val="24"/>
        </w:rPr>
      </w:pPr>
      <w:r>
        <w:rPr>
          <w:rFonts w:hint="eastAsia" w:ascii="宋体" w:hAnsi="宋体" w:cs="宋体"/>
          <w:b/>
          <w:spacing w:val="8"/>
          <w:kern w:val="0"/>
          <w:sz w:val="24"/>
        </w:rPr>
        <w:t>一、项目基本情况</w:t>
      </w:r>
    </w:p>
    <w:p>
      <w:pPr>
        <w:spacing w:line="360" w:lineRule="auto"/>
        <w:ind w:firstLine="420" w:firstLineChars="200"/>
        <w:rPr>
          <w:rFonts w:ascii="宋体" w:hAnsi="宋体" w:cs="宋体"/>
          <w:bCs/>
          <w:szCs w:val="21"/>
        </w:rPr>
      </w:pPr>
      <w:r>
        <w:rPr>
          <w:rFonts w:hint="eastAsia" w:ascii="宋体" w:hAnsi="宋体" w:cs="宋体"/>
          <w:bCs/>
          <w:szCs w:val="21"/>
        </w:rPr>
        <w:t>1.1项目编号：ZB203224R60081</w:t>
      </w:r>
    </w:p>
    <w:p>
      <w:pPr>
        <w:spacing w:line="360" w:lineRule="auto"/>
        <w:ind w:firstLine="420" w:firstLineChars="200"/>
        <w:rPr>
          <w:rFonts w:ascii="宋体" w:hAnsi="宋体" w:cs="宋体"/>
          <w:bCs/>
          <w:szCs w:val="21"/>
        </w:rPr>
      </w:pPr>
      <w:r>
        <w:rPr>
          <w:rFonts w:hint="eastAsia" w:ascii="宋体" w:hAnsi="宋体" w:cs="宋体"/>
          <w:bCs/>
          <w:szCs w:val="21"/>
        </w:rPr>
        <w:t>1.2项目名称：江宁高新区环保管家服务项目</w:t>
      </w:r>
    </w:p>
    <w:p>
      <w:pPr>
        <w:spacing w:line="360" w:lineRule="auto"/>
        <w:ind w:firstLine="420" w:firstLineChars="200"/>
        <w:rPr>
          <w:rFonts w:ascii="宋体" w:hAnsi="宋体" w:cs="宋体"/>
          <w:bCs/>
          <w:szCs w:val="21"/>
        </w:rPr>
      </w:pPr>
      <w:r>
        <w:rPr>
          <w:rFonts w:hint="eastAsia" w:ascii="宋体" w:hAnsi="宋体" w:cs="宋体"/>
          <w:bCs/>
          <w:szCs w:val="21"/>
        </w:rPr>
        <w:t>1.3预算金额及最高限价：</w:t>
      </w:r>
    </w:p>
    <w:p>
      <w:pPr>
        <w:spacing w:line="360" w:lineRule="auto"/>
        <w:ind w:firstLine="422" w:firstLineChars="200"/>
        <w:rPr>
          <w:rFonts w:hint="eastAsia" w:ascii="宋体" w:hAnsi="宋体" w:cs="宋体"/>
          <w:bCs/>
          <w:szCs w:val="21"/>
        </w:rPr>
      </w:pPr>
      <w:r>
        <w:rPr>
          <w:rFonts w:hint="eastAsia" w:ascii="宋体" w:hAnsi="宋体" w:cs="宋体"/>
          <w:b/>
          <w:szCs w:val="21"/>
        </w:rPr>
        <w:t>标段一</w:t>
      </w:r>
      <w:r>
        <w:rPr>
          <w:rFonts w:hint="eastAsia" w:ascii="宋体" w:hAnsi="宋体" w:cs="宋体"/>
          <w:bCs/>
          <w:szCs w:val="21"/>
        </w:rPr>
        <w:t>：秦淮河以东、外港河以南、赤乌路、神凤路、104国道、端拱路、福英路、长深高速、南京绕城高速等合围范围。</w:t>
      </w:r>
    </w:p>
    <w:p>
      <w:pPr>
        <w:spacing w:line="360" w:lineRule="auto"/>
        <w:ind w:firstLine="420" w:firstLineChars="200"/>
        <w:rPr>
          <w:rFonts w:ascii="宋体" w:hAnsi="宋体" w:cs="宋体"/>
          <w:bCs/>
          <w:szCs w:val="21"/>
        </w:rPr>
      </w:pPr>
      <w:r>
        <w:rPr>
          <w:rFonts w:hint="eastAsia" w:ascii="宋体" w:hAnsi="宋体" w:cs="宋体"/>
          <w:bCs/>
          <w:szCs w:val="21"/>
        </w:rPr>
        <w:t>预算金额及最高限价：80万元，服务期1年。</w:t>
      </w:r>
    </w:p>
    <w:p>
      <w:pPr>
        <w:spacing w:line="360" w:lineRule="auto"/>
        <w:ind w:firstLine="422" w:firstLineChars="200"/>
        <w:rPr>
          <w:rFonts w:ascii="宋体" w:hAnsi="宋体" w:cs="宋体"/>
          <w:bCs/>
          <w:szCs w:val="21"/>
        </w:rPr>
      </w:pPr>
      <w:r>
        <w:rPr>
          <w:rFonts w:hint="eastAsia" w:ascii="宋体" w:hAnsi="宋体" w:cs="宋体"/>
          <w:b/>
          <w:szCs w:val="21"/>
        </w:rPr>
        <w:t>标段二</w:t>
      </w:r>
      <w:r>
        <w:rPr>
          <w:rFonts w:hint="eastAsia" w:ascii="宋体" w:hAnsi="宋体" w:cs="宋体"/>
          <w:bCs/>
          <w:szCs w:val="21"/>
        </w:rPr>
        <w:t>：南京绕城高速以东、竹山路以东、吉印大道以北、福英路以西、长深高速以西等合围范围。</w:t>
      </w:r>
    </w:p>
    <w:p>
      <w:pPr>
        <w:spacing w:line="360" w:lineRule="auto"/>
        <w:ind w:firstLine="420" w:firstLineChars="200"/>
        <w:rPr>
          <w:rFonts w:ascii="宋体" w:hAnsi="宋体" w:cs="宋体"/>
          <w:bCs/>
          <w:szCs w:val="21"/>
        </w:rPr>
      </w:pPr>
      <w:r>
        <w:rPr>
          <w:rFonts w:hint="eastAsia" w:ascii="宋体" w:hAnsi="宋体" w:cs="宋体"/>
          <w:bCs/>
          <w:szCs w:val="21"/>
        </w:rPr>
        <w:t>预算金额及最高限价：80万元，服务期1年。</w:t>
      </w:r>
    </w:p>
    <w:p>
      <w:pPr>
        <w:spacing w:line="360" w:lineRule="auto"/>
        <w:ind w:firstLine="422" w:firstLineChars="200"/>
        <w:rPr>
          <w:rFonts w:ascii="宋体" w:hAnsi="宋体" w:cs="宋体"/>
          <w:b/>
          <w:szCs w:val="21"/>
        </w:rPr>
      </w:pPr>
      <w:r>
        <w:rPr>
          <w:rFonts w:hint="eastAsia" w:ascii="宋体" w:hAnsi="宋体" w:cs="宋体"/>
          <w:b/>
          <w:szCs w:val="21"/>
        </w:rPr>
        <w:t>评标委员会按标段一、标段二的顺序依次确定中标供应商，供应商可参加一个或多个标段的投标，但同一投标人最多中标一个标段。已经中标的供应商可以参加后续标段的评审，但不再被推荐为中标候选人。</w:t>
      </w:r>
    </w:p>
    <w:p>
      <w:pPr>
        <w:spacing w:line="360" w:lineRule="auto"/>
        <w:ind w:firstLine="420" w:firstLineChars="200"/>
        <w:rPr>
          <w:rFonts w:ascii="宋体" w:hAnsi="宋体" w:cs="宋体"/>
          <w:bCs/>
          <w:szCs w:val="21"/>
        </w:rPr>
      </w:pPr>
      <w:r>
        <w:rPr>
          <w:rFonts w:hint="eastAsia" w:ascii="宋体" w:hAnsi="宋体" w:cs="宋体"/>
          <w:bCs/>
          <w:szCs w:val="21"/>
        </w:rPr>
        <w:t>1.4采购需求：包括但不限于：（一）江宁高新区大气、水环境、危废固废等整治提升常态化开展。（二）应急性、突发性专项工作。（三）日常工作交流促进及培训。具体需求详见招标文件。</w:t>
      </w:r>
    </w:p>
    <w:p>
      <w:pPr>
        <w:spacing w:line="360" w:lineRule="auto"/>
        <w:ind w:firstLine="420" w:firstLineChars="200"/>
        <w:rPr>
          <w:rFonts w:ascii="宋体" w:hAnsi="宋体" w:cs="宋体"/>
          <w:bCs/>
          <w:szCs w:val="21"/>
        </w:rPr>
      </w:pPr>
      <w:r>
        <w:rPr>
          <w:rFonts w:hint="eastAsia" w:ascii="宋体" w:hAnsi="宋体" w:cs="宋体"/>
          <w:bCs/>
          <w:szCs w:val="21"/>
        </w:rPr>
        <w:t>1.5合同履行期限：自合同签订，并自环保管家服务工作开展起一年。</w:t>
      </w:r>
    </w:p>
    <w:p>
      <w:pPr>
        <w:spacing w:line="360" w:lineRule="auto"/>
        <w:ind w:firstLine="420" w:firstLineChars="200"/>
        <w:rPr>
          <w:rFonts w:ascii="宋体" w:hAnsi="宋体" w:cs="宋体"/>
          <w:bCs/>
          <w:szCs w:val="21"/>
          <w:highlight w:val="yellow"/>
        </w:rPr>
      </w:pPr>
      <w:r>
        <w:rPr>
          <w:rFonts w:hint="eastAsia" w:ascii="宋体" w:hAnsi="宋体" w:cs="宋体"/>
          <w:bCs/>
          <w:szCs w:val="21"/>
        </w:rPr>
        <w:t>1.6行业划分：其他未列明行业。</w:t>
      </w:r>
    </w:p>
    <w:p>
      <w:pPr>
        <w:spacing w:line="360" w:lineRule="auto"/>
        <w:ind w:firstLine="420" w:firstLineChars="200"/>
        <w:rPr>
          <w:rFonts w:ascii="宋体" w:hAnsi="宋体" w:cs="宋体"/>
          <w:bCs/>
          <w:szCs w:val="21"/>
        </w:rPr>
      </w:pPr>
      <w:r>
        <w:rPr>
          <w:rFonts w:hint="eastAsia" w:ascii="宋体" w:hAnsi="宋体" w:cs="宋体"/>
          <w:bCs/>
          <w:szCs w:val="21"/>
        </w:rPr>
        <w:t>1.7本项目非专门面向中小企业（或监狱企业或残疾人福利性单位）采购。</w:t>
      </w:r>
    </w:p>
    <w:p>
      <w:pPr>
        <w:spacing w:line="360" w:lineRule="auto"/>
        <w:ind w:firstLine="420" w:firstLineChars="200"/>
        <w:rPr>
          <w:rFonts w:ascii="宋体" w:hAnsi="宋体" w:cs="宋体"/>
          <w:bCs/>
          <w:szCs w:val="21"/>
        </w:rPr>
      </w:pPr>
      <w:r>
        <w:rPr>
          <w:rFonts w:hint="eastAsia" w:ascii="宋体" w:hAnsi="宋体" w:cs="宋体"/>
          <w:bCs/>
          <w:szCs w:val="21"/>
        </w:rPr>
        <w:t>1.8本项目不接受联合体投标。</w:t>
      </w:r>
    </w:p>
    <w:p>
      <w:pPr>
        <w:widowControl/>
        <w:shd w:val="clear" w:color="auto" w:fill="FFFFFF" w:themeFill="background1"/>
        <w:spacing w:line="460" w:lineRule="exact"/>
        <w:ind w:firstLine="370"/>
        <w:rPr>
          <w:rFonts w:ascii="宋体" w:hAnsi="宋体" w:cs="宋体"/>
          <w:spacing w:val="8"/>
          <w:kern w:val="0"/>
          <w:szCs w:val="21"/>
        </w:rPr>
      </w:pPr>
    </w:p>
    <w:p>
      <w:pPr>
        <w:widowControl/>
        <w:shd w:val="clear" w:color="auto" w:fill="FFFFFF" w:themeFill="background1"/>
        <w:spacing w:line="460" w:lineRule="exact"/>
        <w:outlineLvl w:val="1"/>
        <w:rPr>
          <w:rFonts w:ascii="宋体" w:hAnsi="宋体" w:cs="宋体"/>
          <w:b/>
          <w:spacing w:val="8"/>
          <w:kern w:val="0"/>
          <w:sz w:val="24"/>
        </w:rPr>
      </w:pPr>
      <w:r>
        <w:rPr>
          <w:rFonts w:hint="eastAsia" w:ascii="宋体" w:hAnsi="宋体" w:cs="宋体"/>
          <w:b/>
          <w:spacing w:val="8"/>
          <w:kern w:val="0"/>
          <w:sz w:val="24"/>
        </w:rPr>
        <w:t>二、申请人的资格要求</w:t>
      </w:r>
    </w:p>
    <w:p>
      <w:pPr>
        <w:widowControl/>
        <w:shd w:val="clear" w:color="auto" w:fill="FFFFFF" w:themeFill="background1"/>
        <w:spacing w:line="360" w:lineRule="auto"/>
        <w:ind w:firstLine="454" w:firstLineChars="200"/>
        <w:rPr>
          <w:rFonts w:ascii="宋体" w:hAnsi="宋体" w:cs="宋体"/>
          <w:b/>
          <w:spacing w:val="8"/>
          <w:kern w:val="0"/>
          <w:szCs w:val="21"/>
        </w:rPr>
      </w:pPr>
      <w:r>
        <w:rPr>
          <w:rFonts w:hint="eastAsia" w:ascii="宋体" w:hAnsi="宋体" w:cs="宋体"/>
          <w:b/>
          <w:spacing w:val="8"/>
          <w:kern w:val="0"/>
          <w:szCs w:val="21"/>
        </w:rPr>
        <w:t>2.1满足《中华人民共和国政府采购法》第二十二条规定；</w:t>
      </w:r>
    </w:p>
    <w:p>
      <w:pPr>
        <w:spacing w:line="360" w:lineRule="auto"/>
        <w:ind w:firstLine="420" w:firstLineChars="200"/>
        <w:rPr>
          <w:rFonts w:ascii="宋体" w:hAnsi="宋体" w:cs="宋体"/>
          <w:bCs/>
          <w:szCs w:val="21"/>
        </w:rPr>
      </w:pPr>
      <w:r>
        <w:rPr>
          <w:rFonts w:hint="eastAsia" w:ascii="宋体" w:hAnsi="宋体" w:cs="宋体"/>
          <w:bCs/>
          <w:szCs w:val="21"/>
        </w:rPr>
        <w:t xml:space="preserve">（1）具有独立承担民事责任的能力（提供法人或者其他组织的营业执照；供应商为自然人的，提供其身份证）； </w:t>
      </w:r>
    </w:p>
    <w:p>
      <w:pPr>
        <w:spacing w:line="360" w:lineRule="auto"/>
        <w:ind w:firstLine="420" w:firstLineChars="200"/>
        <w:rPr>
          <w:rFonts w:ascii="宋体" w:hAnsi="宋体" w:cs="宋体"/>
          <w:bCs/>
          <w:szCs w:val="21"/>
        </w:rPr>
      </w:pPr>
      <w:r>
        <w:rPr>
          <w:rFonts w:hint="eastAsia" w:ascii="宋体" w:hAnsi="宋体" w:cs="宋体"/>
          <w:bCs/>
          <w:szCs w:val="21"/>
        </w:rPr>
        <w:t>（2）具有良好的商业信誉和健全的财务会计制度（提供2022年度的财务报表，或投标截止时间前六个月内银行出具的资信证明）；</w:t>
      </w:r>
    </w:p>
    <w:p>
      <w:pPr>
        <w:spacing w:line="360" w:lineRule="auto"/>
        <w:ind w:firstLine="420" w:firstLineChars="200"/>
        <w:rPr>
          <w:rFonts w:ascii="宋体" w:hAnsi="宋体" w:cs="宋体"/>
          <w:bCs/>
          <w:szCs w:val="21"/>
        </w:rPr>
      </w:pPr>
      <w:r>
        <w:rPr>
          <w:rFonts w:hint="eastAsia" w:ascii="宋体" w:hAnsi="宋体" w:cs="宋体"/>
          <w:bCs/>
          <w:szCs w:val="21"/>
        </w:rPr>
        <w:t>（3）具有履行合同所必需的设备和专业技术能力（供应商根据履行采购项目合同需要，提供履行合同所必需的设备和专业技术能力的证明材料）；</w:t>
      </w:r>
    </w:p>
    <w:p>
      <w:pPr>
        <w:spacing w:line="360" w:lineRule="auto"/>
        <w:ind w:firstLine="420" w:firstLineChars="200"/>
        <w:rPr>
          <w:rFonts w:ascii="宋体" w:hAnsi="宋体" w:cs="宋体"/>
          <w:bCs/>
          <w:szCs w:val="21"/>
        </w:rPr>
      </w:pPr>
      <w:r>
        <w:rPr>
          <w:rFonts w:hint="eastAsia" w:ascii="宋体" w:hAnsi="宋体" w:cs="宋体"/>
          <w:bCs/>
          <w:szCs w:val="21"/>
        </w:rPr>
        <w:t>（4）有依法缴纳税收和社会保障资金的良好记录（提供参加本次政府采购活动前半年内至少一个月：</w:t>
      </w:r>
      <w:r>
        <w:rPr>
          <w:rFonts w:hint="eastAsia" w:ascii="宋体" w:hAnsi="宋体" w:cs="宋体"/>
          <w:bCs/>
          <w:szCs w:val="21"/>
        </w:rPr>
        <w:fldChar w:fldCharType="begin"/>
      </w:r>
      <w:r>
        <w:rPr>
          <w:rFonts w:hint="eastAsia" w:ascii="宋体" w:hAnsi="宋体" w:cs="宋体"/>
          <w:bCs/>
          <w:szCs w:val="21"/>
        </w:rPr>
        <w:instrText xml:space="preserve"> EQ \o\ac(○,1)</w:instrText>
      </w:r>
      <w:r>
        <w:rPr>
          <w:rFonts w:hint="eastAsia" w:ascii="宋体" w:hAnsi="宋体" w:cs="宋体"/>
          <w:bCs/>
          <w:szCs w:val="21"/>
        </w:rPr>
        <w:fldChar w:fldCharType="end"/>
      </w:r>
      <w:r>
        <w:rPr>
          <w:rFonts w:hint="eastAsia" w:ascii="宋体" w:hAnsi="宋体" w:cs="宋体"/>
          <w:bCs/>
          <w:szCs w:val="21"/>
        </w:rPr>
        <w:t>缴纳税收的凭证；</w:t>
      </w:r>
      <w:r>
        <w:rPr>
          <w:rFonts w:hint="eastAsia" w:ascii="宋体" w:hAnsi="宋体" w:cs="宋体"/>
          <w:bCs/>
          <w:szCs w:val="21"/>
        </w:rPr>
        <w:fldChar w:fldCharType="begin"/>
      </w:r>
      <w:r>
        <w:rPr>
          <w:rFonts w:hint="eastAsia" w:ascii="宋体" w:hAnsi="宋体" w:cs="宋体"/>
          <w:bCs/>
          <w:szCs w:val="21"/>
        </w:rPr>
        <w:instrText xml:space="preserve"> EQ \o\ac(○,2)</w:instrText>
      </w:r>
      <w:r>
        <w:rPr>
          <w:rFonts w:hint="eastAsia" w:ascii="宋体" w:hAnsi="宋体" w:cs="宋体"/>
          <w:bCs/>
          <w:szCs w:val="21"/>
        </w:rPr>
        <w:fldChar w:fldCharType="end"/>
      </w:r>
      <w:r>
        <w:rPr>
          <w:rFonts w:hint="eastAsia" w:ascii="宋体" w:hAnsi="宋体" w:cs="宋体"/>
          <w:bCs/>
          <w:szCs w:val="21"/>
        </w:rPr>
        <w:t>缴纳社会保险的凭据（专用收据或社会保险缴纳清单）），依法享受免缴、缓缴的，提供证明材料；</w:t>
      </w:r>
    </w:p>
    <w:p>
      <w:pPr>
        <w:spacing w:line="360" w:lineRule="auto"/>
        <w:ind w:firstLine="420" w:firstLineChars="200"/>
        <w:rPr>
          <w:rFonts w:ascii="宋体" w:hAnsi="宋体" w:cs="宋体"/>
          <w:bCs/>
          <w:szCs w:val="21"/>
        </w:rPr>
      </w:pPr>
      <w:r>
        <w:rPr>
          <w:rFonts w:hint="eastAsia" w:ascii="宋体" w:hAnsi="宋体" w:cs="宋体"/>
          <w:bCs/>
          <w:szCs w:val="21"/>
        </w:rPr>
        <w:t>（5）参加政府采购活动前三年内，在经营活动中没有重大违法记录（提供承诺书）；</w:t>
      </w:r>
    </w:p>
    <w:p>
      <w:pPr>
        <w:spacing w:line="360" w:lineRule="auto"/>
        <w:ind w:firstLine="420" w:firstLineChars="200"/>
        <w:rPr>
          <w:rFonts w:ascii="宋体" w:hAnsi="宋体" w:cs="宋体"/>
          <w:bCs/>
          <w:szCs w:val="21"/>
        </w:rPr>
      </w:pPr>
      <w:r>
        <w:rPr>
          <w:rFonts w:hint="eastAsia" w:ascii="宋体" w:hAnsi="宋体" w:cs="宋体"/>
          <w:bCs/>
          <w:szCs w:val="21"/>
        </w:rPr>
        <w:t>（6）法律、行政法规规定的其他条件：无</w:t>
      </w:r>
    </w:p>
    <w:p>
      <w:pPr>
        <w:widowControl/>
        <w:shd w:val="clear" w:color="auto" w:fill="FFFFFF" w:themeFill="background1"/>
        <w:spacing w:line="360" w:lineRule="auto"/>
        <w:ind w:firstLine="454" w:firstLineChars="200"/>
        <w:rPr>
          <w:rFonts w:ascii="宋体" w:hAnsi="宋体" w:cs="宋体"/>
          <w:spacing w:val="8"/>
          <w:kern w:val="0"/>
          <w:szCs w:val="21"/>
        </w:rPr>
      </w:pPr>
      <w:r>
        <w:rPr>
          <w:rFonts w:hint="eastAsia" w:ascii="宋体" w:hAnsi="宋体" w:cs="宋体"/>
          <w:b/>
          <w:spacing w:val="8"/>
          <w:kern w:val="0"/>
          <w:szCs w:val="21"/>
        </w:rPr>
        <w:t>2.2落实政府采购政策需满足的资格要求：</w:t>
      </w:r>
      <w:r>
        <w:rPr>
          <w:rFonts w:hint="eastAsia" w:ascii="宋体" w:hAnsi="宋体" w:cs="宋体"/>
          <w:spacing w:val="8"/>
          <w:kern w:val="0"/>
          <w:szCs w:val="21"/>
        </w:rPr>
        <w:t>无</w:t>
      </w:r>
    </w:p>
    <w:p>
      <w:pPr>
        <w:spacing w:line="360" w:lineRule="auto"/>
        <w:ind w:firstLine="454" w:firstLineChars="200"/>
        <w:rPr>
          <w:rFonts w:ascii="宋体" w:hAnsi="宋体" w:cs="宋体"/>
          <w:b/>
          <w:szCs w:val="21"/>
        </w:rPr>
      </w:pPr>
      <w:r>
        <w:rPr>
          <w:rFonts w:hint="eastAsia" w:ascii="宋体" w:hAnsi="宋体" w:cs="宋体"/>
          <w:b/>
          <w:spacing w:val="8"/>
          <w:kern w:val="0"/>
          <w:szCs w:val="21"/>
        </w:rPr>
        <w:t>2.3</w:t>
      </w:r>
      <w:r>
        <w:rPr>
          <w:rFonts w:hint="eastAsia" w:ascii="宋体" w:hAnsi="宋体" w:cs="宋体"/>
          <w:b/>
          <w:szCs w:val="21"/>
        </w:rPr>
        <w:t>采购人根据采购项目的特殊要求规定的特定条件，并提供符合特殊要求的证明材料或者情况说明：无。</w:t>
      </w:r>
    </w:p>
    <w:p>
      <w:pPr>
        <w:spacing w:line="360" w:lineRule="auto"/>
        <w:ind w:firstLine="452" w:firstLineChars="200"/>
        <w:rPr>
          <w:rFonts w:ascii="宋体" w:hAnsi="宋体" w:cs="宋体"/>
          <w:bCs/>
          <w:szCs w:val="21"/>
        </w:rPr>
      </w:pPr>
      <w:r>
        <w:rPr>
          <w:rFonts w:hint="eastAsia" w:ascii="宋体" w:hAnsi="宋体" w:cs="宋体"/>
          <w:spacing w:val="8"/>
          <w:kern w:val="0"/>
          <w:szCs w:val="21"/>
        </w:rPr>
        <w:t>2.4</w:t>
      </w:r>
      <w:r>
        <w:rPr>
          <w:rFonts w:hint="eastAsia" w:ascii="宋体" w:hAnsi="宋体" w:cs="宋体"/>
          <w:bCs/>
          <w:szCs w:val="21"/>
        </w:rPr>
        <w:t>第2.1（5）条所称重大违法记录，是指供应商因违法经营受到刑事处罚或者责令停产停业、吊销许可证或者执照、较大数额罚款等行政处罚。</w:t>
      </w:r>
    </w:p>
    <w:p>
      <w:pPr>
        <w:spacing w:line="360" w:lineRule="auto"/>
        <w:ind w:firstLine="420" w:firstLineChars="200"/>
        <w:rPr>
          <w:rFonts w:ascii="宋体" w:hAnsi="宋体" w:cs="宋体"/>
          <w:bCs/>
          <w:szCs w:val="21"/>
        </w:rPr>
      </w:pPr>
      <w:r>
        <w:rPr>
          <w:rFonts w:hint="eastAsia" w:ascii="宋体" w:hAnsi="宋体" w:cs="宋体"/>
          <w:bCs/>
          <w:szCs w:val="21"/>
        </w:rPr>
        <w:t>2.5 供应商在参加政府采购活动前3年内因违法经营被禁止在一定期限内参加政府采购活动，期限届满的，可以参加政府采购活动。</w:t>
      </w:r>
    </w:p>
    <w:p>
      <w:pPr>
        <w:spacing w:line="360" w:lineRule="auto"/>
        <w:ind w:firstLine="420" w:firstLineChars="200"/>
        <w:rPr>
          <w:rFonts w:ascii="宋体" w:hAnsi="宋体" w:cs="宋体"/>
          <w:bCs/>
          <w:szCs w:val="21"/>
        </w:rPr>
      </w:pPr>
      <w:r>
        <w:rPr>
          <w:rFonts w:hint="eastAsia" w:ascii="宋体" w:hAnsi="宋体" w:cs="宋体"/>
          <w:bCs/>
          <w:szCs w:val="21"/>
        </w:rPr>
        <w:t>2.6单位负责人为同一人或者存在直接控股、管理关系的不同供应商，不得参加同一合同项下的政府采购活动。</w:t>
      </w:r>
    </w:p>
    <w:p>
      <w:pPr>
        <w:spacing w:line="360" w:lineRule="auto"/>
        <w:ind w:firstLine="420" w:firstLineChars="200"/>
        <w:rPr>
          <w:rFonts w:ascii="宋体" w:hAnsi="宋体" w:cs="宋体"/>
          <w:bCs/>
          <w:szCs w:val="21"/>
        </w:rPr>
      </w:pPr>
      <w:r>
        <w:rPr>
          <w:rFonts w:hint="eastAsia" w:ascii="宋体" w:hAnsi="宋体" w:cs="宋体"/>
          <w:bCs/>
          <w:szCs w:val="21"/>
        </w:rPr>
        <w:t>为采购项目提供整体设计、规范编制或者项目管理、监理、检测等服务的供应商，不得再参加该采购项目的其他采购活动。</w:t>
      </w:r>
    </w:p>
    <w:p>
      <w:pPr>
        <w:spacing w:line="360" w:lineRule="auto"/>
        <w:ind w:firstLine="420" w:firstLineChars="200"/>
        <w:rPr>
          <w:rFonts w:ascii="宋体" w:hAnsi="宋体" w:cs="宋体"/>
          <w:bCs/>
          <w:szCs w:val="21"/>
        </w:rPr>
      </w:pPr>
      <w:r>
        <w:rPr>
          <w:rFonts w:hint="eastAsia" w:ascii="宋体" w:hAnsi="宋体" w:cs="宋体"/>
          <w:bCs/>
          <w:szCs w:val="21"/>
        </w:rPr>
        <w:t>2.7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投标人信用记录并保存。</w:t>
      </w:r>
    </w:p>
    <w:p>
      <w:pPr>
        <w:spacing w:line="460" w:lineRule="exact"/>
        <w:ind w:firstLine="420" w:firstLineChars="200"/>
        <w:rPr>
          <w:rFonts w:ascii="宋体" w:hAnsi="宋体" w:cs="宋体"/>
          <w:bCs/>
          <w:szCs w:val="21"/>
        </w:rPr>
      </w:pPr>
    </w:p>
    <w:p>
      <w:pPr>
        <w:widowControl/>
        <w:shd w:val="clear" w:color="auto" w:fill="FFFFFF" w:themeFill="background1"/>
        <w:spacing w:line="460" w:lineRule="exact"/>
        <w:outlineLvl w:val="1"/>
        <w:rPr>
          <w:rFonts w:ascii="宋体" w:hAnsi="宋体" w:cs="宋体"/>
          <w:b/>
          <w:spacing w:val="8"/>
          <w:kern w:val="0"/>
          <w:sz w:val="24"/>
        </w:rPr>
      </w:pPr>
      <w:r>
        <w:rPr>
          <w:rFonts w:hint="eastAsia" w:ascii="宋体" w:hAnsi="宋体" w:cs="宋体"/>
          <w:b/>
          <w:spacing w:val="8"/>
          <w:kern w:val="0"/>
          <w:sz w:val="24"/>
        </w:rPr>
        <w:t>三、获取招标文件</w:t>
      </w:r>
    </w:p>
    <w:p>
      <w:pPr>
        <w:widowControl/>
        <w:shd w:val="clear" w:color="auto" w:fill="FFFFFF" w:themeFill="background1"/>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3.1</w:t>
      </w:r>
      <w:r>
        <w:rPr>
          <w:rFonts w:hint="eastAsia" w:ascii="宋体" w:hAnsi="宋体" w:cs="宋体"/>
          <w:b/>
          <w:bCs/>
          <w:spacing w:val="8"/>
          <w:kern w:val="0"/>
          <w:szCs w:val="21"/>
        </w:rPr>
        <w:t>时间：</w:t>
      </w:r>
      <w:r>
        <w:rPr>
          <w:rFonts w:hint="eastAsia" w:ascii="宋体" w:hAnsi="宋体" w:cs="宋体"/>
          <w:b/>
          <w:bCs/>
        </w:rPr>
        <w:t>2024年1月</w:t>
      </w:r>
      <w:r>
        <w:rPr>
          <w:rFonts w:hint="eastAsia" w:ascii="宋体" w:hAnsi="宋体" w:cs="宋体"/>
          <w:b/>
          <w:bCs/>
          <w:lang w:val="en-US" w:eastAsia="zh-CN"/>
        </w:rPr>
        <w:t>22</w:t>
      </w:r>
      <w:r>
        <w:rPr>
          <w:rFonts w:hint="eastAsia" w:ascii="宋体" w:hAnsi="宋体" w:cs="宋体"/>
          <w:b/>
          <w:bCs/>
        </w:rPr>
        <w:t>日</w:t>
      </w:r>
      <w:r>
        <w:rPr>
          <w:rFonts w:hint="eastAsia" w:ascii="宋体" w:hAnsi="宋体" w:cs="宋体"/>
          <w:b/>
          <w:bCs/>
          <w:spacing w:val="8"/>
          <w:kern w:val="0"/>
          <w:szCs w:val="21"/>
        </w:rPr>
        <w:t>至</w:t>
      </w:r>
      <w:r>
        <w:rPr>
          <w:rFonts w:hint="eastAsia" w:ascii="宋体" w:hAnsi="宋体" w:cs="宋体"/>
          <w:b/>
          <w:bCs/>
        </w:rPr>
        <w:t>2024</w:t>
      </w:r>
      <w:r>
        <w:rPr>
          <w:rFonts w:hint="eastAsia" w:ascii="宋体" w:hAnsi="宋体" w:cs="宋体"/>
          <w:b/>
          <w:bCs/>
          <w:spacing w:val="8"/>
          <w:kern w:val="0"/>
          <w:szCs w:val="21"/>
        </w:rPr>
        <w:t>年</w:t>
      </w:r>
      <w:r>
        <w:rPr>
          <w:rFonts w:hint="eastAsia" w:ascii="宋体" w:hAnsi="宋体" w:cs="宋体"/>
          <w:b/>
          <w:bCs/>
        </w:rPr>
        <w:t>1</w:t>
      </w:r>
      <w:r>
        <w:rPr>
          <w:rFonts w:hint="eastAsia" w:ascii="宋体" w:hAnsi="宋体" w:cs="宋体"/>
          <w:b/>
          <w:bCs/>
          <w:spacing w:val="8"/>
          <w:kern w:val="0"/>
          <w:szCs w:val="21"/>
        </w:rPr>
        <w:t>月</w:t>
      </w:r>
      <w:r>
        <w:rPr>
          <w:rFonts w:hint="eastAsia" w:ascii="宋体" w:hAnsi="宋体" w:cs="宋体"/>
          <w:b/>
          <w:bCs/>
          <w:lang w:val="en-US" w:eastAsia="zh-CN"/>
        </w:rPr>
        <w:t>29</w:t>
      </w:r>
      <w:r>
        <w:rPr>
          <w:rFonts w:hint="eastAsia" w:ascii="宋体" w:hAnsi="宋体" w:cs="宋体"/>
          <w:b/>
          <w:bCs/>
          <w:spacing w:val="8"/>
          <w:kern w:val="0"/>
          <w:szCs w:val="21"/>
        </w:rPr>
        <w:t>日17:30。</w:t>
      </w:r>
      <w:r>
        <w:rPr>
          <w:rFonts w:hint="eastAsia" w:ascii="宋体" w:hAnsi="宋体" w:cs="宋体"/>
          <w:spacing w:val="8"/>
          <w:kern w:val="0"/>
          <w:szCs w:val="21"/>
        </w:rPr>
        <w:t>（北京时间，法定节假日除外）</w:t>
      </w:r>
    </w:p>
    <w:p>
      <w:pPr>
        <w:widowControl/>
        <w:shd w:val="clear" w:color="auto" w:fill="FFFFFF" w:themeFill="background1"/>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3.2地点：南京市鼓楼区清江南路18号鼓楼创新广场D栋10楼1003室。</w:t>
      </w:r>
    </w:p>
    <w:p>
      <w:pPr>
        <w:widowControl/>
        <w:shd w:val="clear" w:color="auto" w:fill="FFFFFF" w:themeFill="background1"/>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3.3方式：</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（1）供应商获取招标文件前须前往登录e交易平台主页（https://www.ejy365.com）按照要求进行实名会员注册、完善相关信息后进入后台（https://whppm.ejy365.com/）选择项目参加、下载招标文件。</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（2）下载者首次登录平台前，须前往平台免费注册，注册成功且完善相关信息后，可以及时参与平台上所有发布的项目。</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下载者应充分考虑平台注册、信息检查、资料上传、费用支付所需时间，下载者必须在获取时间内完成支付，否则将无法保证获取招标文件。未按照本公告要求获得本项目招标文件的，招标代理机构不予接收其投标文件。</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（4）下载者需要发票的，须通过平台“我的项目-申请开票”进行操作。非因招标代理机构或平台原因，发票一经开具不予退换。</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平台网站首页“帮助中心”提供操作手册，下载者可以下载并根据操作手册提示进行注册、登录等操作。e交易平台技术支持联系方式供应商技术支持热线：400-828-0799（工作时间：9:00-11:30，13:30-19:00）供应商项目参与操作说明：</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https://www.ejy365.com/upload/link/2022/08/30/48e1dd12-5050-4bbf-bfc9-a0d7a037ba1c.pdf 技术支持服务态度不满意投诉热线:400-828-0799 转0。</w:t>
      </w:r>
    </w:p>
    <w:p>
      <w:pPr>
        <w:widowControl/>
        <w:spacing w:line="360" w:lineRule="auto"/>
        <w:ind w:firstLine="420" w:firstLineChars="200"/>
        <w:rPr>
          <w:rFonts w:ascii="宋体" w:hAnsi="宋体" w:cs="宋体"/>
          <w:spacing w:val="8"/>
          <w:kern w:val="0"/>
          <w:szCs w:val="21"/>
        </w:rPr>
      </w:pPr>
      <w:r>
        <w:rPr>
          <w:rFonts w:hint="eastAsia" w:ascii="宋体" w:hAnsi="宋体" w:cs="宋体"/>
          <w:szCs w:val="21"/>
        </w:rPr>
        <w:t>（6）联合体投标（如允许）的，联合体各方应当指定牵头人，并授权其以自身名义在平台办理注册、下载文件等手续，其在平台的办理行为，对联合体各方均具有约束力</w:t>
      </w:r>
      <w:r>
        <w:rPr>
          <w:rFonts w:hint="eastAsia" w:ascii="宋体" w:hAnsi="宋体" w:cs="宋体"/>
        </w:rPr>
        <w:t>。</w:t>
      </w:r>
    </w:p>
    <w:p>
      <w:pPr>
        <w:widowControl/>
        <w:shd w:val="clear" w:color="auto" w:fill="FFFFFF" w:themeFill="background1"/>
        <w:spacing w:line="360" w:lineRule="auto"/>
        <w:ind w:firstLine="452" w:firstLineChars="200"/>
        <w:rPr>
          <w:rFonts w:ascii="宋体" w:hAnsi="宋体" w:cs="宋体"/>
          <w:szCs w:val="21"/>
        </w:rPr>
      </w:pPr>
      <w:r>
        <w:rPr>
          <w:rFonts w:hint="eastAsia" w:ascii="宋体" w:hAnsi="宋体" w:cs="宋体"/>
          <w:spacing w:val="8"/>
          <w:kern w:val="0"/>
          <w:szCs w:val="21"/>
        </w:rPr>
        <w:t>3.4纸质招标文件服务费</w:t>
      </w:r>
      <w:r>
        <w:rPr>
          <w:rFonts w:hint="eastAsia" w:ascii="宋体" w:hAnsi="宋体" w:cs="宋体"/>
          <w:szCs w:val="21"/>
        </w:rPr>
        <w:t>每套100元，售后不退。</w:t>
      </w:r>
    </w:p>
    <w:p>
      <w:pPr>
        <w:widowControl/>
        <w:shd w:val="clear" w:color="auto" w:fill="FFFFFF" w:themeFill="background1"/>
        <w:spacing w:line="360" w:lineRule="auto"/>
        <w:ind w:firstLine="452" w:firstLineChars="200"/>
        <w:rPr>
          <w:rFonts w:ascii="宋体" w:hAnsi="宋体" w:cs="宋体"/>
          <w:spacing w:val="8"/>
          <w:kern w:val="0"/>
          <w:szCs w:val="21"/>
        </w:rPr>
      </w:pPr>
    </w:p>
    <w:p>
      <w:pPr>
        <w:widowControl/>
        <w:shd w:val="clear" w:color="auto" w:fill="FFFFFF" w:themeFill="background1"/>
        <w:spacing w:line="360" w:lineRule="auto"/>
        <w:outlineLvl w:val="1"/>
        <w:rPr>
          <w:rFonts w:ascii="宋体" w:hAnsi="宋体" w:cs="宋体"/>
          <w:b/>
          <w:spacing w:val="8"/>
          <w:kern w:val="0"/>
          <w:sz w:val="24"/>
        </w:rPr>
      </w:pPr>
      <w:r>
        <w:rPr>
          <w:rFonts w:hint="eastAsia" w:ascii="宋体" w:hAnsi="宋体" w:cs="宋体"/>
          <w:b/>
          <w:spacing w:val="8"/>
          <w:kern w:val="0"/>
          <w:sz w:val="24"/>
        </w:rPr>
        <w:t>四、提交投标文件截止时间、开标时间和地点</w:t>
      </w:r>
    </w:p>
    <w:p>
      <w:pPr>
        <w:widowControl/>
        <w:shd w:val="clear" w:color="auto" w:fill="FFFFFF" w:themeFill="background1"/>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4.1提交投标文件截止及开标时间：</w:t>
      </w:r>
      <w:r>
        <w:rPr>
          <w:rFonts w:hint="eastAsia" w:ascii="宋体" w:hAnsi="宋体" w:cs="宋体"/>
          <w:b/>
          <w:bCs/>
          <w:spacing w:val="8"/>
          <w:kern w:val="0"/>
          <w:szCs w:val="21"/>
        </w:rPr>
        <w:t>2024年</w:t>
      </w:r>
      <w:r>
        <w:rPr>
          <w:rFonts w:hint="eastAsia" w:ascii="宋体" w:hAnsi="宋体" w:cs="宋体"/>
          <w:b/>
          <w:bCs/>
          <w:spacing w:val="8"/>
          <w:kern w:val="0"/>
          <w:szCs w:val="21"/>
          <w:lang w:val="en-US" w:eastAsia="zh-CN"/>
        </w:rPr>
        <w:t>2</w:t>
      </w:r>
      <w:r>
        <w:rPr>
          <w:rFonts w:hint="eastAsia" w:ascii="宋体" w:hAnsi="宋体" w:cs="宋体"/>
          <w:b/>
          <w:bCs/>
          <w:spacing w:val="8"/>
          <w:kern w:val="0"/>
          <w:szCs w:val="21"/>
        </w:rPr>
        <w:t>月</w:t>
      </w:r>
      <w:r>
        <w:rPr>
          <w:rFonts w:hint="eastAsia" w:ascii="宋体" w:hAnsi="宋体" w:cs="宋体"/>
          <w:b/>
          <w:bCs/>
          <w:spacing w:val="8"/>
          <w:kern w:val="0"/>
          <w:szCs w:val="21"/>
          <w:lang w:val="en-US" w:eastAsia="zh-CN"/>
        </w:rPr>
        <w:t>20</w:t>
      </w:r>
      <w:r>
        <w:rPr>
          <w:rFonts w:hint="eastAsia" w:ascii="宋体" w:hAnsi="宋体" w:cs="宋体"/>
          <w:b/>
          <w:bCs/>
          <w:spacing w:val="8"/>
          <w:kern w:val="0"/>
          <w:szCs w:val="21"/>
        </w:rPr>
        <w:t>日</w:t>
      </w:r>
      <w:r>
        <w:rPr>
          <w:rFonts w:hint="eastAsia" w:ascii="宋体" w:hAnsi="宋体" w:cs="宋体"/>
          <w:b/>
          <w:bCs/>
          <w:spacing w:val="8"/>
          <w:kern w:val="0"/>
          <w:szCs w:val="21"/>
          <w:lang w:val="en-US" w:eastAsia="zh-CN"/>
        </w:rPr>
        <w:t>14</w:t>
      </w:r>
      <w:r>
        <w:rPr>
          <w:rFonts w:hint="eastAsia" w:ascii="宋体" w:hAnsi="宋体" w:cs="宋体"/>
          <w:b/>
          <w:bCs/>
          <w:spacing w:val="8"/>
          <w:kern w:val="0"/>
          <w:szCs w:val="21"/>
        </w:rPr>
        <w:t>点30分</w:t>
      </w:r>
      <w:r>
        <w:rPr>
          <w:rFonts w:hint="eastAsia" w:ascii="宋体" w:hAnsi="宋体" w:cs="宋体"/>
          <w:spacing w:val="8"/>
          <w:kern w:val="0"/>
          <w:szCs w:val="21"/>
        </w:rPr>
        <w:t>（北京时间）</w:t>
      </w:r>
    </w:p>
    <w:p>
      <w:pPr>
        <w:widowControl/>
        <w:shd w:val="clear" w:color="auto" w:fill="FFFFFF" w:themeFill="background1"/>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4.2提交投标文件地点及开标地点：南京市鼓楼区清江南路18号鼓楼创新广场D栋11楼2号开标室</w:t>
      </w:r>
    </w:p>
    <w:p>
      <w:pPr>
        <w:widowControl/>
        <w:shd w:val="clear" w:color="auto" w:fill="FFFFFF" w:themeFill="background1"/>
        <w:spacing w:line="360" w:lineRule="auto"/>
        <w:ind w:firstLine="422" w:firstLineChars="200"/>
        <w:rPr>
          <w:rFonts w:ascii="宋体" w:hAnsi="宋体" w:cs="宋体"/>
          <w:b/>
          <w:bCs/>
        </w:rPr>
      </w:pPr>
      <w:r>
        <w:rPr>
          <w:rFonts w:hint="eastAsia" w:ascii="宋体" w:hAnsi="宋体" w:cs="宋体"/>
          <w:b/>
          <w:bCs/>
        </w:rPr>
        <w:t>投标人因</w:t>
      </w:r>
      <w:r>
        <w:rPr>
          <w:rFonts w:hint="eastAsia" w:ascii="宋体" w:hAnsi="宋体" w:cs="宋体"/>
          <w:b/>
          <w:bCs/>
          <w:szCs w:val="21"/>
        </w:rPr>
        <w:t>故</w:t>
      </w:r>
      <w:r>
        <w:rPr>
          <w:rFonts w:hint="eastAsia" w:ascii="宋体" w:hAnsi="宋体" w:cs="宋体"/>
          <w:b/>
          <w:bCs/>
        </w:rPr>
        <w:t>未出席开标会的，视同同意本项目开标结果。</w:t>
      </w:r>
    </w:p>
    <w:p>
      <w:pPr>
        <w:widowControl/>
        <w:spacing w:line="360" w:lineRule="auto"/>
        <w:ind w:firstLine="452" w:firstLineChars="200"/>
        <w:rPr>
          <w:rFonts w:ascii="宋体" w:hAnsi="宋体" w:cs="宋体"/>
          <w:szCs w:val="21"/>
        </w:rPr>
      </w:pPr>
      <w:r>
        <w:rPr>
          <w:rFonts w:hint="eastAsia" w:ascii="宋体" w:hAnsi="宋体" w:cs="宋体"/>
          <w:spacing w:val="8"/>
          <w:kern w:val="0"/>
          <w:szCs w:val="21"/>
        </w:rPr>
        <w:t>4.3</w:t>
      </w:r>
      <w:r>
        <w:rPr>
          <w:rFonts w:hint="eastAsia" w:ascii="宋体" w:hAnsi="宋体" w:cs="宋体"/>
          <w:b/>
          <w:bCs/>
          <w:szCs w:val="21"/>
        </w:rPr>
        <w:t>投标人应提供投标文件一式伍份（正本壹份、副本肆份），所有投标文件均应密封后递交，同时应提供电子版投标文件壹份（电子版须为投标文件正本加盖公章、签字后形成PDF扫描件，扫描件内容应与纸质投标文件正本完全一致、U盘形式（单独封装）、随纸质正本文件一并提交）。</w:t>
      </w:r>
      <w:r>
        <w:rPr>
          <w:rFonts w:hint="eastAsia" w:ascii="宋体" w:hAnsi="宋体" w:cs="宋体"/>
          <w:szCs w:val="21"/>
        </w:rPr>
        <w:t>当电子版文件和纸质正本文件不一致时，以纸质正本文件为准。电子版文件用于辅助评标和平台存档，投标人需承担前述不一致造成的不利后果。</w:t>
      </w:r>
    </w:p>
    <w:p>
      <w:pPr>
        <w:widowControl/>
        <w:shd w:val="clear" w:color="auto" w:fill="FFFFFF" w:themeFill="background1"/>
        <w:spacing w:line="460" w:lineRule="exact"/>
        <w:ind w:firstLine="370"/>
        <w:rPr>
          <w:rFonts w:ascii="宋体" w:hAnsi="宋体" w:cs="宋体"/>
          <w:spacing w:val="8"/>
          <w:kern w:val="0"/>
          <w:szCs w:val="21"/>
        </w:rPr>
      </w:pPr>
    </w:p>
    <w:p>
      <w:pPr>
        <w:widowControl/>
        <w:shd w:val="clear" w:color="auto" w:fill="FFFFFF" w:themeFill="background1"/>
        <w:spacing w:line="460" w:lineRule="exact"/>
        <w:outlineLvl w:val="1"/>
        <w:rPr>
          <w:rFonts w:ascii="宋体" w:hAnsi="宋体" w:cs="宋体"/>
          <w:b/>
          <w:spacing w:val="8"/>
          <w:kern w:val="0"/>
          <w:sz w:val="24"/>
        </w:rPr>
      </w:pPr>
      <w:r>
        <w:rPr>
          <w:rFonts w:hint="eastAsia" w:ascii="宋体" w:hAnsi="宋体" w:cs="宋体"/>
          <w:b/>
          <w:spacing w:val="8"/>
          <w:kern w:val="0"/>
          <w:sz w:val="24"/>
        </w:rPr>
        <w:t>五、公告期限</w:t>
      </w:r>
    </w:p>
    <w:p>
      <w:pPr>
        <w:widowControl/>
        <w:shd w:val="clear" w:color="auto" w:fill="FFFFFF" w:themeFill="background1"/>
        <w:spacing w:line="460" w:lineRule="exact"/>
        <w:ind w:firstLine="370"/>
        <w:rPr>
          <w:rFonts w:ascii="宋体" w:hAnsi="宋体" w:cs="宋体"/>
          <w:spacing w:val="8"/>
          <w:kern w:val="0"/>
          <w:szCs w:val="21"/>
        </w:rPr>
      </w:pPr>
      <w:r>
        <w:rPr>
          <w:rFonts w:hint="eastAsia" w:ascii="宋体" w:hAnsi="宋体" w:cs="宋体"/>
          <w:spacing w:val="8"/>
          <w:kern w:val="0"/>
          <w:szCs w:val="21"/>
        </w:rPr>
        <w:t>自本公告发布之日起5个工作日。</w:t>
      </w:r>
    </w:p>
    <w:p>
      <w:pPr>
        <w:widowControl/>
        <w:shd w:val="clear" w:color="auto" w:fill="FFFFFF" w:themeFill="background1"/>
        <w:spacing w:line="460" w:lineRule="exact"/>
        <w:ind w:firstLine="370"/>
        <w:rPr>
          <w:rFonts w:ascii="宋体" w:hAnsi="宋体" w:cs="宋体"/>
          <w:spacing w:val="8"/>
          <w:kern w:val="0"/>
          <w:szCs w:val="21"/>
        </w:rPr>
      </w:pPr>
    </w:p>
    <w:p>
      <w:pPr>
        <w:widowControl/>
        <w:shd w:val="clear" w:color="auto" w:fill="FFFFFF" w:themeFill="background1"/>
        <w:spacing w:line="460" w:lineRule="exact"/>
        <w:outlineLvl w:val="1"/>
        <w:rPr>
          <w:rFonts w:ascii="宋体" w:hAnsi="宋体" w:cs="宋体"/>
          <w:b/>
          <w:spacing w:val="8"/>
          <w:kern w:val="0"/>
          <w:sz w:val="24"/>
        </w:rPr>
      </w:pPr>
      <w:r>
        <w:rPr>
          <w:rFonts w:hint="eastAsia" w:ascii="宋体" w:hAnsi="宋体" w:cs="宋体"/>
          <w:b/>
          <w:spacing w:val="8"/>
          <w:kern w:val="0"/>
          <w:sz w:val="24"/>
        </w:rPr>
        <w:t>六、其他补充事宜</w:t>
      </w:r>
    </w:p>
    <w:p>
      <w:pPr>
        <w:widowControl/>
        <w:shd w:val="clear" w:color="auto" w:fill="FFFFFF" w:themeFill="background1"/>
        <w:spacing w:line="360" w:lineRule="auto"/>
        <w:ind w:firstLine="363" w:firstLineChars="173"/>
        <w:rPr>
          <w:rFonts w:ascii="宋体" w:hAnsi="宋体" w:cs="宋体"/>
          <w:szCs w:val="21"/>
          <w:lang w:val="zh-CN"/>
        </w:rPr>
      </w:pPr>
      <w:r>
        <w:rPr>
          <w:rFonts w:hint="eastAsia" w:ascii="宋体" w:hAnsi="宋体" w:cs="宋体"/>
          <w:szCs w:val="21"/>
          <w:lang w:val="zh-CN"/>
        </w:rPr>
        <w:t>6.1本项目在</w:t>
      </w:r>
      <w:r>
        <w:rPr>
          <w:rFonts w:hint="eastAsia" w:ascii="宋体" w:hAnsi="宋体" w:cs="宋体"/>
          <w:szCs w:val="21"/>
        </w:rPr>
        <w:t xml:space="preserve"> </w:t>
      </w:r>
      <w:r>
        <w:rPr>
          <w:rFonts w:hint="eastAsia" w:ascii="宋体" w:hAnsi="宋体" w:cs="宋体"/>
          <w:b/>
          <w:bCs/>
          <w:szCs w:val="21"/>
          <w:lang w:val="zh-CN"/>
        </w:rPr>
        <w:t>南京公共采购信息网</w:t>
      </w:r>
      <w:r>
        <w:rPr>
          <w:rFonts w:hint="eastAsia" w:ascii="宋体" w:hAnsi="宋体" w:cs="宋体"/>
          <w:b/>
          <w:bCs/>
        </w:rPr>
        <w:t>、</w:t>
      </w:r>
      <w:r>
        <w:rPr>
          <w:rFonts w:hint="eastAsia" w:ascii="宋体" w:hAnsi="宋体" w:cs="宋体"/>
          <w:b/>
          <w:bCs/>
          <w:szCs w:val="21"/>
          <w:lang w:val="zh-CN"/>
        </w:rPr>
        <w:t>江苏政府采购网</w:t>
      </w:r>
      <w:r>
        <w:rPr>
          <w:rFonts w:hint="eastAsia" w:ascii="宋体" w:hAnsi="宋体" w:cs="宋体"/>
          <w:b/>
          <w:bCs/>
          <w:szCs w:val="21"/>
        </w:rPr>
        <w:t xml:space="preserve"> </w:t>
      </w:r>
      <w:r>
        <w:rPr>
          <w:rFonts w:hint="eastAsia" w:ascii="宋体" w:hAnsi="宋体" w:cs="宋体"/>
          <w:szCs w:val="21"/>
          <w:lang w:val="zh-CN"/>
        </w:rPr>
        <w:t>网站发布公告。</w:t>
      </w:r>
    </w:p>
    <w:p>
      <w:pPr>
        <w:widowControl/>
        <w:shd w:val="clear" w:color="auto" w:fill="FFFFFF" w:themeFill="background1"/>
        <w:spacing w:line="360" w:lineRule="auto"/>
        <w:ind w:firstLine="363" w:firstLineChars="173"/>
        <w:rPr>
          <w:rFonts w:ascii="宋体" w:hAnsi="宋体" w:cs="宋体"/>
          <w:szCs w:val="21"/>
        </w:rPr>
      </w:pPr>
      <w:r>
        <w:rPr>
          <w:rFonts w:hint="eastAsia" w:ascii="宋体" w:hAnsi="宋体" w:cs="宋体"/>
          <w:szCs w:val="21"/>
          <w:lang w:val="zh-CN"/>
        </w:rPr>
        <w:t>6.</w:t>
      </w:r>
      <w:r>
        <w:rPr>
          <w:rFonts w:hint="eastAsia" w:ascii="宋体" w:hAnsi="宋体" w:cs="宋体"/>
          <w:szCs w:val="21"/>
        </w:rPr>
        <w:t>2投标人应当从采购代理机构合法获得招标项目的招标文件。本次招标请按“项目”获取招标文件，编制、提交投标文件，并按“项目”开标、评标。</w:t>
      </w:r>
    </w:p>
    <w:p>
      <w:pPr>
        <w:widowControl/>
        <w:shd w:val="clear" w:color="auto" w:fill="FFFFFF" w:themeFill="background1"/>
        <w:spacing w:line="360" w:lineRule="auto"/>
        <w:ind w:firstLine="363" w:firstLineChars="173"/>
        <w:rPr>
          <w:rFonts w:ascii="宋体" w:hAnsi="宋体" w:cs="宋体"/>
          <w:bCs/>
          <w:szCs w:val="21"/>
        </w:rPr>
      </w:pPr>
      <w:r>
        <w:rPr>
          <w:rFonts w:hint="eastAsia" w:ascii="宋体" w:hAnsi="宋体" w:cs="宋体"/>
          <w:bCs/>
          <w:szCs w:val="21"/>
        </w:rPr>
        <w:t>6.3 勘察现场：无</w:t>
      </w:r>
    </w:p>
    <w:p>
      <w:pPr>
        <w:widowControl/>
        <w:shd w:val="clear" w:color="auto" w:fill="FFFFFF" w:themeFill="background1"/>
        <w:spacing w:line="360" w:lineRule="auto"/>
        <w:ind w:firstLine="365" w:firstLineChars="173"/>
        <w:rPr>
          <w:rFonts w:ascii="宋体" w:hAnsi="宋体" w:cs="宋体"/>
          <w:b/>
          <w:bCs/>
          <w:szCs w:val="21"/>
          <w:lang w:val="zh-CN"/>
        </w:rPr>
      </w:pPr>
      <w:r>
        <w:rPr>
          <w:rFonts w:hint="eastAsia" w:ascii="宋体" w:hAnsi="宋体" w:cs="宋体"/>
          <w:b/>
          <w:bCs/>
          <w:szCs w:val="21"/>
          <w:lang w:val="zh-CN"/>
        </w:rPr>
        <w:t>6.</w:t>
      </w:r>
      <w:r>
        <w:rPr>
          <w:rFonts w:hint="eastAsia" w:ascii="宋体" w:hAnsi="宋体" w:cs="宋体"/>
          <w:b/>
          <w:bCs/>
          <w:szCs w:val="21"/>
        </w:rPr>
        <w:t>4</w:t>
      </w:r>
      <w:r>
        <w:rPr>
          <w:rFonts w:hint="eastAsia" w:ascii="宋体" w:hAnsi="宋体" w:cs="宋体"/>
          <w:b/>
          <w:bCs/>
          <w:szCs w:val="21"/>
          <w:lang w:val="zh-CN"/>
        </w:rPr>
        <w:t>供应商诚信档案管理</w:t>
      </w:r>
    </w:p>
    <w:p>
      <w:pPr>
        <w:widowControl/>
        <w:spacing w:line="360" w:lineRule="auto"/>
        <w:ind w:firstLine="363" w:firstLineChars="173"/>
        <w:rPr>
          <w:rFonts w:ascii="宋体" w:hAnsi="宋体" w:cs="宋体"/>
          <w:szCs w:val="21"/>
          <w:lang w:val="zh-CN"/>
        </w:rPr>
      </w:pPr>
      <w:r>
        <w:rPr>
          <w:rFonts w:hint="eastAsia" w:ascii="宋体" w:hAnsi="宋体" w:cs="宋体"/>
          <w:szCs w:val="21"/>
          <w:lang w:val="zh-CN"/>
        </w:rPr>
        <w:t>根据《南京市政府采购供应商信用管理工作暂行办法》（宁财规</w:t>
      </w:r>
      <w:r>
        <w:rPr>
          <w:rFonts w:hint="eastAsia" w:ascii="宋体" w:hAnsi="宋体" w:cs="宋体"/>
          <w:sz w:val="24"/>
        </w:rPr>
        <w:t>〔</w:t>
      </w:r>
      <w:r>
        <w:rPr>
          <w:rFonts w:hint="eastAsia" w:ascii="宋体" w:hAnsi="宋体" w:cs="宋体"/>
          <w:szCs w:val="21"/>
        </w:rPr>
        <w:t>2018</w:t>
      </w:r>
      <w:r>
        <w:rPr>
          <w:rFonts w:hint="eastAsia" w:ascii="宋体" w:hAnsi="宋体" w:cs="宋体"/>
          <w:sz w:val="24"/>
        </w:rPr>
        <w:t>〕</w:t>
      </w:r>
      <w:r>
        <w:rPr>
          <w:rFonts w:hint="eastAsia" w:ascii="宋体" w:hAnsi="宋体" w:cs="宋体"/>
          <w:szCs w:val="21"/>
          <w:lang w:val="zh-CN"/>
        </w:rPr>
        <w:t>10号）有关规定，凡在南京地区参加政府采购活动的供应商，应当事先登录“南京公共采购信息网”（https://njgc.jfh.com/）或“信用南京”（www.njcredit.gov.cn）主页“南京市政府采购供应商诚信档案”栏目进行注册登记。由于特殊原因未及时注册的供应商可先行获取采购文件，但必须在提交投标（响应）文件截止日2天前办理登记注册手续。</w:t>
      </w:r>
    </w:p>
    <w:p>
      <w:pPr>
        <w:widowControl/>
        <w:spacing w:line="360" w:lineRule="auto"/>
        <w:ind w:firstLine="363" w:firstLineChars="173"/>
        <w:rPr>
          <w:rFonts w:ascii="宋体" w:hAnsi="宋体" w:cs="宋体"/>
          <w:szCs w:val="21"/>
          <w:lang w:val="zh-CN"/>
        </w:rPr>
      </w:pPr>
      <w:r>
        <w:rPr>
          <w:rFonts w:hint="eastAsia" w:ascii="宋体" w:hAnsi="宋体" w:cs="宋体"/>
          <w:szCs w:val="21"/>
          <w:lang w:val="zh-CN"/>
        </w:rPr>
        <w:t>供应商申请网上注册的，应当按以下程序进行：</w:t>
      </w:r>
    </w:p>
    <w:p>
      <w:pPr>
        <w:widowControl/>
        <w:spacing w:line="360" w:lineRule="auto"/>
        <w:ind w:firstLine="363" w:firstLineChars="173"/>
        <w:rPr>
          <w:rFonts w:ascii="宋体" w:hAnsi="宋体" w:cs="宋体"/>
          <w:szCs w:val="21"/>
          <w:lang w:val="zh-CN"/>
        </w:rPr>
      </w:pPr>
      <w:r>
        <w:rPr>
          <w:rFonts w:hint="eastAsia" w:ascii="宋体" w:hAnsi="宋体" w:cs="宋体"/>
          <w:szCs w:val="21"/>
          <w:lang w:val="zh-CN"/>
        </w:rPr>
        <w:t>（1）登录“南京公共采购信息网”或“信用南京”网站，点击“南京市政府采购供应商诚信档案”图标，在弹出的用户登录界面，点击“新用户注册”；</w:t>
      </w:r>
    </w:p>
    <w:p>
      <w:pPr>
        <w:widowControl/>
        <w:spacing w:line="360" w:lineRule="auto"/>
        <w:ind w:firstLine="363" w:firstLineChars="173"/>
        <w:rPr>
          <w:rFonts w:ascii="宋体" w:hAnsi="宋体" w:cs="宋体"/>
          <w:szCs w:val="21"/>
          <w:lang w:val="zh-CN"/>
        </w:rPr>
      </w:pPr>
      <w:r>
        <w:rPr>
          <w:rFonts w:hint="eastAsia" w:ascii="宋体" w:hAnsi="宋体" w:cs="宋体"/>
          <w:szCs w:val="21"/>
          <w:lang w:val="zh-CN"/>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widowControl/>
        <w:spacing w:line="360" w:lineRule="auto"/>
        <w:ind w:firstLine="420" w:firstLineChars="200"/>
        <w:rPr>
          <w:rFonts w:ascii="宋体" w:hAnsi="宋体" w:cs="宋体"/>
          <w:b/>
          <w:bCs/>
          <w:szCs w:val="21"/>
          <w:lang w:val="zh-CN"/>
        </w:rPr>
      </w:pPr>
      <w:r>
        <w:rPr>
          <w:rFonts w:hint="eastAsia" w:ascii="宋体" w:hAnsi="宋体" w:cs="宋体"/>
          <w:szCs w:val="21"/>
          <w:lang w:val="zh-CN"/>
        </w:rPr>
        <w:t>注册成功后，供应商参加本次政府采购活动时，在采购文件发布之日起至递交投标文件截止日前，应先登录“南京市政府采购供应商诚信档案管理系统”在线打印其“南京市政府采购供应商信用记录表暨信用承诺书”，经法定代表人签名盖章后作为投标文件的组成部分。</w:t>
      </w:r>
      <w:r>
        <w:rPr>
          <w:rFonts w:hint="eastAsia" w:ascii="宋体" w:hAnsi="宋体" w:cs="宋体"/>
          <w:b/>
          <w:bCs/>
          <w:szCs w:val="21"/>
          <w:lang w:val="zh-CN"/>
        </w:rPr>
        <w:t>“南京市政府采购供应商信用记录表暨信用承诺书”是其参加本次政府采购活动的必备材料。</w:t>
      </w:r>
    </w:p>
    <w:p>
      <w:pPr>
        <w:widowControl/>
        <w:spacing w:line="360" w:lineRule="auto"/>
        <w:ind w:firstLine="420" w:firstLineChars="200"/>
        <w:rPr>
          <w:rFonts w:ascii="宋体" w:hAnsi="宋体" w:cs="宋体"/>
          <w:szCs w:val="21"/>
          <w:lang w:val="zh-CN"/>
        </w:rPr>
      </w:pPr>
      <w:r>
        <w:rPr>
          <w:rFonts w:hint="eastAsia" w:ascii="宋体" w:hAnsi="宋体" w:cs="宋体"/>
          <w:szCs w:val="21"/>
          <w:lang w:val="zh-CN"/>
        </w:rPr>
        <w:t>南京市政府采购供应商诚信档案管理系统客服电话：025-52718366；供应商可就用户注册与打印“南京市政府采购供应商信用记录表暨信用承诺书”等事宜进行咨询。</w:t>
      </w:r>
    </w:p>
    <w:p>
      <w:pPr>
        <w:widowControl/>
        <w:shd w:val="clear" w:color="auto" w:fill="FFFFFF"/>
        <w:spacing w:line="360" w:lineRule="auto"/>
        <w:ind w:firstLine="452" w:firstLineChars="200"/>
        <w:textAlignment w:val="baseline"/>
        <w:rPr>
          <w:rFonts w:ascii="宋体" w:hAnsi="宋体" w:cs="宋体"/>
          <w:spacing w:val="8"/>
          <w:kern w:val="0"/>
          <w:szCs w:val="21"/>
        </w:rPr>
      </w:pPr>
      <w:r>
        <w:rPr>
          <w:rFonts w:hint="eastAsia" w:ascii="宋体" w:hAnsi="宋体" w:cs="宋体"/>
          <w:spacing w:val="8"/>
          <w:kern w:val="0"/>
          <w:szCs w:val="21"/>
        </w:rPr>
        <w:t>《南京市政府采购供应商信用记录表暨信用承诺书》须按照招标文件“供应商诚信档案管理”的要求去注册、申请、在线打印，打印时间为本采购文件发布之日起至递交投标文件截止日前，</w:t>
      </w:r>
      <w:r>
        <w:rPr>
          <w:rFonts w:hint="eastAsia" w:ascii="宋体" w:hAnsi="宋体" w:cs="宋体"/>
          <w:b/>
          <w:bCs/>
          <w:spacing w:val="8"/>
          <w:kern w:val="0"/>
          <w:szCs w:val="21"/>
        </w:rPr>
        <w:t>未按要求提供《南京市政府采购供应商信用记录表暨信用承诺书》则该供应商投标文件按无效投标处理。</w:t>
      </w:r>
    </w:p>
    <w:p>
      <w:pPr>
        <w:widowControl/>
        <w:spacing w:line="360" w:lineRule="auto"/>
        <w:ind w:firstLine="363" w:firstLineChars="173"/>
        <w:rPr>
          <w:rFonts w:ascii="宋体" w:hAnsi="宋体" w:cs="宋体"/>
          <w:bCs/>
          <w:szCs w:val="21"/>
        </w:rPr>
      </w:pPr>
      <w:r>
        <w:rPr>
          <w:rFonts w:hint="eastAsia" w:ascii="宋体" w:hAnsi="宋体" w:cs="宋体"/>
          <w:bCs/>
          <w:szCs w:val="21"/>
        </w:rPr>
        <w:t>6.5 根据《关于在政府采购活动中推行信用承诺制的通知》（宁财购通</w:t>
      </w:r>
      <w:r>
        <w:rPr>
          <w:rFonts w:hint="eastAsia" w:ascii="宋体" w:hAnsi="宋体" w:cs="宋体"/>
          <w:sz w:val="24"/>
        </w:rPr>
        <w:t>〔</w:t>
      </w:r>
      <w:r>
        <w:rPr>
          <w:rFonts w:hint="eastAsia" w:ascii="宋体" w:hAnsi="宋体" w:cs="宋体"/>
          <w:bCs/>
          <w:szCs w:val="21"/>
        </w:rPr>
        <w:t>2021</w:t>
      </w:r>
      <w:r>
        <w:rPr>
          <w:rFonts w:hint="eastAsia" w:ascii="宋体" w:hAnsi="宋体" w:cs="宋体"/>
          <w:sz w:val="24"/>
        </w:rPr>
        <w:t>〕</w:t>
      </w:r>
      <w:r>
        <w:rPr>
          <w:rFonts w:hint="eastAsia" w:ascii="宋体" w:hAnsi="宋体" w:cs="宋体"/>
          <w:bCs/>
          <w:szCs w:val="21"/>
        </w:rPr>
        <w:t>5号）的规定，本项目招标公告“二、申请人的资格要求”中涉及的证明材料，投标人可以在投标文件中一次性提交，也可以在投标文件中提供满足相应条件的书面承诺书（详见招标文件第六章），不再需要提供上述涉及的证明材料。</w:t>
      </w:r>
    </w:p>
    <w:p>
      <w:pPr>
        <w:widowControl/>
        <w:spacing w:line="360" w:lineRule="auto"/>
        <w:ind w:firstLine="363" w:firstLineChars="173"/>
        <w:rPr>
          <w:rFonts w:ascii="宋体" w:hAnsi="宋体" w:cs="宋体"/>
          <w:bCs/>
          <w:szCs w:val="21"/>
        </w:rPr>
      </w:pPr>
      <w:r>
        <w:rPr>
          <w:rFonts w:hint="eastAsia" w:ascii="宋体" w:hAnsi="宋体" w:cs="宋体"/>
          <w:bCs/>
          <w:szCs w:val="21"/>
        </w:rPr>
        <w:t>投标人仅提供信用承诺书而未提供“二、申请人的资格要求”中涉及的证明材料的，须在中标后，另行提供上述由信用承诺书替代的证明材料（一式三份），材料须加盖公章并按招标文件要求胶装提交采购人或采购代理机构核验。经核验无误后，由采购人或采购代理机构发出中标通知书。</w:t>
      </w:r>
    </w:p>
    <w:p>
      <w:pPr>
        <w:spacing w:line="360" w:lineRule="auto"/>
        <w:ind w:firstLine="422" w:firstLineChars="200"/>
        <w:rPr>
          <w:rFonts w:ascii="宋体" w:hAnsi="宋体" w:cs="宋体"/>
          <w:b/>
          <w:bCs/>
          <w:szCs w:val="21"/>
        </w:rPr>
      </w:pPr>
      <w:r>
        <w:rPr>
          <w:rFonts w:hint="eastAsia" w:ascii="宋体" w:hAnsi="宋体" w:cs="宋体"/>
          <w:b/>
          <w:bCs/>
          <w:szCs w:val="21"/>
        </w:rPr>
        <w:t>投标人涉及以下情形的，不适用信用承诺，仍须提供上述证明材料：</w:t>
      </w:r>
    </w:p>
    <w:p>
      <w:pPr>
        <w:spacing w:line="360" w:lineRule="auto"/>
        <w:ind w:firstLine="422" w:firstLineChars="200"/>
        <w:rPr>
          <w:rFonts w:ascii="宋体" w:hAnsi="宋体" w:cs="宋体"/>
          <w:b/>
          <w:bCs/>
          <w:szCs w:val="21"/>
        </w:rPr>
      </w:pPr>
      <w:r>
        <w:rPr>
          <w:rFonts w:hint="eastAsia" w:ascii="宋体" w:hAnsi="宋体" w:cs="宋体"/>
          <w:b/>
          <w:bCs/>
          <w:szCs w:val="21"/>
        </w:rPr>
        <w:t>（1）供应商被列入严重失信主体名单；</w:t>
      </w:r>
    </w:p>
    <w:p>
      <w:pPr>
        <w:spacing w:line="360" w:lineRule="auto"/>
        <w:ind w:firstLine="422" w:firstLineChars="200"/>
        <w:rPr>
          <w:rFonts w:ascii="宋体" w:hAnsi="宋体" w:cs="宋体"/>
          <w:b/>
          <w:bCs/>
          <w:szCs w:val="21"/>
        </w:rPr>
      </w:pPr>
      <w:r>
        <w:rPr>
          <w:rFonts w:hint="eastAsia" w:ascii="宋体" w:hAnsi="宋体" w:cs="宋体"/>
          <w:b/>
          <w:bCs/>
          <w:szCs w:val="21"/>
        </w:rPr>
        <w:t>（2）被相关监管部门作出行政处罚且尚在处罚有效期内；</w:t>
      </w:r>
    </w:p>
    <w:p>
      <w:pPr>
        <w:spacing w:line="360" w:lineRule="auto"/>
        <w:ind w:firstLine="422" w:firstLineChars="200"/>
        <w:rPr>
          <w:rFonts w:ascii="宋体" w:hAnsi="宋体" w:cs="宋体"/>
          <w:b/>
          <w:bCs/>
          <w:szCs w:val="21"/>
        </w:rPr>
      </w:pPr>
      <w:r>
        <w:rPr>
          <w:rFonts w:hint="eastAsia" w:ascii="宋体" w:hAnsi="宋体" w:cs="宋体"/>
          <w:b/>
          <w:bCs/>
          <w:szCs w:val="21"/>
        </w:rPr>
        <w:t>（3）其他法律、行政法规规定的不适用信用承诺的情形。</w:t>
      </w:r>
    </w:p>
    <w:p>
      <w:pPr>
        <w:spacing w:line="360" w:lineRule="auto"/>
        <w:ind w:firstLine="422" w:firstLineChars="200"/>
        <w:rPr>
          <w:rFonts w:ascii="宋体" w:hAnsi="宋体" w:cs="宋体"/>
          <w:b/>
          <w:bCs/>
          <w:szCs w:val="21"/>
        </w:rPr>
      </w:pPr>
      <w:r>
        <w:rPr>
          <w:rFonts w:hint="eastAsia" w:ascii="宋体" w:hAnsi="宋体" w:cs="宋体"/>
          <w:b/>
          <w:bCs/>
          <w:szCs w:val="21"/>
        </w:rPr>
        <w:t>投标人对信用承诺内容的真实性、合法性、有效性负责。如作出虚假信用承诺，视同为“提供虚假材料谋取中标、成交”的违法行为。</w:t>
      </w:r>
    </w:p>
    <w:p>
      <w:pPr>
        <w:pStyle w:val="2"/>
        <w:rPr>
          <w:rFonts w:ascii="宋体" w:hAnsi="宋体" w:cs="宋体"/>
        </w:rPr>
      </w:pPr>
    </w:p>
    <w:p>
      <w:pPr>
        <w:widowControl/>
        <w:shd w:val="clear" w:color="auto" w:fill="FFFFFF" w:themeFill="background1"/>
        <w:spacing w:line="460" w:lineRule="exact"/>
        <w:rPr>
          <w:rFonts w:ascii="宋体" w:hAnsi="宋体" w:cs="宋体"/>
          <w:b/>
          <w:spacing w:val="8"/>
          <w:kern w:val="0"/>
          <w:sz w:val="24"/>
        </w:rPr>
      </w:pPr>
      <w:r>
        <w:rPr>
          <w:rFonts w:hint="eastAsia" w:ascii="宋体" w:hAnsi="宋体" w:cs="宋体"/>
          <w:b/>
          <w:spacing w:val="8"/>
          <w:kern w:val="0"/>
          <w:sz w:val="24"/>
        </w:rPr>
        <w:t>七、对本次招标提出询问，请按以下方式联系</w:t>
      </w:r>
    </w:p>
    <w:p>
      <w:pPr>
        <w:widowControl/>
        <w:spacing w:line="360" w:lineRule="auto"/>
        <w:ind w:firstLine="363" w:firstLineChars="173"/>
        <w:rPr>
          <w:rFonts w:ascii="宋体" w:hAnsi="宋体" w:cs="宋体"/>
          <w:bCs/>
          <w:szCs w:val="21"/>
        </w:rPr>
      </w:pPr>
      <w:r>
        <w:rPr>
          <w:rFonts w:hint="eastAsia" w:ascii="宋体" w:hAnsi="宋体" w:cs="宋体"/>
          <w:bCs/>
          <w:szCs w:val="21"/>
        </w:rPr>
        <w:t>7.1采购人信息</w:t>
      </w:r>
    </w:p>
    <w:p>
      <w:pPr>
        <w:widowControl/>
        <w:spacing w:line="360" w:lineRule="auto"/>
        <w:ind w:firstLine="363" w:firstLineChars="173"/>
        <w:rPr>
          <w:rFonts w:ascii="宋体" w:hAnsi="宋体" w:cs="宋体"/>
          <w:bCs/>
          <w:szCs w:val="21"/>
        </w:rPr>
      </w:pPr>
      <w:r>
        <w:rPr>
          <w:rFonts w:hint="eastAsia" w:ascii="宋体" w:hAnsi="宋体" w:cs="宋体"/>
          <w:bCs/>
          <w:szCs w:val="21"/>
        </w:rPr>
        <w:t>名称：南京江宁高新技术产业开发区管理委员会</w:t>
      </w:r>
    </w:p>
    <w:p>
      <w:pPr>
        <w:widowControl/>
        <w:spacing w:line="360" w:lineRule="auto"/>
        <w:ind w:firstLine="363" w:firstLineChars="173"/>
        <w:rPr>
          <w:rFonts w:ascii="宋体" w:hAnsi="宋体" w:cs="宋体"/>
          <w:bCs/>
          <w:szCs w:val="21"/>
        </w:rPr>
      </w:pPr>
      <w:r>
        <w:rPr>
          <w:rFonts w:hint="eastAsia" w:ascii="宋体" w:hAnsi="宋体" w:cs="宋体"/>
          <w:bCs/>
          <w:szCs w:val="21"/>
        </w:rPr>
        <w:t>地址：</w:t>
      </w:r>
      <w:r>
        <w:rPr>
          <w:rFonts w:hint="eastAsia" w:ascii="宋体" w:hAnsi="宋体" w:cs="宋体"/>
          <w:kern w:val="0"/>
          <w:szCs w:val="21"/>
        </w:rPr>
        <w:t>江苏省南京市江宁区诚信大道2211号</w:t>
      </w:r>
    </w:p>
    <w:p>
      <w:pPr>
        <w:widowControl/>
        <w:spacing w:line="360" w:lineRule="auto"/>
        <w:ind w:firstLine="363" w:firstLineChars="173"/>
        <w:rPr>
          <w:rFonts w:ascii="宋体" w:hAnsi="宋体" w:cs="宋体"/>
          <w:bCs/>
          <w:szCs w:val="21"/>
        </w:rPr>
      </w:pPr>
      <w:r>
        <w:rPr>
          <w:rFonts w:hint="eastAsia" w:ascii="宋体" w:hAnsi="宋体" w:cs="宋体"/>
          <w:bCs/>
          <w:szCs w:val="21"/>
        </w:rPr>
        <w:t>联系人：孔先生</w:t>
      </w:r>
    </w:p>
    <w:p>
      <w:pPr>
        <w:widowControl/>
        <w:spacing w:line="360" w:lineRule="auto"/>
        <w:ind w:firstLine="363" w:firstLineChars="173"/>
        <w:rPr>
          <w:rFonts w:ascii="宋体" w:hAnsi="宋体" w:cs="宋体"/>
          <w:bCs/>
          <w:szCs w:val="21"/>
        </w:rPr>
      </w:pPr>
      <w:r>
        <w:rPr>
          <w:rFonts w:hint="eastAsia" w:ascii="宋体" w:hAnsi="宋体" w:cs="宋体"/>
          <w:bCs/>
          <w:szCs w:val="21"/>
        </w:rPr>
        <w:t>联系方式：17702504707</w:t>
      </w:r>
    </w:p>
    <w:p>
      <w:pPr>
        <w:widowControl/>
        <w:spacing w:line="360" w:lineRule="auto"/>
        <w:ind w:firstLine="363" w:firstLineChars="173"/>
        <w:rPr>
          <w:rFonts w:ascii="宋体" w:hAnsi="宋体" w:cs="宋体"/>
          <w:bCs/>
          <w:szCs w:val="21"/>
        </w:rPr>
      </w:pPr>
      <w:r>
        <w:rPr>
          <w:rFonts w:hint="eastAsia" w:ascii="宋体" w:hAnsi="宋体" w:cs="宋体"/>
          <w:bCs/>
          <w:szCs w:val="21"/>
        </w:rPr>
        <w:t>7.2采购代理机构信息</w:t>
      </w:r>
    </w:p>
    <w:p>
      <w:pPr>
        <w:widowControl/>
        <w:spacing w:line="360" w:lineRule="auto"/>
        <w:ind w:firstLine="363" w:firstLineChars="173"/>
        <w:rPr>
          <w:rFonts w:ascii="宋体" w:hAnsi="宋体" w:cs="宋体"/>
          <w:bCs/>
          <w:szCs w:val="21"/>
        </w:rPr>
      </w:pPr>
      <w:r>
        <w:rPr>
          <w:rFonts w:hint="eastAsia" w:ascii="宋体" w:hAnsi="宋体" w:cs="宋体"/>
          <w:bCs/>
          <w:szCs w:val="21"/>
        </w:rPr>
        <w:t>名称：江苏省设备成套股份有限公司</w:t>
      </w:r>
    </w:p>
    <w:p>
      <w:pPr>
        <w:widowControl/>
        <w:spacing w:line="360" w:lineRule="auto"/>
        <w:ind w:firstLine="363" w:firstLineChars="173"/>
        <w:rPr>
          <w:rFonts w:ascii="宋体" w:hAnsi="宋体" w:cs="宋体"/>
          <w:bCs/>
          <w:szCs w:val="21"/>
        </w:rPr>
      </w:pPr>
      <w:r>
        <w:rPr>
          <w:rFonts w:hint="eastAsia" w:ascii="宋体" w:hAnsi="宋体" w:cs="宋体"/>
          <w:bCs/>
          <w:szCs w:val="21"/>
        </w:rPr>
        <w:t>地址：</w:t>
      </w:r>
      <w:bookmarkStart w:id="2" w:name="_Hlk98229966"/>
      <w:r>
        <w:rPr>
          <w:rFonts w:hint="eastAsia" w:ascii="宋体" w:hAnsi="宋体" w:cs="宋体"/>
          <w:bCs/>
          <w:szCs w:val="21"/>
        </w:rPr>
        <w:t>江苏省南京市鼓楼区清江南路18号鼓楼创新广场D栋10楼1003室</w:t>
      </w:r>
      <w:bookmarkEnd w:id="2"/>
    </w:p>
    <w:p>
      <w:pPr>
        <w:widowControl/>
        <w:spacing w:line="360" w:lineRule="auto"/>
        <w:ind w:firstLine="363" w:firstLineChars="173"/>
        <w:rPr>
          <w:rFonts w:ascii="宋体" w:hAnsi="宋体" w:cs="宋体"/>
          <w:bCs/>
          <w:szCs w:val="21"/>
        </w:rPr>
      </w:pPr>
      <w:r>
        <w:rPr>
          <w:rFonts w:hint="eastAsia" w:ascii="宋体" w:hAnsi="宋体" w:cs="宋体"/>
          <w:bCs/>
          <w:szCs w:val="21"/>
        </w:rPr>
        <w:t>联系人：卜悦鑫  唐大维</w:t>
      </w:r>
    </w:p>
    <w:p>
      <w:pPr>
        <w:widowControl/>
        <w:spacing w:line="360" w:lineRule="auto"/>
        <w:ind w:firstLine="363" w:firstLineChars="173"/>
        <w:rPr>
          <w:rFonts w:ascii="宋体" w:hAnsi="宋体" w:cs="宋体"/>
          <w:bCs/>
          <w:szCs w:val="21"/>
        </w:rPr>
      </w:pPr>
      <w:r>
        <w:rPr>
          <w:rFonts w:hint="eastAsia" w:ascii="宋体" w:hAnsi="宋体" w:cs="宋体"/>
          <w:bCs/>
          <w:szCs w:val="21"/>
        </w:rPr>
        <w:t>电子邮箱：boyx@jcec.cn</w:t>
      </w:r>
    </w:p>
    <w:p>
      <w:pPr>
        <w:widowControl/>
        <w:spacing w:line="360" w:lineRule="auto"/>
        <w:ind w:firstLine="363" w:firstLineChars="173"/>
        <w:rPr>
          <w:rFonts w:ascii="宋体" w:hAnsi="宋体" w:cs="宋体"/>
          <w:bCs/>
          <w:szCs w:val="21"/>
        </w:rPr>
      </w:pPr>
      <w:r>
        <w:rPr>
          <w:rFonts w:hint="eastAsia" w:ascii="宋体" w:hAnsi="宋体" w:cs="宋体"/>
          <w:bCs/>
          <w:szCs w:val="21"/>
        </w:rPr>
        <w:t>联系方式：025-83325825  025-86639285</w:t>
      </w:r>
    </w:p>
    <w:p>
      <w:pPr>
        <w:widowControl/>
        <w:spacing w:line="360" w:lineRule="auto"/>
        <w:ind w:firstLine="363" w:firstLineChars="173"/>
        <w:rPr>
          <w:rFonts w:ascii="宋体" w:hAnsi="宋体" w:cs="宋体"/>
          <w:bCs/>
          <w:szCs w:val="21"/>
        </w:rPr>
      </w:pPr>
      <w:r>
        <w:rPr>
          <w:rFonts w:hint="eastAsia" w:ascii="宋体" w:hAnsi="宋体" w:cs="宋体"/>
          <w:bCs/>
          <w:szCs w:val="21"/>
        </w:rPr>
        <w:t>7.3项目联系方式</w:t>
      </w:r>
    </w:p>
    <w:p>
      <w:pPr>
        <w:widowControl/>
        <w:spacing w:line="360" w:lineRule="auto"/>
        <w:ind w:firstLine="363" w:firstLineChars="173"/>
        <w:rPr>
          <w:rFonts w:ascii="宋体" w:hAnsi="宋体" w:cs="宋体"/>
          <w:bCs/>
          <w:szCs w:val="21"/>
        </w:rPr>
      </w:pPr>
      <w:r>
        <w:rPr>
          <w:rFonts w:hint="eastAsia" w:ascii="宋体" w:hAnsi="宋体" w:cs="宋体"/>
          <w:bCs/>
          <w:szCs w:val="21"/>
        </w:rPr>
        <w:t>项目联系人：卜悦鑫  唐大维</w:t>
      </w:r>
    </w:p>
    <w:p>
      <w:pPr>
        <w:widowControl/>
        <w:spacing w:line="360" w:lineRule="auto"/>
        <w:ind w:firstLine="363" w:firstLineChars="173"/>
        <w:rPr>
          <w:rFonts w:ascii="宋体" w:hAnsi="宋体" w:cs="宋体"/>
          <w:bCs/>
          <w:szCs w:val="21"/>
        </w:rPr>
      </w:pPr>
      <w:r>
        <w:rPr>
          <w:rFonts w:hint="eastAsia" w:ascii="宋体" w:hAnsi="宋体" w:cs="宋体"/>
          <w:bCs/>
          <w:szCs w:val="21"/>
        </w:rPr>
        <w:t>电话：025-83325825  025-86639285</w:t>
      </w:r>
    </w:p>
    <w:p>
      <w:pPr>
        <w:rPr>
          <w:rFonts w:ascii="宋体" w:hAnsi="宋体" w:cs="宋体"/>
          <w:spacing w:val="8"/>
          <w:kern w:val="0"/>
          <w:szCs w:val="20"/>
        </w:rPr>
      </w:pPr>
      <w:r>
        <w:rPr>
          <w:rFonts w:hint="eastAsia" w:ascii="宋体" w:hAnsi="宋体" w:cs="宋体"/>
          <w:spacing w:val="8"/>
          <w:kern w:val="0"/>
          <w:szCs w:val="21"/>
        </w:rPr>
        <w:br w:type="page"/>
      </w:r>
    </w:p>
    <w:p>
      <w:pPr>
        <w:pStyle w:val="4"/>
        <w:numPr>
          <w:ilvl w:val="0"/>
          <w:numId w:val="0"/>
        </w:numPr>
        <w:rPr>
          <w:rFonts w:ascii="宋体" w:hAnsi="宋体" w:cs="宋体"/>
        </w:rPr>
      </w:pPr>
      <w:bookmarkStart w:id="3" w:name="_Toc7593"/>
      <w:r>
        <w:rPr>
          <w:rFonts w:hint="eastAsia" w:ascii="宋体" w:hAnsi="宋体" w:cs="宋体"/>
        </w:rPr>
        <w:t>第二章</w:t>
      </w:r>
      <w:bookmarkStart w:id="4" w:name="_Toc452625218"/>
      <w:r>
        <w:rPr>
          <w:rFonts w:hint="eastAsia" w:ascii="宋体" w:hAnsi="宋体" w:cs="宋体"/>
        </w:rPr>
        <w:t xml:space="preserve"> 投标人须知</w:t>
      </w:r>
      <w:bookmarkEnd w:id="3"/>
      <w:bookmarkEnd w:id="4"/>
    </w:p>
    <w:p>
      <w:pPr>
        <w:widowControl/>
        <w:shd w:val="clear" w:color="auto" w:fill="FFFFFF"/>
        <w:spacing w:line="360" w:lineRule="auto"/>
        <w:ind w:firstLine="424" w:firstLineChars="201"/>
        <w:rPr>
          <w:rFonts w:ascii="宋体" w:hAnsi="宋体" w:cs="宋体"/>
          <w:kern w:val="0"/>
          <w:szCs w:val="21"/>
        </w:rPr>
      </w:pPr>
      <w:r>
        <w:rPr>
          <w:rFonts w:hint="eastAsia" w:ascii="宋体" w:hAnsi="宋体" w:cs="宋体"/>
          <w:b/>
          <w:bCs/>
          <w:kern w:val="0"/>
          <w:szCs w:val="21"/>
        </w:rPr>
        <w:t>一、总 则</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1、适用法律</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1.1本次招标适用《中华人民共和国政府采购法》（以下简称政府采购法）《中华人民共和国政府采购法实施条例》（以下简称政府采购法实施条例）《政府采购货物和服务招标投标管理办法》等法律、行政法规、部门规章和规范性文件。</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2、定义</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2.1“采购人”是指依法进行政府采购的国家机关、事业单位、团体组织。</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2.2“投标人（供应商）”是指参加投标竞争，并符合招标文件规定资格条件的法人、其他组织或者自然人。</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2.3“采购代理机构”是指集中采购机构和集中采购机构以外的采购代理机构，集中采购机构以外的采购代理机构，是从事采购代理业务的社会中介机构。</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2.4“货物和服务”指本招标文件中所述</w:t>
      </w:r>
      <w:r>
        <w:rPr>
          <w:rFonts w:hint="eastAsia" w:ascii="宋体" w:hAnsi="宋体" w:cs="宋体"/>
          <w:bCs/>
          <w:kern w:val="0"/>
          <w:szCs w:val="21"/>
        </w:rPr>
        <w:t>产品</w:t>
      </w:r>
      <w:r>
        <w:rPr>
          <w:rFonts w:hint="eastAsia" w:ascii="宋体" w:hAnsi="宋体" w:cs="宋体"/>
          <w:kern w:val="0"/>
          <w:szCs w:val="21"/>
        </w:rPr>
        <w:t>及相关服务。</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2.5“用户或使用单位”是指使用货物，接受服务的单位。</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3、政策功能</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3.1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第六章），否则不得享受相关中小企业扶持政策。（“中小企业划型标准”详见《关于印发中小企业划型标准规定的通知》工信部联企业〔2011〕300号及《国家统计局关于印发&lt;统计上大中小微型企业划分办法（2017）&gt;的通知》国统2017〕213号）。</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3.4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招标文件第三章。参加政府采购活动的节能产品、环境标志产品投标人应当提供国家确定的认证机构出具的、处于有效期之内的节能产品、环境标志产品认证证书。</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3.5强制采购信息安全产品。参加政府采购活动的信息安全产品投标人应当选择经国家认证的信息安全产品投标，并提供由国家信息安全认证中心按国家标准认证颁发的有效认证证书。</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3.6进口产品政策</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（1）除招标公告载明接受进口产品参加外，不允许进口产品参加。进口产品认定依照《财政部关于政府采购进口产品管理有关问题的通知》（财办库〔2008〕248号）的规定。</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（2）允许进口产品参加的，满足需求的国内产品可以参加。</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（3）允许进口产品参加的，优先采购向我国企业转让技术、与我国企业签订消化吸收再创新方案的投标人的进口产品。</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3.7未按要求提供相关材料的，不享受相关政策。</w:t>
      </w:r>
    </w:p>
    <w:p>
      <w:pPr>
        <w:widowControl/>
        <w:shd w:val="clear" w:color="auto" w:fill="FFFFFF"/>
        <w:spacing w:line="360" w:lineRule="auto"/>
        <w:ind w:firstLine="412"/>
        <w:rPr>
          <w:rFonts w:ascii="宋体" w:hAnsi="宋体" w:cs="宋体"/>
          <w:kern w:val="0"/>
          <w:szCs w:val="21"/>
        </w:rPr>
      </w:pPr>
      <w:r>
        <w:rPr>
          <w:rFonts w:hint="eastAsia" w:ascii="宋体" w:hAnsi="宋体" w:cs="宋体"/>
          <w:b/>
          <w:bCs/>
          <w:kern w:val="0"/>
          <w:szCs w:val="21"/>
        </w:rPr>
        <w:t>二、招标文件构成</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4、招标文件组成</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4.1招标文件包括以下主要内容：招标公告；投标人须知；投标人应当提交的资格、资信证明文件；为落实政府采购政策，采购标的需满足的要求，以及投标人须提供的证明材料；投标文件编制要求、投标报价要求和投标保证金交纳、退还方式以及不予退还投标保证金的情形；招标项目预算金额，设定最高限价的，还应当公开最高限价；招标项目的技术规格、数量、服务标准、验收等要求，包括附件、图纸等；拟签订的合同文本；货物、服务提供的时间、地点、方式；采购资金的支付方式、时间、条件；评标方法、评标标准和投标无效情形；投标有效期；投标截止时间、开标时间及地点；采购代理机构代理费用的收取标准和方式；投标人信用信息查询渠道及截止时点、信用信息查询记录和证据留存的具体方式、信用信息的使用规则等；省级以上财政部门规定的其他事项。</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4.2 招标的最小单位是标段。招标货物数量及技术要求中未分标段的，投标人对要求提供的货物和服务不得部分投标；招标货物数量及技术要求中已经分标段的，可以以标段为单位投标。</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4.3 采购代理机构如果要求投标人按照招标文件规定提交备选投标方案的，投标人可以提交备选方案；否则，备选方案将被拒绝。</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4.4招标文件中要求的产品品牌或型号，是采购人根据项目所要实现的功能推荐的品牌或型号，仅供投标人参考，并不是限制条件。</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5、招标文件的澄清或者修改</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5.1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5.2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三、投标文件的编制</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6、投标文件的语言、计量单位、货币和编制</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6.1投标人提交的投标文件、技术文件和资料，包括图纸中的说明，以及投标人与采购代理机构就有关投标的所有来往函电均应使用中文。投标文件中若有英文或其他语言文字的资料，应提供相应的中文翻译资料。对不同文本投标文件的解释发生异议的，以中文文本为准。</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6.2投标人所使用的计量单位应为国家法定计量单位。</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6.3投标人应用人民币报价。投标产品如果是进口产品的，应提供人民币与</w:t>
      </w:r>
      <w:r>
        <w:rPr>
          <w:rFonts w:hint="eastAsia" w:ascii="宋体" w:hAnsi="宋体" w:cs="宋体"/>
          <w:b/>
          <w:bCs/>
          <w:kern w:val="0"/>
          <w:szCs w:val="21"/>
        </w:rPr>
        <w:t>外币之间的汇率。</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6.4投标文件应按照招标文件规定的顺序打印、装订成册并编制目录。因编排混乱导致投标文件被误读或查找不到，责任由投标人承担。</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6.5投标人应在投标文件中写清相应的项目编号、项目名称、投标人全称、地址、电话、传真等。</w:t>
      </w:r>
    </w:p>
    <w:p>
      <w:pPr>
        <w:widowControl/>
        <w:shd w:val="clear" w:color="auto" w:fill="FFFFFF"/>
        <w:spacing w:line="360" w:lineRule="auto"/>
        <w:ind w:firstLine="412"/>
        <w:rPr>
          <w:rFonts w:ascii="宋体" w:hAnsi="宋体" w:cs="宋体"/>
          <w:kern w:val="0"/>
          <w:szCs w:val="21"/>
        </w:rPr>
      </w:pPr>
      <w:r>
        <w:rPr>
          <w:rFonts w:hint="eastAsia" w:ascii="宋体" w:hAnsi="宋体" w:cs="宋体"/>
          <w:bCs/>
          <w:kern w:val="0"/>
          <w:szCs w:val="21"/>
        </w:rPr>
        <w:t>6.6</w:t>
      </w:r>
      <w:r>
        <w:rPr>
          <w:rFonts w:hint="eastAsia" w:ascii="宋体" w:hAnsi="宋体" w:cs="宋体"/>
          <w:kern w:val="0"/>
          <w:szCs w:val="21"/>
        </w:rPr>
        <w:t>投标人根据招标文件载明的标的采购项目实际情况，拟在中标后将中标项目的非主体、非关键性工作交由他人完成的，应当在投标文件中载明。</w:t>
      </w:r>
    </w:p>
    <w:p>
      <w:pPr>
        <w:widowControl/>
        <w:shd w:val="clear" w:color="auto" w:fill="FFFFFF"/>
        <w:spacing w:line="360" w:lineRule="auto"/>
        <w:ind w:firstLine="420"/>
        <w:rPr>
          <w:rFonts w:ascii="宋体" w:hAnsi="宋体" w:cs="宋体"/>
          <w:b/>
          <w:bCs/>
          <w:kern w:val="0"/>
          <w:szCs w:val="21"/>
        </w:rPr>
      </w:pPr>
      <w:r>
        <w:rPr>
          <w:rFonts w:hint="eastAsia" w:ascii="宋体" w:hAnsi="宋体" w:cs="宋体"/>
          <w:b/>
          <w:bCs/>
          <w:kern w:val="0"/>
          <w:szCs w:val="21"/>
        </w:rPr>
        <w:t>7、联合体投标</w:t>
      </w:r>
    </w:p>
    <w:p>
      <w:pPr>
        <w:widowControl/>
        <w:shd w:val="clear" w:color="auto" w:fill="FFFFFF"/>
        <w:spacing w:line="360" w:lineRule="auto"/>
        <w:ind w:firstLine="420"/>
        <w:rPr>
          <w:rFonts w:ascii="宋体" w:hAnsi="宋体" w:cs="宋体"/>
          <w:bCs/>
          <w:kern w:val="0"/>
          <w:szCs w:val="21"/>
        </w:rPr>
      </w:pPr>
      <w:r>
        <w:rPr>
          <w:rFonts w:hint="eastAsia" w:ascii="宋体" w:hAnsi="宋体" w:cs="宋体"/>
          <w:bCs/>
          <w:kern w:val="0"/>
          <w:szCs w:val="21"/>
        </w:rPr>
        <w:t>7.1 两个以上的自然人、法人或者其他组织可以组成一个联合体，以一个投标人的身份共同参加政府采购。</w:t>
      </w:r>
    </w:p>
    <w:p>
      <w:pPr>
        <w:widowControl/>
        <w:shd w:val="clear" w:color="auto" w:fill="FFFFFF"/>
        <w:spacing w:line="360" w:lineRule="auto"/>
        <w:ind w:firstLine="420"/>
        <w:rPr>
          <w:rFonts w:ascii="宋体" w:hAnsi="宋体" w:cs="宋体"/>
          <w:bCs/>
          <w:kern w:val="0"/>
          <w:szCs w:val="21"/>
        </w:rPr>
      </w:pPr>
      <w:r>
        <w:rPr>
          <w:rFonts w:hint="eastAsia" w:ascii="宋体" w:hAnsi="宋体" w:cs="宋体"/>
          <w:bCs/>
          <w:kern w:val="0"/>
          <w:szCs w:val="21"/>
        </w:rPr>
        <w:t>7.2 联合体中有同类资质的投标人按照联合体分工承担相同工作的，按照资质等级较低的投标人确定资质等级。</w:t>
      </w:r>
    </w:p>
    <w:p>
      <w:pPr>
        <w:widowControl/>
        <w:shd w:val="clear" w:color="auto" w:fill="FFFFFF"/>
        <w:spacing w:line="360" w:lineRule="auto"/>
        <w:ind w:firstLine="420"/>
        <w:rPr>
          <w:rFonts w:ascii="宋体" w:hAnsi="宋体" w:cs="宋体"/>
          <w:bCs/>
          <w:kern w:val="0"/>
          <w:szCs w:val="21"/>
        </w:rPr>
      </w:pPr>
      <w:r>
        <w:rPr>
          <w:rFonts w:hint="eastAsia" w:ascii="宋体" w:hAnsi="宋体" w:cs="宋体"/>
          <w:bCs/>
          <w:kern w:val="0"/>
          <w:szCs w:val="21"/>
        </w:rPr>
        <w:t>7.3 联合体各方之间应当签订联合体协议，明确约定联合体各方承担的工作和相应的责任，并将联合体协议连同投标文件一同提交。</w:t>
      </w:r>
    </w:p>
    <w:p>
      <w:pPr>
        <w:widowControl/>
        <w:shd w:val="clear" w:color="auto" w:fill="FFFFFF"/>
        <w:spacing w:line="360" w:lineRule="auto"/>
        <w:ind w:firstLine="412"/>
        <w:rPr>
          <w:rFonts w:ascii="宋体" w:hAnsi="宋体" w:cs="宋体"/>
          <w:kern w:val="0"/>
          <w:szCs w:val="21"/>
        </w:rPr>
      </w:pPr>
      <w:r>
        <w:rPr>
          <w:rFonts w:hint="eastAsia" w:ascii="宋体" w:hAnsi="宋体" w:cs="宋体"/>
          <w:bCs/>
          <w:kern w:val="0"/>
          <w:szCs w:val="21"/>
        </w:rPr>
        <w:t>7.4 以联合体形式参加政府采购活动的，联合体各方不得再单独参加或者与其他投标人另外组成联合体参加同一合同项下的政府采购活动。</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8、投标文件的组成</w:t>
      </w:r>
    </w:p>
    <w:p>
      <w:pPr>
        <w:widowControl/>
        <w:shd w:val="clear" w:color="auto" w:fill="FFFFFF"/>
        <w:spacing w:line="360" w:lineRule="auto"/>
        <w:ind w:firstLine="420"/>
        <w:jc w:val="left"/>
        <w:rPr>
          <w:rFonts w:ascii="宋体" w:hAnsi="宋体" w:cs="宋体"/>
          <w:b/>
          <w:kern w:val="0"/>
          <w:szCs w:val="21"/>
        </w:rPr>
      </w:pPr>
      <w:r>
        <w:rPr>
          <w:rFonts w:hint="eastAsia" w:ascii="宋体" w:hAnsi="宋体" w:cs="宋体"/>
          <w:kern w:val="0"/>
          <w:szCs w:val="21"/>
        </w:rPr>
        <w:t>8.1投标人应当根据招标文件要求编制投标文件，投标文件应对招标文件提出的要求和条件作出实质性响应，并在《商务条款偏离表》和《采购需求偏离表》等处逐条标明满足与否。</w:t>
      </w:r>
      <w:r>
        <w:rPr>
          <w:rFonts w:hint="eastAsia" w:ascii="宋体" w:hAnsi="宋体" w:cs="宋体"/>
          <w:b/>
          <w:kern w:val="0"/>
          <w:szCs w:val="21"/>
        </w:rPr>
        <w:t>对带</w:t>
      </w:r>
      <w:r>
        <w:rPr>
          <w:rFonts w:hint="eastAsia" w:ascii="宋体" w:hAnsi="宋体" w:cs="宋体"/>
          <w:b/>
          <w:bCs/>
          <w:kern w:val="0"/>
          <w:szCs w:val="21"/>
        </w:rPr>
        <w:t>星号（“</w:t>
      </w:r>
      <w:r>
        <w:rPr>
          <w:rFonts w:hint="eastAsia" w:ascii="宋体" w:hAnsi="宋体" w:cs="宋体"/>
          <w:b/>
          <w:bCs/>
        </w:rPr>
        <w:t>*</w:t>
      </w:r>
      <w:r>
        <w:rPr>
          <w:rFonts w:hint="eastAsia" w:ascii="宋体" w:hAnsi="宋体" w:cs="宋体"/>
          <w:b/>
          <w:bCs/>
          <w:kern w:val="0"/>
          <w:szCs w:val="21"/>
        </w:rPr>
        <w:t>”）的技术条款必须在投标文件中提供技术支持资料（如白皮书、彩页、手册、检测报告等），未提供技术支持资料的，视为未对招标文件实质性要求作出响应，评审时不予认可。</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8.2 投标文件由商务、技术、价格以及其他部分内容组成。投标文件目录及有关格式按招标文件“第六章 投标文件格式及附件”的要求编制。</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9、投标文件的商务内容</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9.1商务部分内容是证明投标人有资格参加投标和中标后有能力履行合同的文件，这些文件应能满足招标的要求，包括但不限于下列文件（</w:t>
      </w:r>
      <w:r>
        <w:rPr>
          <w:rFonts w:hint="eastAsia" w:ascii="宋体" w:hAnsi="宋体" w:cs="宋体"/>
          <w:b/>
          <w:kern w:val="0"/>
          <w:szCs w:val="21"/>
        </w:rPr>
        <w:t>（1）-（6）所述材料不得有缺失或提供不全或不满足招标文件的实质性要求</w:t>
      </w:r>
      <w:r>
        <w:rPr>
          <w:rFonts w:hint="eastAsia" w:ascii="宋体" w:hAnsi="宋体" w:cs="宋体"/>
          <w:kern w:val="0"/>
          <w:szCs w:val="21"/>
        </w:rPr>
        <w:t>）：</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（1）投标函（投标申请及声明）</w:t>
      </w:r>
      <w:r>
        <w:rPr>
          <w:rFonts w:hint="eastAsia" w:ascii="宋体" w:hAnsi="宋体" w:cs="宋体"/>
          <w:bCs/>
          <w:szCs w:val="21"/>
        </w:rPr>
        <w:t>（</w:t>
      </w:r>
      <w:r>
        <w:rPr>
          <w:rFonts w:hint="eastAsia" w:ascii="宋体" w:hAnsi="宋体" w:cs="宋体"/>
          <w:b/>
          <w:bCs/>
          <w:szCs w:val="21"/>
        </w:rPr>
        <w:t>格式见第六章</w:t>
      </w:r>
      <w:r>
        <w:rPr>
          <w:rFonts w:hint="eastAsia" w:ascii="宋体" w:hAnsi="宋体" w:cs="宋体"/>
          <w:bCs/>
          <w:szCs w:val="21"/>
        </w:rPr>
        <w:t>）</w:t>
      </w:r>
      <w:r>
        <w:rPr>
          <w:rFonts w:hint="eastAsia" w:ascii="宋体" w:hAnsi="宋体" w:cs="宋体"/>
          <w:kern w:val="0"/>
          <w:szCs w:val="21"/>
        </w:rPr>
        <w:t>；</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（2）法定代表人授权书及委托代理人的身份证明文件的复印件</w:t>
      </w:r>
      <w:r>
        <w:rPr>
          <w:rFonts w:hint="eastAsia" w:ascii="宋体" w:hAnsi="宋体" w:cs="宋体"/>
          <w:bCs/>
          <w:szCs w:val="21"/>
        </w:rPr>
        <w:t>（</w:t>
      </w:r>
      <w:r>
        <w:rPr>
          <w:rFonts w:hint="eastAsia" w:ascii="宋体" w:hAnsi="宋体" w:cs="宋体"/>
          <w:b/>
          <w:bCs/>
          <w:szCs w:val="21"/>
        </w:rPr>
        <w:t>格式见第六章</w:t>
      </w:r>
      <w:r>
        <w:rPr>
          <w:rFonts w:hint="eastAsia" w:ascii="宋体" w:hAnsi="宋体" w:cs="宋体"/>
          <w:bCs/>
          <w:szCs w:val="21"/>
        </w:rPr>
        <w:t>）</w:t>
      </w:r>
      <w:r>
        <w:rPr>
          <w:rFonts w:hint="eastAsia" w:ascii="宋体" w:hAnsi="宋体" w:cs="宋体"/>
          <w:kern w:val="0"/>
          <w:szCs w:val="21"/>
        </w:rPr>
        <w:t>；</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（3）投标人资格资信证明文件：</w:t>
      </w:r>
    </w:p>
    <w:p>
      <w:pPr>
        <w:pStyle w:val="141"/>
        <w:numPr>
          <w:ilvl w:val="1"/>
          <w:numId w:val="3"/>
        </w:numPr>
        <w:tabs>
          <w:tab w:val="left" w:pos="840"/>
          <w:tab w:val="clear" w:pos="990"/>
        </w:tabs>
        <w:spacing w:line="360" w:lineRule="auto"/>
        <w:ind w:left="0" w:firstLine="367" w:firstLineChars="175"/>
        <w:rPr>
          <w:rFonts w:ascii="宋体" w:hAnsi="宋体" w:cs="宋体"/>
          <w:bCs/>
          <w:szCs w:val="21"/>
        </w:rPr>
      </w:pPr>
      <w:r>
        <w:rPr>
          <w:rFonts w:hint="eastAsia" w:ascii="宋体" w:hAnsi="宋体" w:cs="宋体"/>
          <w:bCs/>
          <w:szCs w:val="21"/>
        </w:rPr>
        <w:t>第一章招标公告中 2.1《中华人民共和国政府采购法》规定的资格条件证明文件；</w:t>
      </w:r>
    </w:p>
    <w:p>
      <w:pPr>
        <w:pStyle w:val="141"/>
        <w:numPr>
          <w:ilvl w:val="1"/>
          <w:numId w:val="3"/>
        </w:numPr>
        <w:tabs>
          <w:tab w:val="left" w:pos="840"/>
          <w:tab w:val="clear" w:pos="990"/>
        </w:tabs>
        <w:spacing w:line="360" w:lineRule="auto"/>
        <w:ind w:left="0" w:firstLine="367" w:firstLineChars="175"/>
        <w:rPr>
          <w:rFonts w:ascii="宋体" w:hAnsi="宋体" w:cs="宋体"/>
          <w:bCs/>
          <w:szCs w:val="21"/>
        </w:rPr>
      </w:pPr>
      <w:r>
        <w:rPr>
          <w:rFonts w:hint="eastAsia" w:ascii="宋体" w:hAnsi="宋体" w:cs="宋体"/>
          <w:bCs/>
          <w:szCs w:val="21"/>
        </w:rPr>
        <w:t>第一章招标公告中 2.2</w:t>
      </w:r>
      <w:r>
        <w:rPr>
          <w:rFonts w:hint="eastAsia" w:ascii="宋体" w:hAnsi="宋体" w:cs="宋体"/>
          <w:spacing w:val="8"/>
          <w:kern w:val="0"/>
          <w:szCs w:val="21"/>
        </w:rPr>
        <w:t>落实政府采购政策需满足的资格要求；</w:t>
      </w:r>
    </w:p>
    <w:p>
      <w:pPr>
        <w:pStyle w:val="141"/>
        <w:numPr>
          <w:ilvl w:val="1"/>
          <w:numId w:val="3"/>
        </w:numPr>
        <w:tabs>
          <w:tab w:val="left" w:pos="840"/>
          <w:tab w:val="clear" w:pos="990"/>
        </w:tabs>
        <w:spacing w:line="360" w:lineRule="auto"/>
        <w:ind w:left="0" w:firstLine="367" w:firstLineChars="175"/>
        <w:rPr>
          <w:rFonts w:ascii="宋体" w:hAnsi="宋体" w:cs="宋体"/>
          <w:bCs/>
          <w:szCs w:val="21"/>
        </w:rPr>
      </w:pPr>
      <w:r>
        <w:rPr>
          <w:rFonts w:hint="eastAsia" w:ascii="宋体" w:hAnsi="宋体" w:cs="宋体"/>
          <w:bCs/>
          <w:szCs w:val="21"/>
        </w:rPr>
        <w:t>第一章招标公告中 2.3 采购人根据采购项目的特殊要求规定的特定条件证明文件。</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（4）开标一览表及附表</w:t>
      </w:r>
      <w:r>
        <w:rPr>
          <w:rFonts w:hint="eastAsia" w:ascii="宋体" w:hAnsi="宋体" w:cs="宋体"/>
          <w:bCs/>
          <w:szCs w:val="21"/>
        </w:rPr>
        <w:t>（</w:t>
      </w:r>
      <w:r>
        <w:rPr>
          <w:rFonts w:hint="eastAsia" w:ascii="宋体" w:hAnsi="宋体" w:cs="宋体"/>
          <w:b/>
          <w:bCs/>
          <w:szCs w:val="21"/>
        </w:rPr>
        <w:t>格式见第六章</w:t>
      </w:r>
      <w:r>
        <w:rPr>
          <w:rFonts w:hint="eastAsia" w:ascii="宋体" w:hAnsi="宋体" w:cs="宋体"/>
          <w:bCs/>
          <w:szCs w:val="21"/>
        </w:rPr>
        <w:t>）；</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（5）投标人缴纳投标保证金凭证（本项目无需提供）；</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（6）《南京市政府采购供应商信用记录表暨信用承诺书》</w:t>
      </w:r>
      <w:r>
        <w:rPr>
          <w:rFonts w:hint="eastAsia" w:ascii="宋体" w:hAnsi="宋体" w:cs="宋体"/>
          <w:b/>
          <w:szCs w:val="21"/>
          <w:lang w:val="zh-CN"/>
        </w:rPr>
        <w:t>；</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（7）《商务条款偏离表》；</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（8）第三章评标标准中对应的所需证明材料（如有自行添加）；</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（9）要求采购人提供的配合（如有自拟并自行添加）；</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（10）其他（投标人认为有必要提供的声明和文件，如有，自行拟定并添加）。</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b/>
          <w:bCs/>
          <w:kern w:val="0"/>
          <w:szCs w:val="21"/>
        </w:rPr>
        <w:t>10、投标文件的技术内容</w:t>
      </w:r>
    </w:p>
    <w:p>
      <w:pPr>
        <w:widowControl/>
        <w:adjustRightInd w:val="0"/>
        <w:spacing w:line="360" w:lineRule="auto"/>
        <w:ind w:firstLine="420"/>
        <w:jc w:val="left"/>
        <w:rPr>
          <w:rFonts w:ascii="宋体" w:hAnsi="宋体" w:cs="宋体"/>
          <w:szCs w:val="21"/>
          <w:lang w:val="zh-CN"/>
        </w:rPr>
      </w:pPr>
      <w:r>
        <w:rPr>
          <w:rFonts w:hint="eastAsia" w:ascii="宋体" w:hAnsi="宋体" w:cs="宋体"/>
          <w:szCs w:val="21"/>
          <w:lang w:val="zh-CN"/>
        </w:rPr>
        <w:t>技术部分</w:t>
      </w:r>
      <w:r>
        <w:rPr>
          <w:rFonts w:hint="eastAsia" w:ascii="宋体" w:hAnsi="宋体" w:cs="宋体"/>
          <w:kern w:val="0"/>
          <w:szCs w:val="21"/>
        </w:rPr>
        <w:t>内容</w:t>
      </w:r>
      <w:r>
        <w:rPr>
          <w:rFonts w:hint="eastAsia" w:ascii="宋体" w:hAnsi="宋体" w:cs="宋体"/>
          <w:szCs w:val="21"/>
          <w:lang w:val="zh-CN"/>
        </w:rPr>
        <w:t>是证明</w:t>
      </w:r>
      <w:r>
        <w:rPr>
          <w:rFonts w:hint="eastAsia" w:ascii="宋体" w:hAnsi="宋体" w:cs="宋体"/>
          <w:szCs w:val="21"/>
        </w:rPr>
        <w:t>投标人提供的货物和服务是合格的、并符合招标文件要求的证明文件，以及</w:t>
      </w:r>
      <w:r>
        <w:rPr>
          <w:rFonts w:hint="eastAsia" w:ascii="宋体" w:hAnsi="宋体" w:cs="宋体"/>
          <w:szCs w:val="21"/>
          <w:lang w:val="zh-CN"/>
        </w:rPr>
        <w:t>对货物和服务的详细说明，这些文件可以是文字资料、图纸、数据</w:t>
      </w:r>
      <w:r>
        <w:rPr>
          <w:rFonts w:hint="eastAsia" w:ascii="宋体" w:hAnsi="宋体" w:cs="宋体"/>
          <w:szCs w:val="21"/>
        </w:rPr>
        <w:t>或其他证明文件</w:t>
      </w:r>
      <w:r>
        <w:rPr>
          <w:rFonts w:hint="eastAsia" w:ascii="宋体" w:hAnsi="宋体" w:cs="宋体"/>
          <w:szCs w:val="21"/>
          <w:lang w:val="zh-CN"/>
        </w:rPr>
        <w:t>等。提供的货物和服务如与招标文件要求有不符之处，应说明其差别之所在。包括但不限于下列文件：</w:t>
      </w:r>
    </w:p>
    <w:p>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（1）技术说明或服务方案；</w:t>
      </w:r>
    </w:p>
    <w:p>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（2）《采购需求偏离表》；</w:t>
      </w:r>
    </w:p>
    <w:p>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（3）服务承诺；</w:t>
      </w:r>
    </w:p>
    <w:p>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（4）投标人拟投入本项目的设备、人员情况一览表；</w:t>
      </w:r>
    </w:p>
    <w:p>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（5）投标人认为需要提供的其他技术资料。</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11、投标文件的价格内容</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11.1价格部分内容是对采购标的价格构成的说明，招标文件如无特别说明，每一项货物及服务仅接受一个价格。</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11.2报价应包含为履行本项目合同项下所有义务的全部含税费用（包括但不限于</w:t>
      </w:r>
      <w:r>
        <w:rPr>
          <w:rFonts w:hint="eastAsia" w:ascii="宋体" w:hAnsi="宋体" w:cs="宋体"/>
          <w:szCs w:val="21"/>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cs="宋体"/>
          <w:kern w:val="0"/>
          <w:szCs w:val="21"/>
        </w:rPr>
        <w:t>）</w:t>
      </w:r>
      <w:r>
        <w:rPr>
          <w:rFonts w:hint="eastAsia" w:ascii="宋体" w:hAnsi="宋体" w:cs="宋体"/>
          <w:kern w:val="0"/>
          <w:szCs w:val="21"/>
          <w:lang w:val="zh-CN"/>
        </w:rPr>
        <w:t>，</w:t>
      </w:r>
      <w:r>
        <w:rPr>
          <w:rFonts w:hint="eastAsia" w:ascii="宋体" w:hAnsi="宋体" w:cs="宋体"/>
          <w:bCs/>
          <w:szCs w:val="21"/>
        </w:rPr>
        <w:t>以</w:t>
      </w:r>
      <w:r>
        <w:rPr>
          <w:rFonts w:hint="eastAsia" w:ascii="宋体" w:hAnsi="宋体" w:cs="宋体"/>
          <w:szCs w:val="21"/>
        </w:rPr>
        <w:t>及投标人认为需要的其他费用等</w:t>
      </w:r>
      <w:r>
        <w:rPr>
          <w:rFonts w:hint="eastAsia" w:ascii="宋体" w:hAnsi="宋体" w:cs="宋体"/>
          <w:b/>
          <w:szCs w:val="21"/>
        </w:rPr>
        <w:t>。</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11.3投标人的任何错漏、优惠、竞争性报价不得作为减轻责任、减少服务、增加收费、降低质量的理由。</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11.4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宋体" w:hAnsi="宋体" w:cs="宋体"/>
          <w:b/>
          <w:bCs/>
          <w:kern w:val="0"/>
          <w:szCs w:val="21"/>
        </w:rPr>
        <w:t>无效投标处理</w:t>
      </w:r>
      <w:r>
        <w:rPr>
          <w:rFonts w:hint="eastAsia" w:ascii="宋体" w:hAnsi="宋体" w:cs="宋体"/>
          <w:kern w:val="0"/>
          <w:szCs w:val="21"/>
        </w:rPr>
        <w:t>。</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11.5 投标人应在《开标一览表》《分项报价表》等标明投标货物和服务的单价、总价以及分项报价等。</w:t>
      </w:r>
    </w:p>
    <w:p>
      <w:pPr>
        <w:widowControl/>
        <w:shd w:val="clear" w:color="auto" w:fill="FFFFFF"/>
        <w:spacing w:line="360" w:lineRule="auto"/>
        <w:ind w:firstLine="420"/>
        <w:rPr>
          <w:rFonts w:ascii="宋体" w:hAnsi="宋体" w:cs="宋体"/>
          <w:b/>
          <w:bCs/>
          <w:kern w:val="0"/>
          <w:szCs w:val="21"/>
        </w:rPr>
      </w:pPr>
      <w:r>
        <w:rPr>
          <w:rFonts w:hint="eastAsia" w:ascii="宋体" w:hAnsi="宋体" w:cs="宋体"/>
          <w:kern w:val="0"/>
          <w:szCs w:val="21"/>
        </w:rPr>
        <w:t>11.6 《开标一览表》一式两份，一份装订在投标文件中，一份单独封装，并标明“开标一览表”字样，随投标文件一并递交，以便唱标时使用。</w:t>
      </w:r>
      <w:r>
        <w:rPr>
          <w:rFonts w:hint="eastAsia" w:ascii="宋体" w:hAnsi="宋体" w:cs="宋体"/>
          <w:b/>
          <w:bCs/>
          <w:kern w:val="0"/>
          <w:szCs w:val="21"/>
        </w:rPr>
        <w:t>如两份开标一览表中的投标报价不一致，视为提交备选投标报价，作无效投标处理。</w:t>
      </w:r>
    </w:p>
    <w:p>
      <w:pPr>
        <w:widowControl/>
        <w:spacing w:line="360" w:lineRule="auto"/>
        <w:ind w:firstLine="420"/>
        <w:rPr>
          <w:rFonts w:ascii="宋体" w:hAnsi="宋体" w:cs="宋体"/>
          <w:kern w:val="0"/>
          <w:szCs w:val="21"/>
        </w:rPr>
      </w:pPr>
      <w:r>
        <w:rPr>
          <w:rFonts w:hint="eastAsia" w:ascii="宋体" w:hAnsi="宋体" w:cs="宋体"/>
          <w:b/>
          <w:bCs/>
          <w:kern w:val="0"/>
          <w:szCs w:val="21"/>
        </w:rPr>
        <w:t>11.7本项目预算为：详见第一章</w:t>
      </w:r>
      <w:r>
        <w:rPr>
          <w:rFonts w:hint="eastAsia" w:ascii="宋体" w:hAnsi="宋体" w:cs="宋体"/>
          <w:bCs/>
          <w:kern w:val="0"/>
          <w:szCs w:val="21"/>
        </w:rPr>
        <w:t>。</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12、投标文件的其他部分</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12.1 其他部分由投标人根据编制投标文件需要提供的其他相关文件组成。</w:t>
      </w:r>
    </w:p>
    <w:p>
      <w:pPr>
        <w:widowControl/>
        <w:shd w:val="clear" w:color="auto" w:fill="FFFFFF"/>
        <w:spacing w:line="360" w:lineRule="auto"/>
        <w:ind w:firstLine="420"/>
        <w:rPr>
          <w:rFonts w:ascii="宋体" w:hAnsi="宋体" w:cs="宋体"/>
          <w:b/>
          <w:bCs/>
          <w:kern w:val="0"/>
          <w:szCs w:val="21"/>
        </w:rPr>
      </w:pPr>
      <w:r>
        <w:rPr>
          <w:rFonts w:hint="eastAsia" w:ascii="宋体" w:hAnsi="宋体" w:cs="宋体"/>
          <w:b/>
          <w:bCs/>
          <w:kern w:val="0"/>
          <w:szCs w:val="21"/>
        </w:rPr>
        <w:t>13、投标保证金（本项目无需缴纳投标保证金）</w:t>
      </w:r>
    </w:p>
    <w:p>
      <w:pPr>
        <w:spacing w:line="360" w:lineRule="auto"/>
        <w:ind w:firstLine="426" w:firstLineChars="202"/>
        <w:rPr>
          <w:rFonts w:ascii="宋体" w:hAnsi="宋体" w:cs="宋体"/>
          <w:b/>
          <w:szCs w:val="21"/>
        </w:rPr>
      </w:pPr>
      <w:r>
        <w:rPr>
          <w:rFonts w:hint="eastAsia" w:ascii="宋体" w:hAnsi="宋体" w:cs="宋体"/>
          <w:b/>
          <w:szCs w:val="21"/>
        </w:rPr>
        <w:t>13.1投标保证金的交纳办法：</w:t>
      </w:r>
    </w:p>
    <w:p>
      <w:pPr>
        <w:spacing w:line="360" w:lineRule="auto"/>
        <w:ind w:firstLine="426" w:firstLineChars="202"/>
        <w:rPr>
          <w:rFonts w:ascii="宋体" w:hAnsi="宋体" w:cs="宋体"/>
          <w:b/>
        </w:rPr>
      </w:pPr>
      <w:r>
        <w:rPr>
          <w:rFonts w:hint="eastAsia" w:ascii="宋体" w:hAnsi="宋体" w:cs="宋体"/>
          <w:b/>
          <w:szCs w:val="21"/>
        </w:rPr>
        <w:t>作为投标文件的一部分，投标人应提供人民币     元的投标保证金；投标保证金有效期应当与投标有效期一致。</w:t>
      </w:r>
      <w:r>
        <w:rPr>
          <w:rFonts w:hint="eastAsia" w:ascii="宋体" w:hAnsi="宋体" w:cs="宋体"/>
          <w:b/>
        </w:rPr>
        <w:t>投标保证金必须从本单位法人账户缴纳（银行保函除外）。</w:t>
      </w:r>
    </w:p>
    <w:p>
      <w:pPr>
        <w:spacing w:line="360" w:lineRule="auto"/>
        <w:ind w:firstLine="426" w:firstLineChars="202"/>
        <w:rPr>
          <w:rFonts w:ascii="宋体" w:hAnsi="宋体" w:cs="宋体"/>
          <w:b/>
          <w:bCs/>
          <w:szCs w:val="21"/>
        </w:rPr>
      </w:pPr>
      <w:r>
        <w:rPr>
          <w:rFonts w:hint="eastAsia" w:ascii="宋体" w:hAnsi="宋体" w:cs="宋体"/>
          <w:b/>
          <w:bCs/>
          <w:szCs w:val="21"/>
        </w:rPr>
        <w:t>13.2投标保证金的递交形式：电汇、银行保函、本票、汇票等。</w:t>
      </w:r>
    </w:p>
    <w:p>
      <w:pPr>
        <w:spacing w:line="360" w:lineRule="auto"/>
        <w:ind w:firstLine="426" w:firstLineChars="202"/>
        <w:rPr>
          <w:rFonts w:ascii="宋体" w:hAnsi="宋体" w:cs="宋体"/>
          <w:b/>
          <w:bCs/>
          <w:szCs w:val="21"/>
        </w:rPr>
      </w:pPr>
      <w:r>
        <w:rPr>
          <w:rFonts w:hint="eastAsia" w:ascii="宋体" w:hAnsi="宋体" w:cs="宋体"/>
          <w:b/>
          <w:szCs w:val="21"/>
        </w:rPr>
        <w:t>13.2.1投标保证金以电汇形式递交的：（根据实际描述）</w:t>
      </w:r>
    </w:p>
    <w:p>
      <w:pPr>
        <w:spacing w:line="360" w:lineRule="auto"/>
        <w:ind w:firstLine="424" w:firstLineChars="202"/>
        <w:rPr>
          <w:rFonts w:ascii="宋体" w:hAnsi="宋体" w:cs="宋体"/>
          <w:bCs/>
          <w:szCs w:val="21"/>
        </w:rPr>
      </w:pPr>
      <w:r>
        <w:rPr>
          <w:rFonts w:hint="eastAsia" w:ascii="宋体" w:hAnsi="宋体" w:cs="宋体"/>
          <w:bCs/>
          <w:szCs w:val="21"/>
        </w:rPr>
        <w:t>投标保证金收款账户名称、收款开户行、收款账号：下载者下载招标文件后，进入中招联合招标采购平台“缴纳保证金”模块，填写相关信息后自动生成“投标保证金”账户信息，按此账户信息电汇投标保证金（该账号为虚拟账号，只针对本投标人本项目有效，对于其他投标人、其他项目均无效）。</w:t>
      </w:r>
    </w:p>
    <w:p>
      <w:pPr>
        <w:widowControl/>
        <w:shd w:val="clear" w:color="auto" w:fill="FFFFFF"/>
        <w:spacing w:line="360" w:lineRule="auto"/>
        <w:ind w:firstLine="420"/>
        <w:rPr>
          <w:rFonts w:ascii="宋体" w:hAnsi="宋体" w:cs="宋体"/>
          <w:szCs w:val="21"/>
        </w:rPr>
      </w:pPr>
      <w:r>
        <w:rPr>
          <w:rFonts w:hint="eastAsia" w:ascii="宋体" w:hAnsi="宋体" w:cs="宋体"/>
          <w:szCs w:val="21"/>
        </w:rPr>
        <w:t>采购代理机构委托平台公司和平安银行股份有限公司北京分行办理投标保证金收、退、转及对账、结算等相关业务。</w:t>
      </w:r>
    </w:p>
    <w:p>
      <w:pPr>
        <w:widowControl/>
        <w:shd w:val="clear" w:color="auto" w:fill="FFFFFF"/>
        <w:spacing w:line="360" w:lineRule="auto"/>
        <w:ind w:firstLine="420"/>
        <w:rPr>
          <w:rFonts w:ascii="宋体" w:hAnsi="宋体" w:cs="宋体"/>
          <w:b/>
          <w:szCs w:val="21"/>
        </w:rPr>
      </w:pPr>
      <w:r>
        <w:rPr>
          <w:rFonts w:hint="eastAsia" w:ascii="宋体" w:hAnsi="宋体" w:cs="宋体"/>
          <w:b/>
          <w:szCs w:val="21"/>
        </w:rPr>
        <w:t>13.2.2投标保证金以银行保函、本票、汇票等形式递交的：</w:t>
      </w:r>
    </w:p>
    <w:p>
      <w:pPr>
        <w:widowControl/>
        <w:shd w:val="clear" w:color="auto" w:fill="FFFFFF"/>
        <w:spacing w:line="360" w:lineRule="auto"/>
        <w:ind w:firstLine="420"/>
        <w:rPr>
          <w:rFonts w:ascii="宋体" w:hAnsi="宋体" w:cs="宋体"/>
          <w:b/>
          <w:bCs/>
          <w:kern w:val="0"/>
          <w:szCs w:val="21"/>
        </w:rPr>
      </w:pPr>
      <w:r>
        <w:rPr>
          <w:rFonts w:hint="eastAsia" w:ascii="宋体" w:hAnsi="宋体" w:cs="宋体"/>
          <w:szCs w:val="21"/>
        </w:rPr>
        <w:t>应将银行保函、本票、汇票等凭证正本单独封装，随投标文件纸质正本一同密封递交，同时将凭证复印件加盖投标人单位公章装订在投标文件纸质正、副本中。</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13.3 投标保证金应按照上述规定的数额和办法缴纳。</w:t>
      </w:r>
    </w:p>
    <w:p>
      <w:pPr>
        <w:spacing w:line="360" w:lineRule="auto"/>
        <w:ind w:firstLine="424" w:firstLineChars="202"/>
        <w:rPr>
          <w:rFonts w:ascii="宋体" w:hAnsi="宋体" w:cs="宋体"/>
          <w:b/>
          <w:bCs/>
          <w:szCs w:val="21"/>
        </w:rPr>
      </w:pPr>
      <w:r>
        <w:rPr>
          <w:rFonts w:hint="eastAsia" w:ascii="宋体" w:hAnsi="宋体" w:cs="宋体"/>
        </w:rPr>
        <w:t>13.4 联合体投标的，以牵头方名义提交投标保证金的，对联合体各方均具有约束力。</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13.5 采购人或者采购代理机构将自</w:t>
      </w:r>
      <w:r>
        <w:rPr>
          <w:rFonts w:hint="eastAsia"/>
        </w:rPr>
        <w:fldChar w:fldCharType="begin"/>
      </w:r>
      <w:r>
        <w:instrText xml:space="preserve"> HYPERLINK "http://lilun.caigou2003.com/recijiedu/2539156.html" \t "_blank" </w:instrText>
      </w:r>
      <w:r>
        <w:rPr>
          <w:rFonts w:hint="eastAsia"/>
        </w:rPr>
        <w:fldChar w:fldCharType="separate"/>
      </w:r>
      <w:r>
        <w:rPr>
          <w:rFonts w:hint="eastAsia" w:ascii="宋体" w:hAnsi="宋体" w:cs="宋体"/>
          <w:kern w:val="0"/>
          <w:szCs w:val="21"/>
        </w:rPr>
        <w:t>中标通知书</w:t>
      </w:r>
      <w:r>
        <w:rPr>
          <w:rFonts w:hint="eastAsia" w:ascii="宋体" w:hAnsi="宋体" w:cs="宋体"/>
          <w:kern w:val="0"/>
          <w:szCs w:val="21"/>
        </w:rPr>
        <w:fldChar w:fldCharType="end"/>
      </w:r>
      <w:r>
        <w:rPr>
          <w:rFonts w:hint="eastAsia" w:ascii="宋体" w:hAnsi="宋体" w:cs="宋体"/>
          <w:kern w:val="0"/>
          <w:szCs w:val="21"/>
        </w:rPr>
        <w:t>发出之日起5个工作日内退还未中标人的投标保证金，自采购合同签订之日起5个工作日内退还中标人的投标保证金。未中标投标人应主动与投标文件接收人联系办理投标保证金退还事宜，以及办理退还手续，由于投标人自身原因未及时办理投标保证金退还的，其责任和由此造成的后果由投标人自行承担。</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13.6 发生下列情况之一的，投标保证金不予退还：</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（1）投标有效期内撤回其投标的；</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（2）中标通知书发出后三十天内，中标人未与采购人签订合同的；</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（3）提供虚假材料谋取中标的；</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（4）经查实属于串通投标的等。</w:t>
      </w:r>
    </w:p>
    <w:p>
      <w:pPr>
        <w:widowControl/>
        <w:shd w:val="clear" w:color="auto" w:fill="FFFFFF"/>
        <w:spacing w:line="360" w:lineRule="auto"/>
        <w:ind w:firstLine="420"/>
        <w:rPr>
          <w:rFonts w:ascii="宋体" w:hAnsi="宋体" w:cs="宋体"/>
          <w:b/>
          <w:bCs/>
          <w:kern w:val="0"/>
          <w:szCs w:val="21"/>
        </w:rPr>
      </w:pPr>
      <w:r>
        <w:rPr>
          <w:rFonts w:hint="eastAsia" w:ascii="宋体" w:hAnsi="宋体" w:cs="宋体"/>
          <w:b/>
          <w:bCs/>
          <w:kern w:val="0"/>
          <w:szCs w:val="21"/>
        </w:rPr>
        <w:t>14、投标有效期</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14.1 自开标之日起</w:t>
      </w:r>
      <w:r>
        <w:rPr>
          <w:rFonts w:hint="eastAsia" w:ascii="宋体" w:hAnsi="宋体" w:cs="宋体"/>
          <w:b/>
          <w:kern w:val="0"/>
          <w:szCs w:val="21"/>
        </w:rPr>
        <w:t>90</w:t>
      </w:r>
      <w:r>
        <w:rPr>
          <w:rFonts w:hint="eastAsia" w:ascii="宋体" w:hAnsi="宋体" w:cs="宋体"/>
          <w:kern w:val="0"/>
          <w:szCs w:val="21"/>
        </w:rPr>
        <w:t>天内投标有效</w:t>
      </w:r>
      <w:r>
        <w:rPr>
          <w:rFonts w:hint="eastAsia" w:ascii="宋体" w:hAnsi="宋体" w:cs="宋体"/>
          <w:b/>
        </w:rPr>
        <w:t>，投标有效期从提交投标文件的截止之日起算。投标文件中承诺的投标有效期应当不少于招标文件中载明的投标有效期。</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14.2 特殊情况下，在原投标有效期截止之前，采购代理机构可要求投标人同意延长投标有效期，这种要求与答复均应以书面形式提交。投标人可拒绝这种要求，并且不影响投标保证金的退还。接受延长投标有效期的投标人将不会要求和允许修正其投标，而只会被要求相应地延长其投标保证金的有效期。在这种情况下，有关投标保证金的退还规定在延长了的有效期内继续有效。</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15、投标文件签署</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15.1 投标文件的正本和副本均应由投标人法定代表人或经正式授权并对投标人有约束力的委托代理人签字，如果它们之间内容有差异，则以正本为准。</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16、投标费用</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16.1 投标人应承担所有与准备和参加投标有关的费用，无论招标结果如何，采购代理机构和采购人在任何情况下均无义务和责任承担这些费用。</w:t>
      </w:r>
    </w:p>
    <w:p>
      <w:pPr>
        <w:widowControl/>
        <w:shd w:val="clear" w:color="auto" w:fill="FFFFFF"/>
        <w:spacing w:line="360" w:lineRule="auto"/>
        <w:ind w:firstLine="420"/>
        <w:rPr>
          <w:rFonts w:ascii="宋体" w:hAnsi="宋体" w:cs="宋体"/>
          <w:b/>
          <w:kern w:val="0"/>
          <w:szCs w:val="21"/>
        </w:rPr>
      </w:pPr>
      <w:r>
        <w:rPr>
          <w:rFonts w:hint="eastAsia" w:ascii="宋体" w:hAnsi="宋体" w:cs="宋体"/>
          <w:b/>
          <w:kern w:val="0"/>
          <w:szCs w:val="21"/>
        </w:rPr>
        <w:t>16.2 招标代理服务费：本次招标，</w:t>
      </w:r>
      <w:r>
        <w:rPr>
          <w:rFonts w:hint="eastAsia" w:ascii="宋体" w:hAnsi="宋体" w:cs="宋体"/>
          <w:b/>
          <w:kern w:val="0"/>
          <w:szCs w:val="21"/>
          <w:lang w:val="en-US" w:eastAsia="zh-CN"/>
        </w:rPr>
        <w:t>各</w:t>
      </w:r>
      <w:r>
        <w:rPr>
          <w:rFonts w:hint="eastAsia" w:ascii="宋体" w:hAnsi="宋体" w:cs="宋体"/>
          <w:b/>
          <w:kern w:val="0"/>
          <w:szCs w:val="21"/>
        </w:rPr>
        <w:t>中标人参照《招标代理服务费管理暂行办法》（国家发展计划委员会计价格【2002】1980号）代理服务招标收费基准费率计算（不足捌仟按照捌仟元整计取），在领取中标通知书前向采购代理机构支付招标服务费。本项费用无需在投标报价表中单列。</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16.3开标公证费：无。</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四、投标文件的递交</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17、投标文件的密封和递交</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17.1</w:t>
      </w:r>
      <w:r>
        <w:rPr>
          <w:rFonts w:hint="eastAsia" w:ascii="宋体" w:hAnsi="宋体" w:cs="宋体"/>
          <w:b/>
          <w:bCs/>
          <w:kern w:val="0"/>
          <w:szCs w:val="21"/>
        </w:rPr>
        <w:t>投标人的</w:t>
      </w:r>
      <w:r>
        <w:rPr>
          <w:rFonts w:hint="eastAsia" w:ascii="宋体" w:hAnsi="宋体" w:cs="宋体"/>
          <w:b/>
        </w:rPr>
        <w:t>所有投标文件均应密封后递交，同时应提供电子版投标文件</w:t>
      </w:r>
      <w:r>
        <w:rPr>
          <w:rFonts w:hint="eastAsia" w:ascii="宋体" w:hAnsi="宋体" w:cs="宋体"/>
          <w:b/>
          <w:szCs w:val="21"/>
        </w:rPr>
        <w:t>壹份（电子版须为投标文件正本加盖公章、签字后形成PDF扫描件，扫描件内容应与纸质投标文件正本完全一致、U盘形式（单独封装）、随纸质正本文件一并提交）</w:t>
      </w:r>
      <w:r>
        <w:rPr>
          <w:rFonts w:hint="eastAsia" w:ascii="宋体" w:hAnsi="宋体" w:cs="宋体"/>
          <w:b/>
        </w:rPr>
        <w:t>。</w:t>
      </w:r>
      <w:r>
        <w:rPr>
          <w:rFonts w:hint="eastAsia" w:ascii="宋体" w:hAnsi="宋体" w:cs="宋体"/>
        </w:rPr>
        <w:t>当电子版文件和纸质正本文件不一致时，以纸质正本文件为准。</w:t>
      </w:r>
      <w:r>
        <w:rPr>
          <w:rFonts w:hint="eastAsia" w:ascii="宋体" w:hAnsi="宋体" w:cs="宋体"/>
          <w:kern w:val="0"/>
          <w:szCs w:val="21"/>
        </w:rPr>
        <w:t>每套投标文件须清楚标明“正本”、“副本”。</w:t>
      </w:r>
      <w:r>
        <w:rPr>
          <w:rFonts w:hint="eastAsia" w:ascii="宋体" w:hAnsi="宋体" w:cs="宋体"/>
        </w:rPr>
        <w:t>如果它们之间内容有差异，以正本为准。</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 xml:space="preserve">17.2 </w:t>
      </w:r>
      <w:r>
        <w:rPr>
          <w:rFonts w:hint="eastAsia" w:ascii="宋体" w:hAnsi="宋体" w:cs="宋体"/>
          <w:b/>
        </w:rPr>
        <w:t>投标文件正本和所有副本均需打印或用不褪色墨水书写，并由投标人的法定代表人或授权代表签字（或签章）并在招标文件中注明须加盖公章的地方加盖公章，如为授权代表签字的应附“法定代表人授权书”，正本必须为原件，但投标人的相关证明文件可采用复印件，采用复印件的，评标委员会认为需要时，投标人应提供原件供核对。</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17.3 投标文件不应有涂改、增删之处，如必须修改时，修改处必须有投标人法定代表人或授权代表签字（或签章），同时加盖投标人公章。</w:t>
      </w:r>
    </w:p>
    <w:p>
      <w:pPr>
        <w:widowControl/>
        <w:shd w:val="clear" w:color="auto" w:fill="FFFFFF"/>
        <w:spacing w:line="360" w:lineRule="auto"/>
        <w:ind w:firstLine="420"/>
        <w:rPr>
          <w:rFonts w:ascii="宋体" w:hAnsi="宋体" w:cs="宋体"/>
          <w:kern w:val="0"/>
          <w:szCs w:val="21"/>
        </w:rPr>
      </w:pPr>
      <w:r>
        <w:rPr>
          <w:rFonts w:hint="eastAsia" w:ascii="宋体" w:hAnsi="宋体" w:cs="宋体"/>
        </w:rPr>
        <w:t>17.4投标文件提倡按照A4幅面打印或复印并进行装订，如有资料超过A4幅面折叠成A4幅面；投标文件装订提倡采用胶装的形式。</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 xml:space="preserve">17.5 </w:t>
      </w:r>
      <w:r>
        <w:rPr>
          <w:rFonts w:hint="eastAsia" w:ascii="宋体" w:hAnsi="宋体" w:cs="宋体"/>
          <w:b/>
          <w:bCs/>
          <w:kern w:val="0"/>
          <w:szCs w:val="21"/>
        </w:rPr>
        <w:t>投标人应当在招标文件要求提交投标文件的截止时间前，将投标文件密封送达投标地点。</w:t>
      </w:r>
      <w:r>
        <w:rPr>
          <w:rFonts w:hint="eastAsia" w:ascii="宋体" w:hAnsi="宋体" w:cs="宋体"/>
          <w:kern w:val="0"/>
          <w:szCs w:val="21"/>
        </w:rPr>
        <w:t>任何单位和个人不得在开标前开启投标文件。</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18、有下列情形的投标文件将被拒收：</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18.1逾期送达的；</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18.2未按照招标文件要求密封的。</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19、投标文件的修改和撤回</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19.1投标人在投标截止时间前，可以对所递交的投标文件进行补充、修改或者撤回，并书面通知采购人或者采购代理机构。补充、修改的内容应当按照招标文件要求签署、盖章、密封后，作为投标文件的组成部分。</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19.2 投标截止时间之后，投标文件不得撤回；如撤回，投标保证金不予退还。</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20、诚实信用</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20.1投标人应当遵循公平竞争的原则，不得恶意串通，不得妨碍其他投标人的竞争行为，不得损害采购人或者其他投标人的合法权益。</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20.2在评标过程中发现投标人有上述情形的，评标委员会应当认定其投标无效，并书面报告本级财政部门。</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五、开标、评标与定标</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21、开标</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21.1 采购代理机构将在招标文件确定的时间和地点进行公开开标。投标人应委派代表准时参加，参加开标的代表须签名报到以证明其出席。</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21.2开标时，应当由投标人或者其推选的代表检查投标文件的密封情况；经确认无误后，由采购人或者采购代理机构工作人员当众拆封，宣布投标人名称、投标价格和招标文件规定的需要宣布的其他内容。</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21.3投标人不足3家的，不得开标。</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21.4开标过程由采购代理机构负责记录，由参加开标的各投标人代表和相关工作人员签字确认后随招标文件一并存档。</w:t>
      </w:r>
    </w:p>
    <w:p>
      <w:pPr>
        <w:spacing w:line="360" w:lineRule="auto"/>
        <w:ind w:firstLine="420" w:firstLineChars="200"/>
        <w:rPr>
          <w:rFonts w:ascii="宋体" w:hAnsi="宋体" w:cs="宋体"/>
        </w:rPr>
      </w:pPr>
      <w:r>
        <w:rPr>
          <w:rFonts w:hint="eastAsia" w:ascii="宋体" w:hAnsi="宋体" w:cs="宋体"/>
        </w:rPr>
        <w:t>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pPr>
        <w:spacing w:line="360" w:lineRule="auto"/>
        <w:ind w:firstLine="420" w:firstLineChars="200"/>
        <w:rPr>
          <w:rFonts w:ascii="宋体" w:hAnsi="宋体" w:cs="宋体"/>
        </w:rPr>
      </w:pPr>
      <w:r>
        <w:rPr>
          <w:rFonts w:hint="eastAsia" w:ascii="宋体" w:hAnsi="宋体" w:cs="宋体"/>
        </w:rPr>
        <w:t>21.5投标人未参加开标的，视同认可开标结果。</w:t>
      </w:r>
    </w:p>
    <w:p>
      <w:pPr>
        <w:spacing w:line="360" w:lineRule="auto"/>
        <w:ind w:firstLine="420" w:firstLineChars="200"/>
        <w:rPr>
          <w:rFonts w:ascii="宋体" w:hAnsi="宋体" w:cs="宋体"/>
        </w:rPr>
      </w:pPr>
      <w:r>
        <w:rPr>
          <w:rFonts w:hint="eastAsia" w:ascii="宋体" w:hAnsi="宋体" w:cs="宋体"/>
        </w:rPr>
        <w:t>21.6公开招标数额标准以上的采购项目，投标截止后投标人不足3家或者通过资格审查或符合性审查的投标人不足3家的，除采购任务取消情形外，按照以下方式处理：</w:t>
      </w:r>
    </w:p>
    <w:p>
      <w:pPr>
        <w:spacing w:line="360" w:lineRule="auto"/>
        <w:ind w:firstLine="420" w:firstLineChars="200"/>
        <w:rPr>
          <w:rFonts w:ascii="宋体" w:hAnsi="宋体" w:cs="宋体"/>
        </w:rPr>
      </w:pPr>
      <w:r>
        <w:rPr>
          <w:rFonts w:hint="eastAsia" w:ascii="宋体" w:hAnsi="宋体" w:cs="宋体"/>
        </w:rPr>
        <w:t>（1）招标文件存在不合理条款或者招标程序不符合规定的，采购人、采购代理机构改正后依法重新招标；</w:t>
      </w:r>
    </w:p>
    <w:p>
      <w:pPr>
        <w:widowControl/>
        <w:shd w:val="clear" w:color="auto" w:fill="FFFFFF"/>
        <w:spacing w:line="360" w:lineRule="auto"/>
        <w:ind w:firstLine="420"/>
        <w:rPr>
          <w:rFonts w:ascii="宋体" w:hAnsi="宋体" w:cs="宋体"/>
          <w:kern w:val="0"/>
          <w:szCs w:val="21"/>
        </w:rPr>
      </w:pPr>
      <w:r>
        <w:rPr>
          <w:rFonts w:hint="eastAsia" w:ascii="宋体" w:hAnsi="宋体" w:cs="宋体"/>
        </w:rPr>
        <w:t>（2）招标文件没有不合理条款、招标程序符合规定，需要采用其他采购方式采购的，采购人依法报财政部门批准，</w:t>
      </w:r>
      <w:r>
        <w:rPr>
          <w:rFonts w:hint="eastAsia" w:ascii="宋体" w:hAnsi="宋体" w:cs="宋体"/>
          <w:kern w:val="0"/>
          <w:szCs w:val="21"/>
        </w:rPr>
        <w:t>经批准后，可变更为其他采购方式采购。</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22、评标</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22.1 评标委员会</w:t>
      </w:r>
    </w:p>
    <w:p>
      <w:pPr>
        <w:widowControl/>
        <w:shd w:val="clear" w:color="auto" w:fill="FFFFFF"/>
        <w:spacing w:line="360" w:lineRule="auto"/>
        <w:ind w:firstLine="420"/>
        <w:rPr>
          <w:rFonts w:ascii="宋体" w:hAnsi="宋体" w:cs="宋体"/>
          <w:bCs/>
          <w:kern w:val="0"/>
          <w:szCs w:val="21"/>
        </w:rPr>
      </w:pPr>
      <w:r>
        <w:rPr>
          <w:rFonts w:hint="eastAsia" w:ascii="宋体" w:hAnsi="宋体" w:cs="宋体"/>
          <w:b/>
          <w:bCs/>
          <w:kern w:val="0"/>
          <w:szCs w:val="21"/>
        </w:rPr>
        <w:t>22.1.1</w:t>
      </w:r>
      <w:r>
        <w:rPr>
          <w:rFonts w:hint="eastAsia" w:ascii="宋体" w:hAnsi="宋体" w:cs="宋体"/>
          <w:bCs/>
          <w:kern w:val="0"/>
          <w:szCs w:val="21"/>
        </w:rPr>
        <w:t>评标委员会负责具体评标事务，并独立履行下列职责：</w:t>
      </w:r>
    </w:p>
    <w:p>
      <w:pPr>
        <w:widowControl/>
        <w:shd w:val="clear" w:color="auto" w:fill="FFFFFF"/>
        <w:spacing w:line="360" w:lineRule="auto"/>
        <w:ind w:firstLine="420"/>
        <w:rPr>
          <w:rFonts w:ascii="宋体" w:hAnsi="宋体" w:cs="宋体"/>
          <w:bCs/>
          <w:kern w:val="0"/>
          <w:szCs w:val="21"/>
        </w:rPr>
      </w:pPr>
      <w:r>
        <w:rPr>
          <w:rFonts w:hint="eastAsia" w:ascii="宋体" w:hAnsi="宋体" w:cs="宋体"/>
          <w:bCs/>
          <w:kern w:val="0"/>
          <w:szCs w:val="21"/>
        </w:rPr>
        <w:t>（一）审查、评价投标文件是否符合招标文件的商务、技术等实质性要求；</w:t>
      </w:r>
    </w:p>
    <w:p>
      <w:pPr>
        <w:widowControl/>
        <w:shd w:val="clear" w:color="auto" w:fill="FFFFFF"/>
        <w:spacing w:line="360" w:lineRule="auto"/>
        <w:ind w:firstLine="420"/>
        <w:rPr>
          <w:rFonts w:ascii="宋体" w:hAnsi="宋体" w:cs="宋体"/>
          <w:bCs/>
          <w:kern w:val="0"/>
          <w:szCs w:val="21"/>
        </w:rPr>
      </w:pPr>
      <w:r>
        <w:rPr>
          <w:rFonts w:hint="eastAsia" w:ascii="宋体" w:hAnsi="宋体" w:cs="宋体"/>
          <w:bCs/>
          <w:kern w:val="0"/>
          <w:szCs w:val="21"/>
        </w:rPr>
        <w:t>（二）要求投标人对投标文件有关事项作出澄清或者说明；</w:t>
      </w:r>
    </w:p>
    <w:p>
      <w:pPr>
        <w:widowControl/>
        <w:shd w:val="clear" w:color="auto" w:fill="FFFFFF"/>
        <w:spacing w:line="360" w:lineRule="auto"/>
        <w:ind w:firstLine="420"/>
        <w:rPr>
          <w:rFonts w:ascii="宋体" w:hAnsi="宋体" w:cs="宋体"/>
          <w:bCs/>
          <w:kern w:val="0"/>
          <w:szCs w:val="21"/>
        </w:rPr>
      </w:pPr>
      <w:r>
        <w:rPr>
          <w:rFonts w:hint="eastAsia" w:ascii="宋体" w:hAnsi="宋体" w:cs="宋体"/>
          <w:bCs/>
          <w:kern w:val="0"/>
          <w:szCs w:val="21"/>
        </w:rPr>
        <w:t>（三）对投标文件进行比较和评价；</w:t>
      </w:r>
    </w:p>
    <w:p>
      <w:pPr>
        <w:widowControl/>
        <w:shd w:val="clear" w:color="auto" w:fill="FFFFFF"/>
        <w:spacing w:line="360" w:lineRule="auto"/>
        <w:ind w:firstLine="420"/>
        <w:rPr>
          <w:rFonts w:ascii="宋体" w:hAnsi="宋体" w:cs="宋体"/>
          <w:bCs/>
          <w:kern w:val="0"/>
          <w:szCs w:val="21"/>
        </w:rPr>
      </w:pPr>
      <w:r>
        <w:rPr>
          <w:rFonts w:hint="eastAsia" w:ascii="宋体" w:hAnsi="宋体" w:cs="宋体"/>
          <w:bCs/>
          <w:kern w:val="0"/>
          <w:szCs w:val="21"/>
        </w:rPr>
        <w:t>（四）确定中标候选人名单，以及根据采购人委托直接确定中标人；</w:t>
      </w:r>
    </w:p>
    <w:p>
      <w:pPr>
        <w:widowControl/>
        <w:shd w:val="clear" w:color="auto" w:fill="FFFFFF"/>
        <w:spacing w:line="360" w:lineRule="auto"/>
        <w:ind w:firstLine="420"/>
        <w:rPr>
          <w:rFonts w:ascii="宋体" w:hAnsi="宋体" w:cs="宋体"/>
          <w:kern w:val="0"/>
          <w:szCs w:val="21"/>
        </w:rPr>
      </w:pPr>
      <w:r>
        <w:rPr>
          <w:rFonts w:hint="eastAsia" w:ascii="宋体" w:hAnsi="宋体" w:cs="宋体"/>
          <w:bCs/>
          <w:kern w:val="0"/>
          <w:szCs w:val="21"/>
        </w:rPr>
        <w:t>（五）向采购人、采购代理机构或者有关部门报告评标中发现的违法行为。</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 xml:space="preserve">22.1.2 </w:t>
      </w:r>
      <w:r>
        <w:rPr>
          <w:rFonts w:hint="eastAsia" w:ascii="宋体" w:hAnsi="宋体" w:cs="宋体"/>
          <w:kern w:val="0"/>
          <w:szCs w:val="21"/>
        </w:rPr>
        <w:t>评标委员会由</w:t>
      </w:r>
      <w:r>
        <w:rPr>
          <w:rFonts w:hint="eastAsia" w:ascii="宋体" w:hAnsi="宋体" w:cs="宋体"/>
          <w:bCs/>
          <w:kern w:val="0"/>
          <w:szCs w:val="21"/>
        </w:rPr>
        <w:t>采购人</w:t>
      </w:r>
      <w:r>
        <w:rPr>
          <w:rFonts w:hint="eastAsia" w:ascii="宋体" w:hAnsi="宋体" w:cs="宋体"/>
          <w:kern w:val="0"/>
          <w:szCs w:val="21"/>
        </w:rPr>
        <w:t>代表和有关技术、经济等方面的专家组成，独立开展评审工作。</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b/>
          <w:bCs/>
          <w:kern w:val="0"/>
          <w:szCs w:val="21"/>
        </w:rPr>
        <w:t>22.2  评标程序</w:t>
      </w:r>
    </w:p>
    <w:p>
      <w:pPr>
        <w:widowControl/>
        <w:shd w:val="clear" w:color="auto" w:fill="FFFFFF"/>
        <w:spacing w:line="360" w:lineRule="auto"/>
        <w:ind w:firstLine="420"/>
        <w:jc w:val="left"/>
        <w:rPr>
          <w:rFonts w:ascii="宋体" w:hAnsi="宋体" w:cs="宋体"/>
          <w:b/>
          <w:kern w:val="0"/>
          <w:szCs w:val="21"/>
        </w:rPr>
      </w:pPr>
      <w:r>
        <w:rPr>
          <w:rFonts w:hint="eastAsia" w:ascii="宋体" w:hAnsi="宋体" w:cs="宋体"/>
          <w:b/>
          <w:kern w:val="0"/>
          <w:szCs w:val="21"/>
        </w:rPr>
        <w:t xml:space="preserve">22.2.1 </w:t>
      </w:r>
      <w:r>
        <w:rPr>
          <w:rFonts w:hint="eastAsia" w:ascii="宋体" w:hAnsi="宋体" w:cs="宋体"/>
          <w:b/>
          <w:bCs/>
          <w:kern w:val="0"/>
          <w:szCs w:val="21"/>
        </w:rPr>
        <w:t>投标文件的资格性检查。</w:t>
      </w:r>
      <w:r>
        <w:rPr>
          <w:rFonts w:hint="eastAsia" w:ascii="宋体" w:hAnsi="宋体" w:cs="宋体"/>
          <w:kern w:val="0"/>
          <w:szCs w:val="21"/>
        </w:rPr>
        <w:t>公开招标采购项目开标结束后，</w:t>
      </w:r>
      <w:r>
        <w:rPr>
          <w:rFonts w:hint="eastAsia" w:ascii="宋体" w:hAnsi="宋体" w:cs="宋体"/>
        </w:rPr>
        <w:t>采购人</w:t>
      </w:r>
      <w:r>
        <w:rPr>
          <w:rFonts w:hint="eastAsia" w:ascii="宋体" w:hAnsi="宋体" w:cs="宋体"/>
          <w:kern w:val="0"/>
          <w:szCs w:val="21"/>
        </w:rPr>
        <w:t>或者</w:t>
      </w:r>
      <w:r>
        <w:rPr>
          <w:rFonts w:hint="eastAsia" w:ascii="宋体" w:hAnsi="宋体" w:cs="宋体"/>
        </w:rPr>
        <w:t>采购代理机构</w:t>
      </w:r>
      <w:r>
        <w:rPr>
          <w:rFonts w:hint="eastAsia" w:ascii="宋体" w:hAnsi="宋体" w:cs="宋体"/>
          <w:kern w:val="0"/>
          <w:szCs w:val="21"/>
        </w:rPr>
        <w:t>应当依法对投标人的资格进行审查。合格投标人不足3家的，不得评标。</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b/>
          <w:bCs/>
          <w:kern w:val="0"/>
          <w:szCs w:val="21"/>
        </w:rPr>
        <w:t>22.2.2投标文件的符合性审查</w:t>
      </w:r>
      <w:r>
        <w:rPr>
          <w:rFonts w:hint="eastAsia" w:ascii="宋体" w:hAnsi="宋体" w:cs="宋体"/>
          <w:kern w:val="0"/>
          <w:szCs w:val="21"/>
        </w:rPr>
        <w:t>。评标委员会对通过资格性检查的投标人的投标文件进行符合性审查，以确定其是否满足招标文件的实质性要求。投标文件有下列情况之一的，在符合性检查时按照无效投标处理：</w:t>
      </w:r>
    </w:p>
    <w:p>
      <w:pPr>
        <w:widowControl/>
        <w:shd w:val="clear" w:color="auto" w:fill="FFFFFF"/>
        <w:spacing w:line="360" w:lineRule="auto"/>
        <w:ind w:firstLine="420"/>
        <w:jc w:val="left"/>
        <w:rPr>
          <w:rFonts w:ascii="宋体" w:hAnsi="宋体" w:cs="宋体"/>
          <w:b/>
          <w:kern w:val="0"/>
          <w:szCs w:val="21"/>
        </w:rPr>
      </w:pPr>
      <w:r>
        <w:rPr>
          <w:rFonts w:hint="eastAsia" w:ascii="宋体" w:hAnsi="宋体" w:cs="宋体"/>
          <w:b/>
          <w:kern w:val="0"/>
          <w:szCs w:val="21"/>
        </w:rPr>
        <w:t>（1）未按照招标文件规定的要求密封、签署、盖章的</w:t>
      </w:r>
      <w:r>
        <w:rPr>
          <w:rFonts w:hint="eastAsia" w:ascii="宋体" w:hAnsi="宋体" w:cs="宋体"/>
          <w:b/>
          <w:bCs/>
          <w:kern w:val="0"/>
          <w:szCs w:val="21"/>
        </w:rPr>
        <w:t>；</w:t>
      </w:r>
    </w:p>
    <w:p>
      <w:pPr>
        <w:widowControl/>
        <w:shd w:val="clear" w:color="auto" w:fill="FFFFFF"/>
        <w:spacing w:line="360" w:lineRule="auto"/>
        <w:ind w:firstLine="420"/>
        <w:jc w:val="left"/>
        <w:rPr>
          <w:rFonts w:ascii="宋体" w:hAnsi="宋体" w:cs="宋体"/>
          <w:b/>
          <w:kern w:val="0"/>
          <w:szCs w:val="21"/>
        </w:rPr>
      </w:pPr>
      <w:r>
        <w:rPr>
          <w:rFonts w:hint="eastAsia" w:ascii="宋体" w:hAnsi="宋体" w:cs="宋体"/>
          <w:b/>
          <w:kern w:val="0"/>
          <w:szCs w:val="21"/>
        </w:rPr>
        <w:t>（2）不具备招标文件中规定的资格要求的；</w:t>
      </w:r>
    </w:p>
    <w:p>
      <w:pPr>
        <w:widowControl/>
        <w:shd w:val="clear" w:color="auto" w:fill="FFFFFF"/>
        <w:spacing w:line="360" w:lineRule="auto"/>
        <w:ind w:firstLine="420"/>
        <w:jc w:val="left"/>
        <w:rPr>
          <w:rFonts w:ascii="宋体" w:hAnsi="宋体" w:cs="宋体"/>
          <w:b/>
          <w:kern w:val="0"/>
          <w:szCs w:val="21"/>
        </w:rPr>
      </w:pPr>
      <w:r>
        <w:rPr>
          <w:rFonts w:hint="eastAsia" w:ascii="宋体" w:hAnsi="宋体" w:cs="宋体"/>
          <w:b/>
          <w:kern w:val="0"/>
          <w:szCs w:val="21"/>
        </w:rPr>
        <w:t>（3）报价超过招标文件中规定的预算金额或者最高限价的；</w:t>
      </w:r>
    </w:p>
    <w:p>
      <w:pPr>
        <w:widowControl/>
        <w:shd w:val="clear" w:color="auto" w:fill="FFFFFF"/>
        <w:spacing w:line="360" w:lineRule="auto"/>
        <w:ind w:firstLine="420"/>
        <w:jc w:val="left"/>
        <w:rPr>
          <w:rFonts w:ascii="宋体" w:hAnsi="宋体" w:cs="宋体"/>
          <w:b/>
          <w:kern w:val="0"/>
          <w:szCs w:val="21"/>
        </w:rPr>
      </w:pPr>
      <w:r>
        <w:rPr>
          <w:rFonts w:hint="eastAsia" w:ascii="宋体" w:hAnsi="宋体" w:cs="宋体"/>
          <w:b/>
          <w:kern w:val="0"/>
          <w:szCs w:val="21"/>
        </w:rPr>
        <w:t>（4）投标文件含有采购人不能接受的附加条件的；</w:t>
      </w:r>
    </w:p>
    <w:p>
      <w:pPr>
        <w:widowControl/>
        <w:shd w:val="clear" w:color="auto" w:fill="FFFFFF"/>
        <w:spacing w:line="360" w:lineRule="auto"/>
        <w:ind w:firstLine="420"/>
        <w:jc w:val="left"/>
        <w:rPr>
          <w:rFonts w:ascii="宋体" w:hAnsi="宋体" w:cs="宋体"/>
          <w:b/>
          <w:kern w:val="0"/>
          <w:szCs w:val="21"/>
        </w:rPr>
      </w:pPr>
      <w:r>
        <w:rPr>
          <w:rFonts w:hint="eastAsia" w:ascii="宋体" w:hAnsi="宋体" w:cs="宋体"/>
          <w:b/>
          <w:kern w:val="0"/>
          <w:szCs w:val="21"/>
        </w:rPr>
        <w:t>（5）投标文件内容不全或不符合招标文件中规定的其他实质性要求的；</w:t>
      </w:r>
    </w:p>
    <w:p>
      <w:pPr>
        <w:widowControl/>
        <w:shd w:val="clear" w:color="auto" w:fill="FFFFFF"/>
        <w:spacing w:line="360" w:lineRule="auto"/>
        <w:ind w:firstLine="420"/>
        <w:jc w:val="left"/>
        <w:rPr>
          <w:rFonts w:ascii="宋体" w:hAnsi="宋体" w:cs="宋体"/>
          <w:b/>
          <w:kern w:val="0"/>
          <w:szCs w:val="21"/>
        </w:rPr>
      </w:pPr>
      <w:r>
        <w:rPr>
          <w:rFonts w:hint="eastAsia" w:ascii="宋体" w:hAnsi="宋体" w:cs="宋体"/>
          <w:b/>
          <w:kern w:val="0"/>
          <w:szCs w:val="21"/>
        </w:rPr>
        <w:t>（6）未按招标文件规定的数额和形式交纳投标保证金的；</w:t>
      </w:r>
    </w:p>
    <w:p>
      <w:pPr>
        <w:widowControl/>
        <w:shd w:val="clear" w:color="auto" w:fill="FFFFFF"/>
        <w:spacing w:line="360" w:lineRule="auto"/>
        <w:ind w:firstLine="420"/>
        <w:rPr>
          <w:rFonts w:ascii="宋体" w:hAnsi="宋体" w:cs="宋体"/>
          <w:b/>
          <w:kern w:val="0"/>
          <w:szCs w:val="21"/>
        </w:rPr>
      </w:pPr>
      <w:r>
        <w:rPr>
          <w:rFonts w:hint="eastAsia" w:ascii="宋体" w:hAnsi="宋体" w:cs="宋体"/>
          <w:b/>
          <w:kern w:val="0"/>
          <w:szCs w:val="21"/>
        </w:rPr>
        <w:t>（7）现行法律、法规、规章和招标文件规定的其他无效情形。</w:t>
      </w:r>
    </w:p>
    <w:p>
      <w:pPr>
        <w:widowControl/>
        <w:shd w:val="clear" w:color="auto" w:fill="FFFFFF"/>
        <w:spacing w:line="360" w:lineRule="auto"/>
        <w:ind w:firstLine="420"/>
        <w:rPr>
          <w:rFonts w:ascii="宋体" w:hAnsi="宋体" w:cs="宋体"/>
          <w:b/>
          <w:bCs/>
          <w:kern w:val="0"/>
          <w:szCs w:val="21"/>
        </w:rPr>
      </w:pPr>
      <w:r>
        <w:rPr>
          <w:rFonts w:hint="eastAsia" w:ascii="宋体" w:hAnsi="宋体" w:cs="宋体"/>
          <w:b/>
          <w:bCs/>
          <w:kern w:val="0"/>
          <w:szCs w:val="21"/>
        </w:rPr>
        <w:t>22.2.2.1 实质性要求是指本招标文件中用带星号（“</w:t>
      </w:r>
      <w:r>
        <w:rPr>
          <w:rFonts w:hint="eastAsia" w:ascii="宋体" w:hAnsi="宋体" w:cs="宋体"/>
          <w:b/>
          <w:bCs/>
        </w:rPr>
        <w:t>*</w:t>
      </w:r>
      <w:r>
        <w:rPr>
          <w:rFonts w:hint="eastAsia" w:ascii="宋体" w:hAnsi="宋体" w:cs="宋体"/>
          <w:b/>
          <w:bCs/>
          <w:kern w:val="0"/>
          <w:szCs w:val="21"/>
        </w:rPr>
        <w:t>”）、“必须”或“应（应当）”等其他文字说明的商务和技术要求。</w:t>
      </w:r>
    </w:p>
    <w:p>
      <w:pPr>
        <w:widowControl/>
        <w:shd w:val="clear" w:color="auto" w:fill="FFFFFF"/>
        <w:spacing w:line="360" w:lineRule="auto"/>
        <w:ind w:firstLine="420"/>
        <w:jc w:val="left"/>
        <w:rPr>
          <w:rFonts w:ascii="宋体" w:hAnsi="宋体" w:cs="宋体"/>
          <w:b/>
          <w:kern w:val="0"/>
          <w:szCs w:val="21"/>
        </w:rPr>
      </w:pPr>
      <w:r>
        <w:rPr>
          <w:rFonts w:hint="eastAsia" w:ascii="宋体" w:hAnsi="宋体" w:cs="宋体"/>
          <w:b/>
          <w:kern w:val="0"/>
          <w:szCs w:val="21"/>
        </w:rPr>
        <w:t>22.2.2.2</w:t>
      </w:r>
      <w:r>
        <w:rPr>
          <w:rFonts w:hint="eastAsia" w:ascii="宋体" w:hAnsi="宋体" w:cs="宋体"/>
          <w:kern w:val="0"/>
          <w:szCs w:val="21"/>
        </w:rPr>
        <w:t>有下列情形之一的予以废标：</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（1）符合专业条件的投标人或者对招标文件作实质性响应的投标人不足三家的；</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（2）出现影响采购公正的违法、违规行为的；</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（3）投标人的报价均超过了采购预算，采购人不能支付的；</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（4）因重大变故，采购任务取消的。</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22.2.3</w:t>
      </w:r>
      <w:r>
        <w:rPr>
          <w:rFonts w:hint="eastAsia" w:ascii="宋体" w:hAnsi="宋体" w:cs="宋体"/>
          <w:b/>
          <w:bCs/>
          <w:kern w:val="0"/>
          <w:szCs w:val="21"/>
        </w:rPr>
        <w:t>澄清有关问题</w:t>
      </w:r>
      <w:r>
        <w:rPr>
          <w:rFonts w:hint="eastAsia" w:ascii="宋体" w:hAnsi="宋体" w:cs="宋体"/>
          <w:kern w:val="0"/>
          <w:szCs w:val="21"/>
        </w:rPr>
        <w:t>。</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22.2.3.1对于投标文件中含义不明确、同类问题表述不一致或者有明显文字和计算错误的内容，评标委员会应当以书面形式要求投标人作出必要的澄清、说明或者补正。</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22.2.3.2投标人的澄清、说明或者补正应当采用书面形式，并加盖公章，或者由法定代表人或其授权代表签字。投标人的澄清、说明或者补正不得超出投标文件的范围或者改变投标文件的实质性内容。</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22.2.3.3投标文件报价出现前后不一致的，除招标文件另有规定外，按照下列规定修正：</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（2）大写金额和小写金额不一致的，以大写金额为准；</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（3）单价金额小数点或者百分比有明显错位的，以开标一览表的总价为准，并修改单价；</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（4）总价金额与按单价汇总金额不一致的，以单价金额计算结果为准。</w:t>
      </w:r>
    </w:p>
    <w:p>
      <w:pPr>
        <w:widowControl/>
        <w:shd w:val="clear" w:color="auto" w:fill="FFFFFF"/>
        <w:spacing w:line="360" w:lineRule="auto"/>
        <w:ind w:firstLine="420"/>
        <w:rPr>
          <w:rFonts w:ascii="宋体" w:hAnsi="宋体" w:cs="宋体"/>
          <w:b/>
          <w:kern w:val="0"/>
          <w:szCs w:val="21"/>
        </w:rPr>
      </w:pPr>
      <w:r>
        <w:rPr>
          <w:rFonts w:hint="eastAsia" w:ascii="宋体" w:hAnsi="宋体" w:cs="宋体"/>
          <w:kern w:val="0"/>
          <w:szCs w:val="21"/>
        </w:rPr>
        <w:t>同时出现两种以上不一致的，按照前款规定的顺序修正。</w:t>
      </w:r>
      <w:r>
        <w:rPr>
          <w:rFonts w:hint="eastAsia" w:ascii="宋体" w:hAnsi="宋体" w:cs="宋体"/>
          <w:b/>
          <w:kern w:val="0"/>
          <w:szCs w:val="21"/>
        </w:rPr>
        <w:t>修正后的报价按照前款规定经投标人确认后产生约束力，投标人不确认的，其投标无效。</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22.2.3.4</w:t>
      </w:r>
      <w:r>
        <w:rPr>
          <w:rFonts w:hint="eastAsia" w:ascii="宋体" w:hAnsi="宋体" w:cs="宋体"/>
        </w:rPr>
        <w:t>评标委员会认为投标人的报价明显低于其他通过符合性审查投标人的报价，有可能影响产品质量或者不能诚信履约的，将要求其在评标现场合理的时间内提供书面说明，必要时提交相关证明材料；</w:t>
      </w:r>
      <w:r>
        <w:rPr>
          <w:rFonts w:hint="eastAsia" w:ascii="宋体" w:hAnsi="宋体" w:cs="宋体"/>
          <w:b/>
        </w:rPr>
        <w:t>投标人不能证明其报价合理性的，评标委员会将其作为无效投标处理。</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22.2.4</w:t>
      </w:r>
      <w:r>
        <w:rPr>
          <w:rFonts w:hint="eastAsia" w:ascii="宋体" w:hAnsi="宋体" w:cs="宋体"/>
          <w:bCs/>
          <w:kern w:val="0"/>
          <w:szCs w:val="21"/>
        </w:rPr>
        <w:t>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pPr>
        <w:widowControl/>
        <w:shd w:val="clear" w:color="auto" w:fill="FFFFFF"/>
        <w:spacing w:line="360" w:lineRule="auto"/>
        <w:ind w:firstLine="420"/>
        <w:jc w:val="left"/>
        <w:rPr>
          <w:rFonts w:ascii="宋体" w:hAnsi="宋体" w:cs="宋体"/>
        </w:rPr>
      </w:pPr>
      <w:r>
        <w:rPr>
          <w:rFonts w:hint="eastAsia" w:ascii="宋体" w:hAnsi="宋体" w:cs="宋体"/>
          <w:kern w:val="0"/>
          <w:szCs w:val="21"/>
        </w:rPr>
        <w:t>22.2.5</w:t>
      </w:r>
      <w:r>
        <w:rPr>
          <w:rFonts w:hint="eastAsia" w:ascii="宋体" w:hAnsi="宋体" w:cs="宋体"/>
        </w:rPr>
        <w:t>相同品牌产品的投标</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非单一产品采购项目，确定核心产品的方法在招标文件技术需求中载明。多家投标人提供的核心产品品牌相同的，按前两款规定处理。</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b/>
          <w:bCs/>
          <w:kern w:val="0"/>
          <w:szCs w:val="21"/>
        </w:rPr>
        <w:t>22.3 评标方法和标准</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22.3.1评标方法分为最低评标价法和综合评分法。本次招标的评标方法和标准，详见本招标文件第三章。</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22.3.2最低评标价法，是指投标文件满足招标文件全部实质性要求，且投标报价最低的投标人为中标候选人的评标方法。</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采用最低评标价法评标时，除了算术修正和落实政府采购政策需进行的价格扣除外，不对投标人的投标价格进行任何调整。</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22.3.3综合评分法，是指投标文件满足招标文件全部实质性要求，且按照评审因素的量化指标评审得分最高的投标人为中标候选人的评标方法。</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评审因素，包括价格、技术、商务等。</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评标时，评标委员会各成员应当独立对每个投标人的投标文件进行评价，并汇总每个投标人的得分。</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价格分采用低价优先法计算，即满足招标文件要求且投标价格最低的投标报价为评标基准价，其价格分为满分。</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评标总得分＝F1×A1＋F2×A2＋……＋Fn×An</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F1、F2……Fn分别为各项评审因素的得分；</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A1、A2、……An 分别为各项评审因素所占的权重(A1＋A2＋……＋An＝1)。</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因落实政府采购政策进行价格调整的，以调整后的价格计算评标基准价和投标报价。</w:t>
      </w:r>
    </w:p>
    <w:p>
      <w:pPr>
        <w:widowControl/>
        <w:shd w:val="clear" w:color="auto" w:fill="FFFFFF"/>
        <w:spacing w:line="360" w:lineRule="auto"/>
        <w:ind w:firstLine="420"/>
        <w:rPr>
          <w:rFonts w:ascii="宋体" w:hAnsi="宋体" w:cs="宋体"/>
          <w:b/>
          <w:kern w:val="0"/>
          <w:szCs w:val="21"/>
        </w:rPr>
      </w:pPr>
      <w:r>
        <w:rPr>
          <w:rFonts w:hint="eastAsia" w:ascii="宋体" w:hAnsi="宋体" w:cs="宋体"/>
          <w:b/>
          <w:bCs/>
          <w:kern w:val="0"/>
          <w:szCs w:val="21"/>
        </w:rPr>
        <w:t>23、</w:t>
      </w:r>
      <w:r>
        <w:rPr>
          <w:rFonts w:hint="eastAsia" w:ascii="宋体" w:hAnsi="宋体" w:cs="宋体"/>
          <w:b/>
          <w:kern w:val="0"/>
          <w:szCs w:val="21"/>
        </w:rPr>
        <w:t>确定中标人</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23.1 采用最低评标价法的，评标结果按投标报价由低到高顺序排列。投标报价相同的并列。投标文件满足招标文件全部实质性要求且投标报价最低的投标人为排名第一的中标候选人。</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23.3 中标人确定后，在省级以上财政部门指定的媒体上公告中标结果，中标公告期为1个工作日，公告的同时向中标人发出中标通知书。</w:t>
      </w:r>
    </w:p>
    <w:p>
      <w:pPr>
        <w:widowControl/>
        <w:shd w:val="clear" w:color="auto" w:fill="FFFFFF"/>
        <w:spacing w:line="360" w:lineRule="auto"/>
        <w:ind w:firstLine="420"/>
        <w:rPr>
          <w:rFonts w:ascii="宋体" w:hAnsi="宋体" w:cs="宋体"/>
          <w:b/>
          <w:kern w:val="0"/>
          <w:szCs w:val="21"/>
        </w:rPr>
      </w:pPr>
      <w:r>
        <w:rPr>
          <w:rFonts w:hint="eastAsia" w:ascii="宋体" w:hAnsi="宋体" w:cs="宋体"/>
          <w:b/>
          <w:bCs/>
          <w:kern w:val="0"/>
          <w:szCs w:val="21"/>
        </w:rPr>
        <w:t>23.4 中标通知书对采购人和中标人具有同等法律效力。中标通知书发出后，采购人不得</w:t>
      </w:r>
      <w:r>
        <w:rPr>
          <w:rFonts w:hint="eastAsia" w:ascii="宋体" w:hAnsi="宋体" w:cs="宋体"/>
          <w:b/>
          <w:kern w:val="0"/>
          <w:szCs w:val="21"/>
        </w:rPr>
        <w:t>违法改变中标结果，中标人无正当理由不得放弃中标。</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23.5 所有投标文件不论中标与否，均不退回。</w:t>
      </w:r>
    </w:p>
    <w:p>
      <w:pPr>
        <w:widowControl/>
        <w:shd w:val="clear" w:color="auto" w:fill="FFFFFF"/>
        <w:spacing w:line="360" w:lineRule="auto"/>
        <w:ind w:firstLine="412"/>
        <w:rPr>
          <w:rFonts w:ascii="宋体" w:hAnsi="宋体" w:cs="宋体"/>
          <w:kern w:val="0"/>
          <w:szCs w:val="21"/>
        </w:rPr>
      </w:pPr>
      <w:r>
        <w:rPr>
          <w:rFonts w:hint="eastAsia" w:ascii="宋体" w:hAnsi="宋体" w:cs="宋体"/>
          <w:b/>
          <w:bCs/>
          <w:kern w:val="0"/>
          <w:szCs w:val="21"/>
        </w:rPr>
        <w:t>24、编写评标报告</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24.1评标委员会根据全体评标成员签字的原始评标记录和评标结果编写评标报告。</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25、评标过程的保密性</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25.1 采购人和采购代理机构将采取必要措施，保证评标在严格保密的情况下进行。</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25.2 任何单位和个人不得非法干预、影响评标办法的确定，以及评标过程和结果。</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25.3 凡是与审查、澄清、评价和比较投标的有关资料等，均不向投标人及与评标无关的其他人员透露。</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六、签订合同</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26、签订合同</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26.1采购人与中标人应当自中标通知书发出之日起30日内，按照招标文件和中标人投标文件的规定，签订书面合同。所签订的合同不得对招标文件确定的事项和中标人投标文件作实质性修改。</w:t>
      </w:r>
    </w:p>
    <w:p>
      <w:pPr>
        <w:widowControl/>
        <w:shd w:val="clear" w:color="auto" w:fill="FFFFFF"/>
        <w:spacing w:line="360" w:lineRule="auto"/>
        <w:ind w:firstLine="420"/>
        <w:rPr>
          <w:rFonts w:ascii="宋体" w:hAnsi="宋体" w:cs="宋体"/>
          <w:b/>
          <w:bCs/>
          <w:szCs w:val="21"/>
        </w:rPr>
      </w:pPr>
      <w:r>
        <w:rPr>
          <w:rFonts w:hint="eastAsia" w:ascii="宋体" w:hAnsi="宋体" w:cs="宋体"/>
          <w:b/>
          <w:kern w:val="0"/>
          <w:szCs w:val="21"/>
        </w:rPr>
        <w:t>26.2</w:t>
      </w:r>
      <w:r>
        <w:rPr>
          <w:rFonts w:hint="eastAsia" w:ascii="宋体" w:hAnsi="宋体" w:cs="宋体"/>
          <w:szCs w:val="21"/>
        </w:rPr>
        <w:t>除继续履行将损害国家利益和社会公众利益的，政府采购合同的双方当事人不得擅自变更、中止或者终止合同。</w:t>
      </w:r>
      <w:r>
        <w:rPr>
          <w:rFonts w:hint="eastAsia" w:ascii="宋体" w:hAnsi="宋体" w:cs="宋体"/>
          <w:b/>
          <w:bCs/>
          <w:szCs w:val="21"/>
        </w:rPr>
        <w:t>放弃或拒绝签订合同的，中标人不得参加对该项目重新开展的采购活动，投标保证金不予退还</w:t>
      </w:r>
      <w:r>
        <w:rPr>
          <w:rFonts w:hint="eastAsia" w:ascii="宋体" w:hAnsi="宋体" w:cs="宋体"/>
          <w:b/>
          <w:bCs/>
          <w:kern w:val="0"/>
          <w:szCs w:val="21"/>
        </w:rPr>
        <w:t>，不收取投标保证金的项目，中标人应向采购人支付采购人为招标所发生的相关费用，</w:t>
      </w:r>
      <w:r>
        <w:rPr>
          <w:rFonts w:hint="eastAsia" w:ascii="宋体" w:hAnsi="宋体" w:cs="宋体"/>
          <w:b/>
          <w:bCs/>
          <w:szCs w:val="21"/>
        </w:rPr>
        <w:t>由财政部门列入不良行为记录名单，在一至三年内禁止参加政府采购活动，并予以通报。</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26.3采购人不得向中标人提出任何不合理的要求作为签订合同的条件。</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26.4中标人拒绝与采购人签订合同的，采购人可以按照评审报告推荐的中标或者成交候选人名单排序，确定下一候选人为中标或者成交供应商，也可以重新开展政府采购活动。</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26.5 政府采购合同履行中，采购人需追加与合同标的相同的货物或者服务的，在不改变合同其他条款的前提下，可以与供应商协商签订补充合同，但所有补充合同的采购金额不得超过原合同采购金额的百分之十。</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26.6 采购人与中标人应当根据合同的约定依法履行合同义务。</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七、质疑和投诉</w:t>
      </w:r>
    </w:p>
    <w:p>
      <w:pPr>
        <w:widowControl/>
        <w:shd w:val="clear" w:color="auto" w:fill="FFFFFF"/>
        <w:spacing w:line="360" w:lineRule="auto"/>
        <w:ind w:firstLine="420"/>
        <w:rPr>
          <w:rFonts w:ascii="宋体" w:hAnsi="宋体" w:cs="宋体"/>
          <w:kern w:val="0"/>
          <w:szCs w:val="21"/>
        </w:rPr>
      </w:pPr>
      <w:r>
        <w:rPr>
          <w:rFonts w:hint="eastAsia" w:ascii="宋体" w:hAnsi="宋体" w:cs="宋体"/>
          <w:b/>
          <w:bCs/>
          <w:kern w:val="0"/>
          <w:szCs w:val="21"/>
        </w:rPr>
        <w:t>27、质疑</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27.1供应商对招标活动事项有疑问的，可以向采购代理机构提出询问，采购代理机构将依法作出答复，但答复的内容不涉及商业秘密</w:t>
      </w:r>
      <w:r>
        <w:rPr>
          <w:rFonts w:hint="eastAsia" w:ascii="宋体" w:hAnsi="宋体" w:cs="宋体"/>
          <w:b/>
          <w:bCs/>
          <w:kern w:val="0"/>
          <w:szCs w:val="21"/>
        </w:rPr>
        <w:t>。</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27.2提出质疑的供应商应当是参与所质疑项目采购活动的供应商。潜在供应商已依法获取其可质疑的采购文件的，可以对该文件提出质疑。</w:t>
      </w:r>
    </w:p>
    <w:p>
      <w:pPr>
        <w:widowControl/>
        <w:shd w:val="clear" w:color="auto" w:fill="FFFFFF"/>
        <w:spacing w:line="360" w:lineRule="auto"/>
        <w:ind w:firstLine="420"/>
        <w:rPr>
          <w:rFonts w:ascii="宋体" w:hAnsi="宋体" w:cs="宋体"/>
          <w:kern w:val="0"/>
          <w:szCs w:val="21"/>
        </w:rPr>
      </w:pPr>
      <w:r>
        <w:rPr>
          <w:rFonts w:hint="eastAsia" w:ascii="宋体" w:hAnsi="宋体" w:cs="宋体"/>
          <w:szCs w:val="21"/>
        </w:rPr>
        <w:t>以联合体形式参加政府采购活动的，其质疑应当由组成联合体的所有供应商共同提出。</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27.3供应商认为采购文件、采购过程和中标结果使自己的合法权益受到损害的，可以在知道或者应知其权益受到损害之日起七个工作日内，将质疑文件原件送达采购人或采购代理机构。</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供应商应知其权益受到损害之日，是指：对采购文件提出质疑的，应当在获取采购文件或者采购文件公告期限届满之日起七个工作日内提出；对采购过程提出质疑的，为各采购程序环节结束之日；对中标或者成交结果提出质疑的，为中标或者成交结果公告期限届满之日。</w:t>
      </w:r>
    </w:p>
    <w:p>
      <w:pPr>
        <w:widowControl/>
        <w:shd w:val="clear" w:color="auto" w:fill="FFFFFF"/>
        <w:spacing w:line="360" w:lineRule="auto"/>
        <w:ind w:firstLine="420"/>
        <w:rPr>
          <w:rFonts w:ascii="宋体" w:hAnsi="宋体" w:cs="宋体"/>
          <w:b/>
          <w:bCs/>
          <w:kern w:val="0"/>
          <w:szCs w:val="21"/>
        </w:rPr>
      </w:pPr>
      <w:r>
        <w:rPr>
          <w:rFonts w:hint="eastAsia" w:ascii="宋体" w:hAnsi="宋体" w:cs="宋体"/>
          <w:b/>
          <w:bCs/>
        </w:rPr>
        <w:t>供应商必须在法定质疑期内一次性提出针对同一采购程序环节的质疑。</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27.4 供应商提出质疑应当提交质疑函和必要的证明材料。质疑函应当包括下列内容：</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（一）供应商的姓名或者名称、地址、邮编、联系人及联系电话；</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（二）质疑项目的名称、编号；</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（三）具体、明确的质疑事项和与质疑事项相关的请求（具体条款）；</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（四）事实依据（具体条款）；</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（五）必要的法律依据（具体条款）；</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（六）提出质疑的日期。</w:t>
      </w:r>
    </w:p>
    <w:p>
      <w:pPr>
        <w:widowControl/>
        <w:shd w:val="clear" w:color="auto" w:fill="FFFFFF"/>
        <w:spacing w:line="360" w:lineRule="auto"/>
        <w:ind w:firstLine="420"/>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pPr>
        <w:widowControl/>
        <w:shd w:val="clear" w:color="auto" w:fill="FFFFFF"/>
        <w:spacing w:line="360" w:lineRule="auto"/>
        <w:ind w:firstLine="420"/>
        <w:rPr>
          <w:rFonts w:ascii="宋体" w:hAnsi="宋体" w:cs="宋体"/>
          <w:szCs w:val="21"/>
        </w:rPr>
      </w:pPr>
      <w:r>
        <w:rPr>
          <w:rFonts w:hint="eastAsia" w:ascii="宋体" w:hAnsi="宋体" w:cs="宋体"/>
          <w:szCs w:val="21"/>
        </w:rPr>
        <w:t>质疑函应当使用中文。相关当事人提供外文书证或者外国语视听资料的，应当附有中文译本，由翻译机构盖章或者翻译人员签名。</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27.5质疑函应当现场提交至采购代理机构联系人处，提交时应出示有效身份证明。未按上述要求提交质疑函的，质疑不予受理。</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27.6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27.7采购代理机构在收到投标人的书面质疑后将及时组织调查核实，在</w:t>
      </w:r>
      <w:r>
        <w:rPr>
          <w:rFonts w:hint="eastAsia" w:ascii="宋体" w:hAnsi="宋体" w:cs="宋体"/>
          <w:b/>
          <w:bCs/>
          <w:kern w:val="0"/>
          <w:szCs w:val="21"/>
        </w:rPr>
        <w:t>七个工作日内</w:t>
      </w:r>
      <w:r>
        <w:rPr>
          <w:rFonts w:hint="eastAsia" w:ascii="宋体" w:hAnsi="宋体" w:cs="宋体"/>
          <w:kern w:val="0"/>
          <w:szCs w:val="21"/>
        </w:rPr>
        <w:t>作出答复，并以书面或在网站公告形式通知质疑投标人和其他有关投标人，答复的内容不涉及商业秘密。</w:t>
      </w: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任何单位和个人对代理机构在招标采购活动中的违法行为，有权控告和检举，联系电话：025-86636139（采购代理机构质量管理部门）、025-86636853（采购代理机构纪检监察部门）。</w:t>
      </w:r>
    </w:p>
    <w:p>
      <w:pPr>
        <w:widowControl/>
        <w:shd w:val="clear" w:color="auto" w:fill="FFFFFF"/>
        <w:spacing w:line="420" w:lineRule="exact"/>
        <w:ind w:firstLine="420"/>
        <w:rPr>
          <w:rFonts w:ascii="宋体" w:hAnsi="宋体" w:cs="宋体"/>
          <w:kern w:val="0"/>
          <w:szCs w:val="21"/>
        </w:rPr>
      </w:pPr>
      <w:r>
        <w:rPr>
          <w:rFonts w:hint="eastAsia" w:ascii="宋体" w:hAnsi="宋体" w:cs="宋体"/>
          <w:b/>
          <w:bCs/>
          <w:kern w:val="0"/>
          <w:szCs w:val="21"/>
        </w:rPr>
        <w:t>28、投诉</w:t>
      </w:r>
    </w:p>
    <w:p>
      <w:pPr>
        <w:spacing w:line="420" w:lineRule="exact"/>
        <w:ind w:firstLine="420" w:firstLineChars="200"/>
        <w:rPr>
          <w:rFonts w:ascii="宋体" w:hAnsi="宋体" w:cs="宋体"/>
        </w:rPr>
      </w:pPr>
      <w:r>
        <w:rPr>
          <w:rFonts w:hint="eastAsia" w:ascii="宋体" w:hAnsi="宋体" w:cs="宋体"/>
        </w:rPr>
        <w:t>28.1质疑供应商对采购代理机构的答复不满意或者采购代理机构未在规定的时间内作出答复的，可以在答复期满后十五个工作日内向同级政府采购监督管理部门投诉。</w:t>
      </w:r>
    </w:p>
    <w:p>
      <w:pPr>
        <w:spacing w:line="420" w:lineRule="exact"/>
        <w:ind w:firstLine="420" w:firstLineChars="200"/>
        <w:rPr>
          <w:rFonts w:ascii="宋体" w:hAnsi="宋体" w:cs="宋体"/>
        </w:rPr>
      </w:pPr>
      <w:r>
        <w:rPr>
          <w:rFonts w:hint="eastAsia" w:ascii="宋体" w:hAnsi="宋体" w:cs="宋体"/>
          <w:szCs w:val="21"/>
        </w:rPr>
        <w:t>28.2供应商投诉应当有明确的请求和必要的证明材料。供应商投诉的事项不得超出已质疑事项的范围。</w:t>
      </w:r>
    </w:p>
    <w:p>
      <w:pPr>
        <w:spacing w:line="420" w:lineRule="exact"/>
        <w:ind w:firstLine="420" w:firstLineChars="200"/>
        <w:rPr>
          <w:rFonts w:ascii="宋体" w:hAnsi="宋体" w:cs="宋体"/>
        </w:rPr>
      </w:pPr>
      <w:r>
        <w:rPr>
          <w:rFonts w:hint="eastAsia" w:ascii="宋体" w:hAnsi="宋体" w:cs="宋体"/>
          <w:szCs w:val="21"/>
        </w:rPr>
        <w:t>28.3投诉人对政府采购监督管理部门的投诉处理决定不服或者政府采购监督管理部门逾期未作处理的，可以依法申请行政复议或者向人民法院提起行政诉讼。</w:t>
      </w:r>
    </w:p>
    <w:p>
      <w:pPr>
        <w:spacing w:line="420" w:lineRule="exact"/>
        <w:ind w:firstLine="420" w:firstLineChars="200"/>
        <w:rPr>
          <w:rFonts w:ascii="宋体" w:hAnsi="宋体" w:cs="宋体"/>
          <w:szCs w:val="21"/>
        </w:rPr>
      </w:pPr>
      <w:r>
        <w:rPr>
          <w:rFonts w:hint="eastAsia" w:ascii="宋体" w:hAnsi="宋体" w:cs="宋体"/>
        </w:rPr>
        <w:t>28.4 投诉人有下列行为之一的，属于严重失信行为，</w:t>
      </w:r>
      <w:r>
        <w:rPr>
          <w:rFonts w:hint="eastAsia" w:ascii="宋体" w:hAnsi="宋体" w:cs="宋体"/>
          <w:szCs w:val="21"/>
        </w:rPr>
        <w:t>由财政部门列入不良行为记录名单，禁止其一至三年内参加政府采购活动。</w:t>
      </w:r>
    </w:p>
    <w:p>
      <w:pPr>
        <w:spacing w:line="420" w:lineRule="exact"/>
        <w:ind w:firstLine="420" w:firstLineChars="200"/>
        <w:rPr>
          <w:rFonts w:ascii="宋体" w:hAnsi="宋体" w:cs="宋体"/>
        </w:rPr>
      </w:pPr>
      <w:r>
        <w:rPr>
          <w:rFonts w:hint="eastAsia" w:ascii="宋体" w:hAnsi="宋体" w:cs="宋体"/>
        </w:rPr>
        <w:t>（1）投诉人在全国范围12个月内三次以上投诉查无实据的；</w:t>
      </w:r>
    </w:p>
    <w:p>
      <w:pPr>
        <w:spacing w:line="420" w:lineRule="exact"/>
        <w:ind w:firstLine="420" w:firstLineChars="200"/>
        <w:rPr>
          <w:rFonts w:ascii="宋体" w:hAnsi="宋体" w:cs="宋体"/>
        </w:rPr>
      </w:pPr>
      <w:r>
        <w:rPr>
          <w:rFonts w:hint="eastAsia" w:ascii="宋体" w:hAnsi="宋体" w:cs="宋体"/>
        </w:rPr>
        <w:t>（2）采用捏造事实、提供虚假材料或者以非法手段取得证明材料等方式进行虚假、恶意投诉。</w:t>
      </w:r>
    </w:p>
    <w:p>
      <w:pPr>
        <w:spacing w:line="420" w:lineRule="exact"/>
        <w:ind w:firstLine="420" w:firstLineChars="200"/>
        <w:rPr>
          <w:rFonts w:ascii="宋体" w:hAnsi="宋体" w:cs="宋体"/>
        </w:rPr>
      </w:pPr>
      <w:r>
        <w:rPr>
          <w:rFonts w:hint="eastAsia" w:ascii="宋体" w:hAnsi="宋体" w:cs="宋体"/>
        </w:rPr>
        <w:t>证据来源的合法性存在明显疑问，投诉人无法证明其取得方式合法的，视为以非法手段取得证明材料。</w:t>
      </w:r>
    </w:p>
    <w:p>
      <w:pPr>
        <w:widowControl/>
        <w:shd w:val="clear" w:color="auto" w:fill="FFFFFF"/>
        <w:spacing w:line="360" w:lineRule="auto"/>
        <w:ind w:firstLine="422" w:firstLineChars="200"/>
        <w:rPr>
          <w:rFonts w:ascii="宋体" w:hAnsi="宋体" w:cs="宋体"/>
          <w:b/>
          <w:bCs/>
          <w:kern w:val="0"/>
          <w:szCs w:val="21"/>
        </w:rPr>
      </w:pPr>
      <w:r>
        <w:rPr>
          <w:rFonts w:hint="eastAsia" w:ascii="宋体" w:hAnsi="宋体" w:cs="宋体"/>
          <w:b/>
          <w:bCs/>
          <w:kern w:val="0"/>
          <w:szCs w:val="21"/>
        </w:rPr>
        <w:t>29、其他</w:t>
      </w:r>
    </w:p>
    <w:p>
      <w:pPr>
        <w:pStyle w:val="56"/>
        <w:spacing w:line="360" w:lineRule="auto"/>
        <w:rPr>
          <w:rFonts w:ascii="宋体" w:hAnsi="宋体" w:cs="宋体"/>
        </w:rPr>
      </w:pPr>
      <w:r>
        <w:rPr>
          <w:rFonts w:hint="eastAsia" w:ascii="宋体" w:hAnsi="宋体" w:cs="宋体"/>
        </w:rPr>
        <w:t>29.1本项目根据江苏省财政厅关于加强政府绿色采购有关事项的通知（苏财购</w:t>
      </w:r>
      <w:r>
        <w:rPr>
          <w:rFonts w:hint="eastAsia" w:ascii="宋体" w:hAnsi="宋体" w:cs="宋体"/>
          <w:kern w:val="0"/>
          <w:szCs w:val="21"/>
        </w:rPr>
        <w:t>〔2023〕65号</w:t>
      </w:r>
      <w:r>
        <w:rPr>
          <w:rFonts w:hint="eastAsia" w:ascii="宋体" w:hAnsi="宋体" w:cs="宋体"/>
        </w:rPr>
        <w:t>）规定，执行绿色采购需求标准。</w:t>
      </w:r>
    </w:p>
    <w:p>
      <w:pPr>
        <w:rPr>
          <w:rFonts w:ascii="宋体" w:hAnsi="宋体" w:cs="宋体"/>
          <w:kern w:val="0"/>
        </w:rPr>
      </w:pPr>
      <w:bookmarkStart w:id="5" w:name="_Toc11112"/>
      <w:r>
        <w:rPr>
          <w:rFonts w:hint="eastAsia" w:ascii="宋体" w:hAnsi="宋体" w:cs="宋体"/>
          <w:kern w:val="0"/>
        </w:rPr>
        <w:br w:type="page"/>
      </w:r>
    </w:p>
    <w:p>
      <w:pPr>
        <w:pStyle w:val="4"/>
        <w:numPr>
          <w:ilvl w:val="0"/>
          <w:numId w:val="0"/>
        </w:numPr>
        <w:rPr>
          <w:rFonts w:hint="eastAsia" w:ascii="宋体" w:hAnsi="宋体" w:cs="宋体"/>
          <w:kern w:val="0"/>
        </w:rPr>
      </w:pPr>
      <w:bookmarkStart w:id="6" w:name="_Toc481057145"/>
      <w:r>
        <w:rPr>
          <w:rFonts w:hint="eastAsia" w:ascii="宋体" w:hAnsi="宋体" w:cs="宋体"/>
          <w:kern w:val="0"/>
        </w:rPr>
        <w:t>第三章  评标标准</w:t>
      </w:r>
      <w:bookmarkEnd w:id="5"/>
    </w:p>
    <w:p>
      <w:pPr>
        <w:widowControl/>
        <w:shd w:val="clear" w:color="auto" w:fill="FFFFFF"/>
        <w:spacing w:line="360" w:lineRule="auto"/>
        <w:ind w:firstLine="315"/>
        <w:jc w:val="center"/>
        <w:rPr>
          <w:rFonts w:ascii="宋体" w:hAnsi="宋体" w:cs="宋体"/>
          <w:kern w:val="0"/>
          <w:sz w:val="28"/>
          <w:szCs w:val="28"/>
        </w:rPr>
      </w:pPr>
      <w:r>
        <w:rPr>
          <w:rFonts w:hint="eastAsia" w:ascii="宋体" w:hAnsi="宋体" w:cs="宋体"/>
          <w:b/>
          <w:bCs/>
          <w:kern w:val="0"/>
          <w:sz w:val="28"/>
          <w:szCs w:val="28"/>
          <w:lang w:eastAsia="zh-CN"/>
        </w:rPr>
        <w:t>（</w:t>
      </w:r>
      <w:r>
        <w:rPr>
          <w:rFonts w:hint="eastAsia" w:ascii="宋体" w:hAnsi="宋体" w:cs="宋体"/>
          <w:b/>
          <w:bCs/>
          <w:color w:val="000000"/>
          <w:kern w:val="0"/>
          <w:sz w:val="28"/>
          <w:szCs w:val="28"/>
          <w:lang w:val="en-US" w:eastAsia="zh-CN" w:bidi="ar"/>
        </w:rPr>
        <w:t>适用于标段一、标段二</w:t>
      </w:r>
      <w:r>
        <w:rPr>
          <w:rFonts w:hint="eastAsia" w:ascii="宋体" w:hAnsi="宋体" w:cs="宋体"/>
          <w:b/>
          <w:bCs/>
          <w:kern w:val="0"/>
          <w:sz w:val="28"/>
          <w:szCs w:val="28"/>
          <w:lang w:eastAsia="zh-CN"/>
        </w:rPr>
        <w:t>）</w:t>
      </w:r>
    </w:p>
    <w:bookmarkEnd w:id="6"/>
    <w:p>
      <w:pPr>
        <w:spacing w:line="360" w:lineRule="auto"/>
        <w:ind w:firstLine="420" w:firstLineChars="200"/>
        <w:rPr>
          <w:rFonts w:ascii="宋体" w:hAnsi="宋体" w:cs="宋体"/>
        </w:rPr>
      </w:pPr>
      <w:r>
        <w:rPr>
          <w:rFonts w:hint="eastAsia" w:ascii="宋体" w:hAnsi="宋体" w:cs="宋体"/>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46"/>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45"/>
        <w:gridCol w:w="696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1" w:type="dxa"/>
            <w:shd w:val="clear" w:color="auto" w:fill="auto"/>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1245" w:type="dxa"/>
            <w:shd w:val="clear" w:color="auto" w:fill="auto"/>
            <w:vAlign w:val="center"/>
          </w:tcPr>
          <w:p>
            <w:pPr>
              <w:widowControl/>
              <w:jc w:val="center"/>
              <w:rPr>
                <w:rFonts w:ascii="宋体" w:hAnsi="宋体" w:cs="宋体"/>
                <w:b/>
                <w:bCs/>
                <w:color w:val="000000"/>
                <w:szCs w:val="21"/>
              </w:rPr>
            </w:pPr>
            <w:r>
              <w:rPr>
                <w:rFonts w:hint="eastAsia" w:ascii="宋体" w:hAnsi="宋体" w:cs="宋体"/>
                <w:b/>
                <w:bCs/>
                <w:color w:val="000000"/>
                <w:szCs w:val="21"/>
              </w:rPr>
              <w:t>评分因素</w:t>
            </w:r>
          </w:p>
        </w:tc>
        <w:tc>
          <w:tcPr>
            <w:tcW w:w="6961" w:type="dxa"/>
            <w:shd w:val="clear" w:color="auto" w:fill="auto"/>
            <w:vAlign w:val="center"/>
          </w:tcPr>
          <w:p>
            <w:pPr>
              <w:widowControl/>
              <w:jc w:val="center"/>
              <w:rPr>
                <w:rFonts w:ascii="宋体" w:hAnsi="宋体" w:cs="宋体"/>
                <w:b/>
                <w:bCs/>
                <w:color w:val="000000"/>
                <w:szCs w:val="21"/>
              </w:rPr>
            </w:pPr>
            <w:r>
              <w:rPr>
                <w:rFonts w:hint="eastAsia" w:ascii="宋体" w:hAnsi="宋体" w:cs="宋体"/>
                <w:b/>
                <w:bCs/>
                <w:color w:val="000000"/>
                <w:szCs w:val="21"/>
              </w:rPr>
              <w:t>评审标准</w:t>
            </w:r>
          </w:p>
        </w:tc>
        <w:tc>
          <w:tcPr>
            <w:tcW w:w="850" w:type="dxa"/>
            <w:shd w:val="clear" w:color="auto" w:fill="auto"/>
            <w:vAlign w:val="center"/>
          </w:tcPr>
          <w:p>
            <w:pPr>
              <w:widowControl/>
              <w:jc w:val="center"/>
              <w:rPr>
                <w:rFonts w:ascii="宋体" w:hAnsi="宋体" w:cs="宋体"/>
                <w:b/>
                <w:bCs/>
                <w:color w:val="000000"/>
                <w:szCs w:val="21"/>
              </w:rPr>
            </w:pPr>
            <w:r>
              <w:rPr>
                <w:rFonts w:hint="eastAsia" w:ascii="宋体" w:hAnsi="宋体" w:cs="宋体"/>
                <w:b/>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p>
        </w:tc>
        <w:tc>
          <w:tcPr>
            <w:tcW w:w="1245" w:type="dxa"/>
            <w:shd w:val="clear" w:color="auto" w:fill="auto"/>
            <w:vAlign w:val="center"/>
          </w:tcPr>
          <w:p>
            <w:pPr>
              <w:widowControl/>
              <w:jc w:val="center"/>
              <w:rPr>
                <w:rFonts w:hint="eastAsia"/>
              </w:rPr>
            </w:pPr>
            <w:r>
              <w:rPr>
                <w:rFonts w:hint="eastAsia"/>
              </w:rPr>
              <w:t>价格</w:t>
            </w:r>
          </w:p>
          <w:p>
            <w:pPr>
              <w:pStyle w:val="2"/>
              <w:ind w:left="0" w:leftChars="0" w:firstLine="0" w:firstLineChars="0"/>
              <w:jc w:val="center"/>
              <w:rPr>
                <w:rFonts w:hint="default" w:eastAsia="宋体"/>
                <w:lang w:val="en-US" w:eastAsia="zh-CN"/>
              </w:rPr>
            </w:pPr>
            <w:r>
              <w:rPr>
                <w:rFonts w:hint="eastAsia" w:ascii="宋体" w:hAnsi="宋体" w:cs="宋体"/>
                <w:szCs w:val="21"/>
                <w:lang w:val="en-US" w:eastAsia="zh-CN"/>
              </w:rPr>
              <w:t>15分</w:t>
            </w:r>
          </w:p>
        </w:tc>
        <w:tc>
          <w:tcPr>
            <w:tcW w:w="6961" w:type="dxa"/>
            <w:shd w:val="clear" w:color="auto" w:fill="auto"/>
            <w:vAlign w:val="center"/>
          </w:tcPr>
          <w:p>
            <w:pPr>
              <w:widowControl/>
              <w:jc w:val="left"/>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投标报价得分=（评标基准价/投标报价）×15（小数点保留两位）</w:t>
            </w:r>
          </w:p>
          <w:p>
            <w:pPr>
              <w:rPr>
                <w:rFonts w:hint="eastAsia"/>
              </w:rPr>
            </w:pPr>
            <w:r>
              <w:rPr>
                <w:rFonts w:hint="eastAsia"/>
              </w:rPr>
              <w:t>（</w:t>
            </w:r>
            <w:r>
              <w:rPr>
                <w:rFonts w:hint="eastAsia"/>
                <w:b/>
                <w:bCs/>
              </w:rPr>
              <w:t>评标委员会在评审时发现供应商的报价明显低于成本价的，应当要求供应商书面说明或提供相关证明材料。供应商不能当场合理说明原因或提供证明材料的，评标委员会应将该供应商的投标文件作无效处理，并在</w:t>
            </w:r>
            <w:r>
              <w:rPr>
                <w:rFonts w:hint="eastAsia"/>
                <w:b/>
                <w:bCs/>
                <w:lang w:val="en-US" w:eastAsia="zh-CN"/>
              </w:rPr>
              <w:t>评标</w:t>
            </w:r>
            <w:r>
              <w:rPr>
                <w:rFonts w:hint="eastAsia"/>
                <w:b/>
                <w:bCs/>
              </w:rPr>
              <w:t>报告中说明</w:t>
            </w:r>
            <w:r>
              <w:rPr>
                <w:rFonts w:hint="eastAsia"/>
              </w:rPr>
              <w:t>）</w:t>
            </w:r>
          </w:p>
        </w:tc>
        <w:tc>
          <w:tcPr>
            <w:tcW w:w="850"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2.1</w:t>
            </w:r>
          </w:p>
        </w:tc>
        <w:tc>
          <w:tcPr>
            <w:tcW w:w="1245" w:type="dxa"/>
            <w:vMerge w:val="restart"/>
            <w:shd w:val="clear" w:color="auto" w:fill="auto"/>
            <w:vAlign w:val="center"/>
          </w:tcPr>
          <w:p>
            <w:pPr>
              <w:widowControl/>
              <w:jc w:val="center"/>
              <w:rPr>
                <w:rFonts w:hint="eastAsia"/>
              </w:rPr>
            </w:pPr>
            <w:r>
              <w:rPr>
                <w:rFonts w:hint="eastAsia"/>
              </w:rPr>
              <w:t>服务方案</w:t>
            </w:r>
          </w:p>
          <w:p>
            <w:pPr>
              <w:pStyle w:val="2"/>
              <w:ind w:left="0" w:leftChars="0" w:firstLine="0" w:firstLineChars="0"/>
              <w:jc w:val="center"/>
              <w:rPr>
                <w:rFonts w:hint="default" w:eastAsia="宋体"/>
                <w:lang w:val="en-US" w:eastAsia="zh-CN"/>
              </w:rPr>
            </w:pPr>
            <w:r>
              <w:rPr>
                <w:rFonts w:hint="eastAsia" w:ascii="宋体" w:hAnsi="宋体" w:cs="宋体"/>
                <w:color w:val="000000"/>
                <w:szCs w:val="21"/>
                <w:lang w:val="en-US" w:eastAsia="zh-CN"/>
              </w:rPr>
              <w:t>40分</w:t>
            </w:r>
          </w:p>
        </w:tc>
        <w:tc>
          <w:tcPr>
            <w:tcW w:w="6961" w:type="dxa"/>
            <w:shd w:val="clear" w:color="auto" w:fill="auto"/>
            <w:vAlign w:val="center"/>
          </w:tcPr>
          <w:p>
            <w:pPr>
              <w:jc w:val="left"/>
              <w:rPr>
                <w:rFonts w:ascii="宋体" w:hAnsi="宋体" w:cs="宋体"/>
                <w:szCs w:val="21"/>
              </w:rPr>
            </w:pPr>
            <w:r>
              <w:rPr>
                <w:rFonts w:hint="eastAsia" w:ascii="宋体" w:hAnsi="宋体" w:cs="宋体"/>
                <w:szCs w:val="21"/>
              </w:rPr>
              <w:t>根据供应商提供的整体环保管理服务实施方案对江宁高新区的基本情况了解和熟悉程度，包括园区的基本情况、重点企业、主要环境问题、各种污染源等进行评审：</w:t>
            </w:r>
          </w:p>
          <w:p>
            <w:pPr>
              <w:jc w:val="left"/>
              <w:rPr>
                <w:rFonts w:ascii="宋体" w:hAnsi="宋体" w:cs="宋体"/>
                <w:szCs w:val="21"/>
              </w:rPr>
            </w:pPr>
            <w:r>
              <w:rPr>
                <w:rFonts w:hint="eastAsia" w:ascii="宋体" w:hAnsi="宋体" w:cs="宋体"/>
                <w:szCs w:val="21"/>
              </w:rPr>
              <w:t>对园区总体情况熟悉，完全掌握园区内基本情况、重点企业、主要环境问题、各种污染源得10分；</w:t>
            </w:r>
          </w:p>
          <w:p>
            <w:pPr>
              <w:jc w:val="left"/>
              <w:rPr>
                <w:rFonts w:ascii="宋体" w:hAnsi="宋体" w:cs="宋体"/>
                <w:szCs w:val="21"/>
              </w:rPr>
            </w:pPr>
            <w:r>
              <w:rPr>
                <w:rFonts w:hint="eastAsia" w:ascii="宋体" w:hAnsi="宋体" w:cs="宋体"/>
                <w:szCs w:val="21"/>
              </w:rPr>
              <w:t>对园区总体情况较熟悉，基本掌握园区内基本情况、重点企业、主要环境问题、各种污染源得7分；</w:t>
            </w:r>
          </w:p>
          <w:p>
            <w:pPr>
              <w:jc w:val="left"/>
              <w:rPr>
                <w:rFonts w:ascii="宋体" w:hAnsi="宋体" w:cs="宋体"/>
                <w:szCs w:val="21"/>
              </w:rPr>
            </w:pPr>
            <w:r>
              <w:rPr>
                <w:rFonts w:hint="eastAsia" w:ascii="宋体" w:hAnsi="宋体" w:cs="宋体"/>
                <w:szCs w:val="21"/>
              </w:rPr>
              <w:t>对园区总体情况有一定了解，掌握园区内部分污染源情况得4分；</w:t>
            </w:r>
          </w:p>
          <w:p>
            <w:pPr>
              <w:jc w:val="left"/>
              <w:rPr>
                <w:rFonts w:ascii="宋体" w:hAnsi="宋体" w:cs="宋体"/>
                <w:szCs w:val="21"/>
              </w:rPr>
            </w:pPr>
            <w:r>
              <w:rPr>
                <w:rFonts w:hint="eastAsia" w:ascii="宋体" w:hAnsi="宋体" w:cs="宋体"/>
                <w:szCs w:val="21"/>
              </w:rPr>
              <w:t>对园区情况熟悉度欠缺，不清楚园区内污染源情况得1分；</w:t>
            </w:r>
          </w:p>
          <w:p>
            <w:pPr>
              <w:jc w:val="left"/>
              <w:rPr>
                <w:rFonts w:ascii="宋体" w:hAnsi="宋体" w:cs="宋体"/>
                <w:szCs w:val="21"/>
              </w:rPr>
            </w:pPr>
            <w:r>
              <w:rPr>
                <w:rFonts w:hint="eastAsia" w:ascii="宋体" w:hAnsi="宋体" w:cs="宋体"/>
                <w:szCs w:val="21"/>
              </w:rPr>
              <w:t>未提供不得分。</w:t>
            </w:r>
          </w:p>
        </w:tc>
        <w:tc>
          <w:tcPr>
            <w:tcW w:w="850"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2.2</w:t>
            </w:r>
          </w:p>
        </w:tc>
        <w:tc>
          <w:tcPr>
            <w:tcW w:w="1245" w:type="dxa"/>
            <w:vMerge w:val="continue"/>
            <w:shd w:val="clear" w:color="auto" w:fill="auto"/>
            <w:vAlign w:val="center"/>
          </w:tcPr>
          <w:p>
            <w:pPr>
              <w:pStyle w:val="20"/>
              <w:ind w:left="0" w:leftChars="0"/>
              <w:jc w:val="center"/>
              <w:rPr>
                <w:rFonts w:ascii="宋体" w:hAnsi="宋体" w:cs="宋体"/>
                <w:szCs w:val="21"/>
              </w:rPr>
            </w:pPr>
          </w:p>
        </w:tc>
        <w:tc>
          <w:tcPr>
            <w:tcW w:w="6961" w:type="dxa"/>
            <w:shd w:val="clear" w:color="auto" w:fill="auto"/>
            <w:vAlign w:val="center"/>
          </w:tcPr>
          <w:p>
            <w:pPr>
              <w:widowControl/>
              <w:jc w:val="left"/>
              <w:rPr>
                <w:rFonts w:ascii="宋体" w:hAnsi="宋体" w:cs="宋体"/>
                <w:szCs w:val="21"/>
              </w:rPr>
            </w:pPr>
            <w:r>
              <w:rPr>
                <w:rFonts w:hint="eastAsia" w:ascii="宋体" w:hAnsi="宋体" w:cs="宋体"/>
                <w:color w:val="000000"/>
                <w:kern w:val="0"/>
                <w:szCs w:val="21"/>
                <w:lang w:bidi="ar"/>
              </w:rPr>
              <w:t>根据供应商提供的服务实施方案的整体服务目标、工作计划、工作思路、处理方法和措施等进行评审：</w:t>
            </w:r>
          </w:p>
          <w:p>
            <w:pPr>
              <w:widowControl/>
              <w:jc w:val="left"/>
              <w:rPr>
                <w:rFonts w:ascii="宋体" w:hAnsi="宋体" w:cs="宋体"/>
                <w:szCs w:val="21"/>
              </w:rPr>
            </w:pPr>
            <w:r>
              <w:rPr>
                <w:rFonts w:hint="eastAsia" w:ascii="宋体" w:hAnsi="宋体" w:cs="宋体"/>
                <w:color w:val="000000"/>
                <w:kern w:val="0"/>
                <w:szCs w:val="21"/>
                <w:lang w:bidi="ar"/>
              </w:rPr>
              <w:t>计划可行、思路清晰、重点明确、工作部署得当、内容全面详实得8分；</w:t>
            </w:r>
          </w:p>
          <w:p>
            <w:pPr>
              <w:widowControl/>
              <w:jc w:val="left"/>
              <w:rPr>
                <w:rFonts w:ascii="宋体" w:hAnsi="宋体" w:cs="宋体"/>
                <w:szCs w:val="21"/>
              </w:rPr>
            </w:pPr>
            <w:r>
              <w:rPr>
                <w:rFonts w:hint="eastAsia" w:ascii="宋体" w:hAnsi="宋体" w:cs="宋体"/>
                <w:color w:val="000000"/>
                <w:kern w:val="0"/>
                <w:szCs w:val="21"/>
                <w:lang w:bidi="ar"/>
              </w:rPr>
              <w:t>计划较全面、思路和重点基本明确、措施基本可行得5分；</w:t>
            </w:r>
          </w:p>
          <w:p>
            <w:pPr>
              <w:widowControl/>
              <w:jc w:val="left"/>
              <w:rPr>
                <w:rFonts w:ascii="宋体" w:hAnsi="宋体" w:cs="宋体"/>
                <w:szCs w:val="21"/>
              </w:rPr>
            </w:pPr>
            <w:r>
              <w:rPr>
                <w:rFonts w:hint="eastAsia" w:ascii="宋体" w:hAnsi="宋体" w:cs="宋体"/>
                <w:color w:val="000000"/>
                <w:kern w:val="0"/>
                <w:szCs w:val="21"/>
                <w:lang w:bidi="ar"/>
              </w:rPr>
              <w:t xml:space="preserve">工作计划、思路、方法和措施不太具有可行性得2分； </w:t>
            </w:r>
          </w:p>
          <w:p>
            <w:pPr>
              <w:widowControl/>
              <w:jc w:val="left"/>
              <w:rPr>
                <w:rFonts w:ascii="宋体" w:hAnsi="宋体" w:cs="宋体"/>
                <w:color w:val="000000"/>
                <w:szCs w:val="21"/>
              </w:rPr>
            </w:pPr>
            <w:r>
              <w:rPr>
                <w:rFonts w:hint="eastAsia" w:ascii="宋体" w:hAnsi="宋体" w:cs="宋体"/>
                <w:color w:val="000000"/>
                <w:kern w:val="0"/>
                <w:szCs w:val="21"/>
                <w:lang w:bidi="ar"/>
              </w:rPr>
              <w:t>未提供不得分。</w:t>
            </w:r>
          </w:p>
        </w:tc>
        <w:tc>
          <w:tcPr>
            <w:tcW w:w="850" w:type="dxa"/>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91" w:type="dxa"/>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2.3</w:t>
            </w:r>
          </w:p>
        </w:tc>
        <w:tc>
          <w:tcPr>
            <w:tcW w:w="1245" w:type="dxa"/>
            <w:vMerge w:val="continue"/>
            <w:shd w:val="clear" w:color="auto" w:fill="auto"/>
            <w:vAlign w:val="center"/>
          </w:tcPr>
          <w:p>
            <w:pPr>
              <w:pStyle w:val="2"/>
              <w:ind w:firstLine="0" w:firstLineChars="0"/>
              <w:jc w:val="center"/>
              <w:rPr>
                <w:rFonts w:ascii="宋体" w:hAnsi="宋体" w:cs="宋体"/>
                <w:szCs w:val="21"/>
              </w:rPr>
            </w:pPr>
          </w:p>
        </w:tc>
        <w:tc>
          <w:tcPr>
            <w:tcW w:w="6961" w:type="dxa"/>
            <w:shd w:val="clear" w:color="auto" w:fill="auto"/>
            <w:vAlign w:val="center"/>
          </w:tcPr>
          <w:p>
            <w:pPr>
              <w:widowControl/>
              <w:jc w:val="left"/>
              <w:rPr>
                <w:rFonts w:ascii="宋体" w:hAnsi="宋体" w:cs="宋体"/>
                <w:szCs w:val="21"/>
              </w:rPr>
            </w:pPr>
            <w:r>
              <w:rPr>
                <w:rFonts w:hint="eastAsia" w:ascii="宋体" w:hAnsi="宋体" w:cs="宋体"/>
                <w:color w:val="000000"/>
                <w:kern w:val="0"/>
                <w:szCs w:val="21"/>
                <w:lang w:bidi="ar"/>
              </w:rPr>
              <w:t>根据供应商提供的针对工作目标任务的部署执行、处理流程、应急响应及处理时间、保障措施等方案内容进行评审：</w:t>
            </w:r>
          </w:p>
          <w:p>
            <w:pPr>
              <w:widowControl/>
              <w:jc w:val="left"/>
              <w:rPr>
                <w:rFonts w:ascii="宋体" w:hAnsi="宋体" w:cs="宋体"/>
                <w:szCs w:val="21"/>
              </w:rPr>
            </w:pPr>
            <w:r>
              <w:rPr>
                <w:rFonts w:hint="eastAsia" w:ascii="宋体" w:hAnsi="宋体" w:cs="宋体"/>
                <w:color w:val="000000"/>
                <w:kern w:val="0"/>
                <w:szCs w:val="21"/>
                <w:lang w:bidi="ar"/>
              </w:rPr>
              <w:t>方案高度契合项目需求并切合实际的得8分；</w:t>
            </w:r>
          </w:p>
          <w:p>
            <w:pPr>
              <w:widowControl/>
              <w:jc w:val="left"/>
              <w:rPr>
                <w:rFonts w:ascii="宋体" w:hAnsi="宋体" w:cs="宋体"/>
                <w:szCs w:val="21"/>
              </w:rPr>
            </w:pPr>
            <w:r>
              <w:rPr>
                <w:rFonts w:hint="eastAsia" w:ascii="宋体" w:hAnsi="宋体" w:cs="宋体"/>
                <w:color w:val="000000"/>
                <w:kern w:val="0"/>
                <w:szCs w:val="21"/>
                <w:lang w:bidi="ar"/>
              </w:rPr>
              <w:t>方案基本满足项目需求，较好符合要求并切合实际的得5分；</w:t>
            </w:r>
          </w:p>
          <w:p>
            <w:pPr>
              <w:widowControl/>
              <w:jc w:val="left"/>
              <w:rPr>
                <w:rFonts w:ascii="宋体" w:hAnsi="宋体" w:cs="宋体"/>
                <w:szCs w:val="21"/>
              </w:rPr>
            </w:pPr>
            <w:r>
              <w:rPr>
                <w:rFonts w:hint="eastAsia" w:ascii="宋体" w:hAnsi="宋体" w:cs="宋体"/>
                <w:color w:val="000000"/>
                <w:kern w:val="0"/>
                <w:szCs w:val="21"/>
                <w:lang w:bidi="ar"/>
              </w:rPr>
              <w:t>方案与项目实际需求偏离较大的得2分；</w:t>
            </w:r>
          </w:p>
          <w:p>
            <w:pPr>
              <w:widowControl/>
              <w:jc w:val="left"/>
              <w:rPr>
                <w:rFonts w:ascii="宋体" w:hAnsi="宋体" w:cs="宋体"/>
                <w:szCs w:val="21"/>
              </w:rPr>
            </w:pPr>
            <w:r>
              <w:rPr>
                <w:rFonts w:hint="eastAsia" w:ascii="宋体" w:hAnsi="宋体" w:cs="宋体"/>
                <w:color w:val="000000"/>
                <w:kern w:val="0"/>
                <w:szCs w:val="21"/>
                <w:lang w:bidi="ar"/>
              </w:rPr>
              <w:t>未提供不得分。</w:t>
            </w:r>
          </w:p>
        </w:tc>
        <w:tc>
          <w:tcPr>
            <w:tcW w:w="850" w:type="dxa"/>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91" w:type="dxa"/>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2.4</w:t>
            </w:r>
          </w:p>
        </w:tc>
        <w:tc>
          <w:tcPr>
            <w:tcW w:w="1245" w:type="dxa"/>
            <w:vMerge w:val="continue"/>
            <w:shd w:val="clear" w:color="auto" w:fill="auto"/>
            <w:vAlign w:val="center"/>
          </w:tcPr>
          <w:p>
            <w:pPr>
              <w:pStyle w:val="2"/>
              <w:ind w:firstLine="0" w:firstLineChars="0"/>
              <w:jc w:val="center"/>
              <w:rPr>
                <w:rFonts w:ascii="宋体" w:hAnsi="宋体" w:cs="宋体"/>
                <w:szCs w:val="21"/>
              </w:rPr>
            </w:pPr>
          </w:p>
        </w:tc>
        <w:tc>
          <w:tcPr>
            <w:tcW w:w="6961" w:type="dxa"/>
            <w:shd w:val="clear" w:color="auto" w:fill="auto"/>
            <w:vAlign w:val="center"/>
          </w:tcPr>
          <w:p>
            <w:pPr>
              <w:widowControl/>
              <w:jc w:val="left"/>
              <w:rPr>
                <w:rFonts w:ascii="宋体" w:hAnsi="宋体" w:cs="宋体"/>
                <w:szCs w:val="21"/>
              </w:rPr>
            </w:pPr>
            <w:r>
              <w:rPr>
                <w:rFonts w:hint="eastAsia" w:ascii="宋体" w:hAnsi="宋体" w:cs="宋体"/>
                <w:color w:val="000000"/>
                <w:kern w:val="0"/>
                <w:szCs w:val="21"/>
                <w:lang w:bidi="ar"/>
              </w:rPr>
              <w:t>结合江宁高新区实际情况针对重点区域、重点时段、重点任务进行水、大气、声、固体废弃物、土壤等污染源监管方案进行评审：</w:t>
            </w:r>
          </w:p>
          <w:p>
            <w:pPr>
              <w:widowControl/>
              <w:jc w:val="left"/>
              <w:rPr>
                <w:rFonts w:ascii="宋体" w:hAnsi="宋体" w:cs="宋体"/>
                <w:szCs w:val="21"/>
              </w:rPr>
            </w:pPr>
            <w:r>
              <w:rPr>
                <w:rFonts w:hint="eastAsia" w:ascii="宋体" w:hAnsi="宋体" w:cs="宋体"/>
                <w:color w:val="000000"/>
                <w:kern w:val="0"/>
                <w:szCs w:val="21"/>
                <w:lang w:bidi="ar"/>
              </w:rPr>
              <w:t>方案高度契合项目需求，针对性强，内容详实，设备使用熟练得8分；</w:t>
            </w:r>
          </w:p>
          <w:p>
            <w:pPr>
              <w:widowControl/>
              <w:jc w:val="left"/>
              <w:rPr>
                <w:rFonts w:ascii="宋体" w:hAnsi="宋体" w:cs="宋体"/>
                <w:szCs w:val="21"/>
              </w:rPr>
            </w:pPr>
            <w:r>
              <w:rPr>
                <w:rFonts w:hint="eastAsia" w:ascii="宋体" w:hAnsi="宋体" w:cs="宋体"/>
                <w:color w:val="000000"/>
                <w:kern w:val="0"/>
                <w:szCs w:val="21"/>
                <w:lang w:bidi="ar"/>
              </w:rPr>
              <w:t>方案基本符合项目需求，具备一定针对性，内容基本齐全，设备使用较熟练得5分；</w:t>
            </w:r>
          </w:p>
          <w:p>
            <w:pPr>
              <w:widowControl/>
              <w:jc w:val="left"/>
              <w:rPr>
                <w:rFonts w:ascii="宋体" w:hAnsi="宋体" w:cs="宋体"/>
                <w:szCs w:val="21"/>
              </w:rPr>
            </w:pPr>
            <w:r>
              <w:rPr>
                <w:rFonts w:hint="eastAsia" w:ascii="宋体" w:hAnsi="宋体" w:cs="宋体"/>
                <w:color w:val="000000"/>
                <w:kern w:val="0"/>
                <w:szCs w:val="21"/>
                <w:lang w:bidi="ar"/>
              </w:rPr>
              <w:t xml:space="preserve">方案与项目需求偏离较大，不太具有可行性的得2分； </w:t>
            </w:r>
          </w:p>
          <w:p>
            <w:pPr>
              <w:widowControl/>
              <w:jc w:val="left"/>
              <w:rPr>
                <w:rFonts w:ascii="宋体" w:hAnsi="宋体" w:cs="宋体"/>
                <w:szCs w:val="21"/>
              </w:rPr>
            </w:pPr>
            <w:r>
              <w:rPr>
                <w:rFonts w:hint="eastAsia" w:ascii="宋体" w:hAnsi="宋体" w:cs="宋体"/>
                <w:color w:val="000000"/>
                <w:kern w:val="0"/>
                <w:szCs w:val="21"/>
                <w:lang w:bidi="ar"/>
              </w:rPr>
              <w:t>未提供不得分。</w:t>
            </w:r>
          </w:p>
        </w:tc>
        <w:tc>
          <w:tcPr>
            <w:tcW w:w="850" w:type="dxa"/>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91" w:type="dxa"/>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2.5</w:t>
            </w:r>
          </w:p>
        </w:tc>
        <w:tc>
          <w:tcPr>
            <w:tcW w:w="1245" w:type="dxa"/>
            <w:vMerge w:val="continue"/>
            <w:shd w:val="clear" w:color="auto" w:fill="auto"/>
            <w:vAlign w:val="center"/>
          </w:tcPr>
          <w:p>
            <w:pPr>
              <w:widowControl/>
              <w:jc w:val="center"/>
              <w:rPr>
                <w:rFonts w:ascii="宋体" w:hAnsi="宋体" w:cs="宋体"/>
                <w:color w:val="000000"/>
                <w:szCs w:val="21"/>
              </w:rPr>
            </w:pPr>
          </w:p>
        </w:tc>
        <w:tc>
          <w:tcPr>
            <w:tcW w:w="6961" w:type="dxa"/>
            <w:shd w:val="clear" w:color="auto" w:fill="auto"/>
            <w:vAlign w:val="center"/>
          </w:tcPr>
          <w:p>
            <w:pPr>
              <w:widowControl/>
              <w:jc w:val="left"/>
              <w:rPr>
                <w:rFonts w:ascii="宋体" w:hAnsi="宋体" w:cs="宋体"/>
                <w:szCs w:val="21"/>
              </w:rPr>
            </w:pPr>
            <w:r>
              <w:rPr>
                <w:rFonts w:hint="eastAsia" w:ascii="宋体" w:hAnsi="宋体" w:cs="宋体"/>
                <w:color w:val="000000"/>
                <w:kern w:val="0"/>
                <w:szCs w:val="21"/>
                <w:lang w:bidi="ar"/>
              </w:rPr>
              <w:t>针对本项目服务过程中提出的合理化建议或措施或增值服务进行评审：</w:t>
            </w:r>
          </w:p>
          <w:p>
            <w:pPr>
              <w:pStyle w:val="2"/>
              <w:ind w:firstLine="0" w:firstLineChars="0"/>
              <w:jc w:val="left"/>
              <w:rPr>
                <w:rFonts w:ascii="宋体" w:hAnsi="宋体" w:cs="宋体"/>
                <w:szCs w:val="21"/>
              </w:rPr>
            </w:pPr>
            <w:r>
              <w:rPr>
                <w:rFonts w:hint="eastAsia" w:ascii="宋体" w:hAnsi="宋体" w:cs="宋体"/>
                <w:szCs w:val="21"/>
              </w:rPr>
              <w:t>供应商根据项目需求，提出</w:t>
            </w:r>
            <w:r>
              <w:rPr>
                <w:rFonts w:hint="eastAsia" w:ascii="宋体" w:hAnsi="宋体" w:cs="宋体"/>
                <w:color w:val="000000"/>
                <w:kern w:val="0"/>
                <w:szCs w:val="21"/>
                <w:lang w:bidi="ar"/>
              </w:rPr>
              <w:t>对采购人有实际意义并切实可行的</w:t>
            </w:r>
            <w:r>
              <w:rPr>
                <w:rFonts w:hint="eastAsia" w:ascii="宋体" w:hAnsi="宋体" w:cs="宋体"/>
                <w:szCs w:val="21"/>
              </w:rPr>
              <w:t>建议</w:t>
            </w:r>
            <w:r>
              <w:rPr>
                <w:rFonts w:hint="eastAsia" w:ascii="宋体" w:hAnsi="宋体" w:cs="宋体"/>
                <w:color w:val="000000"/>
                <w:kern w:val="0"/>
                <w:szCs w:val="21"/>
                <w:lang w:bidi="ar"/>
              </w:rPr>
              <w:t>或措施或增值服务</w:t>
            </w:r>
            <w:r>
              <w:rPr>
                <w:rFonts w:hint="eastAsia" w:ascii="宋体" w:hAnsi="宋体" w:cs="宋体"/>
                <w:szCs w:val="21"/>
              </w:rPr>
              <w:t>得6分；</w:t>
            </w:r>
          </w:p>
          <w:p>
            <w:pPr>
              <w:pStyle w:val="2"/>
              <w:ind w:firstLine="0" w:firstLineChars="0"/>
              <w:jc w:val="left"/>
              <w:rPr>
                <w:rFonts w:ascii="宋体" w:hAnsi="宋体" w:cs="宋体"/>
                <w:szCs w:val="21"/>
              </w:rPr>
            </w:pPr>
            <w:r>
              <w:rPr>
                <w:rFonts w:hint="eastAsia" w:ascii="宋体" w:hAnsi="宋体" w:cs="宋体"/>
                <w:szCs w:val="21"/>
              </w:rPr>
              <w:t>供应商根据项目需求，提出</w:t>
            </w:r>
            <w:r>
              <w:rPr>
                <w:rFonts w:hint="eastAsia" w:ascii="宋体" w:hAnsi="宋体" w:cs="宋体"/>
                <w:color w:val="000000"/>
                <w:kern w:val="0"/>
                <w:szCs w:val="21"/>
                <w:lang w:bidi="ar"/>
              </w:rPr>
              <w:t>对采购人有实际意义并基本可行的</w:t>
            </w:r>
            <w:r>
              <w:rPr>
                <w:rFonts w:hint="eastAsia" w:ascii="宋体" w:hAnsi="宋体" w:cs="宋体"/>
                <w:szCs w:val="21"/>
              </w:rPr>
              <w:t>建议</w:t>
            </w:r>
            <w:r>
              <w:rPr>
                <w:rFonts w:hint="eastAsia" w:ascii="宋体" w:hAnsi="宋体" w:cs="宋体"/>
                <w:color w:val="000000"/>
                <w:kern w:val="0"/>
                <w:szCs w:val="21"/>
                <w:lang w:bidi="ar"/>
              </w:rPr>
              <w:t>或措施或增值服务</w:t>
            </w:r>
            <w:r>
              <w:rPr>
                <w:rFonts w:hint="eastAsia" w:ascii="宋体" w:hAnsi="宋体" w:cs="宋体"/>
                <w:szCs w:val="21"/>
              </w:rPr>
              <w:t>得4分；</w:t>
            </w:r>
          </w:p>
          <w:p>
            <w:pPr>
              <w:pStyle w:val="2"/>
              <w:ind w:firstLine="0" w:firstLineChars="0"/>
              <w:jc w:val="left"/>
              <w:rPr>
                <w:rFonts w:ascii="宋体" w:hAnsi="宋体" w:cs="宋体"/>
                <w:szCs w:val="21"/>
              </w:rPr>
            </w:pPr>
            <w:r>
              <w:rPr>
                <w:rFonts w:hint="eastAsia" w:ascii="宋体" w:hAnsi="宋体" w:cs="宋体"/>
                <w:szCs w:val="21"/>
              </w:rPr>
              <w:t>供应商根据项目需求，提出的建议</w:t>
            </w:r>
            <w:r>
              <w:rPr>
                <w:rFonts w:hint="eastAsia" w:ascii="宋体" w:hAnsi="宋体" w:cs="宋体"/>
                <w:color w:val="000000"/>
                <w:kern w:val="0"/>
                <w:szCs w:val="21"/>
                <w:lang w:bidi="ar"/>
              </w:rPr>
              <w:t>或措施或增值服务对采购人有意义不大，不太可行的</w:t>
            </w:r>
            <w:r>
              <w:rPr>
                <w:rFonts w:hint="eastAsia" w:ascii="宋体" w:hAnsi="宋体" w:cs="宋体"/>
                <w:szCs w:val="21"/>
              </w:rPr>
              <w:t>得2分；</w:t>
            </w:r>
          </w:p>
          <w:p>
            <w:pPr>
              <w:pStyle w:val="3"/>
              <w:rPr>
                <w:rFonts w:ascii="宋体" w:hAnsi="宋体" w:cs="宋体"/>
                <w:color w:val="000000"/>
                <w:szCs w:val="21"/>
              </w:rPr>
            </w:pPr>
            <w:r>
              <w:rPr>
                <w:rFonts w:hint="eastAsia" w:ascii="宋体" w:hAnsi="宋体" w:cs="宋体"/>
                <w:color w:val="000000"/>
                <w:kern w:val="0"/>
                <w:szCs w:val="21"/>
                <w:lang w:bidi="ar"/>
              </w:rPr>
              <w:t>未提供不得分。</w:t>
            </w:r>
          </w:p>
        </w:tc>
        <w:tc>
          <w:tcPr>
            <w:tcW w:w="850" w:type="dxa"/>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3.1</w:t>
            </w:r>
          </w:p>
        </w:tc>
        <w:tc>
          <w:tcPr>
            <w:tcW w:w="1245" w:type="dxa"/>
            <w:vMerge w:val="restart"/>
            <w:shd w:val="clear" w:color="auto" w:fill="auto"/>
            <w:vAlign w:val="center"/>
          </w:tcPr>
          <w:p>
            <w:pPr>
              <w:pStyle w:val="2"/>
              <w:ind w:firstLine="0" w:firstLineChars="0"/>
              <w:jc w:val="center"/>
              <w:rPr>
                <w:rFonts w:hint="eastAsia"/>
              </w:rPr>
            </w:pPr>
            <w:r>
              <w:rPr>
                <w:rFonts w:hint="eastAsia"/>
              </w:rPr>
              <w:t>项目团队配备</w:t>
            </w:r>
          </w:p>
          <w:p>
            <w:pPr>
              <w:pStyle w:val="3"/>
              <w:jc w:val="center"/>
              <w:rPr>
                <w:rFonts w:hint="default" w:eastAsia="宋体"/>
                <w:lang w:val="en-US" w:eastAsia="zh-CN"/>
              </w:rPr>
            </w:pPr>
            <w:r>
              <w:rPr>
                <w:rFonts w:hint="eastAsia" w:ascii="宋体" w:hAnsi="宋体" w:cs="宋体"/>
                <w:color w:val="000000"/>
                <w:szCs w:val="21"/>
                <w:lang w:val="en-US" w:eastAsia="zh-CN"/>
              </w:rPr>
              <w:t>18分</w:t>
            </w:r>
          </w:p>
        </w:tc>
        <w:tc>
          <w:tcPr>
            <w:tcW w:w="6961" w:type="dxa"/>
            <w:shd w:val="clear" w:color="auto" w:fill="auto"/>
            <w:vAlign w:val="center"/>
          </w:tcPr>
          <w:p>
            <w:pPr>
              <w:widowControl/>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供应商为本项目拟派项目负责人具备有效的环境类高级及以上技术职称的得3分</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具备有效的环境类中级技术职称的得</w:t>
            </w:r>
            <w:r>
              <w:rPr>
                <w:rFonts w:ascii="宋体" w:hAnsi="宋体" w:cs="宋体"/>
                <w:color w:val="000000"/>
                <w:kern w:val="0"/>
                <w:szCs w:val="21"/>
                <w:lang w:bidi="ar"/>
              </w:rPr>
              <w:t>2</w:t>
            </w:r>
            <w:r>
              <w:rPr>
                <w:rFonts w:hint="eastAsia" w:ascii="宋体" w:hAnsi="宋体" w:cs="宋体"/>
                <w:color w:val="000000"/>
                <w:kern w:val="0"/>
                <w:szCs w:val="21"/>
                <w:lang w:bidi="ar"/>
              </w:rPr>
              <w:t>分</w:t>
            </w:r>
            <w:r>
              <w:rPr>
                <w:rFonts w:hint="eastAsia" w:ascii="宋体" w:hAnsi="宋体" w:cs="宋体"/>
                <w:color w:val="000000"/>
                <w:kern w:val="0"/>
                <w:szCs w:val="21"/>
                <w:lang w:eastAsia="zh-CN" w:bidi="ar"/>
              </w:rPr>
              <w:t>。</w:t>
            </w:r>
          </w:p>
          <w:p>
            <w:pPr>
              <w:widowControl/>
              <w:jc w:val="left"/>
              <w:rPr>
                <w:rFonts w:ascii="宋体" w:hAnsi="宋体" w:cs="宋体"/>
                <w:color w:val="000000"/>
                <w:kern w:val="0"/>
                <w:szCs w:val="21"/>
                <w:lang w:bidi="ar"/>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供应商为本项目拟派项目负责人具备环境影响评价工程师职业资格证书的得3分。</w:t>
            </w:r>
          </w:p>
          <w:p>
            <w:pPr>
              <w:widowControl/>
              <w:jc w:val="left"/>
              <w:rPr>
                <w:rFonts w:ascii="宋体" w:hAnsi="宋体" w:cs="宋体"/>
                <w:szCs w:val="21"/>
              </w:rPr>
            </w:pPr>
            <w:r>
              <w:rPr>
                <w:rFonts w:hint="eastAsia" w:ascii="宋体" w:hAnsi="宋体" w:cs="宋体"/>
                <w:color w:val="000000"/>
                <w:kern w:val="0"/>
                <w:szCs w:val="21"/>
                <w:lang w:bidi="ar"/>
              </w:rPr>
              <w:t>本项最高得6分。</w:t>
            </w:r>
          </w:p>
          <w:p>
            <w:pPr>
              <w:widowControl/>
              <w:jc w:val="left"/>
              <w:rPr>
                <w:rFonts w:ascii="宋体" w:hAnsi="宋体" w:cs="宋体"/>
                <w:szCs w:val="21"/>
              </w:rPr>
            </w:pPr>
            <w:r>
              <w:rPr>
                <w:rFonts w:hint="eastAsia" w:ascii="宋体" w:hAnsi="宋体" w:cs="宋体"/>
                <w:color w:val="000000"/>
                <w:kern w:val="0"/>
                <w:szCs w:val="21"/>
                <w:lang w:bidi="ar"/>
              </w:rPr>
              <w:t>注：须提供上述有效证书复印件及近半年（2023年7月-12月）内任意一个月供应商为其缴纳的社保证明有效复印件并加盖公章。</w:t>
            </w:r>
          </w:p>
        </w:tc>
        <w:tc>
          <w:tcPr>
            <w:tcW w:w="850" w:type="dxa"/>
            <w:shd w:val="clear" w:color="auto" w:fill="auto"/>
            <w:vAlign w:val="center"/>
          </w:tcPr>
          <w:p>
            <w:pPr>
              <w:widowControl/>
              <w:shd w:val="clear" w:color="auto" w:fill="FFFFFF"/>
              <w:jc w:val="center"/>
              <w:rPr>
                <w:rFonts w:ascii="宋体" w:hAnsi="宋体" w:cs="宋体"/>
                <w:bCs/>
                <w:kern w:val="0"/>
                <w:szCs w:val="21"/>
              </w:rPr>
            </w:pPr>
            <w:r>
              <w:rPr>
                <w:rFonts w:hint="eastAsia" w:ascii="宋体" w:hAnsi="宋体" w:cs="宋体"/>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3.2</w:t>
            </w:r>
          </w:p>
        </w:tc>
        <w:tc>
          <w:tcPr>
            <w:tcW w:w="1245" w:type="dxa"/>
            <w:vMerge w:val="continue"/>
            <w:shd w:val="clear" w:color="auto" w:fill="auto"/>
            <w:vAlign w:val="center"/>
          </w:tcPr>
          <w:p>
            <w:pPr>
              <w:widowControl/>
              <w:jc w:val="center"/>
              <w:rPr>
                <w:rFonts w:ascii="宋体" w:hAnsi="宋体" w:cs="宋体"/>
                <w:color w:val="000000"/>
                <w:szCs w:val="21"/>
              </w:rPr>
            </w:pPr>
          </w:p>
        </w:tc>
        <w:tc>
          <w:tcPr>
            <w:tcW w:w="6961" w:type="dxa"/>
            <w:shd w:val="clear" w:color="auto" w:fill="auto"/>
            <w:vAlign w:val="center"/>
          </w:tcPr>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供应商须承诺项目组至少有4名人员组成（不含项目负责人），且中标后项目组人员不得随意更换，确需更换需书面向采购人报备同意，否则不得分；在此基础上，其中具有环保类中级及以上技术职称的，每提供一个得</w:t>
            </w:r>
            <w:r>
              <w:rPr>
                <w:rFonts w:ascii="宋体" w:hAnsi="宋体" w:cs="宋体"/>
                <w:color w:val="000000"/>
                <w:kern w:val="0"/>
                <w:szCs w:val="21"/>
                <w:lang w:bidi="ar"/>
              </w:rPr>
              <w:t>3</w:t>
            </w:r>
            <w:r>
              <w:rPr>
                <w:rFonts w:hint="eastAsia" w:ascii="宋体" w:hAnsi="宋体" w:cs="宋体"/>
                <w:color w:val="000000"/>
                <w:kern w:val="0"/>
                <w:szCs w:val="21"/>
                <w:lang w:bidi="ar"/>
              </w:rPr>
              <w:t>分，最高得12分。</w:t>
            </w:r>
          </w:p>
          <w:p>
            <w:pPr>
              <w:widowControl/>
              <w:jc w:val="left"/>
              <w:rPr>
                <w:rFonts w:ascii="宋体" w:hAnsi="宋体" w:cs="宋体"/>
                <w:szCs w:val="21"/>
              </w:rPr>
            </w:pPr>
            <w:r>
              <w:rPr>
                <w:rFonts w:hint="eastAsia" w:ascii="宋体" w:hAnsi="宋体" w:cs="宋体"/>
                <w:color w:val="000000"/>
                <w:kern w:val="0"/>
                <w:szCs w:val="21"/>
                <w:lang w:bidi="ar"/>
              </w:rPr>
              <w:t>注：须提供承诺书原件及上述有效证书复印件及近半年（2023年7月-12月）内任意一个月供应商为其缴纳的社保证明有效复印件并加盖公章。</w:t>
            </w:r>
          </w:p>
        </w:tc>
        <w:tc>
          <w:tcPr>
            <w:tcW w:w="850" w:type="dxa"/>
            <w:shd w:val="clear" w:color="auto" w:fill="auto"/>
            <w:vAlign w:val="center"/>
          </w:tcPr>
          <w:p>
            <w:pPr>
              <w:widowControl/>
              <w:shd w:val="clear" w:color="auto" w:fill="FFFFFF"/>
              <w:jc w:val="center"/>
              <w:rPr>
                <w:rFonts w:ascii="宋体" w:hAnsi="宋体" w:cs="宋体"/>
                <w:bCs/>
                <w:kern w:val="0"/>
                <w:szCs w:val="21"/>
              </w:rPr>
            </w:pPr>
            <w:r>
              <w:rPr>
                <w:rFonts w:hint="eastAsia" w:ascii="宋体" w:hAnsi="宋体" w:cs="宋体"/>
                <w:bCs/>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p>
        </w:tc>
        <w:tc>
          <w:tcPr>
            <w:tcW w:w="1245" w:type="dxa"/>
            <w:shd w:val="clear" w:color="auto" w:fill="auto"/>
            <w:vAlign w:val="center"/>
          </w:tcPr>
          <w:p>
            <w:pPr>
              <w:pStyle w:val="2"/>
              <w:ind w:firstLine="0" w:firstLineChars="0"/>
              <w:jc w:val="center"/>
              <w:rPr>
                <w:rFonts w:hint="eastAsia"/>
              </w:rPr>
            </w:pPr>
            <w:r>
              <w:rPr>
                <w:rFonts w:hint="eastAsia"/>
              </w:rPr>
              <w:t>业绩</w:t>
            </w:r>
          </w:p>
          <w:p>
            <w:pPr>
              <w:pStyle w:val="3"/>
              <w:jc w:val="center"/>
              <w:rPr>
                <w:rFonts w:hint="default" w:eastAsia="宋体"/>
                <w:lang w:val="en-US" w:eastAsia="zh-CN"/>
              </w:rPr>
            </w:pPr>
            <w:r>
              <w:rPr>
                <w:rFonts w:hint="eastAsia" w:ascii="宋体" w:hAnsi="宋体" w:cs="宋体"/>
                <w:szCs w:val="21"/>
                <w:lang w:val="en-US" w:eastAsia="zh-CN"/>
              </w:rPr>
              <w:t>12分</w:t>
            </w:r>
          </w:p>
        </w:tc>
        <w:tc>
          <w:tcPr>
            <w:tcW w:w="6961" w:type="dxa"/>
            <w:shd w:val="clear" w:color="auto" w:fill="auto"/>
            <w:vAlign w:val="center"/>
          </w:tcPr>
          <w:p>
            <w:pPr>
              <w:widowControl/>
              <w:jc w:val="left"/>
              <w:rPr>
                <w:rFonts w:ascii="宋体" w:hAnsi="宋体" w:cs="宋体"/>
                <w:szCs w:val="21"/>
              </w:rPr>
            </w:pPr>
            <w:r>
              <w:rPr>
                <w:rFonts w:hint="eastAsia" w:ascii="宋体" w:hAnsi="宋体" w:cs="宋体"/>
                <w:color w:val="000000"/>
                <w:kern w:val="0"/>
                <w:szCs w:val="21"/>
                <w:lang w:bidi="ar"/>
              </w:rPr>
              <w:t>自2021年1月1日以来（以合同签订日期为准），供应商具备环保管家类或第三方环境监管服务类等环保服务项目成功案例的，每提供1个得2分，最高得12分。</w:t>
            </w:r>
          </w:p>
          <w:p>
            <w:pPr>
              <w:jc w:val="left"/>
              <w:rPr>
                <w:rFonts w:ascii="宋体" w:hAnsi="宋体" w:cs="宋体"/>
                <w:color w:val="000000"/>
                <w:szCs w:val="21"/>
              </w:rPr>
            </w:pPr>
            <w:r>
              <w:rPr>
                <w:rFonts w:hint="eastAsia" w:ascii="宋体" w:hAnsi="宋体" w:cs="宋体"/>
                <w:color w:val="000000"/>
                <w:szCs w:val="21"/>
              </w:rPr>
              <w:t>注：</w:t>
            </w:r>
            <w:r>
              <w:rPr>
                <w:rFonts w:hint="eastAsia" w:ascii="宋体" w:hAnsi="宋体" w:cs="宋体"/>
                <w:color w:val="000000"/>
                <w:kern w:val="0"/>
                <w:szCs w:val="21"/>
                <w:lang w:bidi="ar"/>
              </w:rPr>
              <w:t>须提供有效的合同有效复印件并加盖公章，</w:t>
            </w:r>
            <w:r>
              <w:rPr>
                <w:rFonts w:hint="eastAsia" w:ascii="宋体" w:hAnsi="宋体" w:cs="宋体"/>
                <w:bCs/>
                <w:color w:val="000000"/>
                <w:kern w:val="0"/>
                <w:szCs w:val="21"/>
              </w:rPr>
              <w:t>合同须能反映项目名称、主要标的物，签订时间和签章清晰可见，否则不予计分。</w:t>
            </w:r>
          </w:p>
        </w:tc>
        <w:tc>
          <w:tcPr>
            <w:tcW w:w="850"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791" w:type="dxa"/>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5.1</w:t>
            </w:r>
          </w:p>
        </w:tc>
        <w:tc>
          <w:tcPr>
            <w:tcW w:w="1245" w:type="dxa"/>
            <w:vMerge w:val="restart"/>
            <w:shd w:val="clear" w:color="auto" w:fill="auto"/>
            <w:vAlign w:val="center"/>
          </w:tcPr>
          <w:p>
            <w:pPr>
              <w:widowControl/>
              <w:jc w:val="center"/>
              <w:rPr>
                <w:rFonts w:hint="eastAsia"/>
              </w:rPr>
            </w:pPr>
            <w:r>
              <w:rPr>
                <w:rFonts w:hint="eastAsia"/>
              </w:rPr>
              <w:t>综合实力</w:t>
            </w:r>
          </w:p>
          <w:p>
            <w:pPr>
              <w:pStyle w:val="2"/>
              <w:ind w:left="0" w:leftChars="0" w:firstLine="0" w:firstLineChars="0"/>
              <w:jc w:val="center"/>
              <w:rPr>
                <w:rFonts w:hint="default" w:eastAsia="宋体"/>
                <w:lang w:val="en-US" w:eastAsia="zh-CN"/>
              </w:rPr>
            </w:pPr>
            <w:r>
              <w:rPr>
                <w:rFonts w:hint="eastAsia" w:ascii="宋体" w:hAnsi="宋体" w:cs="宋体"/>
                <w:color w:val="000000"/>
                <w:szCs w:val="21"/>
                <w:lang w:val="en-US" w:eastAsia="zh-CN"/>
              </w:rPr>
              <w:t>13分</w:t>
            </w:r>
          </w:p>
        </w:tc>
        <w:tc>
          <w:tcPr>
            <w:tcW w:w="6961" w:type="dxa"/>
            <w:shd w:val="clear" w:color="auto" w:fill="auto"/>
            <w:vAlign w:val="center"/>
          </w:tcPr>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履约能力：</w:t>
            </w:r>
          </w:p>
          <w:p>
            <w:pPr>
              <w:widowControl/>
              <w:jc w:val="left"/>
              <w:rPr>
                <w:rFonts w:hint="eastAsia" w:ascii="宋体" w:hAnsi="宋体" w:cs="宋体"/>
                <w:color w:val="000000"/>
                <w:kern w:val="0"/>
                <w:szCs w:val="21"/>
                <w:lang w:eastAsia="zh-CN" w:bidi="ar"/>
              </w:rPr>
            </w:pPr>
            <w:r>
              <w:rPr>
                <w:rFonts w:hint="eastAsia" w:ascii="宋体" w:hAnsi="宋体" w:cs="宋体"/>
                <w:color w:val="000000"/>
                <w:kern w:val="0"/>
                <w:szCs w:val="21"/>
                <w:lang w:bidi="ar"/>
              </w:rPr>
              <w:t>1、供应商自202</w:t>
            </w:r>
            <w:r>
              <w:rPr>
                <w:rFonts w:ascii="宋体" w:hAnsi="宋体" w:cs="宋体"/>
                <w:color w:val="000000"/>
                <w:kern w:val="0"/>
                <w:szCs w:val="21"/>
                <w:lang w:bidi="ar"/>
              </w:rPr>
              <w:t>1</w:t>
            </w:r>
            <w:r>
              <w:rPr>
                <w:rFonts w:hint="eastAsia" w:ascii="宋体" w:hAnsi="宋体" w:cs="宋体"/>
                <w:color w:val="000000"/>
                <w:kern w:val="0"/>
                <w:szCs w:val="21"/>
                <w:lang w:bidi="ar"/>
              </w:rPr>
              <w:t>年1月1日以来在水、大气、危废等环境管理服务或环境信访调处方面，有帮助属地解决重点难点问题的经验做法的，得3分</w:t>
            </w:r>
            <w:r>
              <w:rPr>
                <w:rFonts w:hint="eastAsia" w:ascii="宋体" w:hAnsi="宋体" w:cs="宋体"/>
                <w:color w:val="000000"/>
                <w:kern w:val="0"/>
                <w:szCs w:val="21"/>
                <w:lang w:eastAsia="zh-CN" w:bidi="ar"/>
              </w:rPr>
              <w:t>。</w:t>
            </w:r>
          </w:p>
          <w:p>
            <w:pPr>
              <w:widowControl/>
              <w:jc w:val="left"/>
              <w:rPr>
                <w:rFonts w:ascii="宋体" w:hAnsi="宋体" w:cs="宋体"/>
                <w:szCs w:val="21"/>
              </w:rPr>
            </w:pPr>
            <w:r>
              <w:rPr>
                <w:rFonts w:hint="eastAsia" w:ascii="宋体" w:hAnsi="宋体" w:cs="宋体"/>
                <w:color w:val="000000"/>
                <w:kern w:val="0"/>
                <w:szCs w:val="21"/>
                <w:lang w:val="en-US" w:eastAsia="zh-CN" w:bidi="ar"/>
              </w:rPr>
              <w:t>注：</w:t>
            </w:r>
            <w:r>
              <w:rPr>
                <w:rFonts w:hint="eastAsia" w:ascii="宋体" w:hAnsi="宋体" w:cs="宋体"/>
                <w:color w:val="000000"/>
                <w:kern w:val="0"/>
                <w:szCs w:val="21"/>
                <w:lang w:bidi="ar"/>
              </w:rPr>
              <w:t>须提供政府部门表彰其做法或作为试点示范的书面证明材料</w:t>
            </w:r>
            <w:r>
              <w:rPr>
                <w:rFonts w:hint="eastAsia" w:ascii="宋体" w:hAnsi="宋体" w:cs="宋体"/>
                <w:color w:val="000000"/>
                <w:kern w:val="0"/>
                <w:szCs w:val="21"/>
                <w:lang w:val="en-US" w:eastAsia="zh-CN" w:bidi="ar"/>
              </w:rPr>
              <w:t>或其他能够证明其上述经验做法的证明材料复印件加盖公章，证明材料中</w:t>
            </w:r>
            <w:r>
              <w:rPr>
                <w:rFonts w:hint="eastAsia" w:ascii="宋体" w:hAnsi="宋体" w:cs="宋体"/>
                <w:color w:val="000000"/>
                <w:kern w:val="0"/>
                <w:szCs w:val="21"/>
                <w:lang w:bidi="ar"/>
              </w:rPr>
              <w:t>须</w:t>
            </w:r>
            <w:r>
              <w:rPr>
                <w:rFonts w:hint="eastAsia" w:ascii="宋体" w:hAnsi="宋体" w:cs="宋体"/>
                <w:color w:val="000000"/>
                <w:kern w:val="0"/>
                <w:szCs w:val="21"/>
                <w:lang w:val="en-US" w:eastAsia="zh-CN" w:bidi="ar"/>
              </w:rPr>
              <w:t>能反映要求的相关信息</w:t>
            </w:r>
            <w:r>
              <w:rPr>
                <w:rFonts w:hint="eastAsia" w:ascii="宋体" w:hAnsi="宋体" w:cs="宋体"/>
                <w:color w:val="000000"/>
                <w:kern w:val="0"/>
                <w:szCs w:val="21"/>
                <w:lang w:bidi="ar"/>
              </w:rPr>
              <w:t>。</w:t>
            </w:r>
          </w:p>
          <w:p>
            <w:pPr>
              <w:widowControl/>
              <w:jc w:val="left"/>
              <w:rPr>
                <w:rFonts w:hint="eastAsia" w:ascii="宋体" w:hAnsi="宋体" w:cs="宋体"/>
                <w:color w:val="000000"/>
                <w:kern w:val="0"/>
                <w:szCs w:val="21"/>
                <w:lang w:eastAsia="zh-CN" w:bidi="ar"/>
              </w:rPr>
            </w:pPr>
            <w:r>
              <w:rPr>
                <w:rFonts w:hint="eastAsia" w:ascii="宋体" w:hAnsi="宋体" w:cs="宋体"/>
                <w:color w:val="000000"/>
                <w:kern w:val="0"/>
                <w:szCs w:val="21"/>
                <w:lang w:bidi="ar"/>
              </w:rPr>
              <w:t>2、供应商自202</w:t>
            </w:r>
            <w:r>
              <w:rPr>
                <w:rFonts w:ascii="宋体" w:hAnsi="宋体" w:cs="宋体"/>
                <w:color w:val="000000"/>
                <w:kern w:val="0"/>
                <w:szCs w:val="21"/>
                <w:lang w:bidi="ar"/>
              </w:rPr>
              <w:t>1</w:t>
            </w:r>
            <w:r>
              <w:rPr>
                <w:rFonts w:hint="eastAsia" w:ascii="宋体" w:hAnsi="宋体" w:cs="宋体"/>
                <w:color w:val="000000"/>
                <w:kern w:val="0"/>
                <w:szCs w:val="21"/>
                <w:lang w:bidi="ar"/>
              </w:rPr>
              <w:t>年1月1日以来开展过100家以上工业企业环保培训的，得3分</w:t>
            </w:r>
            <w:r>
              <w:rPr>
                <w:rFonts w:hint="eastAsia" w:ascii="宋体" w:hAnsi="宋体" w:cs="宋体"/>
                <w:color w:val="000000"/>
                <w:kern w:val="0"/>
                <w:szCs w:val="21"/>
                <w:lang w:eastAsia="zh-CN" w:bidi="ar"/>
              </w:rPr>
              <w:t>。</w:t>
            </w:r>
          </w:p>
          <w:p>
            <w:pPr>
              <w:widowControl/>
              <w:jc w:val="left"/>
              <w:rPr>
                <w:rFonts w:ascii="宋体" w:hAnsi="宋体" w:cs="宋体"/>
                <w:szCs w:val="21"/>
              </w:rPr>
            </w:pPr>
            <w:r>
              <w:rPr>
                <w:rFonts w:hint="eastAsia" w:ascii="宋体" w:hAnsi="宋体" w:cs="宋体"/>
                <w:color w:val="000000"/>
                <w:kern w:val="0"/>
                <w:szCs w:val="21"/>
                <w:lang w:val="en-US" w:eastAsia="zh-CN" w:bidi="ar"/>
              </w:rPr>
              <w:t>注：</w:t>
            </w:r>
            <w:r>
              <w:rPr>
                <w:rFonts w:hint="eastAsia" w:ascii="宋体" w:hAnsi="宋体" w:cs="宋体"/>
                <w:color w:val="000000"/>
                <w:kern w:val="0"/>
                <w:szCs w:val="21"/>
                <w:lang w:bidi="ar"/>
              </w:rPr>
              <w:t>须提供区级以上政府部门介绍其做法的工作信息简报或区级以上媒体公开报道的证明材料</w:t>
            </w:r>
            <w:r>
              <w:rPr>
                <w:rFonts w:hint="eastAsia" w:ascii="宋体" w:hAnsi="宋体" w:cs="宋体"/>
                <w:color w:val="000000"/>
                <w:kern w:val="0"/>
                <w:szCs w:val="21"/>
                <w:lang w:val="en-US" w:eastAsia="zh-CN" w:bidi="ar"/>
              </w:rPr>
              <w:t>或其他能够证明其开展过上述培训的证明材料复印件加盖公章，证明材料中</w:t>
            </w:r>
            <w:r>
              <w:rPr>
                <w:rFonts w:hint="eastAsia" w:ascii="宋体" w:hAnsi="宋体" w:cs="宋体"/>
                <w:color w:val="000000"/>
                <w:kern w:val="0"/>
                <w:szCs w:val="21"/>
                <w:lang w:bidi="ar"/>
              </w:rPr>
              <w:t>须</w:t>
            </w:r>
            <w:r>
              <w:rPr>
                <w:rFonts w:hint="eastAsia" w:ascii="宋体" w:hAnsi="宋体" w:cs="宋体"/>
                <w:color w:val="000000"/>
                <w:kern w:val="0"/>
                <w:szCs w:val="21"/>
                <w:lang w:val="en-US" w:eastAsia="zh-CN" w:bidi="ar"/>
              </w:rPr>
              <w:t>能反映要求的相关信息</w:t>
            </w:r>
            <w:r>
              <w:rPr>
                <w:rFonts w:hint="eastAsia" w:ascii="宋体" w:hAnsi="宋体" w:cs="宋体"/>
                <w:color w:val="000000"/>
                <w:kern w:val="0"/>
                <w:szCs w:val="21"/>
                <w:lang w:bidi="ar"/>
              </w:rPr>
              <w:t>。</w:t>
            </w:r>
          </w:p>
          <w:p>
            <w:pPr>
              <w:widowControl/>
              <w:jc w:val="left"/>
              <w:rPr>
                <w:rFonts w:hint="eastAsia" w:ascii="宋体" w:hAnsi="宋体" w:eastAsia="宋体" w:cs="宋体"/>
                <w:lang w:eastAsia="zh-CN"/>
              </w:rPr>
            </w:pPr>
            <w:r>
              <w:rPr>
                <w:rFonts w:hint="eastAsia" w:ascii="宋体" w:hAnsi="宋体" w:cs="宋体"/>
                <w:color w:val="000000"/>
                <w:kern w:val="0"/>
                <w:szCs w:val="21"/>
                <w:lang w:bidi="ar"/>
              </w:rPr>
              <w:t>3、供应商具有</w:t>
            </w:r>
            <w:r>
              <w:rPr>
                <w:rFonts w:hint="eastAsia" w:ascii="宋体" w:hAnsi="宋体" w:cs="宋体"/>
              </w:rPr>
              <w:t>环境服务认证证书的得2分</w:t>
            </w:r>
            <w:r>
              <w:rPr>
                <w:rFonts w:hint="eastAsia" w:ascii="宋体" w:hAnsi="宋体" w:cs="宋体"/>
                <w:lang w:eastAsia="zh-CN"/>
              </w:rPr>
              <w:t>。</w:t>
            </w:r>
            <w:bookmarkStart w:id="18" w:name="_GoBack"/>
            <w:bookmarkEnd w:id="18"/>
          </w:p>
          <w:p>
            <w:pPr>
              <w:widowControl/>
              <w:jc w:val="left"/>
              <w:rPr>
                <w:rFonts w:ascii="宋体" w:hAnsi="宋体" w:cs="宋体"/>
                <w:szCs w:val="21"/>
              </w:rPr>
            </w:pPr>
            <w:r>
              <w:rPr>
                <w:rFonts w:hint="eastAsia" w:ascii="宋体" w:hAnsi="宋体" w:cs="宋体"/>
                <w:lang w:val="en-US" w:eastAsia="zh-CN"/>
              </w:rPr>
              <w:t>注：须</w:t>
            </w:r>
            <w:r>
              <w:rPr>
                <w:rFonts w:hint="eastAsia" w:ascii="宋体" w:hAnsi="宋体" w:cs="宋体"/>
              </w:rPr>
              <w:t>提供证书复印件加盖公章。</w:t>
            </w:r>
          </w:p>
        </w:tc>
        <w:tc>
          <w:tcPr>
            <w:tcW w:w="850"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91" w:type="dxa"/>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5.2</w:t>
            </w:r>
          </w:p>
        </w:tc>
        <w:tc>
          <w:tcPr>
            <w:tcW w:w="1245" w:type="dxa"/>
            <w:vMerge w:val="continue"/>
            <w:shd w:val="clear" w:color="auto" w:fill="auto"/>
            <w:vAlign w:val="center"/>
          </w:tcPr>
          <w:p>
            <w:pPr>
              <w:widowControl/>
              <w:jc w:val="center"/>
              <w:rPr>
                <w:rFonts w:ascii="宋体" w:hAnsi="宋体" w:cs="宋体"/>
                <w:color w:val="000000"/>
                <w:szCs w:val="21"/>
              </w:rPr>
            </w:pPr>
          </w:p>
        </w:tc>
        <w:tc>
          <w:tcPr>
            <w:tcW w:w="6961" w:type="dxa"/>
            <w:shd w:val="clear" w:color="auto" w:fill="auto"/>
            <w:vAlign w:val="center"/>
          </w:tcPr>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技术设备配置：</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供应商为本次“环保管家”服务配置相关设备（便携式VOCs检测仪、无人机、</w:t>
            </w:r>
            <w:r>
              <w:rPr>
                <w:rFonts w:hint="eastAsia" w:ascii="宋体" w:hAnsi="宋体" w:cs="宋体"/>
              </w:rPr>
              <w:t>PM2.5检测仪、风速仪、土壤快速检测仪</w:t>
            </w:r>
            <w:r>
              <w:rPr>
                <w:rFonts w:hint="eastAsia" w:ascii="宋体" w:hAnsi="宋体" w:cs="宋体"/>
                <w:color w:val="000000"/>
                <w:kern w:val="0"/>
                <w:szCs w:val="21"/>
                <w:lang w:bidi="ar"/>
              </w:rPr>
              <w:t>等）的，每有1台专业设备得1分，最高得5分。</w:t>
            </w:r>
          </w:p>
          <w:p>
            <w:pPr>
              <w:widowControl/>
              <w:jc w:val="left"/>
              <w:rPr>
                <w:rFonts w:ascii="宋体" w:hAnsi="宋体" w:cs="宋体"/>
                <w:szCs w:val="21"/>
              </w:rPr>
            </w:pPr>
            <w:r>
              <w:rPr>
                <w:rFonts w:hint="eastAsia" w:ascii="宋体" w:hAnsi="宋体" w:cs="宋体"/>
                <w:color w:val="000000"/>
                <w:kern w:val="0"/>
                <w:szCs w:val="21"/>
                <w:lang w:val="en-US" w:eastAsia="zh-CN" w:bidi="ar"/>
              </w:rPr>
              <w:t>注：</w:t>
            </w:r>
            <w:r>
              <w:rPr>
                <w:rFonts w:hint="eastAsia" w:ascii="宋体" w:hAnsi="宋体" w:cs="宋体"/>
                <w:color w:val="000000"/>
                <w:kern w:val="0"/>
                <w:szCs w:val="21"/>
                <w:lang w:bidi="ar"/>
              </w:rPr>
              <w:t>设备若为自有，须提供设备购置发票；若为租赁，须提供租赁协议及设备购置发票等有效证明材料。</w:t>
            </w: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6</w:t>
            </w:r>
          </w:p>
        </w:tc>
        <w:tc>
          <w:tcPr>
            <w:tcW w:w="1245" w:type="dxa"/>
            <w:shd w:val="clear" w:color="auto" w:fill="auto"/>
            <w:vAlign w:val="center"/>
          </w:tcPr>
          <w:p>
            <w:pPr>
              <w:widowControl/>
              <w:jc w:val="center"/>
              <w:rPr>
                <w:rFonts w:hint="eastAsia"/>
              </w:rPr>
            </w:pPr>
            <w:r>
              <w:rPr>
                <w:rFonts w:hint="eastAsia"/>
              </w:rPr>
              <w:t>本地化服务能力</w:t>
            </w:r>
          </w:p>
          <w:p>
            <w:pPr>
              <w:pStyle w:val="2"/>
              <w:ind w:left="0" w:leftChars="0" w:firstLine="0" w:firstLineChars="0"/>
              <w:jc w:val="center"/>
              <w:rPr>
                <w:rFonts w:hint="default" w:eastAsia="宋体"/>
                <w:lang w:val="en-US" w:eastAsia="zh-CN"/>
              </w:rPr>
            </w:pPr>
            <w:r>
              <w:rPr>
                <w:rFonts w:hint="eastAsia" w:ascii="宋体" w:hAnsi="宋体" w:cs="宋体"/>
                <w:color w:val="000000"/>
                <w:kern w:val="0"/>
                <w:szCs w:val="21"/>
                <w:lang w:val="en-US" w:eastAsia="zh-CN" w:bidi="ar"/>
              </w:rPr>
              <w:t>2分</w:t>
            </w:r>
          </w:p>
        </w:tc>
        <w:tc>
          <w:tcPr>
            <w:tcW w:w="6961" w:type="dxa"/>
            <w:shd w:val="clear" w:color="auto" w:fill="auto"/>
            <w:vAlign w:val="center"/>
          </w:tcPr>
          <w:p>
            <w:pPr>
              <w:pStyle w:val="44"/>
              <w:ind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供应商具有本地化服务能力的得2分</w:t>
            </w:r>
            <w:r>
              <w:rPr>
                <w:rFonts w:hint="eastAsia" w:ascii="宋体" w:hAnsi="宋体" w:eastAsia="宋体" w:cs="宋体"/>
                <w:b w:val="0"/>
                <w:bCs w:val="0"/>
                <w:sz w:val="21"/>
                <w:szCs w:val="21"/>
                <w:lang w:eastAsia="zh-CN"/>
              </w:rPr>
              <w:t>。</w:t>
            </w:r>
          </w:p>
          <w:p>
            <w:pPr>
              <w:pStyle w:val="44"/>
              <w:ind w:firstLine="0" w:firstLineChars="0"/>
              <w:jc w:val="both"/>
              <w:rPr>
                <w:rFonts w:ascii="宋体" w:hAnsi="宋体" w:eastAsia="宋体" w:cs="宋体"/>
                <w:b w:val="0"/>
                <w:bCs w:val="0"/>
                <w:color w:val="000000"/>
                <w:kern w:val="0"/>
                <w:sz w:val="21"/>
                <w:szCs w:val="21"/>
                <w:lang w:bidi="ar"/>
              </w:rPr>
            </w:pPr>
            <w:r>
              <w:rPr>
                <w:rFonts w:hint="eastAsia" w:ascii="宋体" w:hAnsi="宋体" w:eastAsia="宋体" w:cs="宋体"/>
                <w:b w:val="0"/>
                <w:bCs w:val="0"/>
                <w:sz w:val="21"/>
                <w:szCs w:val="21"/>
                <w:lang w:val="en-US" w:eastAsia="zh-CN"/>
              </w:rPr>
              <w:t>注：</w:t>
            </w:r>
            <w:r>
              <w:rPr>
                <w:rFonts w:hint="eastAsia" w:ascii="宋体" w:hAnsi="宋体" w:eastAsia="宋体" w:cs="宋体"/>
                <w:b w:val="0"/>
                <w:bCs w:val="0"/>
                <w:sz w:val="21"/>
                <w:szCs w:val="21"/>
              </w:rPr>
              <w:t>须提供相关证明材料或承诺书原件（格式自拟，加盖公章）。</w:t>
            </w:r>
          </w:p>
        </w:tc>
        <w:tc>
          <w:tcPr>
            <w:tcW w:w="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97" w:type="dxa"/>
            <w:gridSpan w:val="3"/>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合计</w:t>
            </w:r>
          </w:p>
        </w:tc>
        <w:tc>
          <w:tcPr>
            <w:tcW w:w="850" w:type="dxa"/>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gridSpan w:val="2"/>
            <w:shd w:val="clear" w:color="auto" w:fill="auto"/>
            <w:noWrap/>
            <w:vAlign w:val="center"/>
          </w:tcPr>
          <w:p>
            <w:pPr>
              <w:widowControl/>
              <w:jc w:val="center"/>
              <w:rPr>
                <w:rFonts w:ascii="宋体" w:hAnsi="宋体" w:cs="宋体"/>
                <w:color w:val="000000"/>
                <w:szCs w:val="21"/>
              </w:rPr>
            </w:pPr>
            <w:r>
              <w:rPr>
                <w:rFonts w:hint="eastAsia" w:ascii="宋体" w:hAnsi="宋体" w:cs="宋体"/>
                <w:b/>
                <w:kern w:val="0"/>
                <w:szCs w:val="21"/>
              </w:rPr>
              <w:t>供应商诚信档案记录的运用</w:t>
            </w:r>
          </w:p>
        </w:tc>
        <w:tc>
          <w:tcPr>
            <w:tcW w:w="7811" w:type="dxa"/>
            <w:gridSpan w:val="2"/>
            <w:shd w:val="clear" w:color="auto" w:fill="auto"/>
            <w:noWrap/>
            <w:vAlign w:val="center"/>
          </w:tcPr>
          <w:p>
            <w:pPr>
              <w:widowControl/>
              <w:jc w:val="left"/>
              <w:rPr>
                <w:rFonts w:ascii="宋体" w:hAnsi="宋体" w:cs="宋体"/>
                <w:color w:val="000000"/>
                <w:szCs w:val="21"/>
              </w:rPr>
            </w:pPr>
            <w:r>
              <w:rPr>
                <w:rFonts w:hint="eastAsia" w:ascii="宋体" w:hAnsi="宋体" w:cs="宋体"/>
                <w:szCs w:val="21"/>
              </w:rPr>
              <w:t>《南京市政府采购供应商信用记录表暨信用承诺书》须按照采购文件“供应商诚信档案管理”的要求去注册、申请、在线打印，打印时间为本采购文件发布之日起至递交投标文件截止日前，</w:t>
            </w:r>
            <w:r>
              <w:rPr>
                <w:rFonts w:hint="eastAsia" w:ascii="宋体" w:hAnsi="宋体" w:cs="宋体"/>
                <w:b/>
                <w:bCs/>
                <w:szCs w:val="21"/>
              </w:rPr>
              <w:t>未按要求提供《南京市政府采购供应商信用记录表暨信用承诺书》则该供应商投标文件按无效投标处理。</w:t>
            </w:r>
          </w:p>
        </w:tc>
      </w:tr>
    </w:tbl>
    <w:p>
      <w:pPr>
        <w:spacing w:line="360" w:lineRule="auto"/>
        <w:rPr>
          <w:rFonts w:ascii="宋体" w:hAnsi="宋体" w:cs="宋体"/>
          <w:bCs/>
          <w:sz w:val="22"/>
          <w:szCs w:val="28"/>
        </w:rPr>
      </w:pPr>
      <w:r>
        <w:rPr>
          <w:rFonts w:hint="eastAsia" w:ascii="宋体" w:hAnsi="宋体" w:cs="宋体"/>
          <w:bCs/>
          <w:sz w:val="22"/>
          <w:szCs w:val="28"/>
        </w:rPr>
        <w:t>说明：</w:t>
      </w:r>
    </w:p>
    <w:p>
      <w:pPr>
        <w:spacing w:line="360" w:lineRule="auto"/>
        <w:rPr>
          <w:rFonts w:ascii="宋体" w:hAnsi="宋体" w:cs="宋体"/>
          <w:bCs/>
          <w:sz w:val="22"/>
          <w:szCs w:val="28"/>
        </w:rPr>
      </w:pPr>
      <w:r>
        <w:rPr>
          <w:rFonts w:hint="eastAsia" w:ascii="宋体" w:hAnsi="宋体" w:cs="宋体"/>
          <w:bCs/>
          <w:sz w:val="22"/>
          <w:szCs w:val="28"/>
        </w:rPr>
        <w:t>1.所有认证、证明和业绩均以有效清晰的证明文件的复印件为依据，原件备查。</w:t>
      </w:r>
    </w:p>
    <w:p>
      <w:pPr>
        <w:spacing w:line="360" w:lineRule="auto"/>
        <w:rPr>
          <w:rFonts w:ascii="宋体" w:hAnsi="宋体" w:cs="宋体"/>
          <w:bCs/>
          <w:kern w:val="0"/>
        </w:rPr>
      </w:pPr>
      <w:r>
        <w:rPr>
          <w:rFonts w:hint="eastAsia" w:ascii="宋体" w:hAnsi="宋体" w:cs="宋体"/>
          <w:bCs/>
          <w:kern w:val="0"/>
        </w:rPr>
        <w:t>2.小微企业价格扣除</w:t>
      </w:r>
    </w:p>
    <w:p>
      <w:pPr>
        <w:spacing w:line="360" w:lineRule="auto"/>
        <w:rPr>
          <w:rFonts w:ascii="宋体" w:hAnsi="宋体" w:cs="宋体"/>
          <w:bCs/>
          <w:kern w:val="0"/>
        </w:rPr>
      </w:pPr>
      <w:r>
        <w:rPr>
          <w:rFonts w:hint="eastAsia" w:ascii="宋体" w:hAnsi="宋体" w:cs="宋体"/>
          <w:bCs/>
          <w:kern w:val="0"/>
        </w:rPr>
        <w:t>2.1对于专门面向中小企业或小型、微型企业的项目，只面向中小企业或小型、微型企业采购。对于非专门面向中小企业的项目，对小型和微型企业的价格给予10%的扣除，用扣除后的价格参与评审。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rPr>
          <w:rFonts w:ascii="宋体" w:hAnsi="宋体" w:cs="宋体"/>
          <w:bCs/>
          <w:kern w:val="0"/>
        </w:rPr>
      </w:pPr>
      <w:r>
        <w:rPr>
          <w:rFonts w:hint="eastAsia" w:ascii="宋体" w:hAnsi="宋体" w:cs="宋体"/>
          <w:bCs/>
          <w:kern w:val="0"/>
        </w:rPr>
        <w:t>2.2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rPr>
          <w:rFonts w:ascii="宋体" w:hAnsi="宋体" w:cs="宋体"/>
          <w:bCs/>
          <w:kern w:val="0"/>
        </w:rPr>
      </w:pPr>
      <w:r>
        <w:rPr>
          <w:rFonts w:hint="eastAsia" w:ascii="宋体" w:hAnsi="宋体" w:cs="宋体"/>
          <w:bCs/>
          <w:kern w:val="0"/>
        </w:rPr>
        <w:t>3.监狱和戒毒企业的价格扣除</w:t>
      </w:r>
    </w:p>
    <w:p>
      <w:pPr>
        <w:spacing w:line="360" w:lineRule="auto"/>
        <w:rPr>
          <w:rFonts w:ascii="宋体" w:hAnsi="宋体" w:cs="宋体"/>
          <w:bCs/>
          <w:kern w:val="0"/>
        </w:rPr>
      </w:pPr>
      <w:r>
        <w:rPr>
          <w:rFonts w:hint="eastAsia" w:ascii="宋体" w:hAnsi="宋体" w:cs="宋体"/>
          <w:bCs/>
          <w:kern w:val="0"/>
        </w:rPr>
        <w:t>3.1 本项目对监狱和戒毒企业，给予10%的价格扣除，用扣除后的价格参与评审。</w:t>
      </w:r>
    </w:p>
    <w:p>
      <w:pPr>
        <w:spacing w:line="360" w:lineRule="auto"/>
        <w:rPr>
          <w:rFonts w:ascii="宋体" w:hAnsi="宋体" w:cs="宋体"/>
          <w:bCs/>
          <w:kern w:val="0"/>
        </w:rPr>
      </w:pPr>
      <w:r>
        <w:rPr>
          <w:rFonts w:hint="eastAsia" w:ascii="宋体" w:hAnsi="宋体" w:cs="宋体"/>
          <w:bCs/>
          <w:kern w:val="0"/>
        </w:rPr>
        <w:t>3.2 监狱企业需提供由省级以上监狱管理局、戒毒管理局（含新疆生产建设兵团）出具的属于监狱企业的证明文件。</w:t>
      </w:r>
    </w:p>
    <w:p>
      <w:pPr>
        <w:spacing w:line="360" w:lineRule="auto"/>
        <w:rPr>
          <w:rFonts w:ascii="宋体" w:hAnsi="宋体" w:cs="宋体"/>
          <w:bCs/>
          <w:kern w:val="0"/>
        </w:rPr>
      </w:pPr>
      <w:r>
        <w:rPr>
          <w:rFonts w:hint="eastAsia" w:ascii="宋体" w:hAnsi="宋体" w:cs="宋体"/>
          <w:bCs/>
          <w:kern w:val="0"/>
        </w:rPr>
        <w:t>3.3 监狱企业标准请参照《关于政府采购支持监狱企业发展有关问题的通知》（财库〔2014〕68号）。</w:t>
      </w:r>
    </w:p>
    <w:p>
      <w:pPr>
        <w:spacing w:line="360" w:lineRule="auto"/>
        <w:rPr>
          <w:rFonts w:ascii="宋体" w:hAnsi="宋体" w:cs="宋体"/>
          <w:bCs/>
          <w:kern w:val="0"/>
        </w:rPr>
      </w:pPr>
      <w:r>
        <w:rPr>
          <w:rFonts w:hint="eastAsia" w:ascii="宋体" w:hAnsi="宋体" w:cs="宋体"/>
          <w:bCs/>
          <w:kern w:val="0"/>
        </w:rPr>
        <w:t>4.残疾人福利性单位的价格扣除</w:t>
      </w:r>
    </w:p>
    <w:p>
      <w:pPr>
        <w:spacing w:line="360" w:lineRule="auto"/>
        <w:rPr>
          <w:rFonts w:ascii="宋体" w:hAnsi="宋体" w:cs="宋体"/>
          <w:bCs/>
          <w:kern w:val="0"/>
        </w:rPr>
      </w:pPr>
      <w:r>
        <w:rPr>
          <w:rFonts w:hint="eastAsia" w:ascii="宋体" w:hAnsi="宋体" w:cs="宋体"/>
          <w:bCs/>
          <w:kern w:val="0"/>
        </w:rPr>
        <w:t>4.1 本项目对残疾人福利性单位，给予10%的价格扣除，用扣除后的价格参与评审。</w:t>
      </w:r>
    </w:p>
    <w:p>
      <w:pPr>
        <w:spacing w:line="360" w:lineRule="auto"/>
        <w:rPr>
          <w:rFonts w:ascii="宋体" w:hAnsi="宋体" w:cs="宋体"/>
          <w:bCs/>
          <w:kern w:val="0"/>
        </w:rPr>
      </w:pPr>
      <w:r>
        <w:rPr>
          <w:rFonts w:hint="eastAsia" w:ascii="宋体" w:hAnsi="宋体" w:cs="宋体"/>
          <w:bCs/>
          <w:kern w:val="0"/>
        </w:rPr>
        <w:t>4.2 残疾人福利性单位需提供《残疾人福利性单位声明函》。</w:t>
      </w:r>
    </w:p>
    <w:p>
      <w:pPr>
        <w:spacing w:line="360" w:lineRule="auto"/>
        <w:rPr>
          <w:rFonts w:ascii="宋体" w:hAnsi="宋体" w:cs="宋体"/>
          <w:bCs/>
          <w:kern w:val="0"/>
        </w:rPr>
      </w:pPr>
      <w:r>
        <w:rPr>
          <w:rFonts w:hint="eastAsia" w:ascii="宋体" w:hAnsi="宋体" w:cs="宋体"/>
          <w:bCs/>
          <w:kern w:val="0"/>
        </w:rPr>
        <w:t>4.3 残疾人福利性单位标准请参照《关于促进残疾人就业政府采购政策的通知》（财库〔2017〕141号）。</w:t>
      </w:r>
    </w:p>
    <w:p>
      <w:pPr>
        <w:spacing w:line="360" w:lineRule="auto"/>
        <w:rPr>
          <w:rFonts w:ascii="宋体" w:hAnsi="宋体" w:cs="宋体"/>
          <w:bCs/>
          <w:kern w:val="0"/>
          <w:sz w:val="32"/>
          <w:szCs w:val="44"/>
        </w:rPr>
      </w:pPr>
      <w:r>
        <w:rPr>
          <w:rFonts w:hint="eastAsia" w:ascii="宋体" w:hAnsi="宋体" w:cs="宋体"/>
          <w:bCs/>
          <w:kern w:val="0"/>
        </w:rPr>
        <w:t>5. 监狱企业、残疾人福利性单位属于小型、微型企业的，不重复享受政策。</w:t>
      </w:r>
      <w:r>
        <w:rPr>
          <w:rFonts w:hint="eastAsia" w:ascii="宋体" w:hAnsi="宋体" w:cs="宋体"/>
          <w:bCs/>
          <w:kern w:val="0"/>
        </w:rPr>
        <w:br w:type="page"/>
      </w:r>
    </w:p>
    <w:p>
      <w:pPr>
        <w:pStyle w:val="4"/>
        <w:numPr>
          <w:ilvl w:val="0"/>
          <w:numId w:val="0"/>
        </w:numPr>
        <w:rPr>
          <w:rFonts w:ascii="宋体" w:hAnsi="宋体" w:cs="宋体"/>
        </w:rPr>
      </w:pPr>
      <w:bookmarkStart w:id="7" w:name="_Toc23380"/>
      <w:r>
        <w:rPr>
          <w:rFonts w:hint="eastAsia" w:ascii="宋体" w:hAnsi="宋体" w:cs="宋体"/>
        </w:rPr>
        <w:t>第四章 采购需求</w:t>
      </w:r>
      <w:bookmarkEnd w:id="7"/>
      <w:bookmarkStart w:id="8" w:name="_Toc481057147"/>
    </w:p>
    <w:p>
      <w:pPr>
        <w:spacing w:line="360" w:lineRule="auto"/>
        <w:ind w:firstLine="422" w:firstLineChars="200"/>
      </w:pPr>
      <w:r>
        <w:rPr>
          <w:rFonts w:hint="eastAsia" w:ascii="宋体" w:hAnsi="宋体" w:cs="宋体"/>
          <w:b/>
          <w:bCs/>
          <w:color w:val="000000"/>
          <w:kern w:val="0"/>
          <w:szCs w:val="21"/>
          <w:lang w:bidi="ar"/>
        </w:rPr>
        <w:t>（本章所有要求均为实质性要求，不接受负偏离，否则作为无效投标处理。本章所有要求投标人须在《采购需求偏离表》中列明响应情况。</w:t>
      </w:r>
      <w:r>
        <w:rPr>
          <w:rFonts w:hint="eastAsia" w:ascii="宋体" w:hAnsi="宋体" w:cs="宋体"/>
          <w:b/>
          <w:bCs/>
          <w:color w:val="000000"/>
          <w:kern w:val="0"/>
          <w:szCs w:val="21"/>
          <w:lang w:val="en-US" w:eastAsia="zh-CN" w:bidi="ar"/>
        </w:rPr>
        <w:t>本采购需求适用于标段一、标段二</w:t>
      </w:r>
      <w:r>
        <w:rPr>
          <w:rFonts w:hint="eastAsia" w:ascii="宋体" w:hAnsi="宋体" w:cs="宋体"/>
          <w:b/>
          <w:bCs/>
          <w:color w:val="000000"/>
          <w:kern w:val="0"/>
          <w:szCs w:val="21"/>
          <w:lang w:bidi="ar"/>
        </w:rPr>
        <w:t>）</w:t>
      </w:r>
    </w:p>
    <w:p>
      <w:pPr>
        <w:spacing w:line="360" w:lineRule="auto"/>
        <w:ind w:firstLine="422" w:firstLineChars="200"/>
        <w:rPr>
          <w:rFonts w:ascii="宋体" w:hAnsi="宋体" w:cs="宋体"/>
          <w:b/>
          <w:bCs/>
          <w:szCs w:val="21"/>
        </w:rPr>
      </w:pPr>
    </w:p>
    <w:p>
      <w:pPr>
        <w:spacing w:line="360" w:lineRule="auto"/>
        <w:ind w:firstLine="422" w:firstLineChars="200"/>
        <w:rPr>
          <w:rFonts w:ascii="宋体" w:hAnsi="宋体" w:cs="宋体"/>
          <w:b/>
          <w:bCs/>
          <w:szCs w:val="21"/>
        </w:rPr>
      </w:pPr>
      <w:r>
        <w:rPr>
          <w:rFonts w:hint="eastAsia" w:ascii="宋体" w:hAnsi="宋体" w:cs="宋体"/>
          <w:b/>
          <w:bCs/>
          <w:szCs w:val="21"/>
        </w:rPr>
        <w:t>一、项目背景</w:t>
      </w:r>
    </w:p>
    <w:p>
      <w:pPr>
        <w:spacing w:line="360" w:lineRule="auto"/>
        <w:ind w:firstLine="420" w:firstLineChars="200"/>
        <w:rPr>
          <w:rFonts w:ascii="宋体" w:hAnsi="宋体" w:cs="宋体"/>
          <w:szCs w:val="21"/>
        </w:rPr>
      </w:pPr>
      <w:r>
        <w:rPr>
          <w:rFonts w:hint="eastAsia" w:ascii="宋体" w:hAnsi="宋体" w:cs="宋体"/>
          <w:szCs w:val="21"/>
        </w:rPr>
        <w:t>为贯彻落实《国务院办公厅关于加强环境监管执法的通知》精神和省、市关于建立环境执法监管网格的要求，按照“属地管理、分级履职、无缝对接、全面覆盖、责任到人、监管到位</w:t>
      </w:r>
      <w:r>
        <w:rPr>
          <w:rFonts w:ascii="宋体" w:hAnsi="宋体" w:cs="宋体"/>
          <w:szCs w:val="21"/>
        </w:rPr>
        <w:t>”</w:t>
      </w:r>
      <w:r>
        <w:rPr>
          <w:rFonts w:hint="eastAsia" w:ascii="宋体" w:hAnsi="宋体" w:cs="宋体"/>
          <w:szCs w:val="21"/>
        </w:rPr>
        <w:t>的原则，全面推行网格化环境监管体系，根据我园区实际，拟通过引入</w:t>
      </w:r>
      <w:r>
        <w:rPr>
          <w:rFonts w:ascii="宋体" w:hAnsi="宋体" w:cs="宋体"/>
          <w:szCs w:val="21"/>
        </w:rPr>
        <w:t>“</w:t>
      </w:r>
      <w:r>
        <w:rPr>
          <w:rFonts w:hint="eastAsia" w:ascii="宋体" w:hAnsi="宋体" w:cs="宋体"/>
          <w:szCs w:val="21"/>
        </w:rPr>
        <w:t>环保管家</w:t>
      </w:r>
      <w:r>
        <w:rPr>
          <w:rFonts w:ascii="宋体" w:hAnsi="宋体" w:cs="宋体"/>
          <w:szCs w:val="21"/>
        </w:rPr>
        <w:t>”</w:t>
      </w:r>
      <w:r>
        <w:rPr>
          <w:rFonts w:hint="eastAsia" w:ascii="宋体" w:hAnsi="宋体" w:cs="宋体"/>
          <w:szCs w:val="21"/>
        </w:rPr>
        <w:t>开展此项工作，进一步提高园区环境管理水平。</w:t>
      </w:r>
    </w:p>
    <w:p>
      <w:pPr>
        <w:spacing w:line="360" w:lineRule="auto"/>
        <w:ind w:firstLine="422" w:firstLineChars="200"/>
        <w:rPr>
          <w:rFonts w:ascii="宋体" w:hAnsi="宋体" w:cs="宋体"/>
          <w:b/>
          <w:bCs/>
          <w:szCs w:val="21"/>
        </w:rPr>
      </w:pPr>
      <w:r>
        <w:rPr>
          <w:rFonts w:hint="eastAsia" w:ascii="宋体" w:hAnsi="宋体" w:cs="宋体"/>
          <w:b/>
          <w:bCs/>
          <w:szCs w:val="21"/>
        </w:rPr>
        <w:t>二、服务内容</w:t>
      </w:r>
    </w:p>
    <w:p>
      <w:pPr>
        <w:spacing w:line="360" w:lineRule="auto"/>
        <w:ind w:firstLine="420" w:firstLineChars="200"/>
        <w:rPr>
          <w:rFonts w:ascii="宋体" w:hAnsi="宋体" w:cs="宋体"/>
          <w:szCs w:val="21"/>
        </w:rPr>
      </w:pPr>
      <w:r>
        <w:rPr>
          <w:rFonts w:hint="eastAsia" w:ascii="宋体" w:hAnsi="宋体" w:cs="宋体"/>
          <w:szCs w:val="21"/>
        </w:rPr>
        <w:t>（一）围绕彩虹桥国控点、大气、水环境、危废固废等整治提升常态化开展。包括但不限于：一是调查并梳理工业企业污染环节排放达标并结合新规范标准提出治理方向及建议，并将相关整改纳入年度治气任务。二是园区涉气企业日常检查，每天分两组人员（2人/组，1人负责监测、1人负责记录）落实白天6家企业，夜间5家企业开展昼夜检查，重点开展企业日常巡查、检查、监测工作，该项工作每季度至少完成1轮全覆盖检查。三是活性炭设施入户核查及常态化监督，按照每周至少2天开展核查（核查时间约2h/家），半年内完成1轮全覆盖，每年根据企业入驻情况动态更新活性炭设施总量。四是大气热点网格报警处理（24h无差别），至少2-3名人员24小时关注大气网格报警平台，并根据平台推送的报警情况，要求8h内完成报警点位现场及周边环境排查，问题的处置、反馈，逾期未处理，通报并纳入年终考核。五是对O3、PM2.5、VOCs高浓度点位现场核查检测处理（区局要求1h内响应），根据区生态环境局下达的应急指令，至少1-2名人员1小时内赶赴并抵达高值浓度点位，结合便携式设备进行检测及周边环境排查，并根据现场问题处理或联系相关部门解决结果反馈区局。六是对玉带圩、解溪河、外港河沿线企业、高校及事业单位雨水排口节点井点位动态排查，以上点位需要至少2人每季度排查覆盖。七是针对企业危险废物产生、贮存等方面进行排查整治，至少2-3人开展产废单位检查（每年一轮全覆盖），100吨以上产废企业（20天一轮覆盖），产废10吨以上企业（40天一轮全覆盖）。</w:t>
      </w:r>
    </w:p>
    <w:p>
      <w:pPr>
        <w:spacing w:line="360" w:lineRule="auto"/>
        <w:ind w:firstLine="420" w:firstLineChars="200"/>
        <w:rPr>
          <w:rFonts w:ascii="宋体" w:hAnsi="宋体" w:cs="宋体"/>
          <w:szCs w:val="21"/>
        </w:rPr>
      </w:pPr>
      <w:r>
        <w:rPr>
          <w:rFonts w:hint="eastAsia" w:ascii="宋体" w:hAnsi="宋体" w:cs="宋体"/>
          <w:szCs w:val="21"/>
        </w:rPr>
        <w:t>（二）应急性、突发性专项工作。此类工作主要特点是周期短、时间紧、任务重、专业性强，需要依靠第三方技术力量支持。包括但不限于：一是每年重污染天气应急管控企业评级报告、豁免申请等材料收集、初审，园区企业审核周期1个月内。二是每年开展的大气污染源清单填报工作，每年开展的环境统计填报工作。三是园区企业开展突发环境事件隐患排查工作，排查周期20日左右（每天最多完成排查3-4家企业）。四是智能门禁系统上门核查，根据区局要求对园区企业门禁系统的数据完整性、视频完整性、备案完整性等方面进行核查（每天核查最多3-4家企业）。其他包括但不限于：完成园区涉及废金属处置方式及产生量摸排统计，园区企业汽修废油、废电瓶产生及处置情况初步排查核实；完成园区涉工业污泥产生的企业产生、处置情况排查核实并汇总；涉及化学物质企业网上填报信息准确性及合规性上门核查等均为阶段性专项等工作。</w:t>
      </w:r>
    </w:p>
    <w:p>
      <w:pPr>
        <w:spacing w:line="360" w:lineRule="auto"/>
        <w:ind w:firstLine="420" w:firstLineChars="200"/>
        <w:rPr>
          <w:rFonts w:ascii="宋体" w:hAnsi="宋体" w:cs="宋体"/>
          <w:szCs w:val="21"/>
        </w:rPr>
      </w:pPr>
      <w:r>
        <w:rPr>
          <w:rFonts w:hint="eastAsia" w:ascii="宋体" w:hAnsi="宋体" w:cs="宋体"/>
          <w:szCs w:val="21"/>
        </w:rPr>
        <w:t>（三）日常工作交流促进及培训。通过引入环保管家，一是能够与第三方单位在日常工作中互为补充、互相学习。二是组织专家不定期结合水、气、声、固废和土壤开展专项业务培训。</w:t>
      </w:r>
    </w:p>
    <w:p>
      <w:pPr>
        <w:spacing w:line="360" w:lineRule="auto"/>
        <w:ind w:firstLine="422" w:firstLineChars="200"/>
        <w:rPr>
          <w:rFonts w:ascii="宋体" w:hAnsi="宋体" w:cs="宋体"/>
          <w:b/>
          <w:bCs/>
          <w:szCs w:val="21"/>
        </w:rPr>
      </w:pPr>
      <w:r>
        <w:rPr>
          <w:rFonts w:hint="eastAsia" w:ascii="宋体" w:hAnsi="宋体" w:cs="宋体"/>
          <w:b/>
          <w:bCs/>
          <w:szCs w:val="21"/>
        </w:rPr>
        <w:t>三、服务要求、费用、时限</w:t>
      </w:r>
    </w:p>
    <w:p>
      <w:pPr>
        <w:spacing w:line="360" w:lineRule="auto"/>
        <w:ind w:firstLine="420" w:firstLineChars="200"/>
        <w:rPr>
          <w:rFonts w:ascii="宋体" w:hAnsi="宋体" w:cs="宋体"/>
          <w:szCs w:val="21"/>
        </w:rPr>
      </w:pPr>
      <w:r>
        <w:rPr>
          <w:rFonts w:hint="eastAsia" w:ascii="宋体" w:hAnsi="宋体" w:cs="宋体"/>
          <w:szCs w:val="21"/>
        </w:rPr>
        <w:t>本项目分为两个标段（标段一、标段二），每标段预算为80万元，预算160万元/年，一年一招。要求由两家有资质的第三方环保公司各派遣不少于5名技术人员（1名项目负责人，4名项目组成员）及2辆工作车开展“环保管家服务”，原则上每周一至周日开展日常环境工作，每天白天工作时间早上9:00-晚上18:00（8h），夜间19:00-23:00（4h）开展专项夜查。</w:t>
      </w:r>
    </w:p>
    <w:p>
      <w:pPr>
        <w:pStyle w:val="2"/>
        <w:spacing w:line="360" w:lineRule="auto"/>
        <w:rPr>
          <w:rFonts w:hint="eastAsia"/>
        </w:rPr>
      </w:pPr>
      <w:r>
        <w:rPr>
          <w:rFonts w:hint="eastAsia"/>
        </w:rPr>
        <w:t>在服务期内，供应商接到采购人指令后须在0.5小时以内到达本次招标涉及的任一场所并开展工作，并在江宁高新区驻点工作。</w:t>
      </w:r>
    </w:p>
    <w:p>
      <w:pPr>
        <w:widowControl/>
        <w:spacing w:line="360" w:lineRule="auto"/>
        <w:ind w:firstLine="422" w:firstLineChars="200"/>
        <w:jc w:val="left"/>
      </w:pPr>
      <w:r>
        <w:rPr>
          <w:rFonts w:hint="eastAsia" w:ascii="宋体" w:hAnsi="宋体" w:cs="宋体"/>
          <w:b/>
          <w:bCs/>
          <w:color w:val="000000"/>
          <w:kern w:val="0"/>
          <w:szCs w:val="21"/>
          <w:lang w:bidi="ar"/>
        </w:rPr>
        <w:t>四、付款方式</w:t>
      </w:r>
    </w:p>
    <w:p>
      <w:pPr>
        <w:spacing w:line="360" w:lineRule="auto"/>
        <w:ind w:firstLine="420" w:firstLineChars="200"/>
        <w:rPr>
          <w:rFonts w:ascii="宋体" w:hAnsi="宋体" w:cs="宋体"/>
          <w:szCs w:val="21"/>
        </w:rPr>
      </w:pPr>
      <w:r>
        <w:rPr>
          <w:rFonts w:hint="eastAsia" w:ascii="宋体" w:hAnsi="宋体" w:cs="宋体"/>
          <w:color w:val="000000"/>
          <w:kern w:val="0"/>
          <w:szCs w:val="21"/>
          <w:lang w:bidi="ar"/>
        </w:rPr>
        <w:t>江宁高新区环保工作部负责每季度对各环保管家进行考核，并根据每季度考核金额由采购人按季拨付：</w:t>
      </w:r>
      <w:r>
        <w:rPr>
          <w:rFonts w:hint="eastAsia" w:ascii="宋体" w:hAnsi="宋体" w:cs="宋体"/>
          <w:szCs w:val="21"/>
        </w:rPr>
        <w:t>（1）综合考核分数在80分（含）以上的，当季全额支付服务费用；（2）综合考核分数在70（含）-80分的，</w:t>
      </w:r>
      <w:r>
        <w:rPr>
          <w:rFonts w:hint="eastAsia" w:ascii="宋体" w:hAnsi="宋体" w:cs="宋体"/>
          <w:spacing w:val="-13"/>
          <w:szCs w:val="21"/>
        </w:rPr>
        <w:t>扣除当季服务费用的</w:t>
      </w:r>
      <w:r>
        <w:rPr>
          <w:rFonts w:hint="eastAsia" w:ascii="宋体" w:hAnsi="宋体" w:cs="宋体"/>
          <w:szCs w:val="21"/>
        </w:rPr>
        <w:t>1%；（3）综合考核分数在60（含）-70分的，扣除</w:t>
      </w:r>
      <w:r>
        <w:rPr>
          <w:rFonts w:hint="eastAsia" w:ascii="宋体" w:hAnsi="宋体" w:cs="宋体"/>
          <w:spacing w:val="-13"/>
          <w:szCs w:val="21"/>
        </w:rPr>
        <w:t>当季服务费用</w:t>
      </w:r>
      <w:r>
        <w:rPr>
          <w:rFonts w:hint="eastAsia" w:ascii="宋体" w:hAnsi="宋体" w:cs="宋体"/>
          <w:szCs w:val="21"/>
        </w:rPr>
        <w:t>的2%；（4）综合考核分数在60分以下的，扣除</w:t>
      </w:r>
      <w:r>
        <w:rPr>
          <w:rFonts w:hint="eastAsia" w:ascii="宋体" w:hAnsi="宋体" w:cs="宋体"/>
          <w:spacing w:val="-13"/>
          <w:szCs w:val="21"/>
        </w:rPr>
        <w:t>当季服务费用</w:t>
      </w:r>
      <w:r>
        <w:rPr>
          <w:rFonts w:hint="eastAsia" w:ascii="宋体" w:hAnsi="宋体" w:cs="宋体"/>
          <w:szCs w:val="21"/>
        </w:rPr>
        <w:t>的5%。</w:t>
      </w:r>
    </w:p>
    <w:p>
      <w:pPr>
        <w:spacing w:line="360" w:lineRule="auto"/>
        <w:ind w:firstLine="422" w:firstLineChars="200"/>
        <w:rPr>
          <w:rFonts w:ascii="宋体" w:hAnsi="宋体" w:cs="宋体"/>
          <w:b/>
          <w:bCs/>
          <w:szCs w:val="21"/>
        </w:rPr>
      </w:pPr>
      <w:r>
        <w:rPr>
          <w:rFonts w:hint="eastAsia" w:ascii="宋体" w:hAnsi="宋体" w:cs="宋体"/>
          <w:b/>
          <w:bCs/>
          <w:szCs w:val="21"/>
        </w:rPr>
        <w:t>五、考核办法</w:t>
      </w:r>
    </w:p>
    <w:p>
      <w:pPr>
        <w:spacing w:line="360" w:lineRule="auto"/>
        <w:ind w:firstLine="420" w:firstLineChars="200"/>
        <w:rPr>
          <w:rFonts w:ascii="宋体" w:hAnsi="宋体" w:cs="宋体"/>
          <w:szCs w:val="21"/>
        </w:rPr>
      </w:pPr>
      <w:r>
        <w:rPr>
          <w:rFonts w:hint="eastAsia" w:ascii="宋体" w:hAnsi="宋体" w:cs="宋体"/>
          <w:szCs w:val="21"/>
          <w:lang w:bidi="ar"/>
        </w:rPr>
        <w:t>1、环保管家单位根据职责对企业的环保法规、政策执行情况及产污治污情况进行管理，同时加强技术服务与指导，协助企业优化治污工艺技术和运行参数，保证三废稳定达标排放，提高企业的环境管理水平。</w:t>
      </w:r>
    </w:p>
    <w:p>
      <w:pPr>
        <w:spacing w:line="360" w:lineRule="auto"/>
        <w:ind w:firstLine="420" w:firstLineChars="200"/>
        <w:rPr>
          <w:rFonts w:ascii="宋体" w:hAnsi="宋体" w:cs="宋体"/>
          <w:szCs w:val="21"/>
        </w:rPr>
      </w:pPr>
      <w:r>
        <w:rPr>
          <w:rFonts w:hint="eastAsia" w:ascii="宋体" w:hAnsi="宋体" w:cs="宋体"/>
          <w:szCs w:val="21"/>
          <w:lang w:bidi="ar"/>
        </w:rPr>
        <w:t>2、环保管家单位提供管理服务须实事求是，不得从事违法违规活动，不得在监测数据、运维台账、其他管理数据等进行弄虚作假、人为更改，保持数据真实性、有效性。</w:t>
      </w:r>
    </w:p>
    <w:p>
      <w:pPr>
        <w:spacing w:line="360" w:lineRule="auto"/>
        <w:ind w:firstLine="420" w:firstLineChars="200"/>
        <w:rPr>
          <w:rFonts w:ascii="宋体" w:hAnsi="宋体" w:cs="宋体"/>
          <w:szCs w:val="21"/>
        </w:rPr>
      </w:pPr>
      <w:r>
        <w:rPr>
          <w:rFonts w:hint="eastAsia" w:ascii="宋体" w:hAnsi="宋体" w:cs="宋体"/>
          <w:szCs w:val="21"/>
          <w:lang w:bidi="ar"/>
        </w:rPr>
        <w:t>3、</w:t>
      </w:r>
      <w:r>
        <w:rPr>
          <w:rFonts w:hint="eastAsia" w:ascii="宋体" w:hAnsi="宋体" w:cs="宋体"/>
          <w:color w:val="000000"/>
          <w:kern w:val="0"/>
          <w:szCs w:val="21"/>
          <w:lang w:bidi="ar"/>
        </w:rPr>
        <w:t>江宁高新区环保工作部</w:t>
      </w:r>
      <w:r>
        <w:rPr>
          <w:rFonts w:hint="eastAsia" w:ascii="宋体" w:hAnsi="宋体" w:cs="宋体"/>
          <w:szCs w:val="21"/>
          <w:lang w:bidi="ar"/>
        </w:rPr>
        <w:t>负责环保管家单位的日常管理和考核工作。</w:t>
      </w:r>
    </w:p>
    <w:p>
      <w:pPr>
        <w:spacing w:line="360" w:lineRule="auto"/>
        <w:ind w:firstLine="420" w:firstLineChars="200"/>
        <w:rPr>
          <w:rFonts w:ascii="宋体" w:hAnsi="宋体" w:cs="宋体"/>
          <w:szCs w:val="21"/>
        </w:rPr>
      </w:pPr>
      <w:r>
        <w:rPr>
          <w:rFonts w:hint="eastAsia" w:ascii="宋体" w:hAnsi="宋体" w:cs="宋体"/>
          <w:szCs w:val="21"/>
          <w:lang w:bidi="ar"/>
        </w:rPr>
        <w:t>4、环保管家单位需按项目要求配备相应的技术人员和专用的管理用车，相关资料报</w:t>
      </w:r>
      <w:r>
        <w:rPr>
          <w:rFonts w:hint="eastAsia" w:ascii="宋体" w:hAnsi="宋体" w:cs="宋体"/>
          <w:color w:val="000000"/>
          <w:kern w:val="0"/>
          <w:szCs w:val="21"/>
          <w:lang w:bidi="ar"/>
        </w:rPr>
        <w:t>江宁高新区环保工作部</w:t>
      </w:r>
      <w:r>
        <w:rPr>
          <w:rFonts w:hint="eastAsia" w:ascii="宋体" w:hAnsi="宋体" w:cs="宋体"/>
          <w:szCs w:val="21"/>
          <w:lang w:bidi="ar"/>
        </w:rPr>
        <w:t>。</w:t>
      </w:r>
    </w:p>
    <w:p>
      <w:pPr>
        <w:spacing w:line="360" w:lineRule="auto"/>
        <w:ind w:firstLine="420" w:firstLineChars="200"/>
        <w:rPr>
          <w:rFonts w:ascii="宋体" w:hAnsi="宋体" w:cs="宋体"/>
          <w:szCs w:val="21"/>
        </w:rPr>
      </w:pPr>
      <w:r>
        <w:rPr>
          <w:rFonts w:hint="eastAsia" w:ascii="宋体" w:hAnsi="宋体" w:cs="宋体"/>
          <w:szCs w:val="21"/>
          <w:lang w:bidi="ar"/>
        </w:rPr>
        <w:t>5、环保管家单位需制定和完善管理服务的实施方案。建立健全各项管理工作制度，制定问题发现和抄告制度、问题跟踪管理工作制度和应急管理响应制度等，相关制度报</w:t>
      </w:r>
      <w:r>
        <w:rPr>
          <w:rFonts w:hint="eastAsia" w:ascii="宋体" w:hAnsi="宋体" w:cs="宋体"/>
          <w:color w:val="000000"/>
          <w:kern w:val="0"/>
          <w:szCs w:val="21"/>
          <w:lang w:bidi="ar"/>
        </w:rPr>
        <w:t>江宁高新区环保工作部</w:t>
      </w:r>
      <w:r>
        <w:rPr>
          <w:rFonts w:hint="eastAsia" w:ascii="宋体" w:hAnsi="宋体" w:cs="宋体"/>
          <w:szCs w:val="21"/>
          <w:lang w:bidi="ar"/>
        </w:rPr>
        <w:t>。</w:t>
      </w:r>
    </w:p>
    <w:p>
      <w:pPr>
        <w:spacing w:line="360" w:lineRule="auto"/>
        <w:ind w:firstLine="420" w:firstLineChars="200"/>
        <w:rPr>
          <w:rFonts w:ascii="宋体" w:hAnsi="宋体" w:cs="宋体"/>
          <w:szCs w:val="21"/>
        </w:rPr>
      </w:pPr>
      <w:r>
        <w:rPr>
          <w:rFonts w:hint="eastAsia" w:ascii="宋体" w:hAnsi="宋体" w:cs="宋体"/>
          <w:szCs w:val="21"/>
          <w:lang w:bidi="ar"/>
        </w:rPr>
        <w:t>6、环保管家单位根据合同内容要求开展管理工作。重点查看企业环评制度履行情况、污染物处理设施运行和污染物排放情况，管理设施运行记录、台账记录；定期对企业污染物排放进行监测分析。</w:t>
      </w:r>
    </w:p>
    <w:p>
      <w:pPr>
        <w:spacing w:line="360" w:lineRule="auto"/>
        <w:ind w:firstLine="420" w:firstLineChars="200"/>
        <w:rPr>
          <w:rFonts w:ascii="宋体" w:hAnsi="宋体" w:cs="宋体"/>
          <w:szCs w:val="21"/>
        </w:rPr>
      </w:pPr>
      <w:r>
        <w:rPr>
          <w:rFonts w:hint="eastAsia" w:ascii="宋体" w:hAnsi="宋体" w:cs="宋体"/>
          <w:szCs w:val="21"/>
          <w:lang w:bidi="ar"/>
        </w:rPr>
        <w:t>7、环保管家单位对管理过程中发现的问题进行分析，提出整改意见，每月形成月报，每季度形成季报，分别于次月5日和次季度10日前上报</w:t>
      </w:r>
      <w:r>
        <w:rPr>
          <w:rFonts w:hint="eastAsia" w:ascii="宋体" w:hAnsi="宋体" w:cs="宋体"/>
          <w:color w:val="000000"/>
          <w:kern w:val="0"/>
          <w:szCs w:val="21"/>
          <w:lang w:bidi="ar"/>
        </w:rPr>
        <w:t>江宁高新区环保工作部</w:t>
      </w:r>
      <w:r>
        <w:rPr>
          <w:rFonts w:hint="eastAsia" w:ascii="宋体" w:hAnsi="宋体" w:cs="宋体"/>
          <w:szCs w:val="21"/>
          <w:lang w:bidi="ar"/>
        </w:rPr>
        <w:t>。</w:t>
      </w:r>
    </w:p>
    <w:p>
      <w:pPr>
        <w:spacing w:line="360" w:lineRule="auto"/>
        <w:ind w:firstLine="420" w:firstLineChars="200"/>
        <w:rPr>
          <w:rFonts w:ascii="宋体" w:hAnsi="宋体" w:cs="宋体"/>
          <w:szCs w:val="21"/>
        </w:rPr>
      </w:pPr>
      <w:r>
        <w:rPr>
          <w:rFonts w:hint="eastAsia" w:ascii="宋体" w:hAnsi="宋体" w:cs="宋体"/>
          <w:szCs w:val="21"/>
          <w:lang w:bidi="ar"/>
        </w:rPr>
        <w:t>8、环保管家单位每年至少开展2次以上环保业务集中式培训，帮助企业培训设施操作人员和环保管理人员。对于管理过程中发现的企业环保工作人员的操作问题，要在现场及时提出并帮助企业整改。</w:t>
      </w:r>
    </w:p>
    <w:p>
      <w:pPr>
        <w:spacing w:line="360" w:lineRule="auto"/>
        <w:ind w:firstLine="420" w:firstLineChars="200"/>
        <w:rPr>
          <w:rFonts w:ascii="宋体" w:hAnsi="宋体" w:cs="宋体"/>
          <w:szCs w:val="21"/>
        </w:rPr>
      </w:pPr>
      <w:r>
        <w:rPr>
          <w:rFonts w:hint="eastAsia" w:ascii="宋体" w:hAnsi="宋体" w:cs="宋体"/>
          <w:szCs w:val="21"/>
          <w:lang w:bidi="ar"/>
        </w:rPr>
        <w:t>9、环保管家单位协助采购人处理信访投诉、处置突发环境事故及完成布置的其他工作。</w:t>
      </w:r>
    </w:p>
    <w:p>
      <w:pPr>
        <w:spacing w:line="360" w:lineRule="auto"/>
        <w:ind w:firstLine="420" w:firstLineChars="200"/>
        <w:rPr>
          <w:rFonts w:ascii="宋体" w:hAnsi="宋体" w:cs="宋体"/>
          <w:szCs w:val="21"/>
        </w:rPr>
      </w:pPr>
      <w:r>
        <w:rPr>
          <w:rFonts w:hint="eastAsia" w:ascii="宋体" w:hAnsi="宋体" w:cs="宋体"/>
          <w:szCs w:val="21"/>
          <w:lang w:bidi="ar"/>
        </w:rPr>
        <w:t>10、环保管家单位要建立与</w:t>
      </w:r>
      <w:r>
        <w:rPr>
          <w:rFonts w:hint="eastAsia" w:ascii="宋体" w:hAnsi="宋体" w:cs="宋体"/>
          <w:color w:val="000000"/>
          <w:kern w:val="0"/>
          <w:szCs w:val="21"/>
          <w:lang w:bidi="ar"/>
        </w:rPr>
        <w:t>江宁高新区环保工作部</w:t>
      </w:r>
      <w:r>
        <w:rPr>
          <w:rFonts w:hint="eastAsia" w:ascii="宋体" w:hAnsi="宋体" w:cs="宋体"/>
          <w:szCs w:val="21"/>
          <w:lang w:bidi="ar"/>
        </w:rPr>
        <w:t>日常沟通机制，及时反馈管理信息。</w:t>
      </w:r>
    </w:p>
    <w:p>
      <w:pPr>
        <w:spacing w:line="360" w:lineRule="auto"/>
        <w:ind w:firstLine="420" w:firstLineChars="200"/>
        <w:rPr>
          <w:rFonts w:ascii="宋体" w:hAnsi="宋体" w:cs="宋体"/>
          <w:szCs w:val="21"/>
        </w:rPr>
      </w:pPr>
      <w:r>
        <w:rPr>
          <w:rFonts w:hint="eastAsia" w:ascii="宋体" w:hAnsi="宋体" w:cs="宋体"/>
          <w:szCs w:val="21"/>
          <w:lang w:bidi="ar"/>
        </w:rPr>
        <w:t>11、环保管家单位对于管理过程中发现的企业“三废”台账记录不规范，雨污分流不彻底等行为，要及时督促企业立即整改；发现企业有涉嫌逃避监管、私设暗管等行为，以及企业周边环境有异常等情况，应立即上报</w:t>
      </w:r>
      <w:r>
        <w:rPr>
          <w:rFonts w:hint="eastAsia" w:ascii="宋体" w:hAnsi="宋体" w:cs="宋体"/>
          <w:color w:val="000000"/>
          <w:kern w:val="0"/>
          <w:szCs w:val="21"/>
          <w:lang w:bidi="ar"/>
        </w:rPr>
        <w:t>江宁高新区环保工作部</w:t>
      </w:r>
      <w:r>
        <w:rPr>
          <w:rFonts w:hint="eastAsia" w:ascii="宋体" w:hAnsi="宋体" w:cs="宋体"/>
          <w:szCs w:val="21"/>
          <w:lang w:bidi="ar"/>
        </w:rPr>
        <w:t>。</w:t>
      </w:r>
    </w:p>
    <w:p>
      <w:pPr>
        <w:spacing w:line="360" w:lineRule="auto"/>
        <w:ind w:firstLine="420" w:firstLineChars="200"/>
        <w:rPr>
          <w:rFonts w:ascii="宋体" w:hAnsi="宋体" w:cs="宋体"/>
          <w:szCs w:val="21"/>
        </w:rPr>
      </w:pPr>
      <w:r>
        <w:rPr>
          <w:rFonts w:hint="eastAsia" w:ascii="宋体" w:hAnsi="宋体" w:cs="宋体"/>
          <w:szCs w:val="21"/>
          <w:lang w:bidi="ar"/>
        </w:rPr>
        <w:t>12、环保管家单位对于管理过程中发现的企业“三废”排放出现异常情况，应做好现场的保护工作并立即上报</w:t>
      </w:r>
      <w:r>
        <w:rPr>
          <w:rFonts w:hint="eastAsia" w:ascii="宋体" w:hAnsi="宋体" w:cs="宋体"/>
          <w:color w:val="000000"/>
          <w:kern w:val="0"/>
          <w:szCs w:val="21"/>
          <w:lang w:bidi="ar"/>
        </w:rPr>
        <w:t>江宁高新区环保工作部</w:t>
      </w:r>
      <w:r>
        <w:rPr>
          <w:rFonts w:hint="eastAsia" w:ascii="宋体" w:hAnsi="宋体" w:cs="宋体"/>
          <w:szCs w:val="21"/>
          <w:lang w:bidi="ar"/>
        </w:rPr>
        <w:t>。</w:t>
      </w:r>
    </w:p>
    <w:p>
      <w:pPr>
        <w:spacing w:line="360" w:lineRule="auto"/>
        <w:ind w:firstLine="420" w:firstLineChars="200"/>
        <w:rPr>
          <w:rFonts w:ascii="宋体" w:hAnsi="宋体" w:cs="宋体"/>
          <w:szCs w:val="21"/>
        </w:rPr>
      </w:pPr>
      <w:r>
        <w:rPr>
          <w:rFonts w:hint="eastAsia" w:ascii="宋体" w:hAnsi="宋体" w:cs="宋体"/>
          <w:szCs w:val="21"/>
          <w:lang w:bidi="ar"/>
        </w:rPr>
        <w:t>13、环保管家单位对于发生环境污染事件或事故的，要在第一时间协助企业启动环境应急预案并上报</w:t>
      </w:r>
      <w:r>
        <w:rPr>
          <w:rFonts w:hint="eastAsia" w:ascii="宋体" w:hAnsi="宋体" w:cs="宋体"/>
          <w:color w:val="000000"/>
          <w:kern w:val="0"/>
          <w:szCs w:val="21"/>
          <w:lang w:bidi="ar"/>
        </w:rPr>
        <w:t>江宁高新区环保工作部</w:t>
      </w:r>
      <w:r>
        <w:rPr>
          <w:rFonts w:hint="eastAsia" w:ascii="宋体" w:hAnsi="宋体" w:cs="宋体"/>
          <w:szCs w:val="21"/>
          <w:lang w:bidi="ar"/>
        </w:rPr>
        <w:t>。</w:t>
      </w:r>
    </w:p>
    <w:p>
      <w:pPr>
        <w:spacing w:line="360" w:lineRule="auto"/>
        <w:ind w:firstLine="420" w:firstLineChars="200"/>
        <w:rPr>
          <w:rFonts w:ascii="宋体" w:hAnsi="宋体" w:cs="宋体"/>
          <w:szCs w:val="21"/>
        </w:rPr>
      </w:pPr>
      <w:r>
        <w:rPr>
          <w:rFonts w:hint="eastAsia" w:ascii="宋体" w:hAnsi="宋体" w:cs="宋体"/>
          <w:szCs w:val="21"/>
          <w:lang w:bidi="ar"/>
        </w:rPr>
        <w:t>14、环保管家单位要积极配合园区，做好各级生态环境部门检查中发现环境违法行为的后续跟踪管理工作。</w:t>
      </w:r>
    </w:p>
    <w:p>
      <w:pPr>
        <w:spacing w:line="360" w:lineRule="auto"/>
        <w:ind w:firstLine="420" w:firstLineChars="200"/>
        <w:rPr>
          <w:rFonts w:ascii="宋体" w:hAnsi="宋体" w:cs="宋体"/>
          <w:szCs w:val="21"/>
        </w:rPr>
      </w:pPr>
      <w:r>
        <w:rPr>
          <w:rFonts w:hint="eastAsia" w:ascii="宋体" w:hAnsi="宋体" w:cs="宋体"/>
          <w:szCs w:val="21"/>
          <w:lang w:bidi="ar"/>
        </w:rPr>
        <w:t>15、</w:t>
      </w:r>
      <w:r>
        <w:rPr>
          <w:rFonts w:hint="eastAsia" w:ascii="宋体" w:hAnsi="宋体" w:cs="宋体"/>
          <w:szCs w:val="21"/>
        </w:rPr>
        <w:t>江宁高新区环保工作部</w:t>
      </w:r>
      <w:r>
        <w:rPr>
          <w:rFonts w:hint="eastAsia" w:ascii="宋体" w:hAnsi="宋体" w:cs="宋体"/>
          <w:szCs w:val="21"/>
          <w:lang w:bidi="ar"/>
        </w:rPr>
        <w:t>不定期对环保管家工作开展情况进行督查，同时结合日常巡查对环保管家单位进行考核。</w:t>
      </w:r>
      <w:r>
        <w:rPr>
          <w:rFonts w:hint="eastAsia" w:ascii="宋体" w:hAnsi="宋体" w:cs="宋体"/>
          <w:szCs w:val="21"/>
        </w:rPr>
        <w:t xml:space="preserve">每个季度结束，由环保管家对现阶段工作总结汇报，江宁高新区环保工作部根据汇报内容，对环保管家每季度日常行为、工作情况及服务成果三项进行评价。 </w:t>
      </w:r>
    </w:p>
    <w:p>
      <w:pPr>
        <w:spacing w:line="360" w:lineRule="auto"/>
        <w:ind w:firstLine="420" w:firstLineChars="200"/>
        <w:rPr>
          <w:rFonts w:ascii="宋体" w:hAnsi="宋体" w:cs="宋体"/>
          <w:szCs w:val="21"/>
        </w:rPr>
      </w:pPr>
      <w:r>
        <w:rPr>
          <w:rFonts w:hint="eastAsia" w:ascii="宋体" w:hAnsi="宋体" w:cs="宋体"/>
          <w:szCs w:val="21"/>
          <w:lang w:bidi="ar"/>
        </w:rPr>
        <w:t>16、考核标准</w:t>
      </w:r>
    </w:p>
    <w:p>
      <w:pPr>
        <w:spacing w:line="360" w:lineRule="auto"/>
        <w:ind w:firstLine="420" w:firstLineChars="200"/>
        <w:rPr>
          <w:rFonts w:ascii="宋体" w:hAnsi="宋体" w:cs="宋体"/>
          <w:szCs w:val="21"/>
        </w:rPr>
      </w:pPr>
      <w:r>
        <w:rPr>
          <w:rFonts w:hint="eastAsia" w:ascii="宋体" w:hAnsi="宋体" w:cs="宋体"/>
          <w:szCs w:val="21"/>
          <w:lang w:bidi="ar"/>
        </w:rPr>
        <w:t>考核结果设优秀（80分以上，含80分）、良好（70-80分，含70分）、合格（60-70分，含60分）、不合格（60分以下）四个档次。考核标准详见附件《环保管家考核评分标准》。</w:t>
      </w:r>
    </w:p>
    <w:p>
      <w:pPr>
        <w:spacing w:line="360" w:lineRule="auto"/>
        <w:ind w:firstLine="420" w:firstLineChars="200"/>
        <w:rPr>
          <w:rFonts w:ascii="宋体" w:hAnsi="宋体" w:cs="宋体"/>
          <w:szCs w:val="21"/>
        </w:rPr>
      </w:pPr>
      <w:r>
        <w:rPr>
          <w:rFonts w:hint="eastAsia" w:ascii="宋体" w:hAnsi="宋体" w:cs="宋体"/>
          <w:szCs w:val="21"/>
          <w:lang w:bidi="ar"/>
        </w:rPr>
        <w:t>出现以下情况的，年度考核直接评定为不合格：（1）对企业巡查结果弄虚作假，隐瞒真实情况；（2）无故不履行职责，故意拖延日常管理工作；（3）其他损坏园区形象，弄虚作假，损害企业合法权益，职业道德不良的行为。</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highlight w:val="yellow"/>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pPr>
      <w:r>
        <w:rPr>
          <w:rFonts w:hint="eastAsia" w:ascii="宋体" w:hAnsi="宋体" w:cs="宋体"/>
        </w:rPr>
        <w:br w:type="page"/>
      </w:r>
      <w:r>
        <w:rPr>
          <w:b/>
          <w:bCs/>
        </w:rPr>
        <w:t>附件</w:t>
      </w:r>
      <w:r>
        <w:t>：</w:t>
      </w:r>
      <w:r>
        <w:rPr>
          <w:rFonts w:hint="eastAsia" w:ascii="宋体" w:hAnsi="宋体" w:cs="宋体"/>
          <w:b/>
          <w:bCs/>
          <w:szCs w:val="21"/>
          <w:lang w:bidi="ar"/>
        </w:rPr>
        <w:t>环保管家考核评分标准</w:t>
      </w:r>
      <w:r>
        <w:rPr>
          <w:b/>
          <w:bCs/>
          <w:w w:val="99"/>
        </w:rPr>
        <w:t xml:space="preserve"> </w:t>
      </w:r>
    </w:p>
    <w:p>
      <w:pPr>
        <w:pStyle w:val="19"/>
        <w:spacing w:before="9"/>
        <w:rPr>
          <w:sz w:val="10"/>
        </w:rPr>
      </w:pPr>
    </w:p>
    <w:tbl>
      <w:tblPr>
        <w:tblStyle w:val="46"/>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2"/>
        <w:gridCol w:w="1180"/>
        <w:gridCol w:w="3377"/>
        <w:gridCol w:w="850"/>
        <w:gridCol w:w="260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2132" w:type="dxa"/>
            <w:gridSpan w:val="2"/>
            <w:vAlign w:val="center"/>
          </w:tcPr>
          <w:p>
            <w:pPr>
              <w:pStyle w:val="194"/>
              <w:spacing w:line="320" w:lineRule="exact"/>
              <w:jc w:val="center"/>
              <w:rPr>
                <w:b/>
              </w:rPr>
            </w:pPr>
            <w:r>
              <w:rPr>
                <w:b/>
              </w:rPr>
              <w:t>类别</w:t>
            </w:r>
          </w:p>
        </w:tc>
        <w:tc>
          <w:tcPr>
            <w:tcW w:w="3377" w:type="dxa"/>
            <w:vAlign w:val="center"/>
          </w:tcPr>
          <w:p>
            <w:pPr>
              <w:pStyle w:val="194"/>
              <w:spacing w:line="320" w:lineRule="exact"/>
              <w:jc w:val="center"/>
              <w:rPr>
                <w:b/>
              </w:rPr>
            </w:pPr>
            <w:r>
              <w:rPr>
                <w:b/>
              </w:rPr>
              <w:t>考核内容</w:t>
            </w:r>
          </w:p>
        </w:tc>
        <w:tc>
          <w:tcPr>
            <w:tcW w:w="850" w:type="dxa"/>
            <w:vAlign w:val="center"/>
          </w:tcPr>
          <w:p>
            <w:pPr>
              <w:pStyle w:val="194"/>
              <w:spacing w:line="320" w:lineRule="exact"/>
              <w:jc w:val="center"/>
              <w:rPr>
                <w:b/>
              </w:rPr>
            </w:pPr>
            <w:r>
              <w:rPr>
                <w:b/>
              </w:rPr>
              <w:t>标准分</w:t>
            </w:r>
          </w:p>
        </w:tc>
        <w:tc>
          <w:tcPr>
            <w:tcW w:w="2605" w:type="dxa"/>
            <w:vAlign w:val="center"/>
          </w:tcPr>
          <w:p>
            <w:pPr>
              <w:pStyle w:val="194"/>
              <w:spacing w:line="320" w:lineRule="exact"/>
              <w:jc w:val="center"/>
              <w:rPr>
                <w:b/>
              </w:rPr>
            </w:pPr>
            <w:r>
              <w:rPr>
                <w:b/>
              </w:rPr>
              <w:t>评分细则</w:t>
            </w:r>
          </w:p>
        </w:tc>
        <w:tc>
          <w:tcPr>
            <w:tcW w:w="693" w:type="dxa"/>
            <w:vAlign w:val="center"/>
          </w:tcPr>
          <w:p>
            <w:pPr>
              <w:pStyle w:val="194"/>
              <w:spacing w:line="320" w:lineRule="exact"/>
              <w:jc w:val="center"/>
              <w:rPr>
                <w:b/>
              </w:rPr>
            </w:pPr>
            <w:r>
              <w:rPr>
                <w:b/>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2132" w:type="dxa"/>
            <w:gridSpan w:val="2"/>
            <w:vMerge w:val="restart"/>
            <w:vAlign w:val="center"/>
          </w:tcPr>
          <w:p>
            <w:pPr>
              <w:pStyle w:val="194"/>
              <w:spacing w:line="320" w:lineRule="exact"/>
              <w:ind w:hanging="420"/>
              <w:jc w:val="center"/>
            </w:pPr>
            <w:r>
              <w:rPr>
                <w:rFonts w:hint="eastAsia"/>
                <w:lang w:val="en-US"/>
              </w:rPr>
              <w:t xml:space="preserve">    </w:t>
            </w:r>
            <w:r>
              <w:rPr>
                <w:rFonts w:hint="eastAsia"/>
                <w:szCs w:val="21"/>
              </w:rPr>
              <w:t>日常行为管理</w:t>
            </w:r>
            <w:r>
              <w:t>（20分）</w:t>
            </w:r>
          </w:p>
        </w:tc>
        <w:tc>
          <w:tcPr>
            <w:tcW w:w="3377" w:type="dxa"/>
            <w:vAlign w:val="center"/>
          </w:tcPr>
          <w:p>
            <w:pPr>
              <w:pStyle w:val="194"/>
              <w:spacing w:line="320" w:lineRule="exact"/>
            </w:pPr>
            <w:r>
              <w:t>1、遵守园区规章制度，按时打考勤，要求人员按时到岗，不早退，不无故缺勤</w:t>
            </w:r>
          </w:p>
        </w:tc>
        <w:tc>
          <w:tcPr>
            <w:tcW w:w="850" w:type="dxa"/>
            <w:vAlign w:val="center"/>
          </w:tcPr>
          <w:p>
            <w:pPr>
              <w:pStyle w:val="194"/>
              <w:spacing w:line="320" w:lineRule="exact"/>
              <w:jc w:val="center"/>
            </w:pPr>
            <w:r>
              <w:t>4分</w:t>
            </w:r>
          </w:p>
        </w:tc>
        <w:tc>
          <w:tcPr>
            <w:tcW w:w="2605" w:type="dxa"/>
            <w:vAlign w:val="center"/>
          </w:tcPr>
          <w:p>
            <w:pPr>
              <w:pStyle w:val="194"/>
              <w:spacing w:line="320" w:lineRule="exact"/>
            </w:pPr>
            <w:r>
              <w:rPr>
                <w:spacing w:val="-3"/>
              </w:rPr>
              <w:t>根据考勤情况，迟到一</w:t>
            </w:r>
            <w:r>
              <w:rPr>
                <w:spacing w:val="-19"/>
              </w:rPr>
              <w:t xml:space="preserve">次扣 </w:t>
            </w:r>
            <w:r>
              <w:t>0.5</w:t>
            </w:r>
            <w:r>
              <w:rPr>
                <w:spacing w:val="-26"/>
              </w:rPr>
              <w:t>分</w:t>
            </w:r>
            <w:r>
              <w:t>/</w:t>
            </w:r>
            <w:r>
              <w:rPr>
                <w:spacing w:val="-5"/>
              </w:rPr>
              <w:t>人；早退一</w:t>
            </w:r>
            <w:r>
              <w:rPr>
                <w:spacing w:val="-17"/>
              </w:rPr>
              <w:t>次扣</w:t>
            </w:r>
            <w:r>
              <w:t>0.5</w:t>
            </w:r>
            <w:r>
              <w:rPr>
                <w:spacing w:val="-26"/>
              </w:rPr>
              <w:t>分</w:t>
            </w:r>
            <w:r>
              <w:t>/</w:t>
            </w:r>
            <w:r>
              <w:rPr>
                <w:spacing w:val="-3"/>
              </w:rPr>
              <w:t>人；缺勤一</w:t>
            </w:r>
            <w:r>
              <w:t>次扣1分/人</w:t>
            </w:r>
          </w:p>
        </w:tc>
        <w:tc>
          <w:tcPr>
            <w:tcW w:w="693" w:type="dxa"/>
            <w:vAlign w:val="center"/>
          </w:tcPr>
          <w:p>
            <w:pPr>
              <w:pStyle w:val="194"/>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2132" w:type="dxa"/>
            <w:gridSpan w:val="2"/>
            <w:vMerge w:val="continue"/>
            <w:vAlign w:val="center"/>
          </w:tcPr>
          <w:p>
            <w:pPr>
              <w:spacing w:line="320" w:lineRule="exact"/>
              <w:jc w:val="center"/>
              <w:rPr>
                <w:sz w:val="2"/>
                <w:szCs w:val="2"/>
              </w:rPr>
            </w:pPr>
          </w:p>
        </w:tc>
        <w:tc>
          <w:tcPr>
            <w:tcW w:w="3377" w:type="dxa"/>
            <w:vAlign w:val="center"/>
          </w:tcPr>
          <w:p>
            <w:pPr>
              <w:pStyle w:val="194"/>
              <w:spacing w:line="320" w:lineRule="exact"/>
            </w:pPr>
            <w:r>
              <w:t>2、需要夜间巡查时，根据要求及时到场处理突发环境事件并做好反馈工作</w:t>
            </w:r>
          </w:p>
        </w:tc>
        <w:tc>
          <w:tcPr>
            <w:tcW w:w="850" w:type="dxa"/>
            <w:vAlign w:val="center"/>
          </w:tcPr>
          <w:p>
            <w:pPr>
              <w:pStyle w:val="194"/>
              <w:spacing w:line="320" w:lineRule="exact"/>
              <w:jc w:val="center"/>
            </w:pPr>
            <w:r>
              <w:t>4分</w:t>
            </w:r>
          </w:p>
        </w:tc>
        <w:tc>
          <w:tcPr>
            <w:tcW w:w="2605" w:type="dxa"/>
            <w:vAlign w:val="center"/>
          </w:tcPr>
          <w:p>
            <w:pPr>
              <w:pStyle w:val="194"/>
              <w:spacing w:line="320" w:lineRule="exact"/>
            </w:pPr>
            <w:r>
              <w:t>响应不及时扣0.5分；</w:t>
            </w:r>
          </w:p>
          <w:p>
            <w:pPr>
              <w:pStyle w:val="194"/>
              <w:spacing w:line="320" w:lineRule="exact"/>
            </w:pPr>
            <w:r>
              <w:t>未巡查扣1分</w:t>
            </w:r>
          </w:p>
        </w:tc>
        <w:tc>
          <w:tcPr>
            <w:tcW w:w="693" w:type="dxa"/>
            <w:vAlign w:val="center"/>
          </w:tcPr>
          <w:p>
            <w:pPr>
              <w:pStyle w:val="194"/>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2132" w:type="dxa"/>
            <w:gridSpan w:val="2"/>
            <w:vMerge w:val="continue"/>
            <w:vAlign w:val="center"/>
          </w:tcPr>
          <w:p>
            <w:pPr>
              <w:spacing w:line="320" w:lineRule="exact"/>
              <w:jc w:val="center"/>
              <w:rPr>
                <w:sz w:val="2"/>
                <w:szCs w:val="2"/>
              </w:rPr>
            </w:pPr>
          </w:p>
        </w:tc>
        <w:tc>
          <w:tcPr>
            <w:tcW w:w="3377" w:type="dxa"/>
            <w:vAlign w:val="center"/>
          </w:tcPr>
          <w:p>
            <w:pPr>
              <w:pStyle w:val="194"/>
              <w:spacing w:line="320" w:lineRule="exact"/>
            </w:pPr>
            <w:r>
              <w:t>3、周末及节假日需要值班工作时，及时上报值班表并组织专人专班</w:t>
            </w:r>
          </w:p>
        </w:tc>
        <w:tc>
          <w:tcPr>
            <w:tcW w:w="850" w:type="dxa"/>
            <w:vAlign w:val="center"/>
          </w:tcPr>
          <w:p>
            <w:pPr>
              <w:pStyle w:val="194"/>
              <w:spacing w:line="320" w:lineRule="exact"/>
              <w:jc w:val="center"/>
            </w:pPr>
            <w:r>
              <w:t>4分</w:t>
            </w:r>
          </w:p>
        </w:tc>
        <w:tc>
          <w:tcPr>
            <w:tcW w:w="2605" w:type="dxa"/>
            <w:vAlign w:val="center"/>
          </w:tcPr>
          <w:p>
            <w:pPr>
              <w:pStyle w:val="194"/>
              <w:spacing w:line="320" w:lineRule="exact"/>
            </w:pPr>
            <w:r>
              <w:rPr>
                <w:rFonts w:hint="eastAsia"/>
                <w:szCs w:val="21"/>
              </w:rPr>
              <w:t>值班迟到一次扣</w:t>
            </w:r>
            <w:r>
              <w:rPr>
                <w:rFonts w:hint="eastAsia"/>
                <w:szCs w:val="21"/>
                <w:lang w:val="en-US"/>
              </w:rPr>
              <w:t>0.5</w:t>
            </w:r>
            <w:r>
              <w:rPr>
                <w:rFonts w:hint="eastAsia"/>
                <w:szCs w:val="21"/>
              </w:rPr>
              <w:t>分；</w:t>
            </w:r>
            <w:r>
              <w:t>未值班扣1分</w:t>
            </w:r>
          </w:p>
        </w:tc>
        <w:tc>
          <w:tcPr>
            <w:tcW w:w="693" w:type="dxa"/>
            <w:vAlign w:val="center"/>
          </w:tcPr>
          <w:p>
            <w:pPr>
              <w:pStyle w:val="194"/>
              <w:spacing w:line="320" w:lineRule="exact"/>
              <w:rPr>
                <w:b/>
                <w:sz w:val="14"/>
              </w:rPr>
            </w:pPr>
          </w:p>
          <w:p>
            <w:pPr>
              <w:pStyle w:val="194"/>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2132" w:type="dxa"/>
            <w:gridSpan w:val="2"/>
            <w:vMerge w:val="continue"/>
            <w:vAlign w:val="center"/>
          </w:tcPr>
          <w:p>
            <w:pPr>
              <w:spacing w:line="320" w:lineRule="exact"/>
              <w:jc w:val="center"/>
              <w:rPr>
                <w:sz w:val="2"/>
                <w:szCs w:val="2"/>
              </w:rPr>
            </w:pPr>
          </w:p>
        </w:tc>
        <w:tc>
          <w:tcPr>
            <w:tcW w:w="3377" w:type="dxa"/>
            <w:vAlign w:val="center"/>
          </w:tcPr>
          <w:p>
            <w:pPr>
              <w:pStyle w:val="194"/>
              <w:spacing w:line="320" w:lineRule="exact"/>
            </w:pPr>
            <w:r>
              <w:t>4、合理调配车辆，及时响应“看现场”车辆需求</w:t>
            </w:r>
          </w:p>
        </w:tc>
        <w:tc>
          <w:tcPr>
            <w:tcW w:w="850" w:type="dxa"/>
            <w:vAlign w:val="center"/>
          </w:tcPr>
          <w:p>
            <w:pPr>
              <w:pStyle w:val="194"/>
              <w:spacing w:line="320" w:lineRule="exact"/>
              <w:jc w:val="center"/>
            </w:pPr>
            <w:r>
              <w:t>4分</w:t>
            </w:r>
          </w:p>
        </w:tc>
        <w:tc>
          <w:tcPr>
            <w:tcW w:w="2605" w:type="dxa"/>
            <w:vAlign w:val="center"/>
          </w:tcPr>
          <w:p>
            <w:pPr>
              <w:pStyle w:val="194"/>
              <w:spacing w:line="320" w:lineRule="exact"/>
            </w:pPr>
            <w:r>
              <w:t>车辆调配不及时一次扣0.5 分；无车辆配合工作一次扣 2分</w:t>
            </w:r>
          </w:p>
        </w:tc>
        <w:tc>
          <w:tcPr>
            <w:tcW w:w="693" w:type="dxa"/>
            <w:vAlign w:val="center"/>
          </w:tcPr>
          <w:p>
            <w:pPr>
              <w:pStyle w:val="194"/>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2132" w:type="dxa"/>
            <w:gridSpan w:val="2"/>
            <w:vMerge w:val="continue"/>
            <w:vAlign w:val="center"/>
          </w:tcPr>
          <w:p>
            <w:pPr>
              <w:spacing w:line="320" w:lineRule="exact"/>
              <w:jc w:val="center"/>
              <w:rPr>
                <w:sz w:val="2"/>
                <w:szCs w:val="2"/>
              </w:rPr>
            </w:pPr>
          </w:p>
        </w:tc>
        <w:tc>
          <w:tcPr>
            <w:tcW w:w="3377" w:type="dxa"/>
            <w:vAlign w:val="center"/>
          </w:tcPr>
          <w:p>
            <w:pPr>
              <w:pStyle w:val="194"/>
              <w:spacing w:line="320" w:lineRule="exact"/>
            </w:pPr>
            <w:r>
              <w:t>5、其他未尽事项，以具体工作要求为准</w:t>
            </w:r>
          </w:p>
        </w:tc>
        <w:tc>
          <w:tcPr>
            <w:tcW w:w="850" w:type="dxa"/>
            <w:vAlign w:val="center"/>
          </w:tcPr>
          <w:p>
            <w:pPr>
              <w:pStyle w:val="194"/>
              <w:spacing w:line="320" w:lineRule="exact"/>
              <w:jc w:val="center"/>
            </w:pPr>
            <w:r>
              <w:t>4分</w:t>
            </w:r>
          </w:p>
        </w:tc>
        <w:tc>
          <w:tcPr>
            <w:tcW w:w="2605" w:type="dxa"/>
            <w:vAlign w:val="center"/>
          </w:tcPr>
          <w:p>
            <w:pPr>
              <w:pStyle w:val="194"/>
              <w:spacing w:line="320" w:lineRule="exact"/>
              <w:rPr>
                <w:b/>
                <w:sz w:val="24"/>
              </w:rPr>
            </w:pPr>
            <w:r>
              <w:rPr>
                <w:rFonts w:hint="eastAsia"/>
                <w:szCs w:val="21"/>
              </w:rPr>
              <w:t>根据具体事项酌情扣分</w:t>
            </w:r>
          </w:p>
          <w:p>
            <w:pPr>
              <w:pStyle w:val="194"/>
              <w:spacing w:line="320" w:lineRule="exact"/>
            </w:pPr>
          </w:p>
        </w:tc>
        <w:tc>
          <w:tcPr>
            <w:tcW w:w="693" w:type="dxa"/>
            <w:vAlign w:val="center"/>
          </w:tcPr>
          <w:p>
            <w:pPr>
              <w:pStyle w:val="194"/>
              <w:spacing w:line="320" w:lineRule="exact"/>
              <w:rPr>
                <w:b/>
                <w:sz w:val="24"/>
              </w:rPr>
            </w:pPr>
          </w:p>
          <w:p>
            <w:pPr>
              <w:pStyle w:val="194"/>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6" w:hRule="atLeast"/>
          <w:jc w:val="center"/>
        </w:trPr>
        <w:tc>
          <w:tcPr>
            <w:tcW w:w="952" w:type="dxa"/>
            <w:vMerge w:val="restart"/>
            <w:vAlign w:val="center"/>
          </w:tcPr>
          <w:p>
            <w:pPr>
              <w:pStyle w:val="194"/>
              <w:spacing w:line="320" w:lineRule="exact"/>
              <w:jc w:val="center"/>
            </w:pPr>
            <w:r>
              <w:rPr>
                <w:rFonts w:hint="eastAsia"/>
                <w:lang w:val="en-US"/>
              </w:rPr>
              <w:t>工作情况管理</w:t>
            </w:r>
            <w:r>
              <w:t>（</w:t>
            </w:r>
            <w:r>
              <w:rPr>
                <w:rFonts w:hint="eastAsia"/>
                <w:lang w:val="en-US"/>
              </w:rPr>
              <w:t>7</w:t>
            </w:r>
            <w:r>
              <w:t>0分</w:t>
            </w:r>
            <w:r>
              <w:rPr>
                <w:spacing w:val="-3"/>
              </w:rPr>
              <w:t>）</w:t>
            </w:r>
          </w:p>
        </w:tc>
        <w:tc>
          <w:tcPr>
            <w:tcW w:w="1180" w:type="dxa"/>
            <w:vAlign w:val="center"/>
          </w:tcPr>
          <w:p>
            <w:pPr>
              <w:pStyle w:val="194"/>
              <w:spacing w:line="320" w:lineRule="exact"/>
              <w:ind w:hanging="104"/>
              <w:jc w:val="center"/>
              <w:rPr>
                <w:spacing w:val="-1"/>
              </w:rPr>
            </w:pPr>
            <w:r>
              <w:t>污染防</w:t>
            </w:r>
            <w:r>
              <w:rPr>
                <w:spacing w:val="-1"/>
              </w:rPr>
              <w:t>治</w:t>
            </w:r>
          </w:p>
          <w:p>
            <w:pPr>
              <w:pStyle w:val="194"/>
              <w:spacing w:line="320" w:lineRule="exact"/>
              <w:ind w:hanging="104"/>
              <w:jc w:val="center"/>
            </w:pPr>
            <w:r>
              <w:rPr>
                <w:spacing w:val="-1"/>
              </w:rPr>
              <w:t>监管</w:t>
            </w:r>
          </w:p>
          <w:p>
            <w:pPr>
              <w:pStyle w:val="194"/>
              <w:spacing w:line="320" w:lineRule="exact"/>
              <w:ind w:hanging="104"/>
              <w:jc w:val="center"/>
            </w:pPr>
            <w:r>
              <w:t>（35分</w:t>
            </w:r>
            <w:r>
              <w:rPr>
                <w:spacing w:val="-3"/>
              </w:rPr>
              <w:t>）</w:t>
            </w:r>
          </w:p>
        </w:tc>
        <w:tc>
          <w:tcPr>
            <w:tcW w:w="3377" w:type="dxa"/>
            <w:vAlign w:val="center"/>
          </w:tcPr>
          <w:p>
            <w:pPr>
              <w:pStyle w:val="194"/>
              <w:spacing w:line="320" w:lineRule="exact"/>
            </w:pPr>
            <w:r>
              <w:t>1</w:t>
            </w:r>
            <w:r>
              <w:rPr>
                <w:spacing w:val="-3"/>
              </w:rPr>
              <w:t>、园区大气环境日常监管管理,针对涉及产生排放废气企业的日常管控（</w:t>
            </w:r>
            <w:r>
              <w:rPr>
                <w:spacing w:val="-6"/>
              </w:rPr>
              <w:t>包含园</w:t>
            </w:r>
            <w:r>
              <w:rPr>
                <w:spacing w:val="-14"/>
              </w:rPr>
              <w:t>区企业</w:t>
            </w:r>
            <w:r>
              <w:rPr>
                <w:rFonts w:hint="eastAsia"/>
                <w:szCs w:val="21"/>
              </w:rPr>
              <w:t>O</w:t>
            </w:r>
            <w:r>
              <w:rPr>
                <w:rFonts w:hint="eastAsia"/>
                <w:szCs w:val="21"/>
                <w:vertAlign w:val="subscript"/>
              </w:rPr>
              <w:t>3</w:t>
            </w:r>
            <w:r>
              <w:rPr>
                <w:rFonts w:hint="eastAsia"/>
                <w:szCs w:val="21"/>
              </w:rPr>
              <w:t>、PM2.5、</w:t>
            </w:r>
            <w:r>
              <w:t>VOCs</w:t>
            </w:r>
            <w:r>
              <w:rPr>
                <w:spacing w:val="-10"/>
              </w:rPr>
              <w:t>整治工作、企</w:t>
            </w:r>
            <w:r>
              <w:rPr>
                <w:spacing w:val="-5"/>
              </w:rPr>
              <w:t>业提标改造工程等专项工作），收集相关运行维护台</w:t>
            </w:r>
            <w:r>
              <w:t>账；</w:t>
            </w:r>
          </w:p>
          <w:p>
            <w:pPr>
              <w:pStyle w:val="194"/>
              <w:spacing w:line="320" w:lineRule="exact"/>
            </w:pPr>
            <w:r>
              <w:t>2、园区水污染企业的日常监管工作，针对产生排放生产废水企业的日常管控（包含企业提标改造工程等）</w:t>
            </w:r>
            <w:r>
              <w:rPr>
                <w:rFonts w:hint="eastAsia"/>
              </w:rPr>
              <w:t>，</w:t>
            </w:r>
            <w:r>
              <w:t>收集相关运行维护台账；</w:t>
            </w:r>
          </w:p>
          <w:p>
            <w:pPr>
              <w:pStyle w:val="194"/>
              <w:spacing w:line="320" w:lineRule="exact"/>
            </w:pPr>
            <w:r>
              <w:t>3、园区涉及噪音污染企业的日常监管工作，针对涉及噪音污染企业的日常管控,收集相关运行维护台账；</w:t>
            </w:r>
          </w:p>
          <w:p>
            <w:pPr>
              <w:pStyle w:val="194"/>
              <w:spacing w:line="320" w:lineRule="exact"/>
            </w:pPr>
            <w:r>
              <w:t>4、园区企业固体废弃物日常监管管理,对产生固废、危险废物企事业单位从固废产生、贮存、转移、处置的全过程进行监管，收集相关运行维护台账</w:t>
            </w:r>
            <w:r>
              <w:rPr>
                <w:rFonts w:hint="eastAsia"/>
              </w:rPr>
              <w:t>；</w:t>
            </w:r>
          </w:p>
        </w:tc>
        <w:tc>
          <w:tcPr>
            <w:tcW w:w="850" w:type="dxa"/>
            <w:vAlign w:val="center"/>
          </w:tcPr>
          <w:p>
            <w:pPr>
              <w:pStyle w:val="194"/>
              <w:spacing w:line="320" w:lineRule="exact"/>
              <w:jc w:val="center"/>
            </w:pPr>
            <w:r>
              <w:t>35分</w:t>
            </w:r>
          </w:p>
        </w:tc>
        <w:tc>
          <w:tcPr>
            <w:tcW w:w="2605" w:type="dxa"/>
            <w:vAlign w:val="center"/>
          </w:tcPr>
          <w:p>
            <w:pPr>
              <w:pStyle w:val="194"/>
              <w:spacing w:line="320" w:lineRule="exact"/>
            </w:pPr>
            <w:r>
              <w:rPr>
                <w:spacing w:val="-9"/>
              </w:rPr>
              <w:t>每季度完成不少于</w:t>
            </w:r>
            <w:r>
              <w:t>35</w:t>
            </w:r>
            <w:r>
              <w:rPr>
                <w:spacing w:val="-32"/>
              </w:rPr>
              <w:t>家</w:t>
            </w:r>
            <w:r>
              <w:rPr>
                <w:spacing w:val="-3"/>
              </w:rPr>
              <w:t>企业日常巡查工作，并记录相关问题形成巡查记录表</w:t>
            </w:r>
            <w:r>
              <w:t>（</w:t>
            </w:r>
            <w:r>
              <w:rPr>
                <w:spacing w:val="-3"/>
              </w:rPr>
              <w:t>附带水印照片）及时反馈。少一次</w:t>
            </w:r>
            <w:r>
              <w:rPr>
                <w:spacing w:val="-27"/>
              </w:rPr>
              <w:t xml:space="preserve">扣 </w:t>
            </w:r>
            <w:r>
              <w:t>0.5</w:t>
            </w:r>
            <w:r>
              <w:rPr>
                <w:spacing w:val="-9"/>
              </w:rPr>
              <w:t>分，台账缺失扣</w:t>
            </w:r>
            <w:r>
              <w:t>0.5分</w:t>
            </w:r>
          </w:p>
        </w:tc>
        <w:tc>
          <w:tcPr>
            <w:tcW w:w="693" w:type="dxa"/>
            <w:vAlign w:val="center"/>
          </w:tcPr>
          <w:p>
            <w:pPr>
              <w:pStyle w:val="194"/>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3" w:hRule="atLeast"/>
          <w:jc w:val="center"/>
        </w:trPr>
        <w:tc>
          <w:tcPr>
            <w:tcW w:w="952" w:type="dxa"/>
            <w:vMerge w:val="continue"/>
            <w:vAlign w:val="center"/>
          </w:tcPr>
          <w:p>
            <w:pPr>
              <w:pStyle w:val="194"/>
              <w:spacing w:line="320" w:lineRule="exact"/>
              <w:jc w:val="center"/>
            </w:pPr>
          </w:p>
        </w:tc>
        <w:tc>
          <w:tcPr>
            <w:tcW w:w="1180" w:type="dxa"/>
            <w:vMerge w:val="restart"/>
            <w:vAlign w:val="center"/>
          </w:tcPr>
          <w:p>
            <w:pPr>
              <w:pStyle w:val="194"/>
              <w:spacing w:line="320" w:lineRule="exact"/>
              <w:jc w:val="center"/>
            </w:pPr>
            <w:r>
              <w:t>环境管理</w:t>
            </w:r>
          </w:p>
          <w:p>
            <w:pPr>
              <w:pStyle w:val="194"/>
              <w:spacing w:line="320" w:lineRule="exact"/>
              <w:ind w:hanging="104"/>
              <w:jc w:val="center"/>
            </w:pPr>
            <w:r>
              <w:t>（2</w:t>
            </w:r>
            <w:r>
              <w:rPr>
                <w:rFonts w:hint="eastAsia"/>
                <w:lang w:val="en-US"/>
              </w:rPr>
              <w:t>0</w:t>
            </w:r>
            <w:r>
              <w:t>分</w:t>
            </w:r>
            <w:r>
              <w:rPr>
                <w:spacing w:val="-3"/>
              </w:rPr>
              <w:t>）</w:t>
            </w:r>
          </w:p>
        </w:tc>
        <w:tc>
          <w:tcPr>
            <w:tcW w:w="3377" w:type="dxa"/>
            <w:vAlign w:val="center"/>
          </w:tcPr>
          <w:p>
            <w:pPr>
              <w:pStyle w:val="194"/>
              <w:spacing w:line="320" w:lineRule="exact"/>
            </w:pPr>
            <w:r>
              <w:rPr>
                <w:rFonts w:hint="eastAsia"/>
                <w:lang w:val="en-US"/>
              </w:rPr>
              <w:t>1</w:t>
            </w:r>
            <w:r>
              <w:t>、及时完成驻园企业“一企一档”的档案更新、完善工作</w:t>
            </w:r>
            <w:r>
              <w:rPr>
                <w:rFonts w:hint="eastAsia"/>
              </w:rPr>
              <w:t>，</w:t>
            </w:r>
            <w:r>
              <w:t>要求收集好各企业环保相关材料，做到台账资料全面，台账目录清晰完善（包含新企业入驻档案、老企业新项目材料等）</w:t>
            </w:r>
          </w:p>
        </w:tc>
        <w:tc>
          <w:tcPr>
            <w:tcW w:w="850" w:type="dxa"/>
            <w:vAlign w:val="center"/>
          </w:tcPr>
          <w:p>
            <w:pPr>
              <w:pStyle w:val="194"/>
              <w:spacing w:line="320" w:lineRule="exact"/>
              <w:jc w:val="center"/>
            </w:pPr>
            <w:r>
              <w:t>1</w:t>
            </w:r>
            <w:r>
              <w:rPr>
                <w:rFonts w:hint="eastAsia"/>
                <w:lang w:val="en-US"/>
              </w:rPr>
              <w:t>0</w:t>
            </w:r>
            <w:r>
              <w:t>分</w:t>
            </w:r>
          </w:p>
        </w:tc>
        <w:tc>
          <w:tcPr>
            <w:tcW w:w="2605" w:type="dxa"/>
            <w:vAlign w:val="center"/>
          </w:tcPr>
          <w:p>
            <w:pPr>
              <w:pStyle w:val="194"/>
              <w:spacing w:line="320" w:lineRule="exact"/>
              <w:rPr>
                <w:spacing w:val="-9"/>
              </w:rPr>
            </w:pPr>
            <w:r>
              <w:rPr>
                <w:rFonts w:hint="eastAsia"/>
                <w:szCs w:val="21"/>
              </w:rPr>
              <w:t>企业台账资料不全扣</w:t>
            </w:r>
            <w:r>
              <w:rPr>
                <w:rFonts w:hint="eastAsia"/>
                <w:szCs w:val="21"/>
                <w:lang w:val="en-US"/>
              </w:rPr>
              <w:t>1</w:t>
            </w:r>
            <w:r>
              <w:rPr>
                <w:rFonts w:hint="eastAsia"/>
                <w:szCs w:val="21"/>
              </w:rPr>
              <w:t>分</w:t>
            </w:r>
            <w:r>
              <w:rPr>
                <w:rFonts w:hint="eastAsia"/>
                <w:szCs w:val="21"/>
                <w:lang w:val="en-US"/>
              </w:rPr>
              <w:t>/</w:t>
            </w:r>
            <w:r>
              <w:rPr>
                <w:rFonts w:hint="eastAsia"/>
                <w:szCs w:val="21"/>
              </w:rPr>
              <w:t>家；台账目录不全一例扣</w:t>
            </w:r>
            <w:r>
              <w:rPr>
                <w:rFonts w:hint="eastAsia"/>
                <w:szCs w:val="21"/>
                <w:lang w:val="en-US"/>
              </w:rPr>
              <w:t>1</w:t>
            </w:r>
            <w:r>
              <w:rPr>
                <w:rFonts w:hint="eastAsia"/>
                <w:szCs w:val="21"/>
              </w:rPr>
              <w:t>分</w:t>
            </w:r>
            <w:r>
              <w:rPr>
                <w:rFonts w:hint="eastAsia"/>
                <w:szCs w:val="21"/>
                <w:lang w:val="en-US"/>
              </w:rPr>
              <w:t>/</w:t>
            </w:r>
            <w:r>
              <w:rPr>
                <w:rFonts w:hint="eastAsia"/>
                <w:szCs w:val="21"/>
              </w:rPr>
              <w:t>家</w:t>
            </w:r>
          </w:p>
        </w:tc>
        <w:tc>
          <w:tcPr>
            <w:tcW w:w="693" w:type="dxa"/>
            <w:vAlign w:val="center"/>
          </w:tcPr>
          <w:p>
            <w:pPr>
              <w:pStyle w:val="194"/>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3" w:hRule="atLeast"/>
          <w:jc w:val="center"/>
        </w:trPr>
        <w:tc>
          <w:tcPr>
            <w:tcW w:w="952" w:type="dxa"/>
            <w:vMerge w:val="continue"/>
            <w:vAlign w:val="center"/>
          </w:tcPr>
          <w:p>
            <w:pPr>
              <w:pStyle w:val="194"/>
              <w:spacing w:line="320" w:lineRule="exact"/>
              <w:jc w:val="center"/>
            </w:pPr>
          </w:p>
        </w:tc>
        <w:tc>
          <w:tcPr>
            <w:tcW w:w="1180" w:type="dxa"/>
            <w:vMerge w:val="continue"/>
            <w:vAlign w:val="center"/>
          </w:tcPr>
          <w:p>
            <w:pPr>
              <w:pStyle w:val="194"/>
              <w:spacing w:line="320" w:lineRule="exact"/>
              <w:ind w:hanging="104"/>
              <w:jc w:val="center"/>
            </w:pPr>
          </w:p>
        </w:tc>
        <w:tc>
          <w:tcPr>
            <w:tcW w:w="3377" w:type="dxa"/>
            <w:vAlign w:val="center"/>
          </w:tcPr>
          <w:p>
            <w:pPr>
              <w:pStyle w:val="194"/>
              <w:spacing w:line="320" w:lineRule="exact"/>
            </w:pPr>
            <w:r>
              <w:rPr>
                <w:rFonts w:hint="eastAsia"/>
                <w:lang w:val="en-US"/>
              </w:rPr>
              <w:t>2</w:t>
            </w:r>
            <w:r>
              <w:rPr>
                <w:spacing w:val="-3"/>
              </w:rPr>
              <w:t>、发生突发环境事件（</w:t>
            </w:r>
            <w:r>
              <w:t>包</w:t>
            </w:r>
            <w:r>
              <w:rPr>
                <w:spacing w:val="-4"/>
              </w:rPr>
              <w:t>含大气热点网格报警处理、</w:t>
            </w:r>
            <w:r>
              <w:t>12345</w:t>
            </w:r>
            <w:r>
              <w:rPr>
                <w:spacing w:val="-3"/>
              </w:rPr>
              <w:t>、其他督办单、交办件类投诉等</w:t>
            </w:r>
            <w:r>
              <w:t>）</w:t>
            </w:r>
            <w:r>
              <w:rPr>
                <w:spacing w:val="-5"/>
              </w:rPr>
              <w:t>，及时配合园</w:t>
            </w:r>
            <w:r>
              <w:rPr>
                <w:spacing w:val="-4"/>
              </w:rPr>
              <w:t>区环保人员到场处理；做好</w:t>
            </w:r>
            <w:r>
              <w:t>环境调查处理工作</w:t>
            </w:r>
          </w:p>
        </w:tc>
        <w:tc>
          <w:tcPr>
            <w:tcW w:w="850" w:type="dxa"/>
            <w:vAlign w:val="center"/>
          </w:tcPr>
          <w:p>
            <w:pPr>
              <w:pStyle w:val="194"/>
              <w:spacing w:line="320" w:lineRule="exact"/>
              <w:jc w:val="center"/>
            </w:pPr>
            <w:r>
              <w:t>10分</w:t>
            </w:r>
          </w:p>
        </w:tc>
        <w:tc>
          <w:tcPr>
            <w:tcW w:w="2605" w:type="dxa"/>
            <w:vAlign w:val="center"/>
          </w:tcPr>
          <w:p>
            <w:pPr>
              <w:pStyle w:val="194"/>
              <w:spacing w:line="320" w:lineRule="exact"/>
              <w:rPr>
                <w:spacing w:val="-9"/>
              </w:rPr>
            </w:pPr>
            <w:r>
              <w:t>响应不及时一次扣0.5分；未处理一次扣1分</w:t>
            </w:r>
          </w:p>
        </w:tc>
        <w:tc>
          <w:tcPr>
            <w:tcW w:w="693" w:type="dxa"/>
            <w:vAlign w:val="center"/>
          </w:tcPr>
          <w:p>
            <w:pPr>
              <w:pStyle w:val="194"/>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952" w:type="dxa"/>
            <w:vMerge w:val="continue"/>
            <w:vAlign w:val="center"/>
          </w:tcPr>
          <w:p>
            <w:pPr>
              <w:pStyle w:val="194"/>
              <w:spacing w:line="320" w:lineRule="exact"/>
              <w:jc w:val="center"/>
            </w:pPr>
          </w:p>
        </w:tc>
        <w:tc>
          <w:tcPr>
            <w:tcW w:w="1180" w:type="dxa"/>
            <w:vMerge w:val="restart"/>
            <w:vAlign w:val="center"/>
          </w:tcPr>
          <w:p>
            <w:pPr>
              <w:jc w:val="center"/>
              <w:rPr>
                <w:rFonts w:ascii="宋体" w:hAnsi="宋体" w:cs="宋体"/>
                <w:szCs w:val="21"/>
              </w:rPr>
            </w:pPr>
            <w:r>
              <w:rPr>
                <w:rFonts w:hint="eastAsia" w:ascii="宋体" w:hAnsi="宋体" w:cs="宋体"/>
                <w:szCs w:val="21"/>
              </w:rPr>
              <w:t>环评管理</w:t>
            </w:r>
          </w:p>
          <w:p>
            <w:pPr>
              <w:jc w:val="center"/>
            </w:pPr>
            <w:r>
              <w:rPr>
                <w:rFonts w:hint="eastAsia" w:ascii="宋体" w:hAnsi="宋体" w:cs="宋体"/>
                <w:szCs w:val="21"/>
              </w:rPr>
              <w:t>（5分）</w:t>
            </w:r>
          </w:p>
        </w:tc>
        <w:tc>
          <w:tcPr>
            <w:tcW w:w="3377" w:type="dxa"/>
            <w:vAlign w:val="center"/>
          </w:tcPr>
          <w:p>
            <w:r>
              <w:rPr>
                <w:rFonts w:hint="eastAsia" w:ascii="宋体" w:hAnsi="宋体" w:cs="宋体"/>
                <w:szCs w:val="21"/>
              </w:rPr>
              <w:t>1、指导、协助企业完成环评编制工作,上报企业环评报告审批</w:t>
            </w:r>
          </w:p>
        </w:tc>
        <w:tc>
          <w:tcPr>
            <w:tcW w:w="850" w:type="dxa"/>
            <w:vAlign w:val="center"/>
          </w:tcPr>
          <w:p>
            <w:pPr>
              <w:jc w:val="center"/>
            </w:pPr>
            <w:r>
              <w:rPr>
                <w:rFonts w:hint="eastAsia" w:ascii="宋体" w:hAnsi="宋体" w:cs="宋体"/>
                <w:szCs w:val="21"/>
              </w:rPr>
              <w:t>2分</w:t>
            </w:r>
          </w:p>
        </w:tc>
        <w:tc>
          <w:tcPr>
            <w:tcW w:w="2605" w:type="dxa"/>
            <w:vAlign w:val="center"/>
          </w:tcPr>
          <w:p>
            <w:r>
              <w:rPr>
                <w:rFonts w:hint="eastAsia" w:ascii="宋体" w:hAnsi="宋体" w:cs="宋体"/>
                <w:szCs w:val="21"/>
              </w:rPr>
              <w:t>协助不到位一次扣0.5分</w:t>
            </w:r>
          </w:p>
        </w:tc>
        <w:tc>
          <w:tcPr>
            <w:tcW w:w="693"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952" w:type="dxa"/>
            <w:vMerge w:val="continue"/>
            <w:vAlign w:val="center"/>
          </w:tcPr>
          <w:p>
            <w:pPr>
              <w:pStyle w:val="194"/>
              <w:spacing w:line="320" w:lineRule="exact"/>
              <w:jc w:val="center"/>
            </w:pPr>
          </w:p>
        </w:tc>
        <w:tc>
          <w:tcPr>
            <w:tcW w:w="1180" w:type="dxa"/>
            <w:vMerge w:val="continue"/>
            <w:vAlign w:val="center"/>
          </w:tcPr>
          <w:p/>
        </w:tc>
        <w:tc>
          <w:tcPr>
            <w:tcW w:w="3377" w:type="dxa"/>
            <w:vAlign w:val="center"/>
          </w:tcPr>
          <w:p>
            <w:r>
              <w:rPr>
                <w:rFonts w:hint="eastAsia" w:ascii="宋体" w:hAnsi="宋体" w:cs="宋体"/>
                <w:szCs w:val="21"/>
              </w:rPr>
              <w:t>2、指导、帮助、协同并督促企业依据环评批复完成“三同时”业务办理工作</w:t>
            </w:r>
          </w:p>
        </w:tc>
        <w:tc>
          <w:tcPr>
            <w:tcW w:w="850" w:type="dxa"/>
            <w:vAlign w:val="center"/>
          </w:tcPr>
          <w:p>
            <w:pPr>
              <w:jc w:val="center"/>
            </w:pPr>
            <w:r>
              <w:rPr>
                <w:rFonts w:hint="eastAsia" w:ascii="宋体" w:hAnsi="宋体" w:cs="宋体"/>
                <w:szCs w:val="21"/>
              </w:rPr>
              <w:t>3分</w:t>
            </w:r>
          </w:p>
        </w:tc>
        <w:tc>
          <w:tcPr>
            <w:tcW w:w="2605" w:type="dxa"/>
            <w:vAlign w:val="center"/>
          </w:tcPr>
          <w:p>
            <w:r>
              <w:rPr>
                <w:rFonts w:hint="eastAsia" w:ascii="宋体" w:hAnsi="宋体" w:cs="宋体"/>
                <w:szCs w:val="21"/>
              </w:rPr>
              <w:t>协助不到位一次扣0.5分</w:t>
            </w:r>
          </w:p>
        </w:tc>
        <w:tc>
          <w:tcPr>
            <w:tcW w:w="69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952" w:type="dxa"/>
            <w:vMerge w:val="continue"/>
            <w:vAlign w:val="center"/>
          </w:tcPr>
          <w:p>
            <w:pPr>
              <w:pStyle w:val="194"/>
              <w:spacing w:line="320" w:lineRule="exact"/>
              <w:jc w:val="center"/>
            </w:pPr>
          </w:p>
        </w:tc>
        <w:tc>
          <w:tcPr>
            <w:tcW w:w="1180" w:type="dxa"/>
            <w:vMerge w:val="restart"/>
            <w:vAlign w:val="center"/>
          </w:tcPr>
          <w:p>
            <w:pPr>
              <w:jc w:val="center"/>
              <w:rPr>
                <w:rFonts w:hint="eastAsia" w:ascii="宋体" w:hAnsi="宋体" w:cs="宋体"/>
                <w:szCs w:val="21"/>
              </w:rPr>
            </w:pPr>
            <w:r>
              <w:rPr>
                <w:rFonts w:hint="eastAsia" w:ascii="宋体" w:hAnsi="宋体" w:cs="宋体"/>
                <w:szCs w:val="21"/>
              </w:rPr>
              <w:t>环保法律</w:t>
            </w:r>
          </w:p>
          <w:p>
            <w:pPr>
              <w:jc w:val="center"/>
            </w:pPr>
            <w:r>
              <w:rPr>
                <w:rFonts w:hint="eastAsia" w:ascii="宋体" w:hAnsi="宋体" w:cs="宋体"/>
                <w:szCs w:val="21"/>
              </w:rPr>
              <w:t>（5分）</w:t>
            </w:r>
          </w:p>
        </w:tc>
        <w:tc>
          <w:tcPr>
            <w:tcW w:w="3377" w:type="dxa"/>
            <w:vAlign w:val="center"/>
          </w:tcPr>
          <w:p>
            <w:pPr>
              <w:rPr>
                <w:rFonts w:ascii="宋体" w:hAnsi="宋体" w:cs="宋体"/>
                <w:szCs w:val="21"/>
              </w:rPr>
            </w:pPr>
            <w:r>
              <w:rPr>
                <w:rFonts w:hint="eastAsia" w:ascii="宋体" w:hAnsi="宋体" w:cs="宋体"/>
                <w:szCs w:val="21"/>
              </w:rPr>
              <w:t>1、指导帮助企业依法建立环保管理制度</w:t>
            </w:r>
          </w:p>
        </w:tc>
        <w:tc>
          <w:tcPr>
            <w:tcW w:w="850" w:type="dxa"/>
            <w:vAlign w:val="center"/>
          </w:tcPr>
          <w:p>
            <w:pPr>
              <w:jc w:val="center"/>
              <w:rPr>
                <w:rFonts w:ascii="宋体" w:hAnsi="宋体" w:cs="宋体"/>
                <w:szCs w:val="21"/>
              </w:rPr>
            </w:pPr>
            <w:r>
              <w:rPr>
                <w:rFonts w:hint="eastAsia" w:ascii="宋体" w:hAnsi="宋体" w:cs="宋体"/>
                <w:szCs w:val="21"/>
              </w:rPr>
              <w:t>2分</w:t>
            </w:r>
          </w:p>
        </w:tc>
        <w:tc>
          <w:tcPr>
            <w:tcW w:w="2605" w:type="dxa"/>
            <w:vAlign w:val="center"/>
          </w:tcPr>
          <w:p>
            <w:pPr>
              <w:rPr>
                <w:rFonts w:ascii="宋体" w:hAnsi="宋体" w:cs="宋体"/>
                <w:szCs w:val="21"/>
              </w:rPr>
            </w:pPr>
            <w:r>
              <w:rPr>
                <w:rFonts w:hint="eastAsia" w:ascii="宋体" w:hAnsi="宋体" w:cs="宋体"/>
                <w:szCs w:val="21"/>
              </w:rPr>
              <w:t>协助不到位一次扣0.5分</w:t>
            </w:r>
          </w:p>
        </w:tc>
        <w:tc>
          <w:tcPr>
            <w:tcW w:w="6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952" w:type="dxa"/>
            <w:vMerge w:val="continue"/>
            <w:vAlign w:val="center"/>
          </w:tcPr>
          <w:p>
            <w:pPr>
              <w:pStyle w:val="194"/>
              <w:spacing w:line="320" w:lineRule="exact"/>
              <w:jc w:val="center"/>
            </w:pPr>
          </w:p>
        </w:tc>
        <w:tc>
          <w:tcPr>
            <w:tcW w:w="1180" w:type="dxa"/>
            <w:vMerge w:val="continue"/>
            <w:vAlign w:val="center"/>
          </w:tcPr>
          <w:p/>
        </w:tc>
        <w:tc>
          <w:tcPr>
            <w:tcW w:w="3377" w:type="dxa"/>
            <w:vAlign w:val="center"/>
          </w:tcPr>
          <w:p>
            <w:pPr>
              <w:rPr>
                <w:rFonts w:ascii="宋体" w:hAnsi="宋体" w:cs="宋体"/>
                <w:szCs w:val="21"/>
              </w:rPr>
            </w:pPr>
            <w:r>
              <w:rPr>
                <w:rFonts w:hint="eastAsia" w:ascii="宋体" w:hAnsi="宋体" w:cs="宋体"/>
                <w:szCs w:val="21"/>
              </w:rPr>
              <w:t>2、指导企业处理环保违法事宜</w:t>
            </w:r>
          </w:p>
        </w:tc>
        <w:tc>
          <w:tcPr>
            <w:tcW w:w="850" w:type="dxa"/>
            <w:vAlign w:val="center"/>
          </w:tcPr>
          <w:p>
            <w:pPr>
              <w:jc w:val="center"/>
              <w:rPr>
                <w:rFonts w:ascii="宋体" w:hAnsi="宋体" w:cs="宋体"/>
                <w:szCs w:val="21"/>
              </w:rPr>
            </w:pPr>
            <w:r>
              <w:rPr>
                <w:rFonts w:hint="eastAsia" w:ascii="宋体" w:hAnsi="宋体" w:cs="宋体"/>
                <w:szCs w:val="21"/>
              </w:rPr>
              <w:t>3分</w:t>
            </w:r>
          </w:p>
        </w:tc>
        <w:tc>
          <w:tcPr>
            <w:tcW w:w="2605" w:type="dxa"/>
            <w:vAlign w:val="center"/>
          </w:tcPr>
          <w:p>
            <w:pPr>
              <w:rPr>
                <w:rFonts w:ascii="宋体" w:hAnsi="宋体" w:cs="宋体"/>
                <w:szCs w:val="21"/>
              </w:rPr>
            </w:pPr>
            <w:r>
              <w:rPr>
                <w:rFonts w:hint="eastAsia" w:ascii="宋体" w:hAnsi="宋体" w:cs="宋体"/>
                <w:szCs w:val="21"/>
              </w:rPr>
              <w:t>处理不到位一次扣0.5分</w:t>
            </w:r>
          </w:p>
        </w:tc>
        <w:tc>
          <w:tcPr>
            <w:tcW w:w="6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952" w:type="dxa"/>
            <w:vMerge w:val="continue"/>
            <w:vAlign w:val="center"/>
          </w:tcPr>
          <w:p>
            <w:pPr>
              <w:pStyle w:val="194"/>
              <w:spacing w:line="320" w:lineRule="exact"/>
              <w:jc w:val="center"/>
            </w:pPr>
          </w:p>
        </w:tc>
        <w:tc>
          <w:tcPr>
            <w:tcW w:w="1180" w:type="dxa"/>
            <w:vAlign w:val="center"/>
          </w:tcPr>
          <w:p>
            <w:pPr>
              <w:pStyle w:val="194"/>
              <w:spacing w:line="320" w:lineRule="exact"/>
              <w:jc w:val="center"/>
            </w:pPr>
            <w:r>
              <w:t>综合服务</w:t>
            </w:r>
          </w:p>
          <w:p>
            <w:pPr>
              <w:pStyle w:val="194"/>
              <w:spacing w:line="320" w:lineRule="exact"/>
              <w:ind w:hanging="104"/>
              <w:jc w:val="center"/>
            </w:pPr>
            <w:r>
              <w:t>（</w:t>
            </w:r>
            <w:r>
              <w:rPr>
                <w:rFonts w:hint="eastAsia"/>
                <w:lang w:val="en-US"/>
              </w:rPr>
              <w:t>5</w:t>
            </w:r>
            <w:r>
              <w:t>分</w:t>
            </w:r>
            <w:r>
              <w:rPr>
                <w:spacing w:val="-3"/>
              </w:rPr>
              <w:t>）</w:t>
            </w:r>
          </w:p>
        </w:tc>
        <w:tc>
          <w:tcPr>
            <w:tcW w:w="3377" w:type="dxa"/>
            <w:vAlign w:val="center"/>
          </w:tcPr>
          <w:p>
            <w:pPr>
              <w:pStyle w:val="194"/>
              <w:spacing w:line="320" w:lineRule="exact"/>
            </w:pPr>
            <w:r>
              <w:t>1、协助园区完成其他类专项考核任务（包含排污许可证进度、排水许可证进度的跟进、大气管控保障工作等）</w:t>
            </w:r>
          </w:p>
        </w:tc>
        <w:tc>
          <w:tcPr>
            <w:tcW w:w="850" w:type="dxa"/>
            <w:vAlign w:val="center"/>
          </w:tcPr>
          <w:p>
            <w:pPr>
              <w:pStyle w:val="194"/>
              <w:spacing w:line="320" w:lineRule="exact"/>
              <w:jc w:val="center"/>
            </w:pPr>
            <w:r>
              <w:rPr>
                <w:rFonts w:hint="eastAsia"/>
                <w:lang w:val="en-US"/>
              </w:rPr>
              <w:t>5</w:t>
            </w:r>
            <w:r>
              <w:t>分</w:t>
            </w:r>
          </w:p>
        </w:tc>
        <w:tc>
          <w:tcPr>
            <w:tcW w:w="2605" w:type="dxa"/>
            <w:vAlign w:val="center"/>
          </w:tcPr>
          <w:p>
            <w:pPr>
              <w:pStyle w:val="194"/>
              <w:spacing w:line="320" w:lineRule="exact"/>
              <w:rPr>
                <w:spacing w:val="-9"/>
              </w:rPr>
            </w:pPr>
            <w:r>
              <w:t>未跟踪落实扣0.5分</w:t>
            </w:r>
          </w:p>
        </w:tc>
        <w:tc>
          <w:tcPr>
            <w:tcW w:w="693" w:type="dxa"/>
            <w:vAlign w:val="center"/>
          </w:tcPr>
          <w:p>
            <w:pPr>
              <w:pStyle w:val="194"/>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952" w:type="dxa"/>
            <w:vMerge w:val="restart"/>
            <w:vAlign w:val="center"/>
          </w:tcPr>
          <w:p>
            <w:pPr>
              <w:pStyle w:val="194"/>
              <w:spacing w:line="320" w:lineRule="exact"/>
              <w:ind w:firstLine="2"/>
              <w:jc w:val="center"/>
            </w:pPr>
            <w:r>
              <w:t>服务成果</w:t>
            </w:r>
            <w:r>
              <w:rPr>
                <w:rFonts w:hint="eastAsia"/>
                <w:lang w:val="en-US"/>
              </w:rPr>
              <w:t>管理</w:t>
            </w:r>
            <w:r>
              <w:t>（10分</w:t>
            </w:r>
            <w:r>
              <w:rPr>
                <w:spacing w:val="-3"/>
              </w:rPr>
              <w:t>）</w:t>
            </w:r>
          </w:p>
        </w:tc>
        <w:tc>
          <w:tcPr>
            <w:tcW w:w="1180" w:type="dxa"/>
            <w:vMerge w:val="restart"/>
            <w:vAlign w:val="center"/>
          </w:tcPr>
          <w:p>
            <w:pPr>
              <w:pStyle w:val="194"/>
              <w:spacing w:line="320" w:lineRule="exact"/>
              <w:jc w:val="center"/>
            </w:pPr>
            <w:r>
              <w:rPr>
                <w:spacing w:val="-6"/>
              </w:rPr>
              <w:t>日常报</w:t>
            </w:r>
            <w:r>
              <w:t>送</w:t>
            </w:r>
          </w:p>
          <w:p>
            <w:pPr>
              <w:pStyle w:val="194"/>
              <w:spacing w:line="320" w:lineRule="exact"/>
              <w:jc w:val="center"/>
            </w:pPr>
            <w:r>
              <w:t>（10分</w:t>
            </w:r>
            <w:r>
              <w:rPr>
                <w:spacing w:val="-3"/>
              </w:rPr>
              <w:t>）</w:t>
            </w:r>
          </w:p>
        </w:tc>
        <w:tc>
          <w:tcPr>
            <w:tcW w:w="3377" w:type="dxa"/>
            <w:vAlign w:val="center"/>
          </w:tcPr>
          <w:p>
            <w:pPr>
              <w:pStyle w:val="194"/>
              <w:spacing w:line="320" w:lineRule="exact"/>
            </w:pPr>
            <w:r>
              <w:t>1、每周六</w:t>
            </w:r>
            <w:r>
              <w:rPr>
                <w:rFonts w:hint="eastAsia"/>
                <w:lang w:val="en-US"/>
              </w:rPr>
              <w:t>18:00前</w:t>
            </w:r>
            <w:r>
              <w:t>上报本周工作日志及下周工作计划</w:t>
            </w:r>
          </w:p>
        </w:tc>
        <w:tc>
          <w:tcPr>
            <w:tcW w:w="850" w:type="dxa"/>
            <w:vAlign w:val="center"/>
          </w:tcPr>
          <w:p>
            <w:pPr>
              <w:pStyle w:val="194"/>
              <w:spacing w:line="320" w:lineRule="exact"/>
              <w:jc w:val="center"/>
            </w:pPr>
            <w:r>
              <w:rPr>
                <w:rFonts w:hint="eastAsia"/>
                <w:lang w:val="en-US"/>
              </w:rPr>
              <w:t>5</w:t>
            </w:r>
            <w:r>
              <w:t>分</w:t>
            </w:r>
          </w:p>
        </w:tc>
        <w:tc>
          <w:tcPr>
            <w:tcW w:w="2605" w:type="dxa"/>
            <w:vAlign w:val="center"/>
          </w:tcPr>
          <w:p>
            <w:pPr>
              <w:pStyle w:val="194"/>
              <w:spacing w:line="320" w:lineRule="exact"/>
              <w:rPr>
                <w:spacing w:val="-9"/>
              </w:rPr>
            </w:pPr>
            <w:r>
              <w:rPr>
                <w:rFonts w:hint="eastAsia"/>
                <w:szCs w:val="21"/>
              </w:rPr>
              <w:t>迟报一次扣</w:t>
            </w:r>
            <w:r>
              <w:rPr>
                <w:rFonts w:hint="eastAsia"/>
                <w:szCs w:val="21"/>
                <w:lang w:val="en-US"/>
              </w:rPr>
              <w:t>0.5</w:t>
            </w:r>
            <w:r>
              <w:rPr>
                <w:rFonts w:hint="eastAsia"/>
                <w:szCs w:val="21"/>
              </w:rPr>
              <w:t>分；</w:t>
            </w:r>
            <w:r>
              <w:t>未报扣1 分</w:t>
            </w:r>
          </w:p>
        </w:tc>
        <w:tc>
          <w:tcPr>
            <w:tcW w:w="693" w:type="dxa"/>
            <w:vAlign w:val="center"/>
          </w:tcPr>
          <w:p>
            <w:pPr>
              <w:pStyle w:val="194"/>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952" w:type="dxa"/>
            <w:vMerge w:val="continue"/>
            <w:vAlign w:val="center"/>
          </w:tcPr>
          <w:p>
            <w:pPr>
              <w:spacing w:line="320" w:lineRule="exact"/>
            </w:pPr>
          </w:p>
        </w:tc>
        <w:tc>
          <w:tcPr>
            <w:tcW w:w="1180" w:type="dxa"/>
            <w:vMerge w:val="continue"/>
            <w:vAlign w:val="center"/>
          </w:tcPr>
          <w:p>
            <w:pPr>
              <w:spacing w:line="320" w:lineRule="exact"/>
            </w:pPr>
          </w:p>
        </w:tc>
        <w:tc>
          <w:tcPr>
            <w:tcW w:w="3377" w:type="dxa"/>
            <w:vAlign w:val="center"/>
          </w:tcPr>
          <w:p>
            <w:pPr>
              <w:pStyle w:val="194"/>
              <w:spacing w:line="320" w:lineRule="exact"/>
            </w:pPr>
            <w:r>
              <w:t>2、每季度</w:t>
            </w:r>
            <w:r>
              <w:rPr>
                <w:rFonts w:hint="eastAsia"/>
                <w:lang w:val="en-US"/>
              </w:rPr>
              <w:t>最后一个月25日前</w:t>
            </w:r>
            <w:r>
              <w:t>报送本季度工作小结</w:t>
            </w:r>
          </w:p>
        </w:tc>
        <w:tc>
          <w:tcPr>
            <w:tcW w:w="850" w:type="dxa"/>
            <w:vAlign w:val="center"/>
          </w:tcPr>
          <w:p>
            <w:pPr>
              <w:pStyle w:val="194"/>
              <w:spacing w:line="320" w:lineRule="exact"/>
              <w:jc w:val="center"/>
            </w:pPr>
            <w:r>
              <w:rPr>
                <w:rFonts w:hint="eastAsia"/>
                <w:lang w:val="en-US"/>
              </w:rPr>
              <w:t>5</w:t>
            </w:r>
            <w:r>
              <w:t>分</w:t>
            </w:r>
          </w:p>
        </w:tc>
        <w:tc>
          <w:tcPr>
            <w:tcW w:w="2605" w:type="dxa"/>
            <w:vAlign w:val="center"/>
          </w:tcPr>
          <w:p>
            <w:pPr>
              <w:pStyle w:val="194"/>
              <w:spacing w:line="320" w:lineRule="exact"/>
              <w:rPr>
                <w:spacing w:val="-9"/>
              </w:rPr>
            </w:pPr>
            <w:r>
              <w:rPr>
                <w:rFonts w:hint="eastAsia"/>
                <w:szCs w:val="21"/>
              </w:rPr>
              <w:t>迟报一次扣</w:t>
            </w:r>
            <w:r>
              <w:rPr>
                <w:rFonts w:hint="eastAsia"/>
                <w:szCs w:val="21"/>
                <w:lang w:val="en-US"/>
              </w:rPr>
              <w:t>0.5</w:t>
            </w:r>
            <w:r>
              <w:rPr>
                <w:rFonts w:hint="eastAsia"/>
                <w:szCs w:val="21"/>
              </w:rPr>
              <w:t>分；</w:t>
            </w:r>
            <w:r>
              <w:t>未报扣2 分</w:t>
            </w:r>
          </w:p>
        </w:tc>
        <w:tc>
          <w:tcPr>
            <w:tcW w:w="693" w:type="dxa"/>
            <w:vAlign w:val="center"/>
          </w:tcPr>
          <w:p>
            <w:pPr>
              <w:pStyle w:val="194"/>
              <w:spacing w:line="320" w:lineRule="exact"/>
            </w:pPr>
          </w:p>
        </w:tc>
      </w:tr>
    </w:tbl>
    <w:p>
      <w:pPr>
        <w:spacing w:line="360" w:lineRule="auto"/>
        <w:jc w:val="left"/>
        <w:rPr>
          <w:rFonts w:ascii="宋体" w:hAnsi="宋体" w:cs="宋体"/>
        </w:rPr>
      </w:pPr>
      <w:r>
        <w:rPr>
          <w:rFonts w:hint="eastAsia" w:ascii="宋体" w:hAnsi="宋体" w:cs="宋体"/>
          <w:szCs w:val="21"/>
        </w:rPr>
        <w:t>注：如出现未列入评分细则，但确实属于服务单位未履行好服务职责的情形，由园区环保部门根据过失大小、影响轻重等情况酌情扣分。</w:t>
      </w:r>
    </w:p>
    <w:p>
      <w:pPr>
        <w:sectPr>
          <w:footerReference r:id="rId9" w:type="default"/>
          <w:pgSz w:w="11910" w:h="16840"/>
          <w:pgMar w:top="1380" w:right="1200" w:bottom="1160" w:left="1460" w:header="644" w:footer="970" w:gutter="0"/>
          <w:pgNumType w:start="1"/>
          <w:cols w:space="720" w:num="1"/>
        </w:sectPr>
      </w:pPr>
    </w:p>
    <w:p>
      <w:pPr>
        <w:pStyle w:val="4"/>
        <w:numPr>
          <w:ilvl w:val="0"/>
          <w:numId w:val="0"/>
        </w:numPr>
        <w:rPr>
          <w:rFonts w:ascii="宋体" w:hAnsi="宋体" w:cs="宋体"/>
        </w:rPr>
      </w:pPr>
      <w:bookmarkStart w:id="9" w:name="_Toc15239"/>
      <w:r>
        <w:rPr>
          <w:rFonts w:hint="eastAsia" w:ascii="宋体" w:hAnsi="宋体" w:cs="宋体"/>
        </w:rPr>
        <w:t>第五章 合同主要条款及格式</w:t>
      </w:r>
      <w:bookmarkEnd w:id="8"/>
      <w:bookmarkEnd w:id="9"/>
    </w:p>
    <w:p>
      <w:pPr>
        <w:widowControl/>
        <w:shd w:val="clear" w:color="auto" w:fill="FFFFFF"/>
        <w:spacing w:line="360" w:lineRule="auto"/>
        <w:jc w:val="center"/>
        <w:rPr>
          <w:rFonts w:ascii="宋体" w:hAnsi="宋体" w:cs="宋体"/>
          <w:kern w:val="0"/>
          <w:sz w:val="44"/>
          <w:szCs w:val="44"/>
        </w:rPr>
      </w:pPr>
      <w:bookmarkStart w:id="10" w:name="_Toc20823315"/>
      <w:bookmarkStart w:id="11" w:name="_Toc513029243"/>
      <w:bookmarkStart w:id="12" w:name="_Toc16938559"/>
      <w:r>
        <w:rPr>
          <w:rFonts w:hint="eastAsia" w:ascii="宋体" w:hAnsi="宋体" w:cs="宋体"/>
          <w:kern w:val="0"/>
          <w:sz w:val="44"/>
          <w:szCs w:val="44"/>
        </w:rPr>
        <w:t>南京市政府采购合同</w:t>
      </w:r>
    </w:p>
    <w:p>
      <w:pPr>
        <w:widowControl/>
        <w:shd w:val="clear" w:color="auto" w:fill="FFFFFF"/>
        <w:spacing w:line="360" w:lineRule="auto"/>
        <w:ind w:firstLine="315"/>
        <w:jc w:val="center"/>
        <w:rPr>
          <w:rFonts w:ascii="宋体" w:hAnsi="宋体" w:cs="宋体"/>
          <w:kern w:val="0"/>
          <w:sz w:val="28"/>
          <w:szCs w:val="28"/>
        </w:rPr>
      </w:pPr>
      <w:r>
        <w:rPr>
          <w:rFonts w:hint="eastAsia" w:ascii="宋体" w:hAnsi="宋体" w:cs="宋体"/>
          <w:b/>
          <w:bCs/>
          <w:kern w:val="0"/>
          <w:sz w:val="28"/>
          <w:szCs w:val="28"/>
          <w:lang w:eastAsia="zh-CN"/>
        </w:rPr>
        <w:t>（</w:t>
      </w:r>
      <w:r>
        <w:rPr>
          <w:rFonts w:hint="eastAsia" w:ascii="宋体" w:hAnsi="宋体" w:cs="宋体"/>
          <w:b/>
          <w:bCs/>
          <w:color w:val="000000"/>
          <w:kern w:val="0"/>
          <w:sz w:val="28"/>
          <w:szCs w:val="28"/>
          <w:lang w:val="en-US" w:eastAsia="zh-CN" w:bidi="ar"/>
        </w:rPr>
        <w:t>适用于标段一、标段二</w:t>
      </w:r>
      <w:r>
        <w:rPr>
          <w:rFonts w:hint="eastAsia" w:ascii="宋体" w:hAnsi="宋体" w:cs="宋体"/>
          <w:b/>
          <w:bCs/>
          <w:kern w:val="0"/>
          <w:sz w:val="28"/>
          <w:szCs w:val="28"/>
          <w:lang w:eastAsia="zh-CN"/>
        </w:rPr>
        <w:t>）</w:t>
      </w:r>
    </w:p>
    <w:p>
      <w:pPr>
        <w:widowControl/>
        <w:shd w:val="clear" w:color="auto" w:fill="FFFFFF"/>
        <w:spacing w:line="360" w:lineRule="auto"/>
        <w:ind w:firstLine="315"/>
        <w:rPr>
          <w:rFonts w:ascii="宋体" w:hAnsi="宋体" w:cs="宋体"/>
          <w:kern w:val="0"/>
        </w:rPr>
      </w:pPr>
      <w:r>
        <w:rPr>
          <w:rFonts w:hint="eastAsia" w:ascii="宋体" w:hAnsi="宋体" w:cs="宋体"/>
          <w:kern w:val="0"/>
          <w:sz w:val="32"/>
          <w:szCs w:val="32"/>
        </w:rPr>
        <w:t> </w:t>
      </w:r>
    </w:p>
    <w:p>
      <w:pPr>
        <w:widowControl/>
        <w:shd w:val="clear" w:color="auto" w:fill="FFFFFF"/>
        <w:spacing w:line="360" w:lineRule="auto"/>
        <w:ind w:firstLine="315"/>
        <w:rPr>
          <w:rFonts w:ascii="宋体" w:hAnsi="宋体" w:cs="宋体"/>
          <w:kern w:val="0"/>
        </w:rPr>
      </w:pPr>
      <w:r>
        <w:rPr>
          <w:rFonts w:hint="eastAsia" w:ascii="宋体" w:hAnsi="宋体" w:cs="宋体"/>
          <w:b/>
          <w:bCs/>
          <w:kern w:val="0"/>
          <w:sz w:val="36"/>
          <w:szCs w:val="36"/>
        </w:rPr>
        <w:t> </w:t>
      </w:r>
    </w:p>
    <w:p>
      <w:pPr>
        <w:widowControl/>
        <w:shd w:val="clear" w:color="auto" w:fill="FFFFFF"/>
        <w:spacing w:line="360" w:lineRule="auto"/>
        <w:ind w:firstLine="315"/>
        <w:rPr>
          <w:rFonts w:ascii="宋体" w:hAnsi="宋体" w:cs="宋体"/>
          <w:b/>
          <w:bCs/>
          <w:kern w:val="0"/>
          <w:sz w:val="36"/>
          <w:szCs w:val="36"/>
        </w:rPr>
      </w:pPr>
      <w:r>
        <w:rPr>
          <w:rFonts w:hint="eastAsia" w:ascii="宋体" w:hAnsi="宋体" w:cs="宋体"/>
          <w:b/>
          <w:bCs/>
          <w:kern w:val="0"/>
          <w:sz w:val="36"/>
          <w:szCs w:val="36"/>
        </w:rPr>
        <w:t> </w:t>
      </w:r>
    </w:p>
    <w:p>
      <w:pPr>
        <w:widowControl/>
        <w:shd w:val="clear" w:color="auto" w:fill="FFFFFF"/>
        <w:spacing w:line="360" w:lineRule="auto"/>
        <w:ind w:firstLine="315"/>
        <w:rPr>
          <w:rFonts w:ascii="宋体" w:hAnsi="宋体" w:cs="宋体"/>
          <w:kern w:val="0"/>
          <w:sz w:val="32"/>
          <w:szCs w:val="32"/>
        </w:rPr>
      </w:pPr>
    </w:p>
    <w:p>
      <w:pPr>
        <w:widowControl/>
        <w:shd w:val="clear" w:color="auto" w:fill="FFFFFF"/>
        <w:spacing w:line="360" w:lineRule="auto"/>
        <w:rPr>
          <w:rFonts w:ascii="宋体" w:hAnsi="宋体" w:cs="宋体"/>
          <w:kern w:val="0"/>
          <w:sz w:val="32"/>
          <w:szCs w:val="32"/>
        </w:rPr>
      </w:pPr>
    </w:p>
    <w:p>
      <w:pPr>
        <w:widowControl/>
        <w:shd w:val="clear" w:color="auto" w:fill="FFFFFF"/>
        <w:spacing w:line="360" w:lineRule="auto"/>
        <w:ind w:firstLine="1918"/>
        <w:rPr>
          <w:rFonts w:ascii="宋体" w:hAnsi="宋体" w:cs="宋体"/>
          <w:kern w:val="0"/>
          <w:sz w:val="32"/>
          <w:szCs w:val="32"/>
        </w:rPr>
      </w:pPr>
      <w:r>
        <w:rPr>
          <w:rFonts w:hint="eastAsia" w:ascii="宋体" w:hAnsi="宋体" w:cs="宋体"/>
          <w:b/>
          <w:bCs/>
          <w:kern w:val="0"/>
          <w:sz w:val="32"/>
          <w:szCs w:val="32"/>
        </w:rPr>
        <w:t>合同编号 ：</w:t>
      </w:r>
      <w:r>
        <w:rPr>
          <w:rFonts w:hint="eastAsia" w:ascii="宋体" w:hAnsi="宋体" w:cs="宋体"/>
          <w:b/>
          <w:bCs/>
          <w:kern w:val="0"/>
          <w:sz w:val="32"/>
          <w:szCs w:val="32"/>
          <w:u w:val="single"/>
        </w:rPr>
        <w:t>          </w:t>
      </w:r>
    </w:p>
    <w:p>
      <w:pPr>
        <w:widowControl/>
        <w:shd w:val="clear" w:color="auto" w:fill="FFFFFF"/>
        <w:spacing w:line="360" w:lineRule="auto"/>
        <w:ind w:firstLine="1918"/>
        <w:rPr>
          <w:rFonts w:ascii="宋体" w:hAnsi="宋体" w:cs="宋体"/>
          <w:kern w:val="0"/>
          <w:sz w:val="32"/>
          <w:szCs w:val="32"/>
        </w:rPr>
      </w:pPr>
      <w:r>
        <w:rPr>
          <w:rFonts w:hint="eastAsia" w:ascii="宋体" w:hAnsi="宋体" w:cs="宋体"/>
          <w:b/>
          <w:bCs/>
          <w:kern w:val="0"/>
          <w:sz w:val="32"/>
          <w:szCs w:val="32"/>
        </w:rPr>
        <w:t>项目名称 ：</w:t>
      </w:r>
      <w:r>
        <w:rPr>
          <w:rFonts w:hint="eastAsia" w:ascii="宋体" w:hAnsi="宋体" w:cs="宋体"/>
          <w:b/>
          <w:bCs/>
          <w:kern w:val="0"/>
          <w:sz w:val="32"/>
          <w:szCs w:val="32"/>
          <w:u w:val="single"/>
        </w:rPr>
        <w:t>          </w:t>
      </w:r>
    </w:p>
    <w:p>
      <w:pPr>
        <w:widowControl/>
        <w:shd w:val="clear" w:color="auto" w:fill="FFFFFF"/>
        <w:spacing w:line="360" w:lineRule="auto"/>
        <w:ind w:firstLine="1918"/>
        <w:rPr>
          <w:rFonts w:ascii="宋体" w:hAnsi="宋体" w:cs="宋体"/>
          <w:kern w:val="0"/>
          <w:sz w:val="32"/>
          <w:szCs w:val="32"/>
        </w:rPr>
      </w:pPr>
      <w:r>
        <w:rPr>
          <w:rFonts w:hint="eastAsia" w:ascii="宋体" w:hAnsi="宋体" w:cs="宋体"/>
          <w:b/>
          <w:bCs/>
          <w:kern w:val="0"/>
          <w:sz w:val="32"/>
          <w:szCs w:val="32"/>
        </w:rPr>
        <w:t>使用单位 ：</w:t>
      </w:r>
      <w:r>
        <w:rPr>
          <w:rFonts w:hint="eastAsia" w:ascii="宋体" w:hAnsi="宋体" w:cs="宋体"/>
          <w:b/>
          <w:bCs/>
          <w:kern w:val="0"/>
          <w:sz w:val="32"/>
          <w:szCs w:val="32"/>
          <w:u w:val="single"/>
        </w:rPr>
        <w:t>          </w:t>
      </w:r>
    </w:p>
    <w:p>
      <w:pPr>
        <w:widowControl/>
        <w:shd w:val="clear" w:color="auto" w:fill="FFFFFF"/>
        <w:spacing w:line="360" w:lineRule="auto"/>
        <w:ind w:firstLine="1916"/>
        <w:rPr>
          <w:rFonts w:ascii="宋体" w:hAnsi="宋体" w:cs="宋体"/>
          <w:kern w:val="0"/>
          <w:sz w:val="32"/>
          <w:szCs w:val="32"/>
        </w:rPr>
      </w:pPr>
      <w:r>
        <w:rPr>
          <w:rFonts w:hint="eastAsia" w:ascii="宋体" w:hAnsi="宋体" w:cs="宋体"/>
          <w:b/>
          <w:bCs/>
          <w:kern w:val="0"/>
          <w:sz w:val="32"/>
          <w:szCs w:val="32"/>
        </w:rPr>
        <w:t>供货单位 ：</w:t>
      </w:r>
      <w:r>
        <w:rPr>
          <w:rFonts w:hint="eastAsia" w:ascii="宋体" w:hAnsi="宋体" w:cs="宋体"/>
          <w:b/>
          <w:bCs/>
          <w:kern w:val="0"/>
          <w:sz w:val="32"/>
          <w:szCs w:val="32"/>
          <w:u w:val="single"/>
        </w:rPr>
        <w:t>          </w:t>
      </w:r>
    </w:p>
    <w:p>
      <w:pPr>
        <w:widowControl/>
        <w:shd w:val="clear" w:color="auto" w:fill="FFFFFF"/>
        <w:spacing w:line="360" w:lineRule="auto"/>
        <w:ind w:firstLine="1916"/>
        <w:rPr>
          <w:rFonts w:ascii="宋体" w:hAnsi="宋体" w:cs="宋体"/>
          <w:kern w:val="0"/>
          <w:sz w:val="32"/>
          <w:szCs w:val="32"/>
        </w:rPr>
      </w:pPr>
      <w:r>
        <w:rPr>
          <w:rFonts w:hint="eastAsia" w:ascii="宋体" w:hAnsi="宋体" w:cs="宋体"/>
          <w:b/>
          <w:bCs/>
          <w:kern w:val="0"/>
          <w:sz w:val="32"/>
          <w:szCs w:val="32"/>
        </w:rPr>
        <w:t>签订日期 ：</w:t>
      </w:r>
      <w:r>
        <w:rPr>
          <w:rFonts w:hint="eastAsia" w:ascii="宋体" w:hAnsi="宋体" w:cs="宋体"/>
          <w:b/>
          <w:bCs/>
          <w:kern w:val="0"/>
          <w:sz w:val="32"/>
          <w:szCs w:val="32"/>
          <w:u w:val="single"/>
        </w:rPr>
        <w:t>          </w:t>
      </w:r>
    </w:p>
    <w:p>
      <w:pPr>
        <w:widowControl/>
        <w:shd w:val="clear" w:color="auto" w:fill="FFFFFF"/>
        <w:spacing w:line="360" w:lineRule="auto"/>
        <w:rPr>
          <w:rFonts w:ascii="宋体" w:hAnsi="宋体" w:cs="宋体"/>
          <w:kern w:val="0"/>
          <w:sz w:val="32"/>
          <w:szCs w:val="32"/>
        </w:rPr>
      </w:pPr>
      <w:r>
        <w:rPr>
          <w:rFonts w:hint="eastAsia" w:ascii="宋体" w:hAnsi="宋体" w:cs="宋体"/>
          <w:kern w:val="0"/>
          <w:sz w:val="32"/>
          <w:szCs w:val="32"/>
        </w:rPr>
        <w:t>      </w:t>
      </w:r>
      <w:r>
        <w:rPr>
          <w:rFonts w:hint="eastAsia" w:ascii="宋体" w:hAnsi="宋体" w:cs="宋体"/>
          <w:b/>
          <w:bCs/>
          <w:kern w:val="0"/>
          <w:sz w:val="32"/>
          <w:szCs w:val="32"/>
        </w:rPr>
        <w:t>   </w:t>
      </w:r>
    </w:p>
    <w:p>
      <w:pPr>
        <w:widowControl/>
        <w:shd w:val="clear" w:color="auto" w:fill="FFFFFF"/>
        <w:spacing w:line="360" w:lineRule="auto"/>
        <w:ind w:firstLine="2984"/>
        <w:rPr>
          <w:rFonts w:ascii="宋体" w:hAnsi="宋体" w:cs="宋体"/>
          <w:kern w:val="0"/>
          <w:sz w:val="32"/>
          <w:szCs w:val="32"/>
        </w:rPr>
      </w:pPr>
      <w:r>
        <w:rPr>
          <w:rFonts w:hint="eastAsia" w:ascii="宋体" w:hAnsi="宋体" w:cs="宋体"/>
          <w:b/>
          <w:bCs/>
          <w:kern w:val="0"/>
          <w:sz w:val="32"/>
          <w:szCs w:val="32"/>
        </w:rPr>
        <w:t> </w:t>
      </w:r>
    </w:p>
    <w:p>
      <w:pPr>
        <w:widowControl/>
        <w:shd w:val="clear" w:color="auto" w:fill="FFFFFF"/>
        <w:spacing w:line="360" w:lineRule="auto"/>
        <w:rPr>
          <w:rFonts w:ascii="宋体" w:hAnsi="宋体" w:cs="宋体"/>
          <w:kern w:val="0"/>
          <w:sz w:val="32"/>
          <w:szCs w:val="32"/>
        </w:rPr>
      </w:pPr>
    </w:p>
    <w:p>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南京市工商行政管理局</w:t>
      </w:r>
    </w:p>
    <w:p>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南 京 市 财 政 局 监 制</w:t>
      </w:r>
    </w:p>
    <w:p>
      <w:pPr>
        <w:widowControl/>
        <w:shd w:val="clear" w:color="auto" w:fill="FFFFFF"/>
        <w:spacing w:line="360" w:lineRule="auto"/>
        <w:rPr>
          <w:rFonts w:ascii="宋体" w:hAnsi="宋体" w:cs="宋体"/>
          <w:kern w:val="0"/>
        </w:rPr>
      </w:pPr>
      <w:r>
        <w:rPr>
          <w:rFonts w:hint="eastAsia" w:ascii="宋体" w:hAnsi="宋体" w:cs="宋体"/>
          <w:kern w:val="0"/>
          <w:sz w:val="24"/>
        </w:rPr>
        <w:br w:type="page"/>
      </w:r>
      <w:bookmarkEnd w:id="10"/>
      <w:bookmarkEnd w:id="11"/>
      <w:bookmarkEnd w:id="12"/>
      <w:r>
        <w:rPr>
          <w:rFonts w:hint="eastAsia" w:ascii="宋体" w:hAnsi="宋体" w:cs="宋体"/>
          <w:kern w:val="0"/>
        </w:rPr>
        <w:t>合同编号：</w:t>
      </w:r>
    </w:p>
    <w:p>
      <w:pPr>
        <w:widowControl/>
        <w:shd w:val="clear" w:color="auto" w:fill="FFFFFF"/>
        <w:spacing w:line="360" w:lineRule="auto"/>
        <w:rPr>
          <w:rFonts w:ascii="宋体" w:hAnsi="宋体" w:cs="宋体"/>
          <w:kern w:val="0"/>
        </w:rPr>
      </w:pPr>
      <w:r>
        <w:rPr>
          <w:rFonts w:hint="eastAsia" w:ascii="宋体" w:hAnsi="宋体" w:cs="宋体"/>
          <w:kern w:val="0"/>
        </w:rPr>
        <w:t>政府采购计划号：</w:t>
      </w:r>
    </w:p>
    <w:p>
      <w:pPr>
        <w:widowControl/>
        <w:shd w:val="clear" w:color="auto" w:fill="FFFFFF"/>
        <w:spacing w:line="360" w:lineRule="auto"/>
        <w:jc w:val="center"/>
        <w:rPr>
          <w:rFonts w:ascii="宋体" w:hAnsi="宋体" w:cs="宋体"/>
          <w:kern w:val="0"/>
        </w:rPr>
      </w:pPr>
      <w:r>
        <w:rPr>
          <w:rFonts w:hint="eastAsia" w:ascii="宋体" w:hAnsi="宋体" w:cs="宋体"/>
          <w:kern w:val="0"/>
        </w:rPr>
        <w:t xml:space="preserve"> </w:t>
      </w:r>
    </w:p>
    <w:tbl>
      <w:tblPr>
        <w:tblStyle w:val="46"/>
        <w:tblW w:w="0" w:type="auto"/>
        <w:tblInd w:w="108" w:type="dxa"/>
        <w:tblLayout w:type="fixed"/>
        <w:tblCellMar>
          <w:top w:w="0" w:type="dxa"/>
          <w:left w:w="0" w:type="dxa"/>
          <w:bottom w:w="0" w:type="dxa"/>
          <w:right w:w="0" w:type="dxa"/>
        </w:tblCellMar>
      </w:tblPr>
      <w:tblGrid>
        <w:gridCol w:w="4270"/>
        <w:gridCol w:w="4250"/>
      </w:tblGrid>
      <w:tr>
        <w:tblPrEx>
          <w:tblCellMar>
            <w:top w:w="0" w:type="dxa"/>
            <w:left w:w="0" w:type="dxa"/>
            <w:bottom w:w="0" w:type="dxa"/>
            <w:right w:w="0" w:type="dxa"/>
          </w:tblCellMar>
        </w:tblPrEx>
        <w:tc>
          <w:tcPr>
            <w:tcW w:w="4270"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ascii="宋体" w:hAnsi="宋体" w:cs="宋体"/>
                <w:kern w:val="0"/>
              </w:rPr>
            </w:pPr>
            <w:r>
              <w:rPr>
                <w:rFonts w:hint="eastAsia" w:ascii="宋体" w:hAnsi="宋体" w:cs="宋体"/>
                <w:kern w:val="0"/>
              </w:rPr>
              <w:t>采购人（以下称甲方）：</w:t>
            </w:r>
          </w:p>
        </w:tc>
        <w:tc>
          <w:tcPr>
            <w:tcW w:w="4250"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ascii="宋体" w:hAnsi="宋体" w:cs="宋体"/>
                <w:kern w:val="0"/>
              </w:rPr>
            </w:pPr>
            <w:r>
              <w:rPr>
                <w:rFonts w:hint="eastAsia" w:ascii="宋体" w:hAnsi="宋体" w:cs="宋体"/>
                <w:kern w:val="0"/>
              </w:rPr>
              <w:t>供应商：（以下称乙方）</w:t>
            </w:r>
          </w:p>
        </w:tc>
      </w:tr>
      <w:tr>
        <w:tblPrEx>
          <w:tblCellMar>
            <w:top w:w="0" w:type="dxa"/>
            <w:left w:w="0" w:type="dxa"/>
            <w:bottom w:w="0" w:type="dxa"/>
            <w:right w:w="0" w:type="dxa"/>
          </w:tblCellMar>
        </w:tblPrEx>
        <w:tc>
          <w:tcPr>
            <w:tcW w:w="4270"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ascii="宋体" w:hAnsi="宋体" w:cs="宋体"/>
                <w:kern w:val="0"/>
              </w:rPr>
            </w:pPr>
            <w:r>
              <w:rPr>
                <w:rFonts w:hint="eastAsia" w:ascii="宋体" w:hAnsi="宋体" w:cs="宋体"/>
                <w:kern w:val="0"/>
              </w:rPr>
              <w:t>住所地：</w:t>
            </w:r>
          </w:p>
        </w:tc>
        <w:tc>
          <w:tcPr>
            <w:tcW w:w="4250"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ascii="宋体" w:hAnsi="宋体" w:cs="宋体"/>
                <w:kern w:val="0"/>
              </w:rPr>
            </w:pPr>
            <w:r>
              <w:rPr>
                <w:rFonts w:hint="eastAsia" w:ascii="宋体" w:hAnsi="宋体" w:cs="宋体"/>
                <w:kern w:val="0"/>
              </w:rPr>
              <w:t>住所地：</w:t>
            </w:r>
          </w:p>
        </w:tc>
      </w:tr>
    </w:tbl>
    <w:p>
      <w:pPr>
        <w:widowControl/>
        <w:shd w:val="clear" w:color="auto" w:fill="FFFFFF"/>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根据《中华人民共和国政府采购法》、《中华人民共和国民法典》等法律法规的规定，甲乙双方按照招标结果签订本合同。</w:t>
      </w:r>
    </w:p>
    <w:p>
      <w:pPr>
        <w:widowControl/>
        <w:shd w:val="clear" w:color="auto" w:fill="FFFFFF"/>
        <w:spacing w:line="360" w:lineRule="auto"/>
        <w:ind w:firstLine="422"/>
        <w:rPr>
          <w:rFonts w:ascii="宋体" w:hAnsi="宋体" w:cs="宋体"/>
          <w:color w:val="000000"/>
          <w:kern w:val="0"/>
          <w:szCs w:val="21"/>
        </w:rPr>
      </w:pPr>
      <w:r>
        <w:rPr>
          <w:rFonts w:hint="eastAsia" w:ascii="宋体" w:hAnsi="宋体" w:cs="宋体"/>
          <w:b/>
          <w:bCs/>
          <w:color w:val="000000"/>
          <w:kern w:val="0"/>
          <w:szCs w:val="21"/>
        </w:rPr>
        <w:t>第一条  合同标的</w:t>
      </w:r>
      <w:r>
        <w:rPr>
          <w:rFonts w:hint="eastAsia" w:ascii="宋体" w:hAnsi="宋体" w:cs="宋体"/>
          <w:color w:val="000000"/>
          <w:kern w:val="0"/>
          <w:szCs w:val="21"/>
        </w:rPr>
        <w:t> </w:t>
      </w:r>
    </w:p>
    <w:p>
      <w:pPr>
        <w:widowControl/>
        <w:shd w:val="clear" w:color="auto" w:fill="FFFFFF"/>
        <w:spacing w:line="360" w:lineRule="auto"/>
        <w:ind w:firstLine="420"/>
        <w:jc w:val="left"/>
        <w:rPr>
          <w:rFonts w:ascii="宋体" w:hAnsi="宋体" w:cs="宋体"/>
          <w:b/>
          <w:bCs/>
          <w:color w:val="000000"/>
          <w:kern w:val="0"/>
          <w:szCs w:val="21"/>
        </w:rPr>
      </w:pPr>
      <w:r>
        <w:rPr>
          <w:rFonts w:hint="eastAsia" w:ascii="宋体" w:hAnsi="宋体" w:cs="宋体"/>
          <w:bCs/>
          <w:szCs w:val="21"/>
        </w:rPr>
        <w:t>江宁高新区环保管家服务项目</w:t>
      </w:r>
    </w:p>
    <w:p>
      <w:pPr>
        <w:widowControl/>
        <w:shd w:val="clear" w:color="auto" w:fill="FFFFFF"/>
        <w:spacing w:line="360" w:lineRule="auto"/>
        <w:ind w:firstLine="420"/>
        <w:jc w:val="left"/>
        <w:rPr>
          <w:rFonts w:ascii="宋体" w:hAnsi="宋体" w:cs="宋体"/>
          <w:color w:val="000000"/>
          <w:kern w:val="0"/>
          <w:szCs w:val="21"/>
        </w:rPr>
      </w:pPr>
      <w:r>
        <w:rPr>
          <w:rFonts w:hint="eastAsia" w:ascii="宋体" w:hAnsi="宋体" w:cs="宋体"/>
          <w:b/>
          <w:bCs/>
          <w:color w:val="000000"/>
          <w:kern w:val="0"/>
          <w:szCs w:val="21"/>
        </w:rPr>
        <w:t>第二条  合同总价款</w:t>
      </w:r>
      <w:r>
        <w:rPr>
          <w:rFonts w:hint="eastAsia" w:ascii="宋体" w:hAnsi="宋体" w:cs="宋体"/>
          <w:color w:val="000000"/>
          <w:kern w:val="0"/>
          <w:szCs w:val="21"/>
        </w:rPr>
        <w:t> </w:t>
      </w:r>
    </w:p>
    <w:p>
      <w:pPr>
        <w:widowControl/>
        <w:shd w:val="clear" w:color="auto" w:fill="FFFFFF"/>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本合同项下服务价款为___________万元（大写）人民币，分项价款在“分项报价表”中有明确规定。</w:t>
      </w:r>
    </w:p>
    <w:p>
      <w:pPr>
        <w:widowControl/>
        <w:shd w:val="clear" w:color="auto" w:fill="FFFFFF"/>
        <w:spacing w:line="360" w:lineRule="auto"/>
        <w:ind w:firstLine="413" w:firstLineChars="196"/>
        <w:rPr>
          <w:rFonts w:ascii="宋体" w:hAnsi="宋体" w:cs="宋体"/>
          <w:color w:val="000000"/>
          <w:kern w:val="0"/>
          <w:szCs w:val="21"/>
        </w:rPr>
      </w:pPr>
      <w:r>
        <w:rPr>
          <w:rFonts w:hint="eastAsia" w:ascii="宋体" w:hAnsi="宋体" w:cs="宋体"/>
          <w:b/>
          <w:bCs/>
          <w:color w:val="000000"/>
          <w:kern w:val="0"/>
          <w:szCs w:val="21"/>
        </w:rPr>
        <w:t>第三条 组成本合同的有关文件</w:t>
      </w:r>
      <w:r>
        <w:rPr>
          <w:rFonts w:hint="eastAsia" w:ascii="宋体" w:hAnsi="宋体" w:cs="宋体"/>
          <w:color w:val="000000"/>
          <w:kern w:val="0"/>
          <w:szCs w:val="21"/>
        </w:rPr>
        <w:t>  </w:t>
      </w:r>
    </w:p>
    <w:p>
      <w:pPr>
        <w:widowControl/>
        <w:shd w:val="clear" w:color="auto" w:fill="FFFFFF"/>
        <w:spacing w:line="360" w:lineRule="auto"/>
        <w:ind w:firstLine="411" w:firstLineChars="196"/>
        <w:rPr>
          <w:rFonts w:ascii="宋体" w:hAnsi="宋体" w:cs="宋体"/>
          <w:color w:val="000000"/>
          <w:kern w:val="0"/>
          <w:szCs w:val="21"/>
        </w:rPr>
      </w:pPr>
      <w:r>
        <w:rPr>
          <w:rFonts w:hint="eastAsia" w:ascii="宋体" w:hAnsi="宋体" w:cs="宋体"/>
          <w:color w:val="000000"/>
          <w:kern w:val="0"/>
          <w:szCs w:val="21"/>
        </w:rPr>
        <w:t>招标文件和有关附件是本合同不可分割的组成部分，与本合同具有同等法律效力。</w:t>
      </w:r>
    </w:p>
    <w:p>
      <w:pPr>
        <w:widowControl/>
        <w:shd w:val="clear" w:color="auto" w:fill="FFFFFF"/>
        <w:spacing w:line="360" w:lineRule="auto"/>
        <w:ind w:firstLine="420"/>
        <w:jc w:val="left"/>
        <w:rPr>
          <w:rFonts w:ascii="宋体" w:hAnsi="宋体" w:cs="宋体"/>
          <w:color w:val="000000"/>
          <w:kern w:val="0"/>
          <w:szCs w:val="21"/>
        </w:rPr>
      </w:pPr>
      <w:r>
        <w:rPr>
          <w:rFonts w:hint="eastAsia" w:ascii="宋体" w:hAnsi="宋体" w:cs="宋体"/>
          <w:b/>
          <w:bCs/>
          <w:color w:val="000000"/>
          <w:kern w:val="0"/>
          <w:szCs w:val="21"/>
        </w:rPr>
        <w:t>第四条 权利保证</w:t>
      </w:r>
    </w:p>
    <w:p>
      <w:pPr>
        <w:widowControl/>
        <w:shd w:val="clear" w:color="auto" w:fill="FFFFFF"/>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乙方应保证为甲方提供服务任何一部分时不受第三方提出侵犯其专利权、版权、商标权或其他权利的起诉。一旦出现侵权，乙方应承担全部责任。</w:t>
      </w:r>
    </w:p>
    <w:p>
      <w:pPr>
        <w:widowControl/>
        <w:shd w:val="clear" w:color="auto" w:fill="FFFFFF"/>
        <w:spacing w:line="360" w:lineRule="auto"/>
        <w:ind w:firstLine="420"/>
        <w:jc w:val="left"/>
        <w:rPr>
          <w:rFonts w:ascii="宋体" w:hAnsi="宋体" w:cs="宋体"/>
          <w:color w:val="000000"/>
          <w:kern w:val="0"/>
          <w:szCs w:val="21"/>
        </w:rPr>
      </w:pPr>
      <w:r>
        <w:rPr>
          <w:rFonts w:hint="eastAsia" w:ascii="宋体" w:hAnsi="宋体" w:cs="宋体"/>
          <w:b/>
          <w:bCs/>
          <w:color w:val="000000"/>
          <w:kern w:val="0"/>
          <w:szCs w:val="21"/>
        </w:rPr>
        <w:t>第五条 质量保证</w:t>
      </w:r>
    </w:p>
    <w:p>
      <w:pPr>
        <w:widowControl/>
        <w:shd w:val="clear" w:color="auto" w:fill="FFFFFF"/>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乙方提供的服务必须全部达到采购文件各项要求，国家或行业有规定的，还要符合相应规定。</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b/>
          <w:bCs/>
          <w:kern w:val="0"/>
          <w:szCs w:val="21"/>
        </w:rPr>
        <w:t>第六条 交付使用和验收</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1、乙方应当在合同签订后XX天内完成采购文件规定的项目并交付甲方使用。采购文件有约定的，从其约定。</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2、甲方自行组织或视情邀请相关专家或国家认可的质量检测机构参加验收，乙方提供的服务不符合采购文件和合同规定的，甲方有权拒收，并承担验收费用等。</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b/>
          <w:bCs/>
          <w:kern w:val="0"/>
          <w:szCs w:val="21"/>
        </w:rPr>
        <w:t>第七条 履约保证金</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无</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b/>
          <w:bCs/>
          <w:kern w:val="0"/>
          <w:szCs w:val="21"/>
        </w:rPr>
        <w:t>第八条 合同款支付</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1、本合同项下所有款项均以人民币支付。</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2、本合同项下的采购资金由甲方自行支付，乙方向甲方开具发票。</w:t>
      </w:r>
    </w:p>
    <w:p>
      <w:pPr>
        <w:spacing w:line="360" w:lineRule="auto"/>
        <w:ind w:firstLine="420" w:firstLineChars="200"/>
        <w:rPr>
          <w:rFonts w:ascii="宋体" w:hAnsi="宋体" w:cs="宋体"/>
        </w:rPr>
      </w:pPr>
      <w:r>
        <w:rPr>
          <w:rFonts w:hint="eastAsia" w:ascii="宋体" w:hAnsi="宋体" w:cs="宋体"/>
          <w:kern w:val="0"/>
          <w:szCs w:val="21"/>
        </w:rPr>
        <w:t>3、付款方式：按照采购文件要求。</w:t>
      </w:r>
    </w:p>
    <w:p>
      <w:pPr>
        <w:spacing w:line="360" w:lineRule="auto"/>
        <w:ind w:firstLine="422" w:firstLineChars="200"/>
        <w:rPr>
          <w:rFonts w:ascii="宋体" w:hAnsi="宋体" w:cs="宋体"/>
          <w:kern w:val="0"/>
          <w:szCs w:val="21"/>
        </w:rPr>
      </w:pPr>
      <w:r>
        <w:rPr>
          <w:rFonts w:hint="eastAsia" w:ascii="宋体" w:hAnsi="宋体" w:cs="宋体"/>
          <w:b/>
          <w:bCs/>
          <w:kern w:val="0"/>
          <w:szCs w:val="21"/>
        </w:rPr>
        <w:t>第九条 违约责任  </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１、甲方无正当理由拒绝验收或拒付款的，甲方向乙方偿付合同总价的5%违约金。</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２、甲方未按合同规定的期限向乙方支付合同款的，每逾期1天甲方向乙方偿付欠款总额的5‰滞纳金，但累计滞纳金总额不超过欠款总额的5%。</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３、如乙方不能按期交付服务的，甲方有权扣留全部履约保证金；同时乙方应向甲方支付合同总价5%的违约金。</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４、乙方逾期交付的，每逾期1天，乙方向甲方偿付合同总额的5‰的滞纳金。如乙方逾期交付达10天，甲方有权解除合同，解除合同的通知自到达乙方时生效。乙方逾期交付的，今后参加政府采购信誉将受到影响。</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5、乙方在承担违约责任后，仍应继续履行合同规定的义务（甲方解除合同的除外）。甲方未能及时追究乙方的任何一项违约责任并不表明甲方放弃追究乙方该项或其他违约责任。</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6、乙方虚假承诺，或经权威部门检测提供的货物和服务不能满足采购文件要求，或是由于乙方的过错造成合同无法继续履行的，乙方履约保证金不予退还外，还应向甲方支付不少于合同总价30%赔偿金。</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b/>
          <w:bCs/>
          <w:kern w:val="0"/>
          <w:szCs w:val="21"/>
        </w:rPr>
        <w:t>第十条 合同的变更和终止</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1、除《政府采购法》第50条第二款规定的情形外，本合同一经签订，甲乙双方不得擅自变更、中止或终止合同。</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2、除发生法律规定的不能预见、不能避免并不能克服的客观情况外，甲乙双方不得放弃或拒绝履行合同。乙方放弃或拒绝履行合同，保证金不予退还，在三年内不得参加江苏省设备成套有限公司组织的政府采购活动。</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b/>
          <w:bCs/>
          <w:kern w:val="0"/>
          <w:szCs w:val="21"/>
        </w:rPr>
        <w:t>第十一条 合同的转让</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乙方不得擅自部分或全部转让其应履行的合同义务。</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b/>
          <w:bCs/>
          <w:kern w:val="0"/>
          <w:szCs w:val="21"/>
        </w:rPr>
        <w:t>第十二条 争议的解决</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1、因履行本合同引起的或与本合同有关的争议，甲、乙双方应首先通过友好协商解决，如果协商不能解决争议，则采取以下第（</w:t>
      </w:r>
      <w:r>
        <w:rPr>
          <w:rFonts w:ascii="宋体" w:hAnsi="宋体" w:cs="宋体"/>
          <w:kern w:val="0"/>
          <w:szCs w:val="21"/>
        </w:rPr>
        <w:t>1</w:t>
      </w:r>
      <w:r>
        <w:rPr>
          <w:rFonts w:hint="eastAsia" w:ascii="宋体" w:hAnsi="宋体" w:cs="宋体"/>
          <w:kern w:val="0"/>
          <w:szCs w:val="21"/>
        </w:rPr>
        <w:t>）种方式解决争议：</w:t>
      </w:r>
    </w:p>
    <w:p>
      <w:pPr>
        <w:widowControl/>
        <w:shd w:val="clear" w:color="auto" w:fill="FFFFFF"/>
        <w:spacing w:line="360" w:lineRule="auto"/>
        <w:ind w:firstLine="560"/>
        <w:jc w:val="left"/>
        <w:rPr>
          <w:rFonts w:ascii="宋体" w:hAnsi="宋体" w:cs="宋体"/>
          <w:kern w:val="0"/>
          <w:szCs w:val="21"/>
        </w:rPr>
      </w:pPr>
      <w:r>
        <w:rPr>
          <w:rFonts w:hint="eastAsia" w:ascii="宋体" w:hAnsi="宋体" w:cs="宋体"/>
          <w:kern w:val="0"/>
          <w:szCs w:val="21"/>
        </w:rPr>
        <w:t>（1）向甲方所在地有管辖权的人民法院提起诉讼；</w:t>
      </w:r>
    </w:p>
    <w:p>
      <w:pPr>
        <w:widowControl/>
        <w:shd w:val="clear" w:color="auto" w:fill="FFFFFF"/>
        <w:spacing w:line="360" w:lineRule="auto"/>
        <w:ind w:firstLine="560"/>
        <w:jc w:val="left"/>
        <w:rPr>
          <w:rFonts w:ascii="宋体" w:hAnsi="宋体" w:cs="宋体"/>
          <w:kern w:val="0"/>
          <w:szCs w:val="21"/>
        </w:rPr>
      </w:pPr>
      <w:r>
        <w:rPr>
          <w:rFonts w:hint="eastAsia" w:ascii="宋体" w:hAnsi="宋体" w:cs="宋体"/>
          <w:kern w:val="0"/>
          <w:szCs w:val="21"/>
        </w:rPr>
        <w:t>（2）向南京仲裁委员会按其仲裁规则申请仲裁。</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2、在仲裁期间，本合同应继续履行。</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b/>
          <w:bCs/>
          <w:kern w:val="0"/>
          <w:szCs w:val="21"/>
        </w:rPr>
        <w:t>第十三条 诚实信用</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乙方应诚实信用，严格按照采购文件要求和承诺履行合同，不向甲方进行商业贿赂或者提供不正当利益。</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b/>
          <w:bCs/>
          <w:kern w:val="0"/>
          <w:szCs w:val="21"/>
        </w:rPr>
        <w:t>第十四条 合同生效及其他</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1、本合同自签订之日起生效。</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2、本合同一式捌份，甲方陆份，乙方贰份。</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3、本合同应按照中华人民共和国的现行法律进行解释。</w:t>
      </w:r>
    </w:p>
    <w:p>
      <w:pPr>
        <w:widowControl/>
        <w:shd w:val="clear" w:color="auto" w:fill="FFFFFF"/>
        <w:spacing w:line="360" w:lineRule="auto"/>
        <w:ind w:firstLine="420"/>
        <w:jc w:val="left"/>
        <w:rPr>
          <w:rFonts w:ascii="宋体" w:hAnsi="宋体" w:cs="宋体"/>
          <w:kern w:val="0"/>
          <w:szCs w:val="21"/>
        </w:rPr>
      </w:pPr>
    </w:p>
    <w:tbl>
      <w:tblPr>
        <w:tblStyle w:val="46"/>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257"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ascii="宋体" w:hAnsi="宋体" w:cs="宋体"/>
                <w:kern w:val="0"/>
                <w:szCs w:val="21"/>
                <w:lang w:val="zh-CN"/>
              </w:rPr>
            </w:pPr>
            <w:r>
              <w:rPr>
                <w:rFonts w:hint="eastAsia" w:ascii="宋体" w:hAnsi="宋体" w:cs="宋体"/>
                <w:kern w:val="0"/>
                <w:szCs w:val="21"/>
                <w:lang w:val="zh-CN"/>
              </w:rPr>
              <w:t>甲方（委托方）：（盖章）</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ascii="宋体" w:hAnsi="宋体" w:cs="宋体"/>
                <w:kern w:val="0"/>
                <w:szCs w:val="21"/>
                <w:lang w:val="zh-CN"/>
              </w:rPr>
            </w:pPr>
            <w:r>
              <w:rPr>
                <w:rFonts w:hint="eastAsia" w:ascii="宋体" w:hAnsi="宋体" w:cs="宋体"/>
                <w:kern w:val="0"/>
                <w:szCs w:val="21"/>
                <w:lang w:val="zh-CN"/>
              </w:rPr>
              <w:t>乙方：（盖章）</w:t>
            </w:r>
          </w:p>
        </w:tc>
      </w:tr>
      <w:tr>
        <w:tblPrEx>
          <w:tblCellMar>
            <w:top w:w="0" w:type="dxa"/>
            <w:left w:w="108" w:type="dxa"/>
            <w:bottom w:w="0" w:type="dxa"/>
            <w:right w:w="108" w:type="dxa"/>
          </w:tblCellMar>
        </w:tblPrEx>
        <w:trPr>
          <w:trHeight w:val="362"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lang w:val="zh-CN"/>
              </w:rPr>
              <w:t>法定代表人：</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lang w:val="zh-CN"/>
              </w:rPr>
              <w:t>法定或委托代表人</w:t>
            </w:r>
            <w:r>
              <w:rPr>
                <w:rFonts w:hint="eastAsia" w:ascii="宋体" w:hAnsi="宋体" w:cs="宋体"/>
                <w:kern w:val="0"/>
                <w:szCs w:val="21"/>
              </w:rPr>
              <w:t>：</w:t>
            </w:r>
          </w:p>
        </w:tc>
      </w:tr>
      <w:tr>
        <w:tblPrEx>
          <w:tblCellMar>
            <w:top w:w="0" w:type="dxa"/>
            <w:left w:w="108" w:type="dxa"/>
            <w:bottom w:w="0" w:type="dxa"/>
            <w:right w:w="108" w:type="dxa"/>
          </w:tblCellMar>
        </w:tblPrEx>
        <w:trPr>
          <w:trHeight w:val="251"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lang w:val="zh-CN"/>
              </w:rPr>
              <w:t>电话：</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lang w:val="zh-CN"/>
              </w:rPr>
              <w:t>电话：</w:t>
            </w:r>
          </w:p>
        </w:tc>
      </w:tr>
      <w:tr>
        <w:tblPrEx>
          <w:tblCellMar>
            <w:top w:w="0" w:type="dxa"/>
            <w:left w:w="108" w:type="dxa"/>
            <w:bottom w:w="0" w:type="dxa"/>
            <w:right w:w="108" w:type="dxa"/>
          </w:tblCellMar>
        </w:tblPrEx>
        <w:trPr>
          <w:trHeight w:val="283"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lang w:val="zh-CN"/>
              </w:rPr>
              <w:t>开户银行：</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lang w:val="zh-CN"/>
              </w:rPr>
              <w:t>开户银行：</w:t>
            </w:r>
          </w:p>
        </w:tc>
      </w:tr>
      <w:tr>
        <w:tblPrEx>
          <w:tblCellMar>
            <w:top w:w="0" w:type="dxa"/>
            <w:left w:w="108" w:type="dxa"/>
            <w:bottom w:w="0" w:type="dxa"/>
            <w:right w:w="108" w:type="dxa"/>
          </w:tblCellMar>
        </w:tblPrEx>
        <w:trPr>
          <w:trHeight w:val="315"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账</w:t>
            </w:r>
            <w:r>
              <w:rPr>
                <w:rFonts w:hint="eastAsia" w:ascii="宋体" w:hAnsi="宋体" w:cs="宋体"/>
                <w:kern w:val="0"/>
                <w:szCs w:val="21"/>
                <w:lang w:val="zh-CN"/>
              </w:rPr>
              <w:t>号：</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账</w:t>
            </w:r>
            <w:r>
              <w:rPr>
                <w:rFonts w:hint="eastAsia" w:ascii="宋体" w:hAnsi="宋体" w:cs="宋体"/>
                <w:kern w:val="0"/>
                <w:szCs w:val="21"/>
                <w:lang w:val="zh-CN"/>
              </w:rPr>
              <w:t>号：</w:t>
            </w:r>
          </w:p>
        </w:tc>
      </w:tr>
      <w:tr>
        <w:tblPrEx>
          <w:tblCellMar>
            <w:top w:w="0" w:type="dxa"/>
            <w:left w:w="108" w:type="dxa"/>
            <w:bottom w:w="0" w:type="dxa"/>
            <w:right w:w="108" w:type="dxa"/>
          </w:tblCellMar>
        </w:tblPrEx>
        <w:trPr>
          <w:trHeight w:val="572"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ascii="宋体" w:hAnsi="宋体" w:cs="宋体"/>
                <w:kern w:val="0"/>
                <w:szCs w:val="21"/>
                <w:lang w:val="zh-CN"/>
              </w:rPr>
            </w:pPr>
            <w:r>
              <w:rPr>
                <w:rFonts w:hint="eastAsia" w:ascii="宋体" w:hAnsi="宋体" w:cs="宋体"/>
                <w:kern w:val="0"/>
                <w:szCs w:val="21"/>
                <w:lang w:val="zh-CN"/>
              </w:rPr>
              <w:t>日期：年月日</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ascii="宋体" w:hAnsi="宋体" w:cs="宋体"/>
                <w:kern w:val="0"/>
                <w:szCs w:val="21"/>
                <w:lang w:val="zh-CN"/>
              </w:rPr>
            </w:pPr>
            <w:r>
              <w:rPr>
                <w:rFonts w:hint="eastAsia" w:ascii="宋体" w:hAnsi="宋体" w:cs="宋体"/>
                <w:kern w:val="0"/>
                <w:szCs w:val="21"/>
                <w:lang w:val="zh-CN"/>
              </w:rPr>
              <w:t>日期：年月日</w:t>
            </w:r>
          </w:p>
        </w:tc>
      </w:tr>
    </w:tbl>
    <w:p>
      <w:pPr>
        <w:rPr>
          <w:rFonts w:ascii="宋体" w:hAnsi="宋体" w:cs="宋体"/>
          <w:kern w:val="0"/>
          <w:sz w:val="24"/>
        </w:rPr>
      </w:pPr>
      <w:r>
        <w:rPr>
          <w:rFonts w:hint="eastAsia" w:ascii="宋体" w:hAnsi="宋体" w:cs="宋体"/>
          <w:b/>
          <w:bCs/>
          <w:kern w:val="44"/>
          <w:sz w:val="32"/>
          <w:szCs w:val="32"/>
        </w:rPr>
        <w:br w:type="page"/>
      </w:r>
    </w:p>
    <w:p>
      <w:pPr>
        <w:pStyle w:val="4"/>
        <w:numPr>
          <w:ilvl w:val="0"/>
          <w:numId w:val="0"/>
        </w:numPr>
        <w:rPr>
          <w:rFonts w:ascii="宋体" w:hAnsi="宋体" w:cs="宋体"/>
        </w:rPr>
      </w:pPr>
      <w:bookmarkStart w:id="13" w:name="_Toc6328"/>
      <w:r>
        <w:rPr>
          <w:rFonts w:hint="eastAsia" w:ascii="宋体" w:hAnsi="宋体" w:cs="宋体"/>
        </w:rPr>
        <w:t>第六章 投标文件格式及附件</w:t>
      </w:r>
      <w:bookmarkEnd w:id="13"/>
    </w:p>
    <w:p>
      <w:pPr>
        <w:widowControl/>
        <w:adjustRightInd w:val="0"/>
        <w:spacing w:line="240" w:lineRule="atLeast"/>
        <w:jc w:val="left"/>
        <w:rPr>
          <w:rFonts w:ascii="宋体" w:hAnsi="宋体" w:cs="宋体"/>
          <w:b/>
          <w:bCs/>
          <w:szCs w:val="21"/>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jc w:val="center"/>
        <w:rPr>
          <w:rFonts w:ascii="宋体" w:hAnsi="宋体" w:cs="宋体"/>
          <w:sz w:val="20"/>
          <w:szCs w:val="20"/>
        </w:rPr>
      </w:pPr>
      <w:r>
        <w:rPr>
          <w:rFonts w:hint="eastAsia" w:ascii="宋体" w:hAnsi="宋体" w:cs="宋体"/>
          <w:sz w:val="28"/>
          <w:szCs w:val="28"/>
        </w:rPr>
        <w:t>（项目名称）</w:t>
      </w:r>
    </w:p>
    <w:p>
      <w:pPr>
        <w:jc w:val="center"/>
        <w:rPr>
          <w:rFonts w:ascii="宋体" w:hAnsi="宋体" w:cs="宋体"/>
          <w:sz w:val="20"/>
          <w:szCs w:val="20"/>
        </w:rPr>
      </w:pP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投标文件</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sz w:val="28"/>
          <w:szCs w:val="28"/>
          <w:u w:val="single"/>
        </w:rPr>
      </w:pPr>
      <w:r>
        <w:rPr>
          <w:rFonts w:hint="eastAsia" w:ascii="宋体" w:hAnsi="宋体" w:cs="宋体"/>
          <w:sz w:val="28"/>
          <w:szCs w:val="28"/>
        </w:rPr>
        <w:t>投标人：（盖单位章）</w:t>
      </w:r>
    </w:p>
    <w:p>
      <w:pPr>
        <w:jc w:val="center"/>
        <w:rPr>
          <w:rFonts w:ascii="宋体" w:hAnsi="宋体" w:cs="宋体"/>
          <w:sz w:val="28"/>
          <w:szCs w:val="28"/>
        </w:rPr>
      </w:pPr>
      <w:r>
        <w:rPr>
          <w:rFonts w:hint="eastAsia" w:ascii="宋体" w:hAnsi="宋体" w:cs="宋体"/>
          <w:sz w:val="28"/>
          <w:szCs w:val="28"/>
        </w:rPr>
        <w:t>法定代表人或其委托代理人：（签字/签章）</w:t>
      </w:r>
    </w:p>
    <w:p>
      <w:pPr>
        <w:jc w:val="center"/>
        <w:rPr>
          <w:rFonts w:ascii="宋体" w:hAnsi="宋体" w:cs="宋体"/>
          <w:sz w:val="28"/>
          <w:szCs w:val="28"/>
        </w:rPr>
      </w:pPr>
      <w:r>
        <w:rPr>
          <w:rFonts w:hint="eastAsia" w:ascii="宋体" w:hAnsi="宋体" w:cs="宋体"/>
          <w:sz w:val="28"/>
          <w:szCs w:val="28"/>
        </w:rPr>
        <w:t>年 月  日</w:t>
      </w:r>
    </w:p>
    <w:p>
      <w:pPr>
        <w:widowControl/>
        <w:jc w:val="left"/>
        <w:rPr>
          <w:rFonts w:ascii="宋体" w:hAnsi="宋体" w:cs="宋体"/>
          <w:sz w:val="28"/>
          <w:szCs w:val="28"/>
        </w:rPr>
      </w:pPr>
      <w:r>
        <w:rPr>
          <w:rFonts w:hint="eastAsia" w:ascii="宋体" w:hAnsi="宋体" w:cs="宋体"/>
          <w:sz w:val="28"/>
          <w:szCs w:val="28"/>
        </w:rPr>
        <w:br w:type="page"/>
      </w:r>
    </w:p>
    <w:p>
      <w:pPr>
        <w:spacing w:before="312" w:beforeLines="100" w:after="312" w:afterLines="100"/>
        <w:jc w:val="center"/>
        <w:rPr>
          <w:rFonts w:ascii="宋体" w:hAnsi="宋体" w:cs="宋体"/>
          <w:sz w:val="32"/>
          <w:szCs w:val="32"/>
        </w:rPr>
      </w:pPr>
      <w:r>
        <w:rPr>
          <w:rFonts w:hint="eastAsia" w:ascii="宋体" w:hAnsi="宋体" w:cs="宋体"/>
          <w:sz w:val="32"/>
          <w:szCs w:val="32"/>
        </w:rPr>
        <w:t>目录</w:t>
      </w:r>
    </w:p>
    <w:p>
      <w:pPr>
        <w:jc w:val="center"/>
        <w:rPr>
          <w:rFonts w:ascii="宋体" w:hAnsi="宋体" w:cs="宋体"/>
          <w:szCs w:val="21"/>
        </w:rPr>
      </w:pPr>
      <w:r>
        <w:rPr>
          <w:rFonts w:hint="eastAsia" w:ascii="宋体" w:hAnsi="宋体" w:cs="宋体"/>
          <w:szCs w:val="21"/>
        </w:rPr>
        <w:t>（注：供应商根据本章附件顺序编制投标文件并制作目录（须生成页码））</w:t>
      </w:r>
    </w:p>
    <w:p>
      <w:pPr>
        <w:spacing w:line="440" w:lineRule="exact"/>
        <w:rPr>
          <w:rFonts w:ascii="宋体" w:hAnsi="宋体" w:cs="宋体"/>
          <w:kern w:val="0"/>
          <w:szCs w:val="21"/>
        </w:rPr>
      </w:pPr>
      <w:r>
        <w:rPr>
          <w:rFonts w:hint="eastAsia" w:ascii="宋体" w:hAnsi="宋体" w:cs="宋体"/>
        </w:rPr>
        <w:br w:type="page"/>
      </w:r>
      <w:r>
        <w:rPr>
          <w:rFonts w:hint="eastAsia" w:ascii="宋体" w:hAnsi="宋体" w:cs="宋体"/>
          <w:b/>
          <w:bCs/>
          <w:kern w:val="0"/>
          <w:szCs w:val="21"/>
        </w:rPr>
        <w:t>附件一、投标申请及声明格式</w:t>
      </w:r>
    </w:p>
    <w:p>
      <w:pPr>
        <w:widowControl/>
        <w:shd w:val="clear" w:color="auto" w:fill="FFFFFF"/>
        <w:spacing w:line="360" w:lineRule="auto"/>
        <w:jc w:val="center"/>
        <w:rPr>
          <w:rFonts w:ascii="宋体" w:hAnsi="宋体" w:cs="宋体"/>
          <w:b/>
          <w:kern w:val="0"/>
          <w:szCs w:val="21"/>
        </w:rPr>
      </w:pPr>
      <w:r>
        <w:rPr>
          <w:rFonts w:hint="eastAsia" w:ascii="宋体" w:hAnsi="宋体" w:cs="宋体"/>
          <w:b/>
          <w:kern w:val="0"/>
          <w:sz w:val="36"/>
          <w:szCs w:val="36"/>
        </w:rPr>
        <w:t>投标申请及声明</w:t>
      </w:r>
    </w:p>
    <w:p>
      <w:pPr>
        <w:widowControl/>
        <w:shd w:val="clear" w:color="auto" w:fill="FFFFFF"/>
        <w:spacing w:line="400" w:lineRule="exact"/>
        <w:rPr>
          <w:rFonts w:ascii="宋体" w:hAnsi="宋体" w:cs="宋体"/>
          <w:kern w:val="0"/>
          <w:szCs w:val="21"/>
        </w:rPr>
      </w:pPr>
      <w:r>
        <w:rPr>
          <w:rFonts w:hint="eastAsia" w:ascii="宋体" w:hAnsi="宋体" w:cs="宋体"/>
          <w:kern w:val="0"/>
          <w:szCs w:val="21"/>
        </w:rPr>
        <w:t> 致：江苏省设备成套股份有限公司</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根据贵方</w:t>
      </w:r>
      <w:r>
        <w:rPr>
          <w:rFonts w:hint="eastAsia" w:ascii="宋体" w:hAnsi="宋体" w:cs="宋体"/>
          <w:kern w:val="0"/>
          <w:szCs w:val="21"/>
          <w:u w:val="single"/>
        </w:rPr>
        <w:t>           （</w:t>
      </w:r>
      <w:r>
        <w:rPr>
          <w:rFonts w:hint="eastAsia" w:ascii="宋体" w:hAnsi="宋体" w:cs="宋体"/>
          <w:kern w:val="0"/>
          <w:szCs w:val="21"/>
        </w:rPr>
        <w:t>项目名称） </w:t>
      </w:r>
      <w:r>
        <w:rPr>
          <w:rFonts w:hint="eastAsia" w:ascii="宋体" w:hAnsi="宋体" w:cs="宋体"/>
          <w:kern w:val="0"/>
          <w:szCs w:val="21"/>
          <w:u w:val="single"/>
        </w:rPr>
        <w:t>       </w:t>
      </w:r>
      <w:r>
        <w:rPr>
          <w:rFonts w:hint="eastAsia" w:ascii="宋体" w:hAnsi="宋体" w:cs="宋体"/>
          <w:kern w:val="0"/>
          <w:szCs w:val="21"/>
        </w:rPr>
        <w:t>（项目编号）投标邀请，正式授权下述签字人</w:t>
      </w:r>
      <w:r>
        <w:rPr>
          <w:rFonts w:hint="eastAsia" w:ascii="宋体" w:hAnsi="宋体" w:cs="宋体"/>
          <w:kern w:val="0"/>
          <w:szCs w:val="21"/>
          <w:u w:val="single"/>
        </w:rPr>
        <w:t>           </w:t>
      </w:r>
      <w:r>
        <w:rPr>
          <w:rFonts w:hint="eastAsia" w:ascii="宋体" w:hAnsi="宋体" w:cs="宋体"/>
          <w:kern w:val="0"/>
          <w:szCs w:val="21"/>
        </w:rPr>
        <w:t>(姓名和职务)代表投标人</w:t>
      </w:r>
      <w:r>
        <w:rPr>
          <w:rFonts w:hint="eastAsia" w:ascii="宋体" w:hAnsi="宋体" w:cs="宋体"/>
          <w:kern w:val="0"/>
          <w:szCs w:val="21"/>
          <w:u w:val="single"/>
        </w:rPr>
        <w:t>     </w:t>
      </w:r>
      <w:r>
        <w:rPr>
          <w:rFonts w:hint="eastAsia" w:ascii="宋体" w:hAnsi="宋体" w:cs="宋体"/>
          <w:kern w:val="0"/>
          <w:szCs w:val="21"/>
        </w:rPr>
        <w:t>（投标人名称），提交投标文件。</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据此函，签字人兹宣布声明和承诺如下：</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1、我们的资格条件完全符合政府采购法和本次招标要求，我们同意并向贵方提供了与投标有关的所有证据和资料。</w:t>
      </w:r>
    </w:p>
    <w:p>
      <w:pPr>
        <w:widowControl/>
        <w:shd w:val="clear" w:color="auto" w:fill="FFFFFF"/>
        <w:spacing w:line="400" w:lineRule="exact"/>
        <w:ind w:left="1470" w:hanging="1050"/>
        <w:rPr>
          <w:rFonts w:ascii="宋体" w:hAnsi="宋体" w:cs="宋体"/>
          <w:kern w:val="0"/>
          <w:szCs w:val="21"/>
        </w:rPr>
      </w:pPr>
      <w:r>
        <w:rPr>
          <w:rFonts w:hint="eastAsia" w:ascii="宋体" w:hAnsi="宋体" w:cs="宋体"/>
          <w:kern w:val="0"/>
          <w:szCs w:val="21"/>
        </w:rPr>
        <w:t>2、按招标要求，我们的投标总报价详见开标一览表。</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3、本项目交付时间为：</w:t>
      </w:r>
      <w:r>
        <w:rPr>
          <w:rFonts w:hint="eastAsia" w:ascii="宋体" w:hAnsi="宋体" w:cs="宋体"/>
          <w:kern w:val="0"/>
          <w:szCs w:val="21"/>
          <w:u w:val="single"/>
        </w:rPr>
        <w:t xml:space="preserve">  满足招标文件要求  </w:t>
      </w:r>
      <w:r>
        <w:rPr>
          <w:rFonts w:hint="eastAsia" w:ascii="宋体" w:hAnsi="宋体" w:cs="宋体"/>
          <w:kern w:val="0"/>
          <w:szCs w:val="21"/>
        </w:rPr>
        <w:t>。</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4、我们已详细阅读全部招标文件及其有效补充文件，我们放弃对招标文件任何误解的权利，提交投标文件后，不对招标文件本身提出质疑。</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5、我们同意从规定的开标日期起遵循本投标文件，并在规定的投标有效期期满之前均具有约束力。</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6、一旦我方中标，我方将根据招标文件的规定及我方投标承诺严格履行合同。</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7、我方决不提供虚假材料谋取中标、决不采取不正当手段诋毁、排挤其他投标人、决不与采购人、其他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8、与本投标有关的正式联系方式为：</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地   址：</w:t>
      </w:r>
      <w:r>
        <w:rPr>
          <w:rFonts w:hint="eastAsia" w:ascii="宋体" w:hAnsi="宋体" w:cs="宋体"/>
          <w:kern w:val="0"/>
          <w:szCs w:val="21"/>
          <w:u w:val="single"/>
        </w:rPr>
        <w:t>                      </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电   话：</w:t>
      </w:r>
      <w:r>
        <w:rPr>
          <w:rFonts w:hint="eastAsia" w:ascii="宋体" w:hAnsi="宋体" w:cs="宋体"/>
          <w:kern w:val="0"/>
          <w:szCs w:val="21"/>
          <w:u w:val="single"/>
        </w:rPr>
        <w:t>                      </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传   真：</w:t>
      </w:r>
      <w:r>
        <w:rPr>
          <w:rFonts w:hint="eastAsia" w:ascii="宋体" w:hAnsi="宋体" w:cs="宋体"/>
          <w:kern w:val="0"/>
          <w:szCs w:val="21"/>
          <w:u w:val="single"/>
        </w:rPr>
        <w:t>                      </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开户银行：</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银行账号：</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投标人授权代表姓名（签字或签章）：</w:t>
      </w:r>
      <w:r>
        <w:rPr>
          <w:rFonts w:hint="eastAsia" w:ascii="宋体" w:hAnsi="宋体" w:cs="宋体"/>
          <w:kern w:val="0"/>
          <w:szCs w:val="21"/>
          <w:u w:val="single"/>
        </w:rPr>
        <w:t>        </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pPr>
        <w:widowControl/>
        <w:shd w:val="clear" w:color="auto" w:fill="FFFFFF"/>
        <w:spacing w:line="400" w:lineRule="exact"/>
        <w:ind w:firstLine="420"/>
        <w:rPr>
          <w:rFonts w:ascii="宋体" w:hAnsi="宋体" w:cs="宋体"/>
          <w:kern w:val="0"/>
          <w:szCs w:val="21"/>
        </w:rPr>
      </w:pPr>
      <w:r>
        <w:rPr>
          <w:rFonts w:hint="eastAsia" w:ascii="宋体" w:hAnsi="宋体" w:cs="宋体"/>
          <w:kern w:val="0"/>
          <w:szCs w:val="21"/>
        </w:rPr>
        <w:t>日    期：</w:t>
      </w:r>
      <w:r>
        <w:rPr>
          <w:rFonts w:hint="eastAsia" w:ascii="宋体" w:hAnsi="宋体" w:cs="宋体"/>
          <w:kern w:val="0"/>
          <w:szCs w:val="21"/>
          <w:u w:val="single"/>
        </w:rPr>
        <w:t>     </w:t>
      </w:r>
      <w:r>
        <w:rPr>
          <w:rFonts w:hint="eastAsia" w:ascii="宋体" w:hAnsi="宋体" w:cs="宋体"/>
          <w:kern w:val="0"/>
          <w:szCs w:val="21"/>
        </w:rPr>
        <w:t>年</w:t>
      </w:r>
      <w:r>
        <w:rPr>
          <w:rFonts w:hint="eastAsia" w:ascii="宋体" w:hAnsi="宋体" w:cs="宋体"/>
          <w:kern w:val="0"/>
          <w:szCs w:val="21"/>
          <w:u w:val="single"/>
        </w:rPr>
        <w:t>    </w:t>
      </w:r>
      <w:r>
        <w:rPr>
          <w:rFonts w:hint="eastAsia" w:ascii="宋体" w:hAnsi="宋体" w:cs="宋体"/>
          <w:kern w:val="0"/>
          <w:szCs w:val="21"/>
        </w:rPr>
        <w:t>月</w:t>
      </w:r>
      <w:r>
        <w:rPr>
          <w:rFonts w:hint="eastAsia" w:ascii="宋体" w:hAnsi="宋体" w:cs="宋体"/>
          <w:kern w:val="0"/>
          <w:szCs w:val="21"/>
          <w:u w:val="single"/>
        </w:rPr>
        <w:t>    </w:t>
      </w:r>
      <w:r>
        <w:rPr>
          <w:rFonts w:hint="eastAsia" w:ascii="宋体" w:hAnsi="宋体" w:cs="宋体"/>
          <w:kern w:val="0"/>
          <w:szCs w:val="21"/>
        </w:rPr>
        <w:t>日</w:t>
      </w:r>
    </w:p>
    <w:p>
      <w:pPr>
        <w:widowControl/>
        <w:shd w:val="clear" w:color="auto" w:fill="FFFFFF"/>
        <w:spacing w:line="360" w:lineRule="auto"/>
        <w:rPr>
          <w:rFonts w:ascii="宋体" w:hAnsi="宋体" w:cs="宋体"/>
          <w:kern w:val="0"/>
          <w:szCs w:val="21"/>
        </w:rPr>
      </w:pPr>
      <w:r>
        <w:rPr>
          <w:rFonts w:hint="eastAsia" w:ascii="宋体" w:hAnsi="宋体" w:cs="宋体"/>
          <w:b/>
          <w:bCs/>
          <w:kern w:val="0"/>
          <w:szCs w:val="21"/>
        </w:rPr>
        <w:br w:type="page"/>
      </w:r>
      <w:r>
        <w:rPr>
          <w:rFonts w:hint="eastAsia" w:ascii="宋体" w:hAnsi="宋体" w:cs="宋体"/>
          <w:b/>
          <w:bCs/>
          <w:kern w:val="0"/>
          <w:szCs w:val="21"/>
        </w:rPr>
        <w:t>附件二、法定代表人授权书格式</w:t>
      </w:r>
    </w:p>
    <w:p>
      <w:pPr>
        <w:widowControl/>
        <w:shd w:val="clear" w:color="auto" w:fill="FFFFFF"/>
        <w:spacing w:line="360" w:lineRule="auto"/>
        <w:ind w:firstLine="720"/>
        <w:jc w:val="center"/>
        <w:rPr>
          <w:rFonts w:ascii="宋体" w:hAnsi="宋体" w:cs="宋体"/>
          <w:kern w:val="0"/>
          <w:sz w:val="36"/>
          <w:szCs w:val="36"/>
        </w:rPr>
      </w:pPr>
    </w:p>
    <w:p>
      <w:pPr>
        <w:widowControl/>
        <w:shd w:val="clear" w:color="auto" w:fill="FFFFFF"/>
        <w:spacing w:line="360" w:lineRule="auto"/>
        <w:ind w:firstLine="720"/>
        <w:jc w:val="center"/>
        <w:rPr>
          <w:rFonts w:ascii="宋体" w:hAnsi="宋体" w:cs="宋体"/>
          <w:b/>
          <w:kern w:val="0"/>
          <w:szCs w:val="21"/>
        </w:rPr>
      </w:pPr>
      <w:r>
        <w:rPr>
          <w:rFonts w:hint="eastAsia" w:ascii="宋体" w:hAnsi="宋体" w:cs="宋体"/>
          <w:b/>
          <w:kern w:val="0"/>
          <w:sz w:val="36"/>
          <w:szCs w:val="36"/>
        </w:rPr>
        <w:t>法定代表人授权书</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致：江苏省设备成套股份有限公司</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本授权书声明：注册于</w:t>
      </w:r>
      <w:r>
        <w:rPr>
          <w:rFonts w:hint="eastAsia" w:ascii="宋体" w:hAnsi="宋体" w:cs="宋体"/>
          <w:kern w:val="0"/>
          <w:szCs w:val="21"/>
          <w:u w:val="single"/>
        </w:rPr>
        <w:t>              </w:t>
      </w:r>
      <w:r>
        <w:rPr>
          <w:rFonts w:hint="eastAsia" w:ascii="宋体" w:hAnsi="宋体" w:cs="宋体"/>
          <w:kern w:val="0"/>
          <w:szCs w:val="21"/>
        </w:rPr>
        <w:t>（投标人住址）的</w:t>
      </w:r>
      <w:r>
        <w:rPr>
          <w:rFonts w:hint="eastAsia" w:ascii="宋体" w:hAnsi="宋体" w:cs="宋体"/>
          <w:kern w:val="0"/>
          <w:szCs w:val="21"/>
          <w:u w:val="single"/>
        </w:rPr>
        <w:t>           </w:t>
      </w:r>
      <w:r>
        <w:rPr>
          <w:rFonts w:hint="eastAsia" w:ascii="宋体" w:hAnsi="宋体" w:cs="宋体"/>
          <w:kern w:val="0"/>
          <w:szCs w:val="21"/>
        </w:rPr>
        <w:t>（投标人名称）法定代表人</w:t>
      </w:r>
      <w:r>
        <w:rPr>
          <w:rFonts w:hint="eastAsia" w:ascii="宋体" w:hAnsi="宋体" w:cs="宋体"/>
          <w:kern w:val="0"/>
          <w:szCs w:val="21"/>
          <w:u w:val="single"/>
        </w:rPr>
        <w:t>        </w:t>
      </w:r>
      <w:r>
        <w:rPr>
          <w:rFonts w:hint="eastAsia" w:ascii="宋体" w:hAnsi="宋体" w:cs="宋体"/>
          <w:kern w:val="0"/>
          <w:szCs w:val="21"/>
        </w:rPr>
        <w:t>（法定代表人姓名、职务）代表本公司授权在下面签字的</w:t>
      </w:r>
      <w:r>
        <w:rPr>
          <w:rFonts w:hint="eastAsia" w:ascii="宋体" w:hAnsi="宋体" w:cs="宋体"/>
          <w:kern w:val="0"/>
          <w:szCs w:val="21"/>
          <w:u w:val="single"/>
        </w:rPr>
        <w:t>        </w:t>
      </w:r>
      <w:r>
        <w:rPr>
          <w:rFonts w:hint="eastAsia" w:ascii="宋体" w:hAnsi="宋体" w:cs="宋体"/>
          <w:kern w:val="0"/>
          <w:szCs w:val="21"/>
        </w:rPr>
        <w:t>（投标人代表姓名、职务）为本公司的合法代理人，就贵方组织的</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cs="宋体"/>
          <w:kern w:val="0"/>
          <w:szCs w:val="21"/>
          <w:u w:val="single"/>
        </w:rPr>
        <w:t>        </w:t>
      </w:r>
      <w:r>
        <w:rPr>
          <w:rFonts w:hint="eastAsia" w:ascii="宋体" w:hAnsi="宋体" w:cs="宋体"/>
          <w:kern w:val="0"/>
          <w:szCs w:val="21"/>
        </w:rPr>
        <w:t>（项目编号）投标，以本公司名义处理一切与之有关的事务。</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     本授权书于    年  月  日签字生效，特此声明。</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     法定代表人签字或签章：</w:t>
      </w:r>
    </w:p>
    <w:p>
      <w:pPr>
        <w:widowControl/>
        <w:shd w:val="clear" w:color="auto" w:fill="FFFFFF"/>
        <w:spacing w:line="360" w:lineRule="auto"/>
        <w:ind w:firstLine="338" w:firstLineChars="161"/>
        <w:jc w:val="left"/>
        <w:rPr>
          <w:rFonts w:ascii="宋体" w:hAnsi="宋体" w:cs="宋体"/>
          <w:kern w:val="0"/>
          <w:szCs w:val="21"/>
        </w:rPr>
      </w:pPr>
      <w:r>
        <w:rPr>
          <w:rFonts w:hint="eastAsia" w:ascii="宋体" w:hAnsi="宋体" w:cs="宋体"/>
          <w:kern w:val="0"/>
          <w:szCs w:val="21"/>
        </w:rPr>
        <w:t>被授权人签字或签章：   </w:t>
      </w:r>
    </w:p>
    <w:p>
      <w:pPr>
        <w:widowControl/>
        <w:shd w:val="clear" w:color="auto" w:fill="FFFFFF"/>
        <w:spacing w:line="360" w:lineRule="auto"/>
        <w:ind w:firstLine="338" w:firstLineChars="161"/>
        <w:jc w:val="left"/>
        <w:rPr>
          <w:rFonts w:ascii="宋体" w:hAnsi="宋体" w:cs="宋体"/>
          <w:kern w:val="0"/>
          <w:szCs w:val="21"/>
        </w:rPr>
      </w:pPr>
      <w:r>
        <w:rPr>
          <w:rFonts w:hint="eastAsia" w:ascii="宋体" w:hAnsi="宋体" w:cs="宋体"/>
          <w:kern w:val="0"/>
          <w:szCs w:val="21"/>
        </w:rPr>
        <w:t>供应商盖章：                </w:t>
      </w:r>
    </w:p>
    <w:p>
      <w:pPr>
        <w:widowControl/>
        <w:shd w:val="clear" w:color="auto" w:fill="FFFFFF"/>
        <w:spacing w:line="360" w:lineRule="auto"/>
        <w:ind w:firstLine="338" w:firstLineChars="161"/>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ind w:firstLine="840" w:firstLineChars="400"/>
        <w:jc w:val="left"/>
        <w:rPr>
          <w:rFonts w:ascii="宋体" w:hAnsi="宋体" w:cs="宋体"/>
          <w:kern w:val="0"/>
          <w:szCs w:val="21"/>
        </w:rPr>
      </w:pPr>
    </w:p>
    <w:p>
      <w:pPr>
        <w:widowControl/>
        <w:shd w:val="clear" w:color="auto" w:fill="FFFFFF"/>
        <w:spacing w:line="360" w:lineRule="auto"/>
        <w:jc w:val="left"/>
        <w:rPr>
          <w:rFonts w:ascii="宋体" w:hAnsi="宋体" w:cs="宋体"/>
          <w:b/>
          <w:kern w:val="0"/>
          <w:szCs w:val="21"/>
        </w:rPr>
      </w:pPr>
      <w:r>
        <w:rPr>
          <w:rFonts w:hint="eastAsia" w:ascii="宋体" w:hAnsi="宋体" w:cs="宋体"/>
          <w:b/>
          <w:kern w:val="0"/>
          <w:szCs w:val="21"/>
        </w:rPr>
        <w:t>被授权人的身份证的复印件:</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 </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 </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 </w:t>
      </w:r>
    </w:p>
    <w:p>
      <w:pPr>
        <w:autoSpaceDE w:val="0"/>
        <w:autoSpaceDN w:val="0"/>
        <w:adjustRightInd w:val="0"/>
        <w:spacing w:line="360" w:lineRule="auto"/>
        <w:rPr>
          <w:rFonts w:ascii="宋体" w:hAnsi="宋体" w:cs="宋体"/>
        </w:rPr>
      </w:pPr>
      <w:r>
        <w:rPr>
          <w:rFonts w:hint="eastAsia" w:ascii="宋体" w:hAnsi="宋体" w:cs="宋体"/>
          <w:b/>
          <w:bCs/>
          <w:kern w:val="0"/>
          <w:szCs w:val="21"/>
        </w:rPr>
        <w:br w:type="page"/>
      </w:r>
      <w:bookmarkStart w:id="14" w:name="_Toc26810"/>
      <w:r>
        <w:rPr>
          <w:rFonts w:hint="eastAsia" w:ascii="宋体" w:hAnsi="宋体" w:cs="宋体"/>
          <w:b/>
          <w:bCs/>
          <w:kern w:val="0"/>
          <w:szCs w:val="21"/>
          <w:lang w:val="zh-CN"/>
        </w:rPr>
        <w:t>附件三、</w:t>
      </w:r>
      <w:bookmarkEnd w:id="14"/>
      <w:r>
        <w:rPr>
          <w:rFonts w:hint="eastAsia" w:ascii="宋体" w:hAnsi="宋体" w:cs="宋体"/>
          <w:b/>
          <w:bCs/>
          <w:kern w:val="0"/>
          <w:szCs w:val="21"/>
        </w:rPr>
        <w:t>开标一览表</w:t>
      </w:r>
    </w:p>
    <w:p>
      <w:pPr>
        <w:autoSpaceDE w:val="0"/>
        <w:autoSpaceDN w:val="0"/>
        <w:adjustRightInd w:val="0"/>
        <w:rPr>
          <w:rFonts w:ascii="宋体" w:hAnsi="宋体" w:cs="宋体"/>
          <w:b/>
          <w:bCs/>
          <w:lang w:val="zh-CN"/>
        </w:rPr>
      </w:pPr>
    </w:p>
    <w:p>
      <w:pPr>
        <w:jc w:val="center"/>
        <w:rPr>
          <w:rFonts w:ascii="宋体" w:hAnsi="宋体" w:cs="宋体"/>
          <w:b/>
          <w:sz w:val="36"/>
          <w:szCs w:val="36"/>
        </w:rPr>
      </w:pPr>
      <w:r>
        <w:rPr>
          <w:rFonts w:hint="eastAsia" w:ascii="宋体" w:hAnsi="宋体" w:cs="宋体"/>
          <w:b/>
          <w:sz w:val="36"/>
          <w:szCs w:val="36"/>
        </w:rPr>
        <w:t>开标一览表</w:t>
      </w:r>
    </w:p>
    <w:p>
      <w:pPr>
        <w:widowControl/>
        <w:shd w:val="clear" w:color="auto" w:fill="FFFFFF"/>
        <w:spacing w:line="360" w:lineRule="auto"/>
        <w:jc w:val="center"/>
        <w:rPr>
          <w:rFonts w:ascii="宋体" w:hAnsi="宋体" w:cs="宋体"/>
          <w:kern w:val="0"/>
          <w:sz w:val="24"/>
        </w:rPr>
      </w:pPr>
      <w:r>
        <w:rPr>
          <w:rFonts w:hint="eastAsia" w:ascii="宋体" w:hAnsi="宋体" w:cs="宋体"/>
          <w:lang w:val="zh-CN"/>
        </w:rPr>
        <w:t xml:space="preserve">               </w:t>
      </w:r>
    </w:p>
    <w:p>
      <w:pPr>
        <w:pStyle w:val="15"/>
        <w:spacing w:line="440" w:lineRule="exact"/>
        <w:ind w:firstLine="0"/>
        <w:rPr>
          <w:rFonts w:ascii="宋体" w:hAnsi="宋体" w:cs="宋体"/>
          <w:sz w:val="21"/>
          <w:szCs w:val="21"/>
        </w:rPr>
      </w:pPr>
      <w:r>
        <w:rPr>
          <w:rFonts w:hint="eastAsia" w:ascii="宋体" w:hAnsi="宋体" w:cs="宋体"/>
          <w:sz w:val="21"/>
          <w:szCs w:val="21"/>
        </w:rPr>
        <w:t>项目名称：                项目编号：</w:t>
      </w:r>
    </w:p>
    <w:tbl>
      <w:tblPr>
        <w:tblStyle w:val="46"/>
        <w:tblW w:w="89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69"/>
        <w:gridCol w:w="1469"/>
        <w:gridCol w:w="6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98" w:hRule="atLeast"/>
        </w:trPr>
        <w:tc>
          <w:tcPr>
            <w:tcW w:w="1369" w:type="dxa"/>
            <w:vMerge w:val="restart"/>
            <w:vAlign w:val="center"/>
          </w:tcPr>
          <w:p>
            <w:pPr>
              <w:pStyle w:val="15"/>
              <w:spacing w:line="440" w:lineRule="exact"/>
              <w:ind w:firstLine="0"/>
              <w:jc w:val="center"/>
              <w:rPr>
                <w:rFonts w:ascii="宋体" w:hAnsi="宋体" w:cs="宋体"/>
                <w:sz w:val="21"/>
                <w:szCs w:val="21"/>
              </w:rPr>
            </w:pPr>
            <w:r>
              <w:rPr>
                <w:rFonts w:hint="eastAsia" w:ascii="宋体" w:hAnsi="宋体" w:cs="宋体"/>
                <w:sz w:val="21"/>
                <w:szCs w:val="21"/>
              </w:rPr>
              <w:t>投标报价</w:t>
            </w:r>
          </w:p>
        </w:tc>
        <w:tc>
          <w:tcPr>
            <w:tcW w:w="1469" w:type="dxa"/>
            <w:vAlign w:val="center"/>
          </w:tcPr>
          <w:p>
            <w:pPr>
              <w:spacing w:line="360" w:lineRule="auto"/>
              <w:jc w:val="center"/>
              <w:rPr>
                <w:rFonts w:ascii="宋体" w:hAnsi="宋体" w:cs="宋体"/>
                <w:b/>
                <w:szCs w:val="21"/>
              </w:rPr>
            </w:pPr>
            <w:r>
              <w:rPr>
                <w:rFonts w:hint="eastAsia" w:ascii="宋体" w:hAnsi="宋体" w:cs="宋体"/>
                <w:b/>
                <w:szCs w:val="21"/>
              </w:rPr>
              <w:t>标段一</w:t>
            </w:r>
          </w:p>
        </w:tc>
        <w:tc>
          <w:tcPr>
            <w:tcW w:w="6156" w:type="dxa"/>
            <w:vAlign w:val="center"/>
          </w:tcPr>
          <w:p>
            <w:pPr>
              <w:pStyle w:val="15"/>
              <w:spacing w:line="440" w:lineRule="exact"/>
              <w:ind w:firstLine="0"/>
              <w:rPr>
                <w:rFonts w:ascii="宋体" w:hAnsi="宋体" w:cs="宋体"/>
                <w:b w:val="0"/>
                <w:bCs/>
                <w:sz w:val="21"/>
                <w:szCs w:val="21"/>
              </w:rPr>
            </w:pPr>
            <w:r>
              <w:rPr>
                <w:rFonts w:hint="eastAsia" w:ascii="宋体" w:hAnsi="宋体" w:cs="宋体"/>
                <w:b w:val="0"/>
                <w:bCs/>
                <w:sz w:val="21"/>
                <w:szCs w:val="21"/>
              </w:rPr>
              <w:t xml:space="preserve">小写：人民币                </w:t>
            </w:r>
          </w:p>
          <w:p>
            <w:pPr>
              <w:pStyle w:val="15"/>
              <w:spacing w:line="440" w:lineRule="exact"/>
              <w:ind w:firstLine="472" w:firstLineChars="225"/>
              <w:rPr>
                <w:rFonts w:ascii="宋体" w:hAnsi="宋体" w:cs="宋体"/>
                <w:b w:val="0"/>
                <w:bCs/>
                <w:sz w:val="21"/>
                <w:szCs w:val="21"/>
              </w:rPr>
            </w:pPr>
          </w:p>
          <w:p>
            <w:pPr>
              <w:pStyle w:val="15"/>
              <w:spacing w:line="440" w:lineRule="exact"/>
              <w:ind w:firstLine="0"/>
              <w:rPr>
                <w:rFonts w:ascii="宋体" w:hAnsi="宋体" w:cs="宋体"/>
                <w:b w:val="0"/>
                <w:bCs/>
                <w:sz w:val="21"/>
                <w:szCs w:val="21"/>
              </w:rPr>
            </w:pPr>
            <w:r>
              <w:rPr>
                <w:rFonts w:hint="eastAsia" w:ascii="宋体" w:hAnsi="宋体" w:cs="宋体"/>
                <w:b w:val="0"/>
                <w:bCs/>
                <w:sz w:val="21"/>
                <w:szCs w:val="21"/>
              </w:rPr>
              <w:t xml:space="preserve">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98" w:hRule="atLeast"/>
        </w:trPr>
        <w:tc>
          <w:tcPr>
            <w:tcW w:w="1369" w:type="dxa"/>
            <w:vMerge w:val="continue"/>
            <w:vAlign w:val="center"/>
          </w:tcPr>
          <w:p>
            <w:pPr>
              <w:pStyle w:val="15"/>
              <w:spacing w:line="440" w:lineRule="exact"/>
              <w:ind w:firstLine="0"/>
              <w:jc w:val="center"/>
              <w:rPr>
                <w:rFonts w:ascii="宋体" w:hAnsi="宋体" w:cs="宋体"/>
                <w:sz w:val="21"/>
                <w:szCs w:val="21"/>
              </w:rPr>
            </w:pPr>
          </w:p>
        </w:tc>
        <w:tc>
          <w:tcPr>
            <w:tcW w:w="1469" w:type="dxa"/>
            <w:vAlign w:val="center"/>
          </w:tcPr>
          <w:p>
            <w:pPr>
              <w:spacing w:line="360" w:lineRule="auto"/>
              <w:jc w:val="center"/>
              <w:rPr>
                <w:rFonts w:ascii="宋体" w:hAnsi="宋体" w:cs="宋体"/>
                <w:b/>
                <w:szCs w:val="21"/>
              </w:rPr>
            </w:pPr>
            <w:r>
              <w:rPr>
                <w:rFonts w:hint="eastAsia" w:ascii="宋体" w:hAnsi="宋体" w:cs="宋体"/>
                <w:b/>
                <w:szCs w:val="21"/>
              </w:rPr>
              <w:t>标段二</w:t>
            </w:r>
          </w:p>
        </w:tc>
        <w:tc>
          <w:tcPr>
            <w:tcW w:w="6156" w:type="dxa"/>
            <w:vAlign w:val="center"/>
          </w:tcPr>
          <w:p>
            <w:pPr>
              <w:pStyle w:val="15"/>
              <w:spacing w:line="440" w:lineRule="exact"/>
              <w:ind w:firstLine="0"/>
              <w:rPr>
                <w:rFonts w:ascii="宋体" w:hAnsi="宋体" w:cs="宋体"/>
                <w:b w:val="0"/>
                <w:bCs/>
                <w:sz w:val="21"/>
                <w:szCs w:val="21"/>
              </w:rPr>
            </w:pPr>
            <w:r>
              <w:rPr>
                <w:rFonts w:hint="eastAsia" w:ascii="宋体" w:hAnsi="宋体" w:cs="宋体"/>
                <w:b w:val="0"/>
                <w:bCs/>
                <w:sz w:val="21"/>
                <w:szCs w:val="21"/>
              </w:rPr>
              <w:t xml:space="preserve">小写：人民币                </w:t>
            </w:r>
          </w:p>
          <w:p>
            <w:pPr>
              <w:pStyle w:val="15"/>
              <w:spacing w:line="440" w:lineRule="exact"/>
              <w:ind w:firstLine="0"/>
              <w:rPr>
                <w:rFonts w:ascii="宋体" w:hAnsi="宋体" w:cs="宋体"/>
                <w:b w:val="0"/>
                <w:bCs/>
                <w:sz w:val="21"/>
                <w:szCs w:val="21"/>
              </w:rPr>
            </w:pPr>
          </w:p>
          <w:p>
            <w:pPr>
              <w:pStyle w:val="15"/>
              <w:spacing w:line="440" w:lineRule="exact"/>
              <w:ind w:firstLine="0"/>
              <w:rPr>
                <w:rFonts w:asciiTheme="minorEastAsia" w:hAnsiTheme="minorEastAsia" w:eastAsiaTheme="minorEastAsia"/>
                <w:b w:val="0"/>
                <w:bCs/>
              </w:rPr>
            </w:pPr>
            <w:r>
              <w:rPr>
                <w:rFonts w:hint="eastAsia" w:ascii="宋体" w:hAnsi="宋体" w:cs="宋体"/>
                <w:b w:val="0"/>
                <w:bCs/>
                <w:sz w:val="21"/>
                <w:szCs w:val="21"/>
              </w:rPr>
              <w:t xml:space="preserve">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9" w:hRule="atLeast"/>
        </w:trPr>
        <w:tc>
          <w:tcPr>
            <w:tcW w:w="1369" w:type="dxa"/>
            <w:vAlign w:val="center"/>
          </w:tcPr>
          <w:p>
            <w:pPr>
              <w:pStyle w:val="15"/>
              <w:spacing w:line="440" w:lineRule="exact"/>
              <w:ind w:firstLine="0"/>
              <w:jc w:val="center"/>
              <w:rPr>
                <w:rFonts w:ascii="宋体" w:hAnsi="宋体" w:cs="宋体"/>
                <w:sz w:val="21"/>
                <w:szCs w:val="21"/>
              </w:rPr>
            </w:pPr>
            <w:r>
              <w:rPr>
                <w:rFonts w:hint="eastAsia" w:ascii="宋体" w:hAnsi="宋体" w:cs="宋体"/>
                <w:sz w:val="21"/>
                <w:szCs w:val="21"/>
              </w:rPr>
              <w:t>服务时间/交付使用时间</w:t>
            </w:r>
          </w:p>
        </w:tc>
        <w:tc>
          <w:tcPr>
            <w:tcW w:w="7625" w:type="dxa"/>
            <w:gridSpan w:val="2"/>
            <w:vAlign w:val="center"/>
          </w:tcPr>
          <w:p>
            <w:pPr>
              <w:pStyle w:val="15"/>
              <w:tabs>
                <w:tab w:val="left" w:pos="3624"/>
              </w:tabs>
              <w:spacing w:line="440" w:lineRule="exact"/>
              <w:ind w:firstLine="474" w:firstLineChars="225"/>
              <w:rPr>
                <w:rFonts w:ascii="宋体" w:hAnsi="宋体" w:cs="宋体"/>
                <w:sz w:val="21"/>
                <w:szCs w:val="21"/>
                <w:u w:val="single"/>
              </w:rPr>
            </w:pPr>
            <w:r>
              <w:rPr>
                <w:rFonts w:hint="eastAsia" w:ascii="宋体" w:hAnsi="宋体" w:cs="宋体"/>
                <w:sz w:val="21"/>
                <w:szCs w:val="21"/>
                <w:u w:val="single"/>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01" w:hRule="atLeast"/>
        </w:trPr>
        <w:tc>
          <w:tcPr>
            <w:tcW w:w="1369" w:type="dxa"/>
            <w:vAlign w:val="center"/>
          </w:tcPr>
          <w:p>
            <w:pPr>
              <w:pStyle w:val="15"/>
              <w:ind w:firstLine="0"/>
              <w:jc w:val="center"/>
              <w:rPr>
                <w:rFonts w:ascii="宋体" w:hAnsi="宋体" w:cs="宋体"/>
                <w:sz w:val="21"/>
                <w:szCs w:val="21"/>
              </w:rPr>
            </w:pPr>
            <w:r>
              <w:rPr>
                <w:rFonts w:hint="eastAsia" w:ascii="宋体" w:hAnsi="宋体" w:cs="宋体"/>
                <w:sz w:val="21"/>
                <w:szCs w:val="21"/>
              </w:rPr>
              <w:t>投标标的是否全部由小微企业（含视同小微企业）提供</w:t>
            </w:r>
          </w:p>
        </w:tc>
        <w:tc>
          <w:tcPr>
            <w:tcW w:w="7625" w:type="dxa"/>
            <w:gridSpan w:val="2"/>
            <w:vAlign w:val="center"/>
          </w:tcPr>
          <w:p>
            <w:pPr>
              <w:pStyle w:val="15"/>
              <w:ind w:firstLine="474" w:firstLineChars="225"/>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zh-CN"/>
              </w:rPr>
              <w:t>填写“是”或“否</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6" w:hRule="atLeast"/>
        </w:trPr>
        <w:tc>
          <w:tcPr>
            <w:tcW w:w="1369" w:type="dxa"/>
            <w:vAlign w:val="center"/>
          </w:tcPr>
          <w:p>
            <w:pPr>
              <w:pStyle w:val="15"/>
              <w:ind w:firstLine="0"/>
              <w:jc w:val="center"/>
              <w:rPr>
                <w:rFonts w:ascii="宋体" w:hAnsi="宋体" w:cs="宋体"/>
                <w:sz w:val="21"/>
                <w:szCs w:val="21"/>
              </w:rPr>
            </w:pPr>
            <w:r>
              <w:rPr>
                <w:rFonts w:hint="eastAsia" w:ascii="宋体" w:hAnsi="宋体" w:cs="宋体"/>
                <w:sz w:val="21"/>
                <w:szCs w:val="21"/>
              </w:rPr>
              <w:t>备注</w:t>
            </w:r>
          </w:p>
        </w:tc>
        <w:tc>
          <w:tcPr>
            <w:tcW w:w="7625" w:type="dxa"/>
            <w:gridSpan w:val="2"/>
            <w:vAlign w:val="center"/>
          </w:tcPr>
          <w:p>
            <w:pPr>
              <w:pStyle w:val="15"/>
              <w:ind w:firstLine="474" w:firstLineChars="225"/>
              <w:rPr>
                <w:rFonts w:ascii="宋体" w:hAnsi="宋体" w:cs="宋体"/>
                <w:sz w:val="21"/>
                <w:szCs w:val="21"/>
              </w:rPr>
            </w:pPr>
          </w:p>
        </w:tc>
      </w:tr>
    </w:tbl>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numPr>
          <w:ilvl w:val="0"/>
          <w:numId w:val="4"/>
        </w:numPr>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本项目仅接受一个价格，不得填报有选择性报价方案。如有优惠条款须注明，但不得影响报价，影响项目履约交付。</w:t>
      </w:r>
    </w:p>
    <w:p>
      <w:pPr>
        <w:widowControl/>
        <w:shd w:val="clear" w:color="auto" w:fill="FFFFFF"/>
        <w:spacing w:line="360" w:lineRule="auto"/>
        <w:ind w:firstLine="420"/>
        <w:jc w:val="left"/>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szCs w:val="21"/>
        </w:rPr>
        <w:t>“投标标的是否全部由小微企业提供</w:t>
      </w:r>
      <w:r>
        <w:rPr>
          <w:rFonts w:hint="eastAsia" w:ascii="宋体" w:hAnsi="宋体" w:cs="宋体"/>
          <w:b/>
          <w:bCs/>
          <w:szCs w:val="21"/>
          <w:lang w:val="zh-CN"/>
        </w:rPr>
        <w:t>”栏内填写“是”或“否”。如填写“是”，</w:t>
      </w:r>
      <w:r>
        <w:rPr>
          <w:rFonts w:hint="eastAsia" w:ascii="宋体" w:hAnsi="宋体" w:cs="宋体"/>
          <w:b/>
          <w:bCs/>
          <w:szCs w:val="21"/>
        </w:rPr>
        <w:t>投标人应按招标文件要求提供《中小企业声明函》、《残疾人福利性单位声明函》、《属于监狱企业的证明文件》。如未按要求提供、填写，不享受价格扣除。</w:t>
      </w:r>
    </w:p>
    <w:p>
      <w:pPr>
        <w:widowControl/>
        <w:shd w:val="clear" w:color="auto" w:fill="FFFFFF"/>
        <w:spacing w:line="360" w:lineRule="auto"/>
        <w:ind w:firstLine="420"/>
        <w:jc w:val="left"/>
        <w:rPr>
          <w:rFonts w:ascii="宋体" w:hAnsi="宋体" w:cs="宋体"/>
          <w:b/>
          <w:bCs/>
          <w:kern w:val="0"/>
          <w:szCs w:val="21"/>
        </w:rPr>
      </w:pPr>
    </w:p>
    <w:p>
      <w:pPr>
        <w:widowControl/>
        <w:shd w:val="clear" w:color="auto" w:fill="FFFFFF"/>
        <w:spacing w:line="360" w:lineRule="auto"/>
        <w:jc w:val="left"/>
        <w:rPr>
          <w:rFonts w:ascii="宋体" w:hAnsi="宋体" w:cs="宋体"/>
          <w:b/>
          <w:bCs/>
          <w:kern w:val="0"/>
          <w:szCs w:val="21"/>
          <w:lang w:val="zh-CN"/>
        </w:rPr>
      </w:pPr>
      <w:bookmarkStart w:id="15" w:name="_Toc12264"/>
      <w:r>
        <w:rPr>
          <w:rFonts w:hint="eastAsia" w:ascii="宋体" w:hAnsi="宋体" w:cs="宋体"/>
          <w:b/>
          <w:bCs/>
          <w:kern w:val="0"/>
          <w:szCs w:val="21"/>
          <w:lang w:val="zh-CN"/>
        </w:rPr>
        <w:br w:type="page"/>
      </w:r>
    </w:p>
    <w:p>
      <w:pPr>
        <w:widowControl/>
        <w:shd w:val="clear" w:color="auto" w:fill="FFFFFF"/>
        <w:spacing w:line="360" w:lineRule="auto"/>
        <w:jc w:val="left"/>
        <w:rPr>
          <w:rFonts w:ascii="宋体" w:hAnsi="宋体" w:cs="宋体"/>
          <w:b/>
          <w:bCs/>
          <w:kern w:val="0"/>
          <w:szCs w:val="21"/>
          <w:lang w:val="zh-CN"/>
        </w:rPr>
      </w:pPr>
      <w:r>
        <w:rPr>
          <w:rFonts w:hint="eastAsia" w:ascii="宋体" w:hAnsi="宋体" w:cs="宋体"/>
          <w:b/>
          <w:bCs/>
          <w:kern w:val="0"/>
          <w:szCs w:val="21"/>
        </w:rPr>
        <w:t>附表</w:t>
      </w:r>
      <w:r>
        <w:rPr>
          <w:rFonts w:hint="eastAsia" w:ascii="宋体" w:hAnsi="宋体" w:cs="宋体"/>
          <w:b/>
          <w:bCs/>
          <w:kern w:val="0"/>
          <w:szCs w:val="21"/>
          <w:lang w:val="zh-CN"/>
        </w:rPr>
        <w:t>：分项报价表格式</w:t>
      </w:r>
      <w:bookmarkEnd w:id="15"/>
      <w:r>
        <w:rPr>
          <w:rFonts w:hint="eastAsia" w:ascii="宋体" w:hAnsi="宋体" w:cs="宋体"/>
          <w:b/>
          <w:bCs/>
          <w:kern w:val="0"/>
          <w:szCs w:val="21"/>
          <w:lang w:val="zh-CN"/>
        </w:rPr>
        <w:t>（</w:t>
      </w:r>
      <w:r>
        <w:rPr>
          <w:rFonts w:hint="eastAsia" w:ascii="宋体" w:hAnsi="宋体" w:cs="宋体"/>
          <w:b/>
          <w:bCs/>
          <w:kern w:val="0"/>
          <w:szCs w:val="21"/>
        </w:rPr>
        <w:t>如需要</w:t>
      </w:r>
      <w:r>
        <w:rPr>
          <w:rFonts w:hint="eastAsia" w:ascii="宋体" w:hAnsi="宋体" w:cs="宋体"/>
          <w:b/>
          <w:bCs/>
          <w:kern w:val="0"/>
          <w:szCs w:val="21"/>
          <w:lang w:val="zh-CN"/>
        </w:rPr>
        <w:t>）</w:t>
      </w:r>
    </w:p>
    <w:p>
      <w:pPr>
        <w:widowControl/>
        <w:adjustRightInd w:val="0"/>
        <w:spacing w:line="240" w:lineRule="atLeast"/>
        <w:jc w:val="left"/>
        <w:rPr>
          <w:rFonts w:ascii="宋体" w:hAnsi="宋体" w:cs="宋体"/>
          <w:b/>
          <w:bCs/>
          <w:kern w:val="0"/>
          <w:lang w:val="zh-CN"/>
        </w:rPr>
      </w:pPr>
    </w:p>
    <w:p>
      <w:pPr>
        <w:widowControl/>
        <w:shd w:val="clear" w:color="auto" w:fill="FFFFFF"/>
        <w:spacing w:line="360" w:lineRule="auto"/>
        <w:jc w:val="center"/>
        <w:rPr>
          <w:rFonts w:ascii="宋体" w:hAnsi="宋体" w:cs="宋体"/>
          <w:b/>
          <w:kern w:val="0"/>
          <w:sz w:val="36"/>
          <w:szCs w:val="36"/>
        </w:rPr>
      </w:pPr>
      <w:r>
        <w:rPr>
          <w:rFonts w:hint="eastAsia" w:ascii="宋体" w:hAnsi="宋体" w:cs="宋体"/>
          <w:b/>
          <w:kern w:val="0"/>
          <w:sz w:val="36"/>
          <w:szCs w:val="36"/>
        </w:rPr>
        <w:t>分项报价表</w:t>
      </w:r>
    </w:p>
    <w:p>
      <w:pPr>
        <w:widowControl/>
        <w:shd w:val="clear" w:color="auto" w:fill="FFFFFF"/>
        <w:spacing w:line="360" w:lineRule="auto"/>
        <w:jc w:val="center"/>
        <w:rPr>
          <w:rFonts w:ascii="宋体" w:hAnsi="宋体" w:cs="宋体"/>
          <w:b/>
          <w:kern w:val="0"/>
          <w:sz w:val="36"/>
          <w:szCs w:val="36"/>
        </w:rPr>
      </w:pPr>
      <w:r>
        <w:rPr>
          <w:rFonts w:hint="eastAsia" w:ascii="宋体" w:hAnsi="宋体" w:cs="宋体"/>
          <w:b/>
          <w:bCs/>
          <w:kern w:val="0"/>
          <w:szCs w:val="21"/>
          <w:lang w:val="zh-CN"/>
        </w:rPr>
        <w:t>（如果有，格式自拟）</w:t>
      </w:r>
    </w:p>
    <w:p>
      <w:pPr>
        <w:widowControl/>
        <w:shd w:val="clear" w:color="auto" w:fill="FFFFFF"/>
        <w:spacing w:line="360" w:lineRule="auto"/>
        <w:jc w:val="left"/>
        <w:rPr>
          <w:rFonts w:ascii="宋体" w:hAnsi="宋体" w:cs="宋体"/>
          <w:kern w:val="0"/>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 xml:space="preserve"> </w:t>
      </w:r>
    </w:p>
    <w:p>
      <w:pPr>
        <w:widowControl/>
        <w:shd w:val="clear" w:color="auto" w:fill="FFFFFF"/>
        <w:spacing w:line="360" w:lineRule="auto"/>
        <w:jc w:val="left"/>
        <w:rPr>
          <w:rFonts w:ascii="宋体" w:hAnsi="宋体" w:cs="宋体"/>
          <w:kern w:val="0"/>
          <w:szCs w:val="21"/>
        </w:rPr>
      </w:pPr>
      <w:r>
        <w:rPr>
          <w:rFonts w:hint="eastAsia" w:ascii="宋体" w:hAnsi="宋体" w:cs="宋体"/>
          <w:kern w:val="0"/>
        </w:rPr>
        <w:t xml:space="preserve">     </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 </w:t>
      </w:r>
    </w:p>
    <w:p>
      <w:pPr>
        <w:widowControl/>
        <w:jc w:val="left"/>
        <w:rPr>
          <w:rFonts w:ascii="宋体" w:hAnsi="宋体" w:cs="宋体"/>
          <w:kern w:val="0"/>
          <w:szCs w:val="21"/>
        </w:rPr>
      </w:pPr>
      <w:r>
        <w:rPr>
          <w:rFonts w:hint="eastAsia" w:ascii="宋体" w:hAnsi="宋体" w:cs="宋体"/>
          <w:kern w:val="0"/>
          <w:szCs w:val="21"/>
        </w:rPr>
        <w:br w:type="page"/>
      </w:r>
    </w:p>
    <w:p>
      <w:pPr>
        <w:widowControl/>
        <w:shd w:val="clear" w:color="auto" w:fill="FFFFFF"/>
        <w:spacing w:line="360" w:lineRule="auto"/>
        <w:jc w:val="left"/>
        <w:rPr>
          <w:rFonts w:ascii="宋体" w:hAnsi="宋体" w:cs="宋体"/>
          <w:kern w:val="0"/>
          <w:szCs w:val="21"/>
        </w:rPr>
      </w:pPr>
      <w:r>
        <w:rPr>
          <w:rFonts w:hint="eastAsia" w:ascii="宋体" w:hAnsi="宋体" w:cs="宋体"/>
          <w:b/>
          <w:bCs/>
          <w:kern w:val="0"/>
          <w:szCs w:val="21"/>
        </w:rPr>
        <w:t>附件四、采购需求偏离表格式</w:t>
      </w:r>
    </w:p>
    <w:p>
      <w:pPr>
        <w:widowControl/>
        <w:shd w:val="clear" w:color="auto" w:fill="FFFFFF"/>
        <w:spacing w:line="360" w:lineRule="auto"/>
        <w:ind w:left="435"/>
        <w:jc w:val="left"/>
        <w:rPr>
          <w:rFonts w:ascii="宋体" w:hAnsi="宋体" w:cs="宋体"/>
          <w:kern w:val="0"/>
          <w:szCs w:val="21"/>
        </w:rPr>
      </w:pPr>
      <w:r>
        <w:rPr>
          <w:rFonts w:hint="eastAsia" w:ascii="宋体" w:hAnsi="宋体" w:cs="宋体"/>
          <w:kern w:val="0"/>
          <w:sz w:val="24"/>
        </w:rPr>
        <w:t> </w:t>
      </w:r>
    </w:p>
    <w:p>
      <w:pPr>
        <w:widowControl/>
        <w:shd w:val="clear" w:color="auto" w:fill="FFFFFF"/>
        <w:spacing w:line="360" w:lineRule="auto"/>
        <w:ind w:left="420"/>
        <w:jc w:val="center"/>
        <w:rPr>
          <w:rFonts w:ascii="宋体" w:hAnsi="宋体" w:cs="宋体"/>
          <w:b/>
          <w:kern w:val="0"/>
          <w:szCs w:val="21"/>
        </w:rPr>
      </w:pPr>
      <w:r>
        <w:rPr>
          <w:rFonts w:hint="eastAsia" w:ascii="宋体" w:hAnsi="宋体" w:cs="宋体"/>
          <w:b/>
          <w:kern w:val="0"/>
          <w:sz w:val="36"/>
          <w:szCs w:val="36"/>
        </w:rPr>
        <w:t>采购需求偏离表</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                       </w:t>
      </w:r>
    </w:p>
    <w:p>
      <w:pPr>
        <w:widowControl/>
        <w:tabs>
          <w:tab w:val="left" w:pos="5397"/>
        </w:tabs>
        <w:spacing w:line="360" w:lineRule="auto"/>
        <w:ind w:firstLine="84" w:firstLineChars="40"/>
        <w:jc w:val="left"/>
        <w:rPr>
          <w:rFonts w:ascii="宋体" w:hAnsi="宋体" w:cs="宋体"/>
          <w:kern w:val="0"/>
          <w:szCs w:val="21"/>
        </w:rPr>
      </w:pPr>
      <w:r>
        <w:rPr>
          <w:rFonts w:hint="eastAsia" w:ascii="宋体" w:hAnsi="宋体" w:cs="宋体"/>
          <w:kern w:val="0"/>
          <w:szCs w:val="21"/>
        </w:rPr>
        <w:t>项目名称：               项目编号：  </w:t>
      </w:r>
    </w:p>
    <w:tbl>
      <w:tblPr>
        <w:tblStyle w:val="46"/>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1678" w:type="dxa"/>
            <w:tcMar>
              <w:top w:w="0" w:type="dxa"/>
              <w:left w:w="10" w:type="dxa"/>
              <w:bottom w:w="0" w:type="dxa"/>
              <w:right w:w="10"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招标文件条目号</w:t>
            </w:r>
          </w:p>
        </w:tc>
        <w:tc>
          <w:tcPr>
            <w:tcW w:w="1931" w:type="dxa"/>
            <w:tcMar>
              <w:top w:w="0" w:type="dxa"/>
              <w:left w:w="10" w:type="dxa"/>
              <w:bottom w:w="0" w:type="dxa"/>
              <w:right w:w="10"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条款内容</w:t>
            </w:r>
          </w:p>
        </w:tc>
        <w:tc>
          <w:tcPr>
            <w:tcW w:w="3012" w:type="dxa"/>
            <w:tcMar>
              <w:top w:w="0" w:type="dxa"/>
              <w:left w:w="10" w:type="dxa"/>
              <w:bottom w:w="0" w:type="dxa"/>
              <w:right w:w="10"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投标响应</w:t>
            </w:r>
          </w:p>
        </w:tc>
        <w:tc>
          <w:tcPr>
            <w:tcW w:w="1246" w:type="dxa"/>
            <w:tcMar>
              <w:top w:w="0" w:type="dxa"/>
              <w:left w:w="10" w:type="dxa"/>
              <w:bottom w:w="0" w:type="dxa"/>
              <w:right w:w="10"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说明：投标文件采购需求部分内容响应存在正偏离或负偏离的，请在本表中逐条列出。未列出的，视为响应招标文件要求。如果行数不够，请自行增加。</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 </w:t>
      </w:r>
    </w:p>
    <w:p>
      <w:pPr>
        <w:widowControl/>
        <w:shd w:val="clear" w:color="auto" w:fill="FFFFFF"/>
        <w:spacing w:line="360" w:lineRule="auto"/>
        <w:jc w:val="left"/>
        <w:rPr>
          <w:rFonts w:ascii="宋体" w:hAnsi="宋体" w:cs="宋体"/>
          <w:kern w:val="0"/>
          <w:szCs w:val="21"/>
        </w:rPr>
      </w:pPr>
      <w:r>
        <w:rPr>
          <w:rFonts w:hint="eastAsia" w:ascii="宋体" w:hAnsi="宋体" w:cs="宋体"/>
          <w:b/>
          <w:bCs/>
          <w:kern w:val="0"/>
          <w:szCs w:val="21"/>
        </w:rPr>
        <w:br w:type="page"/>
      </w:r>
      <w:r>
        <w:rPr>
          <w:rFonts w:hint="eastAsia" w:ascii="宋体" w:hAnsi="宋体" w:cs="宋体"/>
          <w:b/>
          <w:bCs/>
          <w:kern w:val="0"/>
          <w:szCs w:val="21"/>
        </w:rPr>
        <w:t>附件五、商务条款偏离表格式</w:t>
      </w:r>
    </w:p>
    <w:p>
      <w:pPr>
        <w:widowControl/>
        <w:shd w:val="clear" w:color="auto" w:fill="FFFFFF"/>
        <w:spacing w:line="360" w:lineRule="auto"/>
        <w:ind w:firstLine="420"/>
        <w:jc w:val="left"/>
        <w:rPr>
          <w:rFonts w:ascii="宋体" w:hAnsi="宋体" w:cs="宋体"/>
          <w:kern w:val="0"/>
          <w:szCs w:val="21"/>
        </w:rPr>
      </w:pPr>
      <w:r>
        <w:rPr>
          <w:rFonts w:hint="eastAsia" w:ascii="宋体" w:hAnsi="宋体" w:cs="宋体"/>
          <w:kern w:val="0"/>
          <w:szCs w:val="21"/>
        </w:rPr>
        <w:t> </w:t>
      </w:r>
    </w:p>
    <w:p>
      <w:pPr>
        <w:widowControl/>
        <w:shd w:val="clear" w:color="auto" w:fill="FFFFFF"/>
        <w:spacing w:line="360" w:lineRule="auto"/>
        <w:ind w:left="420"/>
        <w:jc w:val="center"/>
        <w:rPr>
          <w:rFonts w:ascii="宋体" w:hAnsi="宋体" w:cs="宋体"/>
          <w:b/>
          <w:kern w:val="0"/>
          <w:szCs w:val="21"/>
        </w:rPr>
      </w:pPr>
      <w:r>
        <w:rPr>
          <w:rFonts w:hint="eastAsia" w:ascii="宋体" w:hAnsi="宋体" w:cs="宋体"/>
          <w:b/>
          <w:kern w:val="0"/>
          <w:sz w:val="36"/>
          <w:szCs w:val="36"/>
        </w:rPr>
        <w:t>商务条款偏离表</w:t>
      </w:r>
    </w:p>
    <w:p>
      <w:pPr>
        <w:widowControl/>
        <w:shd w:val="clear" w:color="auto" w:fill="FFFFFF"/>
        <w:spacing w:line="360" w:lineRule="auto"/>
        <w:jc w:val="left"/>
        <w:rPr>
          <w:rFonts w:ascii="宋体" w:hAnsi="宋体" w:cs="宋体"/>
          <w:kern w:val="0"/>
          <w:szCs w:val="21"/>
        </w:rPr>
      </w:pPr>
      <w:r>
        <w:rPr>
          <w:rFonts w:hint="eastAsia" w:ascii="宋体" w:hAnsi="宋体" w:cs="宋体"/>
          <w:kern w:val="0"/>
          <w:sz w:val="24"/>
        </w:rPr>
        <w:t> </w:t>
      </w:r>
    </w:p>
    <w:p>
      <w:pPr>
        <w:widowControl/>
        <w:tabs>
          <w:tab w:val="left" w:pos="5366"/>
        </w:tabs>
        <w:spacing w:line="360" w:lineRule="auto"/>
        <w:ind w:firstLine="96" w:firstLineChars="46"/>
        <w:jc w:val="left"/>
        <w:rPr>
          <w:rFonts w:ascii="宋体" w:hAnsi="宋体" w:cs="宋体"/>
          <w:kern w:val="0"/>
          <w:szCs w:val="21"/>
        </w:rPr>
      </w:pPr>
      <w:r>
        <w:rPr>
          <w:rFonts w:hint="eastAsia" w:ascii="宋体" w:hAnsi="宋体" w:cs="宋体"/>
          <w:kern w:val="0"/>
          <w:szCs w:val="21"/>
        </w:rPr>
        <w:t>项目名称：                     项目编号：         </w:t>
      </w:r>
    </w:p>
    <w:tbl>
      <w:tblPr>
        <w:tblStyle w:val="46"/>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1679" w:type="dxa"/>
            <w:tcMar>
              <w:top w:w="0" w:type="dxa"/>
              <w:left w:w="10" w:type="dxa"/>
              <w:bottom w:w="0" w:type="dxa"/>
              <w:right w:w="10"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招标文件条目号</w:t>
            </w:r>
          </w:p>
        </w:tc>
        <w:tc>
          <w:tcPr>
            <w:tcW w:w="2488" w:type="dxa"/>
            <w:tcMar>
              <w:top w:w="0" w:type="dxa"/>
              <w:left w:w="10" w:type="dxa"/>
              <w:bottom w:w="0" w:type="dxa"/>
              <w:right w:w="10"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条款内容</w:t>
            </w:r>
          </w:p>
        </w:tc>
        <w:tc>
          <w:tcPr>
            <w:tcW w:w="3004" w:type="dxa"/>
            <w:tcMar>
              <w:top w:w="0" w:type="dxa"/>
              <w:left w:w="10" w:type="dxa"/>
              <w:bottom w:w="0" w:type="dxa"/>
              <w:right w:w="10"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投标响应</w:t>
            </w:r>
          </w:p>
        </w:tc>
        <w:tc>
          <w:tcPr>
            <w:tcW w:w="1201" w:type="dxa"/>
            <w:tcMar>
              <w:top w:w="0" w:type="dxa"/>
              <w:left w:w="10" w:type="dxa"/>
              <w:bottom w:w="0" w:type="dxa"/>
              <w:right w:w="10"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1679"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2488"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3004"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1201"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1679"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2488"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3004"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c>
          <w:tcPr>
            <w:tcW w:w="1201" w:type="dxa"/>
            <w:tcMar>
              <w:top w:w="0" w:type="dxa"/>
              <w:left w:w="10" w:type="dxa"/>
              <w:bottom w:w="0" w:type="dxa"/>
              <w:right w:w="10" w:type="dxa"/>
            </w:tcMar>
            <w:vAlign w:val="center"/>
          </w:tcPr>
          <w:p>
            <w:pPr>
              <w:widowControl/>
              <w:spacing w:line="360" w:lineRule="auto"/>
              <w:jc w:val="center"/>
              <w:rPr>
                <w:rFonts w:ascii="宋体" w:hAnsi="宋体" w:cs="宋体"/>
                <w:kern w:val="0"/>
                <w:szCs w:val="21"/>
              </w:rPr>
            </w:pP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说明：投标文件商务部分内容响应存在正偏离或负偏离的，请在本表中逐条列出。未列出的，视为响应招标文件要求。如果行数不够，请自行增加。</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 </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b/>
          <w:szCs w:val="21"/>
          <w:lang w:val="zh-CN"/>
        </w:rPr>
      </w:pPr>
      <w:r>
        <w:rPr>
          <w:rFonts w:hint="eastAsia" w:ascii="宋体" w:hAnsi="宋体" w:cs="宋体"/>
          <w:b/>
          <w:bCs/>
          <w:kern w:val="0"/>
          <w:szCs w:val="21"/>
        </w:rPr>
        <w:br w:type="page"/>
      </w:r>
      <w:r>
        <w:rPr>
          <w:rFonts w:hint="eastAsia" w:ascii="宋体" w:hAnsi="宋体" w:cs="宋体"/>
          <w:b/>
          <w:bCs/>
          <w:kern w:val="0"/>
          <w:szCs w:val="21"/>
        </w:rPr>
        <w:t>附件六、</w:t>
      </w:r>
      <w:r>
        <w:rPr>
          <w:rFonts w:hint="eastAsia" w:ascii="宋体" w:hAnsi="宋体" w:cs="宋体"/>
          <w:b/>
          <w:szCs w:val="21"/>
          <w:lang w:val="zh-CN"/>
        </w:rPr>
        <w:t>技术说明与服务方案</w:t>
      </w:r>
    </w:p>
    <w:p>
      <w:pPr>
        <w:widowControl/>
        <w:shd w:val="clear" w:color="auto" w:fill="FFFFFF"/>
        <w:spacing w:line="360" w:lineRule="auto"/>
        <w:jc w:val="left"/>
        <w:rPr>
          <w:rFonts w:ascii="宋体" w:hAnsi="宋体" w:cs="宋体"/>
          <w:b/>
          <w:szCs w:val="21"/>
          <w:lang w:val="zh-CN"/>
        </w:rPr>
      </w:pPr>
    </w:p>
    <w:p>
      <w:pPr>
        <w:pStyle w:val="184"/>
        <w:snapToGrid w:val="0"/>
        <w:spacing w:before="0" w:after="0"/>
        <w:ind w:firstLine="420" w:firstLineChars="200"/>
        <w:rPr>
          <w:rFonts w:ascii="宋体" w:hAnsi="宋体" w:cs="宋体"/>
          <w:kern w:val="2"/>
          <w:sz w:val="21"/>
          <w:szCs w:val="21"/>
        </w:rPr>
      </w:pPr>
      <w:r>
        <w:rPr>
          <w:rFonts w:hint="eastAsia" w:ascii="宋体" w:hAnsi="宋体" w:cs="宋体"/>
          <w:kern w:val="2"/>
          <w:sz w:val="21"/>
          <w:szCs w:val="21"/>
        </w:rPr>
        <w:t>技术方案及服务承诺应根据采购人对项目的要求、评标标准的要求及项目本身的特点编写，内容应包括但不限于以下内容：</w:t>
      </w:r>
    </w:p>
    <w:p>
      <w:pPr>
        <w:pStyle w:val="184"/>
        <w:snapToGrid w:val="0"/>
        <w:spacing w:before="0" w:after="0"/>
        <w:ind w:firstLine="420" w:firstLineChars="200"/>
        <w:rPr>
          <w:rFonts w:ascii="宋体" w:hAnsi="宋体" w:cs="宋体"/>
          <w:kern w:val="2"/>
          <w:sz w:val="21"/>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 </w:t>
      </w:r>
    </w:p>
    <w:p>
      <w:pPr>
        <w:widowControl/>
        <w:adjustRightInd w:val="0"/>
        <w:spacing w:line="460" w:lineRule="atLeast"/>
        <w:rPr>
          <w:rFonts w:ascii="宋体" w:hAnsi="宋体" w:cs="宋体"/>
          <w:b/>
          <w:bCs/>
          <w:kern w:val="0"/>
          <w:sz w:val="24"/>
        </w:rPr>
      </w:pPr>
      <w:r>
        <w:rPr>
          <w:rFonts w:hint="eastAsia" w:ascii="宋体" w:hAnsi="宋体" w:cs="宋体"/>
        </w:rPr>
        <w:br w:type="page"/>
      </w:r>
      <w:r>
        <w:rPr>
          <w:rFonts w:hint="eastAsia" w:ascii="宋体" w:hAnsi="宋体" w:cs="宋体"/>
          <w:b/>
          <w:bCs/>
          <w:kern w:val="0"/>
          <w:sz w:val="24"/>
        </w:rPr>
        <w:t>附件七、拟参与本项目服务人员一览表</w:t>
      </w:r>
    </w:p>
    <w:p>
      <w:pPr>
        <w:widowControl/>
        <w:adjustRightInd w:val="0"/>
        <w:spacing w:line="460" w:lineRule="atLeast"/>
        <w:rPr>
          <w:rFonts w:ascii="宋体" w:hAnsi="宋体" w:cs="宋体"/>
          <w:b/>
          <w:bCs/>
          <w:kern w:val="0"/>
          <w:sz w:val="24"/>
        </w:rPr>
      </w:pPr>
    </w:p>
    <w:p>
      <w:pPr>
        <w:widowControl/>
        <w:adjustRightInd w:val="0"/>
        <w:jc w:val="center"/>
        <w:rPr>
          <w:rFonts w:ascii="宋体" w:hAnsi="宋体" w:cs="宋体"/>
          <w:b/>
          <w:bCs/>
          <w:kern w:val="0"/>
          <w:sz w:val="24"/>
        </w:rPr>
      </w:pPr>
      <w:r>
        <w:rPr>
          <w:rFonts w:hint="eastAsia" w:ascii="宋体" w:hAnsi="宋体" w:cs="宋体"/>
          <w:b/>
          <w:bCs/>
          <w:kern w:val="0"/>
          <w:sz w:val="24"/>
        </w:rPr>
        <w:t>拟参与本项目服务人员一览表</w:t>
      </w:r>
    </w:p>
    <w:p>
      <w:pPr>
        <w:widowControl/>
        <w:adjustRightInd w:val="0"/>
        <w:jc w:val="center"/>
        <w:rPr>
          <w:rFonts w:ascii="宋体" w:hAnsi="宋体" w:cs="宋体"/>
          <w:b/>
          <w:bCs/>
          <w:kern w:val="0"/>
          <w:sz w:val="24"/>
        </w:rPr>
      </w:pPr>
    </w:p>
    <w:p>
      <w:pPr>
        <w:widowControl/>
        <w:adjustRightInd w:val="0"/>
        <w:rPr>
          <w:rFonts w:ascii="宋体" w:hAnsi="宋体" w:cs="宋体"/>
          <w:kern w:val="0"/>
          <w:szCs w:val="21"/>
        </w:rPr>
      </w:pPr>
      <w:r>
        <w:rPr>
          <w:rFonts w:hint="eastAsia" w:ascii="宋体" w:hAnsi="宋体" w:cs="宋体"/>
          <w:kern w:val="0"/>
          <w:szCs w:val="21"/>
        </w:rPr>
        <w:t>项目名称：                项目编号：</w:t>
      </w:r>
    </w:p>
    <w:tbl>
      <w:tblPr>
        <w:tblStyle w:val="46"/>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ascii="宋体" w:hAnsi="宋体" w:cs="宋体"/>
                <w:b/>
                <w:bCs/>
                <w:kern w:val="0"/>
                <w:szCs w:val="21"/>
              </w:rPr>
            </w:pPr>
            <w:r>
              <w:rPr>
                <w:rFonts w:hint="eastAsia" w:ascii="宋体" w:hAnsi="宋体" w:cs="宋体"/>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cs="宋体"/>
                <w:b/>
                <w:bCs/>
                <w:kern w:val="0"/>
                <w:szCs w:val="21"/>
              </w:rPr>
            </w:pPr>
            <w:r>
              <w:rPr>
                <w:rFonts w:hint="eastAsia" w:ascii="宋体" w:hAnsi="宋体" w:cs="宋体"/>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cs="宋体"/>
                <w:b/>
                <w:bCs/>
                <w:kern w:val="0"/>
                <w:szCs w:val="21"/>
              </w:rPr>
            </w:pPr>
            <w:r>
              <w:rPr>
                <w:rFonts w:hint="eastAsia" w:ascii="宋体" w:hAnsi="宋体" w:cs="宋体"/>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cs="宋体"/>
                <w:b/>
                <w:bCs/>
                <w:kern w:val="0"/>
                <w:szCs w:val="21"/>
              </w:rPr>
            </w:pPr>
            <w:r>
              <w:rPr>
                <w:rFonts w:hint="eastAsia" w:ascii="宋体" w:hAnsi="宋体" w:cs="宋体"/>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cs="宋体"/>
                <w:b/>
                <w:bCs/>
                <w:kern w:val="0"/>
                <w:szCs w:val="21"/>
              </w:rPr>
            </w:pPr>
            <w:r>
              <w:rPr>
                <w:rFonts w:hint="eastAsia" w:ascii="宋体" w:hAnsi="宋体" w:cs="宋体"/>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cs="宋体"/>
                <w:b/>
                <w:bCs/>
                <w:kern w:val="0"/>
                <w:szCs w:val="21"/>
              </w:rPr>
            </w:pPr>
            <w:r>
              <w:rPr>
                <w:rFonts w:hint="eastAsia" w:ascii="宋体" w:hAnsi="宋体" w:cs="宋体"/>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cs="宋体"/>
                <w:b/>
                <w:bCs/>
                <w:kern w:val="0"/>
                <w:szCs w:val="21"/>
              </w:rPr>
            </w:pPr>
            <w:r>
              <w:rPr>
                <w:rFonts w:hint="eastAsia" w:ascii="宋体" w:hAnsi="宋体" w:cs="宋体"/>
                <w:b/>
                <w:bCs/>
                <w:kern w:val="0"/>
                <w:szCs w:val="21"/>
              </w:rPr>
              <w:t>执业</w:t>
            </w:r>
          </w:p>
          <w:p>
            <w:pPr>
              <w:widowControl/>
              <w:adjustRightInd w:val="0"/>
              <w:jc w:val="center"/>
              <w:rPr>
                <w:rFonts w:ascii="宋体" w:hAnsi="宋体" w:cs="宋体"/>
                <w:b/>
                <w:bCs/>
                <w:kern w:val="0"/>
                <w:szCs w:val="21"/>
              </w:rPr>
            </w:pPr>
            <w:r>
              <w:rPr>
                <w:rFonts w:hint="eastAsia" w:ascii="宋体" w:hAnsi="宋体" w:cs="宋体"/>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cs="宋体"/>
                <w:b/>
                <w:bCs/>
                <w:kern w:val="0"/>
                <w:szCs w:val="21"/>
              </w:rPr>
            </w:pPr>
            <w:r>
              <w:rPr>
                <w:rFonts w:hint="eastAsia" w:ascii="宋体" w:hAnsi="宋体" w:cs="宋体"/>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cs="宋体"/>
                <w:b/>
                <w:bCs/>
                <w:kern w:val="0"/>
                <w:szCs w:val="21"/>
              </w:rPr>
            </w:pPr>
            <w:r>
              <w:rPr>
                <w:rFonts w:hint="eastAsia" w:ascii="宋体" w:hAnsi="宋体" w:cs="宋体"/>
                <w:b/>
                <w:bCs/>
                <w:kern w:val="0"/>
                <w:szCs w:val="21"/>
              </w:rPr>
              <w:t>技术职称</w:t>
            </w:r>
          </w:p>
        </w:tc>
        <w:tc>
          <w:tcPr>
            <w:tcW w:w="85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cs="宋体"/>
                <w:b/>
                <w:bCs/>
                <w:kern w:val="0"/>
                <w:szCs w:val="21"/>
              </w:rPr>
            </w:pPr>
            <w:r>
              <w:rPr>
                <w:rFonts w:hint="eastAsia" w:ascii="宋体" w:hAnsi="宋体" w:cs="宋体"/>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cs="宋体"/>
                <w:kern w:val="0"/>
                <w:szCs w:val="21"/>
              </w:rPr>
            </w:pP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pPr>
        <w:widowControl/>
        <w:adjustRightInd w:val="0"/>
        <w:rPr>
          <w:rFonts w:ascii="宋体" w:hAnsi="宋体" w:cs="宋体"/>
          <w:kern w:val="0"/>
          <w:szCs w:val="21"/>
        </w:rPr>
      </w:pPr>
    </w:p>
    <w:p>
      <w:pPr>
        <w:widowControl/>
        <w:adjustRightInd w:val="0"/>
        <w:rPr>
          <w:rFonts w:ascii="宋体" w:hAnsi="宋体" w:cs="宋体"/>
          <w:b/>
          <w:bCs/>
          <w:kern w:val="0"/>
          <w:szCs w:val="21"/>
        </w:rPr>
      </w:pPr>
    </w:p>
    <w:p>
      <w:pPr>
        <w:widowControl/>
        <w:adjustRightInd w:val="0"/>
        <w:spacing w:line="360" w:lineRule="auto"/>
        <w:rPr>
          <w:rFonts w:ascii="宋体" w:hAnsi="宋体" w:cs="宋体"/>
          <w:b/>
          <w:bCs/>
          <w:kern w:val="0"/>
          <w:sz w:val="24"/>
        </w:rPr>
      </w:pPr>
      <w:r>
        <w:rPr>
          <w:rFonts w:hint="eastAsia" w:ascii="宋体" w:hAnsi="宋体" w:cs="宋体"/>
          <w:b/>
          <w:bCs/>
          <w:kern w:val="0"/>
          <w:sz w:val="24"/>
        </w:rPr>
        <w:br w:type="page"/>
      </w:r>
      <w:r>
        <w:rPr>
          <w:rFonts w:hint="eastAsia" w:ascii="宋体" w:hAnsi="宋体" w:cs="宋体"/>
          <w:b/>
          <w:bCs/>
          <w:kern w:val="0"/>
          <w:sz w:val="24"/>
        </w:rPr>
        <w:t>附件八、投标人类似业绩情况表</w:t>
      </w:r>
    </w:p>
    <w:p>
      <w:pPr>
        <w:widowControl/>
        <w:adjustRightInd w:val="0"/>
        <w:spacing w:line="360" w:lineRule="auto"/>
        <w:jc w:val="center"/>
        <w:rPr>
          <w:rFonts w:ascii="宋体" w:hAnsi="宋体" w:cs="宋体"/>
          <w:b/>
          <w:bCs/>
          <w:kern w:val="0"/>
          <w:sz w:val="24"/>
        </w:rPr>
      </w:pPr>
    </w:p>
    <w:p>
      <w:pPr>
        <w:widowControl/>
        <w:adjustRightInd w:val="0"/>
        <w:spacing w:line="360" w:lineRule="auto"/>
        <w:jc w:val="center"/>
        <w:rPr>
          <w:rFonts w:ascii="宋体" w:hAnsi="宋体" w:cs="宋体"/>
          <w:b/>
          <w:bCs/>
          <w:kern w:val="0"/>
          <w:sz w:val="24"/>
        </w:rPr>
      </w:pPr>
      <w:r>
        <w:rPr>
          <w:rFonts w:hint="eastAsia" w:ascii="宋体" w:hAnsi="宋体" w:cs="宋体"/>
          <w:b/>
          <w:bCs/>
          <w:kern w:val="0"/>
          <w:sz w:val="24"/>
        </w:rPr>
        <w:t>投标人类似业绩情况表</w:t>
      </w:r>
    </w:p>
    <w:tbl>
      <w:tblPr>
        <w:tblStyle w:val="46"/>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kern w:val="0"/>
                <w:szCs w:val="21"/>
              </w:rPr>
            </w:pPr>
            <w:r>
              <w:rPr>
                <w:rFonts w:hint="eastAsia" w:ascii="宋体" w:hAnsi="宋体" w:cs="宋体"/>
                <w:kern w:val="0"/>
                <w:szCs w:val="21"/>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项目</w:t>
            </w:r>
          </w:p>
          <w:p>
            <w:pPr>
              <w:widowControl/>
              <w:spacing w:line="400" w:lineRule="atLeast"/>
              <w:jc w:val="center"/>
              <w:rPr>
                <w:rFonts w:ascii="宋体" w:hAnsi="宋体" w:cs="宋体"/>
                <w:kern w:val="0"/>
                <w:szCs w:val="21"/>
              </w:rPr>
            </w:pPr>
            <w:r>
              <w:rPr>
                <w:rFonts w:hint="eastAsia" w:ascii="宋体" w:hAnsi="宋体" w:cs="宋体"/>
                <w:kern w:val="0"/>
                <w:szCs w:val="21"/>
              </w:rPr>
              <w:t>规模</w:t>
            </w:r>
          </w:p>
        </w:tc>
        <w:tc>
          <w:tcPr>
            <w:tcW w:w="10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获奖</w:t>
            </w:r>
          </w:p>
          <w:p>
            <w:pPr>
              <w:widowControl/>
              <w:spacing w:line="400" w:lineRule="atLeast"/>
              <w:jc w:val="center"/>
              <w:rPr>
                <w:rFonts w:ascii="宋体" w:hAnsi="宋体" w:cs="宋体"/>
                <w:kern w:val="0"/>
                <w:szCs w:val="21"/>
              </w:rPr>
            </w:pPr>
            <w:r>
              <w:rPr>
                <w:rFonts w:hint="eastAsia" w:ascii="宋体" w:hAnsi="宋体" w:cs="宋体"/>
                <w:kern w:val="0"/>
                <w:szCs w:val="21"/>
              </w:rPr>
              <w:t>情况</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r>
              <w:rPr>
                <w:rFonts w:hint="eastAsia" w:ascii="宋体" w:hAnsi="宋体" w:cs="宋体"/>
                <w:kern w:val="0"/>
                <w:szCs w:val="21"/>
              </w:rPr>
              <w:t>签约及服务</w:t>
            </w:r>
          </w:p>
          <w:p>
            <w:pPr>
              <w:widowControl/>
              <w:spacing w:line="400" w:lineRule="atLeast"/>
              <w:jc w:val="center"/>
              <w:rPr>
                <w:rFonts w:ascii="宋体" w:hAnsi="宋体" w:cs="宋体"/>
                <w:kern w:val="0"/>
                <w:szCs w:val="21"/>
              </w:rPr>
            </w:pPr>
            <w:r>
              <w:rPr>
                <w:rFonts w:hint="eastAsia" w:ascii="宋体" w:hAnsi="宋体" w:cs="宋体"/>
                <w:kern w:val="0"/>
                <w:szCs w:val="21"/>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r>
              <w:rPr>
                <w:rFonts w:hint="eastAsia" w:ascii="宋体" w:hAnsi="宋体" w:cs="宋体"/>
                <w:kern w:val="0"/>
                <w:szCs w:val="21"/>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kern w:val="0"/>
                <w:szCs w:val="21"/>
              </w:rPr>
            </w:pP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pPr>
        <w:widowControl/>
        <w:adjustRightInd w:val="0"/>
        <w:spacing w:line="360" w:lineRule="auto"/>
        <w:rPr>
          <w:rFonts w:ascii="宋体" w:hAnsi="宋体" w:cs="宋体"/>
          <w:b/>
          <w:bCs/>
          <w:kern w:val="0"/>
          <w:szCs w:val="21"/>
        </w:rPr>
      </w:pPr>
    </w:p>
    <w:p>
      <w:pPr>
        <w:widowControl/>
        <w:adjustRightInd w:val="0"/>
        <w:spacing w:line="360" w:lineRule="auto"/>
        <w:rPr>
          <w:rFonts w:ascii="宋体" w:hAnsi="宋体" w:cs="宋体"/>
          <w:b/>
          <w:bCs/>
          <w:kern w:val="0"/>
          <w:szCs w:val="21"/>
        </w:rPr>
      </w:pPr>
    </w:p>
    <w:p>
      <w:pPr>
        <w:spacing w:line="360" w:lineRule="auto"/>
        <w:rPr>
          <w:rFonts w:ascii="宋体" w:hAnsi="宋体" w:cs="宋体"/>
        </w:rPr>
      </w:pPr>
    </w:p>
    <w:p>
      <w:pPr>
        <w:spacing w:line="360" w:lineRule="auto"/>
        <w:rPr>
          <w:rFonts w:ascii="宋体" w:hAnsi="宋体" w:cs="宋体"/>
          <w:b/>
          <w:bCs/>
        </w:rPr>
      </w:pPr>
      <w:r>
        <w:rPr>
          <w:rFonts w:hint="eastAsia" w:ascii="宋体" w:hAnsi="宋体" w:cs="宋体"/>
          <w:b/>
        </w:rPr>
        <w:br w:type="page"/>
      </w:r>
      <w:r>
        <w:rPr>
          <w:rFonts w:hint="eastAsia" w:ascii="宋体" w:hAnsi="宋体" w:cs="宋体"/>
          <w:b/>
        </w:rPr>
        <w:t>附件九</w:t>
      </w:r>
      <w:r>
        <w:rPr>
          <w:rFonts w:hint="eastAsia" w:ascii="宋体" w:hAnsi="宋体" w:cs="宋体"/>
          <w:b/>
          <w:bCs/>
        </w:rPr>
        <w:t>、企业声明函格式</w:t>
      </w:r>
    </w:p>
    <w:p>
      <w:pPr>
        <w:spacing w:before="312" w:beforeLines="100" w:line="480" w:lineRule="auto"/>
        <w:jc w:val="center"/>
        <w:rPr>
          <w:rFonts w:ascii="宋体" w:hAnsi="宋体" w:cs="宋体"/>
          <w:b/>
          <w:bCs/>
          <w:sz w:val="28"/>
          <w:szCs w:val="28"/>
        </w:rPr>
      </w:pPr>
      <w:bookmarkStart w:id="16" w:name="OLE_LINK14"/>
      <w:bookmarkStart w:id="17" w:name="OLE_LINK13"/>
      <w:r>
        <w:rPr>
          <w:rFonts w:hint="eastAsia" w:ascii="宋体" w:hAnsi="宋体" w:cs="宋体"/>
          <w:b/>
          <w:bCs/>
          <w:sz w:val="28"/>
          <w:szCs w:val="28"/>
        </w:rPr>
        <w:t>中小企业声明函（货物）</w:t>
      </w:r>
    </w:p>
    <w:p>
      <w:pPr>
        <w:widowControl/>
        <w:spacing w:line="440" w:lineRule="exact"/>
        <w:ind w:firstLine="420" w:firstLineChars="200"/>
        <w:jc w:val="left"/>
        <w:rPr>
          <w:rFonts w:ascii="宋体" w:hAnsi="宋体" w:cs="宋体"/>
          <w:kern w:val="0"/>
        </w:rPr>
      </w:pPr>
    </w:p>
    <w:p>
      <w:pPr>
        <w:widowControl/>
        <w:spacing w:line="440" w:lineRule="exact"/>
        <w:ind w:firstLine="420" w:firstLineChars="200"/>
        <w:jc w:val="left"/>
        <w:rPr>
          <w:rFonts w:ascii="宋体" w:hAnsi="宋体" w:cs="宋体"/>
          <w:kern w:val="0"/>
          <w:szCs w:val="21"/>
        </w:rPr>
      </w:pPr>
      <w:r>
        <w:rPr>
          <w:rFonts w:hint="eastAsia" w:ascii="宋体" w:hAnsi="宋体" w:cs="宋体"/>
          <w:kern w:val="0"/>
        </w:rPr>
        <w:t>本公司（联合体）郑重声明，根据《政府采购促进中小企业发展管理办法》（财库〔2020</w:t>
      </w:r>
      <w:r>
        <w:rPr>
          <w:rFonts w:hint="eastAsia" w:ascii="宋体" w:hAnsi="宋体" w:cs="宋体"/>
        </w:rPr>
        <w:t>〕</w:t>
      </w:r>
      <w:r>
        <w:rPr>
          <w:rFonts w:hint="eastAsia" w:ascii="宋体" w:hAnsi="宋体" w:cs="宋体"/>
          <w:kern w:val="0"/>
        </w:rPr>
        <w:t>） 46号）的规定，本公司 （联合体）参加（单位名称）的（项目名称）采购活动,提供的货物全部由符合政策要求的中小企业制造。相关企业（含联合体中的中小企业、签订分包意向协议的中小企业）的具体情况如下：</w:t>
      </w:r>
    </w:p>
    <w:p>
      <w:pPr>
        <w:widowControl/>
        <w:spacing w:line="440" w:lineRule="exact"/>
        <w:ind w:firstLine="420" w:firstLineChars="200"/>
        <w:jc w:val="left"/>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行业;制造商为（企业名称）,从业人员</w:t>
      </w:r>
      <w:r>
        <w:rPr>
          <w:rFonts w:hint="eastAsia" w:ascii="宋体" w:hAnsi="宋体" w:cs="宋体"/>
          <w:kern w:val="0"/>
          <w:u w:val="single"/>
        </w:rPr>
        <w:tab/>
      </w:r>
      <w:r>
        <w:rPr>
          <w:rFonts w:hint="eastAsia" w:ascii="宋体" w:hAnsi="宋体" w:cs="宋体"/>
          <w:kern w:val="0"/>
          <w:u w:val="single"/>
        </w:rPr>
        <w:t>人</w:t>
      </w:r>
      <w:r>
        <w:rPr>
          <w:rFonts w:hint="eastAsia" w:ascii="宋体" w:hAnsi="宋体" w:cs="宋体"/>
          <w:kern w:val="0"/>
        </w:rPr>
        <w:t>，营业收入为—万元，资产总额为</w:t>
      </w:r>
      <w:r>
        <w:rPr>
          <w:rFonts w:hint="eastAsia" w:ascii="宋体" w:hAnsi="宋体" w:cs="宋体"/>
          <w:kern w:val="0"/>
          <w:u w:val="single"/>
        </w:rPr>
        <w:tab/>
      </w:r>
      <w:r>
        <w:rPr>
          <w:rFonts w:hint="eastAsia" w:ascii="宋体" w:hAnsi="宋体" w:cs="宋体"/>
          <w:kern w:val="0"/>
          <w:u w:val="single"/>
        </w:rPr>
        <w:t>万</w:t>
      </w:r>
      <w:r>
        <w:rPr>
          <w:rFonts w:hint="eastAsia" w:ascii="宋体" w:hAnsi="宋体" w:cs="宋体"/>
          <w:kern w:val="0"/>
        </w:rPr>
        <w:t>元，属于（中型企业、小型企业、微型企业）；</w:t>
      </w:r>
    </w:p>
    <w:p>
      <w:pPr>
        <w:widowControl/>
        <w:spacing w:line="440" w:lineRule="exact"/>
        <w:ind w:firstLine="420" w:firstLineChars="200"/>
        <w:jc w:val="left"/>
        <w:rPr>
          <w:rFonts w:ascii="宋体" w:hAnsi="宋体" w:cs="宋体"/>
          <w:kern w:val="0"/>
        </w:rPr>
      </w:pPr>
      <w:r>
        <w:rPr>
          <w:rFonts w:hint="eastAsia" w:ascii="宋体" w:hAnsi="宋体" w:cs="宋体"/>
          <w:kern w:val="0"/>
        </w:rPr>
        <w:t>2.</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行业；制造商为（企业名称）,从业人员</w:t>
      </w:r>
      <w:r>
        <w:rPr>
          <w:rFonts w:hint="eastAsia" w:ascii="宋体" w:hAnsi="宋体" w:cs="宋体"/>
          <w:kern w:val="0"/>
          <w:u w:val="single"/>
        </w:rPr>
        <w:tab/>
      </w:r>
      <w:r>
        <w:rPr>
          <w:rFonts w:hint="eastAsia" w:ascii="宋体" w:hAnsi="宋体" w:cs="宋体"/>
          <w:kern w:val="0"/>
          <w:u w:val="single"/>
        </w:rPr>
        <w:t>人</w:t>
      </w:r>
      <w:r>
        <w:rPr>
          <w:rFonts w:hint="eastAsia" w:ascii="宋体" w:hAnsi="宋体" w:cs="宋体"/>
          <w:kern w:val="0"/>
        </w:rPr>
        <w:t>，营业收入为</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rPr>
        <w:t>万元，属于（中型企业、小型企业、微型企业）；</w:t>
      </w:r>
    </w:p>
    <w:p>
      <w:pPr>
        <w:widowControl/>
        <w:spacing w:line="440" w:lineRule="exact"/>
        <w:ind w:firstLine="420" w:firstLineChars="200"/>
        <w:jc w:val="left"/>
        <w:rPr>
          <w:rFonts w:ascii="宋体" w:hAnsi="宋体" w:cs="宋体"/>
          <w:kern w:val="0"/>
        </w:rPr>
      </w:pPr>
      <w:r>
        <w:rPr>
          <w:rFonts w:hint="eastAsia" w:ascii="宋体" w:hAnsi="宋体" w:cs="宋体"/>
          <w:kern w:val="0"/>
        </w:rPr>
        <w:t>以上企业，不属于大企业的分支机构，不存在控股股东为大企业的情形，也不存在与大企业的负责人为同一人的情形。</w:t>
      </w:r>
    </w:p>
    <w:p>
      <w:pPr>
        <w:widowControl/>
        <w:spacing w:line="440" w:lineRule="exact"/>
        <w:ind w:firstLine="420" w:firstLineChars="200"/>
        <w:jc w:val="left"/>
        <w:rPr>
          <w:rFonts w:ascii="宋体" w:hAnsi="宋体" w:cs="宋体"/>
          <w:kern w:val="0"/>
        </w:rPr>
      </w:pPr>
      <w:r>
        <w:rPr>
          <w:rFonts w:hint="eastAsia" w:ascii="宋体" w:hAnsi="宋体" w:cs="宋体"/>
          <w:kern w:val="0"/>
        </w:rPr>
        <w:t>本企业对上述声明内容的真实性负责。如有虚假，将依法承担相应责任。</w:t>
      </w:r>
    </w:p>
    <w:p>
      <w:pPr>
        <w:widowControl/>
        <w:spacing w:line="440" w:lineRule="exact"/>
        <w:ind w:firstLine="420" w:firstLineChars="200"/>
        <w:jc w:val="left"/>
        <w:rPr>
          <w:rFonts w:ascii="宋体" w:hAnsi="宋体" w:cs="宋体"/>
          <w:kern w:val="0"/>
        </w:rPr>
      </w:pPr>
    </w:p>
    <w:p>
      <w:pPr>
        <w:widowControl/>
        <w:spacing w:line="440" w:lineRule="exact"/>
        <w:ind w:firstLine="420" w:firstLineChars="200"/>
        <w:jc w:val="left"/>
        <w:rPr>
          <w:rFonts w:ascii="宋体" w:hAnsi="宋体" w:cs="宋体"/>
          <w:kern w:val="0"/>
        </w:rPr>
      </w:pPr>
    </w:p>
    <w:p>
      <w:pPr>
        <w:widowControl/>
        <w:spacing w:line="440" w:lineRule="exact"/>
        <w:ind w:firstLine="420" w:firstLineChars="200"/>
        <w:jc w:val="left"/>
        <w:rPr>
          <w:rFonts w:ascii="宋体" w:hAnsi="宋体" w:cs="宋体"/>
          <w:kern w:val="0"/>
        </w:rPr>
      </w:pPr>
    </w:p>
    <w:p>
      <w:pPr>
        <w:widowControl/>
        <w:spacing w:line="440" w:lineRule="exact"/>
        <w:ind w:firstLine="420" w:firstLineChars="200"/>
        <w:jc w:val="right"/>
        <w:rPr>
          <w:rFonts w:ascii="宋体" w:hAnsi="宋体" w:cs="宋体"/>
          <w:kern w:val="0"/>
        </w:rPr>
      </w:pPr>
      <w:r>
        <w:rPr>
          <w:rFonts w:hint="eastAsia" w:ascii="宋体" w:hAnsi="宋体" w:cs="宋体"/>
          <w:kern w:val="0"/>
        </w:rPr>
        <w:t>企业名称（盖章）：</w:t>
      </w:r>
    </w:p>
    <w:p>
      <w:pPr>
        <w:widowControl/>
        <w:spacing w:line="440" w:lineRule="exact"/>
        <w:ind w:firstLine="420" w:firstLineChars="200"/>
        <w:jc w:val="center"/>
        <w:rPr>
          <w:rFonts w:ascii="宋体" w:hAnsi="宋体" w:cs="宋体"/>
          <w:kern w:val="0"/>
        </w:rPr>
      </w:pPr>
      <w:r>
        <w:rPr>
          <w:rFonts w:hint="eastAsia" w:ascii="宋体" w:hAnsi="宋体" w:cs="宋体"/>
          <w:kern w:val="0"/>
        </w:rPr>
        <w:t xml:space="preserve">                                               日期：</w:t>
      </w:r>
    </w:p>
    <w:p>
      <w:pPr>
        <w:spacing w:line="360" w:lineRule="auto"/>
        <w:jc w:val="center"/>
        <w:rPr>
          <w:rFonts w:ascii="宋体" w:hAnsi="宋体" w:cs="宋体"/>
          <w:b/>
          <w:bCs/>
          <w:sz w:val="28"/>
        </w:rPr>
      </w:pPr>
    </w:p>
    <w:p>
      <w:pPr>
        <w:widowControl/>
        <w:spacing w:line="360" w:lineRule="auto"/>
        <w:ind w:firstLine="422" w:firstLineChars="200"/>
        <w:jc w:val="left"/>
        <w:rPr>
          <w:rFonts w:ascii="宋体" w:hAnsi="宋体" w:cs="宋体"/>
          <w:b/>
          <w:snapToGrid w:val="0"/>
          <w:kern w:val="0"/>
          <w:szCs w:val="21"/>
        </w:rPr>
      </w:pPr>
      <w:r>
        <w:rPr>
          <w:rFonts w:hint="eastAsia" w:ascii="宋体" w:hAnsi="宋体" w:cs="宋体"/>
          <w:b/>
          <w:snapToGrid w:val="0"/>
          <w:kern w:val="0"/>
          <w:szCs w:val="21"/>
        </w:rPr>
        <w:t>注：从业人员、营业收入、资产总额填报上一年度数据，无上一年度数据的新成立企业可不填报。</w:t>
      </w:r>
    </w:p>
    <w:p>
      <w:pPr>
        <w:spacing w:line="360" w:lineRule="auto"/>
        <w:jc w:val="center"/>
        <w:rPr>
          <w:rFonts w:ascii="宋体" w:hAnsi="宋体" w:cs="宋体"/>
          <w:b/>
          <w:bCs/>
          <w:sz w:val="28"/>
        </w:rPr>
      </w:pPr>
    </w:p>
    <w:p>
      <w:pPr>
        <w:spacing w:line="360" w:lineRule="auto"/>
        <w:jc w:val="center"/>
        <w:rPr>
          <w:rFonts w:ascii="宋体" w:hAnsi="宋体" w:cs="宋体"/>
          <w:b/>
          <w:bCs/>
          <w:sz w:val="28"/>
        </w:rPr>
      </w:pPr>
    </w:p>
    <w:p>
      <w:pPr>
        <w:spacing w:line="360" w:lineRule="auto"/>
        <w:jc w:val="center"/>
        <w:rPr>
          <w:rFonts w:ascii="宋体" w:hAnsi="宋体" w:cs="宋体"/>
          <w:b/>
          <w:bCs/>
          <w:sz w:val="28"/>
        </w:rPr>
      </w:pPr>
    </w:p>
    <w:p>
      <w:pPr>
        <w:spacing w:line="360" w:lineRule="auto"/>
        <w:jc w:val="center"/>
        <w:rPr>
          <w:rFonts w:ascii="宋体" w:hAnsi="宋体" w:cs="宋体"/>
          <w:b/>
          <w:bCs/>
          <w:sz w:val="28"/>
        </w:rPr>
        <w:sectPr>
          <w:footerReference r:id="rId10" w:type="default"/>
          <w:pgSz w:w="11906" w:h="16838"/>
          <w:pgMar w:top="1440" w:right="1800" w:bottom="1440" w:left="1600" w:header="851" w:footer="992" w:gutter="0"/>
          <w:cols w:space="0" w:num="1"/>
          <w:docGrid w:type="lines" w:linePitch="312" w:charSpace="0"/>
        </w:sectPr>
      </w:pPr>
    </w:p>
    <w:p>
      <w:pPr>
        <w:spacing w:before="312" w:beforeLines="100" w:after="312" w:afterLines="100" w:line="480" w:lineRule="auto"/>
        <w:jc w:val="center"/>
        <w:rPr>
          <w:rFonts w:ascii="宋体" w:hAnsi="宋体" w:cs="宋体"/>
          <w:b/>
          <w:bCs/>
          <w:sz w:val="28"/>
          <w:szCs w:val="28"/>
        </w:rPr>
      </w:pPr>
      <w:r>
        <w:rPr>
          <w:rFonts w:hint="eastAsia" w:ascii="宋体" w:hAnsi="宋体" w:cs="宋体"/>
          <w:b/>
          <w:bCs/>
          <w:sz w:val="28"/>
          <w:szCs w:val="28"/>
        </w:rPr>
        <w:t>中小企业声明函（工程、服务）</w:t>
      </w:r>
    </w:p>
    <w:p>
      <w:pPr>
        <w:widowControl/>
        <w:spacing w:line="440" w:lineRule="exact"/>
        <w:ind w:firstLine="420" w:firstLineChars="200"/>
        <w:jc w:val="left"/>
        <w:rPr>
          <w:rFonts w:ascii="宋体" w:hAnsi="宋体" w:cs="宋体"/>
          <w:kern w:val="0"/>
          <w:szCs w:val="21"/>
        </w:rPr>
      </w:pPr>
      <w:r>
        <w:rPr>
          <w:rFonts w:hint="eastAsia" w:ascii="宋体" w:hAnsi="宋体" w:cs="宋体"/>
          <w:kern w:val="0"/>
        </w:rPr>
        <w:t>本公司（联合体）郑重声明，根据《政府采购促进中小企业发展管理办法》（财库〔2020</w:t>
      </w:r>
      <w:r>
        <w:rPr>
          <w:rFonts w:hint="eastAsia" w:ascii="宋体" w:hAnsi="宋体" w:cs="宋体"/>
        </w:rPr>
        <w:t>〕</w:t>
      </w:r>
      <w:r>
        <w:rPr>
          <w:rFonts w:hint="eastAsia" w:ascii="宋体" w:hAnsi="宋体" w:cs="宋体"/>
          <w:kern w:val="0"/>
        </w:rPr>
        <w:t>） 46号）的规定，本公司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pPr>
        <w:widowControl/>
        <w:spacing w:line="440" w:lineRule="exact"/>
        <w:ind w:firstLine="420" w:firstLineChars="200"/>
        <w:jc w:val="left"/>
        <w:rPr>
          <w:rFonts w:ascii="宋体" w:hAnsi="宋体" w:cs="宋体"/>
          <w:kern w:val="0"/>
        </w:rPr>
      </w:pP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 承建（承接）企业为（企业名称）,从业人员</w:t>
      </w:r>
      <w:r>
        <w:rPr>
          <w:rFonts w:hint="eastAsia" w:ascii="宋体" w:hAnsi="宋体" w:cs="宋体"/>
          <w:kern w:val="0"/>
          <w:u w:val="single"/>
        </w:rPr>
        <w:tab/>
      </w:r>
      <w:r>
        <w:rPr>
          <w:rFonts w:hint="eastAsia" w:ascii="宋体" w:hAnsi="宋体" w:cs="宋体"/>
          <w:kern w:val="0"/>
          <w:u w:val="single"/>
        </w:rPr>
        <w:t>人</w:t>
      </w:r>
      <w:r>
        <w:rPr>
          <w:rFonts w:hint="eastAsia" w:ascii="宋体" w:hAnsi="宋体" w:cs="宋体"/>
          <w:kern w:val="0"/>
        </w:rPr>
        <w:t>，营业收入为</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rPr>
        <w:t>万元，属于（中型企业、小型企业、微型企业）；</w:t>
      </w:r>
    </w:p>
    <w:p>
      <w:pPr>
        <w:widowControl/>
        <w:spacing w:line="440" w:lineRule="exact"/>
        <w:ind w:firstLine="420" w:firstLineChars="200"/>
        <w:jc w:val="left"/>
        <w:rPr>
          <w:rFonts w:ascii="宋体" w:hAnsi="宋体" w:cs="宋体"/>
          <w:kern w:val="0"/>
        </w:rPr>
      </w:pPr>
      <w:r>
        <w:rPr>
          <w:rFonts w:hint="eastAsia" w:ascii="宋体" w:hAnsi="宋体" w:cs="宋体"/>
          <w:kern w:val="0"/>
          <w:u w:val="single"/>
        </w:rPr>
        <w:t>（标的名称）,</w:t>
      </w:r>
      <w:r>
        <w:rPr>
          <w:rFonts w:hint="eastAsia" w:ascii="宋体" w:hAnsi="宋体" w:cs="宋体"/>
          <w:kern w:val="0"/>
        </w:rPr>
        <w:t>属于（采购文件中明确的所属行业）, 承建（承接）企业为（企业名称）,从业人员</w:t>
      </w:r>
      <w:r>
        <w:rPr>
          <w:rFonts w:hint="eastAsia" w:ascii="宋体" w:hAnsi="宋体" w:cs="宋体"/>
          <w:kern w:val="0"/>
          <w:u w:val="single"/>
        </w:rPr>
        <w:tab/>
      </w:r>
      <w:r>
        <w:rPr>
          <w:rFonts w:hint="eastAsia" w:ascii="宋体" w:hAnsi="宋体" w:cs="宋体"/>
          <w:kern w:val="0"/>
          <w:u w:val="single"/>
        </w:rPr>
        <w:t>人</w:t>
      </w:r>
      <w:r>
        <w:rPr>
          <w:rFonts w:hint="eastAsia" w:ascii="宋体" w:hAnsi="宋体" w:cs="宋体"/>
          <w:kern w:val="0"/>
        </w:rPr>
        <w:t>，营业收入为</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rPr>
        <w:t>万元，属于（中型企业、小型企业、微型企业）；</w:t>
      </w:r>
      <w:r>
        <w:rPr>
          <w:rFonts w:hint="eastAsia" w:ascii="宋体" w:hAnsi="宋体" w:cs="宋体"/>
          <w:kern w:val="0"/>
        </w:rPr>
        <w:tab/>
      </w:r>
    </w:p>
    <w:p>
      <w:pPr>
        <w:widowControl/>
        <w:spacing w:line="440" w:lineRule="exact"/>
        <w:ind w:firstLine="420" w:firstLineChars="200"/>
        <w:jc w:val="left"/>
        <w:rPr>
          <w:rFonts w:ascii="宋体" w:hAnsi="宋体" w:cs="宋体"/>
          <w:kern w:val="0"/>
        </w:rPr>
      </w:pPr>
      <w:r>
        <w:rPr>
          <w:rFonts w:hint="eastAsia" w:ascii="宋体" w:hAnsi="宋体" w:cs="宋体"/>
          <w:kern w:val="0"/>
        </w:rPr>
        <w:t>以上企业，不属于大企业的分支机构，不存在控股股东为大企业的情形，也不存在与大企业的负责人为同一人的情形。</w:t>
      </w:r>
    </w:p>
    <w:p>
      <w:pPr>
        <w:widowControl/>
        <w:spacing w:line="440" w:lineRule="exact"/>
        <w:ind w:firstLine="420" w:firstLineChars="200"/>
        <w:jc w:val="left"/>
        <w:rPr>
          <w:rFonts w:ascii="宋体" w:hAnsi="宋体" w:cs="宋体"/>
          <w:kern w:val="0"/>
        </w:rPr>
      </w:pPr>
      <w:r>
        <w:rPr>
          <w:rFonts w:hint="eastAsia" w:ascii="宋体" w:hAnsi="宋体" w:cs="宋体"/>
          <w:kern w:val="0"/>
        </w:rPr>
        <w:t>本企业对上述声明内容的真实性负责。如有虚假，将依法承担相应责任。</w:t>
      </w:r>
    </w:p>
    <w:p>
      <w:pPr>
        <w:widowControl/>
        <w:spacing w:line="440" w:lineRule="exact"/>
        <w:ind w:firstLine="420" w:firstLineChars="200"/>
        <w:jc w:val="left"/>
        <w:rPr>
          <w:rFonts w:ascii="宋体" w:hAnsi="宋体" w:cs="宋体"/>
          <w:kern w:val="0"/>
        </w:rPr>
      </w:pPr>
    </w:p>
    <w:p>
      <w:pPr>
        <w:widowControl/>
        <w:spacing w:line="440" w:lineRule="exact"/>
        <w:ind w:firstLine="420" w:firstLineChars="200"/>
        <w:jc w:val="left"/>
        <w:rPr>
          <w:rFonts w:ascii="宋体" w:hAnsi="宋体" w:cs="宋体"/>
          <w:kern w:val="0"/>
        </w:rPr>
      </w:pPr>
    </w:p>
    <w:p>
      <w:pPr>
        <w:widowControl/>
        <w:spacing w:line="440" w:lineRule="exact"/>
        <w:ind w:firstLine="420" w:firstLineChars="200"/>
        <w:jc w:val="left"/>
        <w:rPr>
          <w:rFonts w:ascii="宋体" w:hAnsi="宋体" w:cs="宋体"/>
          <w:kern w:val="0"/>
        </w:rPr>
      </w:pPr>
    </w:p>
    <w:p>
      <w:pPr>
        <w:widowControl/>
        <w:spacing w:line="440" w:lineRule="exact"/>
        <w:ind w:firstLine="420" w:firstLineChars="200"/>
        <w:jc w:val="right"/>
        <w:rPr>
          <w:rFonts w:ascii="宋体" w:hAnsi="宋体" w:cs="宋体"/>
          <w:kern w:val="0"/>
        </w:rPr>
      </w:pPr>
      <w:r>
        <w:rPr>
          <w:rFonts w:hint="eastAsia" w:ascii="宋体" w:hAnsi="宋体" w:cs="宋体"/>
          <w:kern w:val="0"/>
        </w:rPr>
        <w:t>企业名称（盖章）：</w:t>
      </w:r>
    </w:p>
    <w:p>
      <w:pPr>
        <w:widowControl/>
        <w:spacing w:line="360" w:lineRule="auto"/>
        <w:ind w:firstLine="420" w:firstLineChars="200"/>
        <w:jc w:val="left"/>
        <w:rPr>
          <w:rFonts w:ascii="宋体" w:hAnsi="宋体" w:cs="宋体"/>
          <w:kern w:val="0"/>
        </w:rPr>
      </w:pPr>
      <w:r>
        <w:rPr>
          <w:rFonts w:hint="eastAsia" w:ascii="宋体" w:hAnsi="宋体" w:cs="宋体"/>
          <w:kern w:val="0"/>
        </w:rPr>
        <w:t xml:space="preserve">                                                           日期：</w:t>
      </w:r>
    </w:p>
    <w:p>
      <w:pPr>
        <w:widowControl/>
        <w:spacing w:line="360" w:lineRule="auto"/>
        <w:ind w:firstLine="420" w:firstLineChars="200"/>
        <w:jc w:val="left"/>
        <w:rPr>
          <w:rFonts w:ascii="宋体" w:hAnsi="宋体" w:cs="宋体"/>
          <w:kern w:val="0"/>
        </w:rPr>
      </w:pPr>
    </w:p>
    <w:p>
      <w:pPr>
        <w:widowControl/>
        <w:spacing w:line="360" w:lineRule="auto"/>
        <w:ind w:firstLine="420" w:firstLineChars="200"/>
        <w:jc w:val="left"/>
        <w:rPr>
          <w:rFonts w:ascii="宋体" w:hAnsi="宋体" w:cs="宋体"/>
          <w:kern w:val="0"/>
        </w:rPr>
      </w:pPr>
    </w:p>
    <w:p>
      <w:pPr>
        <w:widowControl/>
        <w:spacing w:line="360" w:lineRule="auto"/>
        <w:ind w:firstLine="422" w:firstLineChars="200"/>
        <w:jc w:val="left"/>
        <w:rPr>
          <w:rFonts w:ascii="宋体" w:hAnsi="宋体" w:cs="宋体"/>
          <w:b/>
          <w:snapToGrid w:val="0"/>
          <w:kern w:val="0"/>
          <w:szCs w:val="21"/>
        </w:rPr>
      </w:pPr>
      <w:r>
        <w:rPr>
          <w:rFonts w:hint="eastAsia" w:ascii="宋体" w:hAnsi="宋体" w:cs="宋体"/>
          <w:b/>
          <w:snapToGrid w:val="0"/>
          <w:kern w:val="0"/>
          <w:szCs w:val="21"/>
        </w:rPr>
        <w:t>注：从业人员、营业收入、资产总额填报上一年度数据，无上一年度数据的新成立企业可不填报。</w:t>
      </w:r>
    </w:p>
    <w:p>
      <w:pPr>
        <w:spacing w:line="360" w:lineRule="auto"/>
        <w:jc w:val="center"/>
        <w:rPr>
          <w:rFonts w:ascii="宋体" w:hAnsi="宋体" w:cs="宋体"/>
          <w:b/>
          <w:bCs/>
          <w:sz w:val="28"/>
        </w:rPr>
        <w:sectPr>
          <w:pgSz w:w="11906" w:h="16838"/>
          <w:pgMar w:top="1440" w:right="1800" w:bottom="1440" w:left="1600" w:header="851" w:footer="992" w:gutter="0"/>
          <w:cols w:space="720" w:num="1"/>
          <w:titlePg/>
          <w:docGrid w:type="lines" w:linePitch="312" w:charSpace="0"/>
        </w:sectPr>
      </w:pPr>
    </w:p>
    <w:p>
      <w:pPr>
        <w:spacing w:line="360" w:lineRule="auto"/>
        <w:jc w:val="center"/>
        <w:rPr>
          <w:rFonts w:ascii="宋体" w:hAnsi="宋体" w:cs="宋体"/>
          <w:b/>
          <w:bCs/>
          <w:sz w:val="28"/>
        </w:rPr>
      </w:pPr>
      <w:r>
        <w:rPr>
          <w:rFonts w:hint="eastAsia" w:ascii="宋体" w:hAnsi="宋体" w:cs="宋体"/>
          <w:b/>
          <w:bCs/>
          <w:sz w:val="28"/>
        </w:rPr>
        <w:t>残疾人福利性单位声明函</w:t>
      </w:r>
    </w:p>
    <w:bookmarkEnd w:id="16"/>
    <w:bookmarkEnd w:id="17"/>
    <w:p>
      <w:pPr>
        <w:widowControl/>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本单位对上述声明的真实性负责。如有虚假，将依法承担相应责任。</w:t>
      </w:r>
    </w:p>
    <w:p>
      <w:pPr>
        <w:widowControl/>
        <w:spacing w:line="440" w:lineRule="exact"/>
        <w:ind w:firstLine="5040" w:firstLineChars="2400"/>
        <w:jc w:val="left"/>
        <w:rPr>
          <w:rFonts w:ascii="宋体" w:hAnsi="宋体" w:cs="宋体"/>
          <w:snapToGrid w:val="0"/>
          <w:kern w:val="0"/>
          <w:szCs w:val="21"/>
        </w:rPr>
      </w:pPr>
      <w:r>
        <w:rPr>
          <w:rFonts w:hint="eastAsia" w:ascii="宋体" w:hAnsi="宋体" w:cs="宋体"/>
          <w:snapToGrid w:val="0"/>
          <w:kern w:val="0"/>
          <w:szCs w:val="21"/>
        </w:rPr>
        <w:t>单位名称（盖章）：</w:t>
      </w:r>
    </w:p>
    <w:p>
      <w:pPr>
        <w:widowControl/>
        <w:spacing w:line="440" w:lineRule="exact"/>
        <w:ind w:firstLine="5040" w:firstLineChars="2400"/>
        <w:jc w:val="left"/>
        <w:rPr>
          <w:rFonts w:ascii="宋体" w:hAnsi="宋体" w:cs="宋体"/>
          <w:snapToGrid w:val="0"/>
          <w:kern w:val="0"/>
          <w:szCs w:val="21"/>
        </w:rPr>
      </w:pPr>
      <w:r>
        <w:rPr>
          <w:rFonts w:hint="eastAsia" w:ascii="宋体" w:hAnsi="宋体" w:cs="宋体"/>
          <w:snapToGrid w:val="0"/>
          <w:kern w:val="0"/>
          <w:szCs w:val="21"/>
        </w:rPr>
        <w:t>日  期：</w:t>
      </w:r>
    </w:p>
    <w:p>
      <w:pPr>
        <w:spacing w:line="360" w:lineRule="auto"/>
        <w:rPr>
          <w:rFonts w:ascii="宋体" w:hAnsi="宋体" w:cs="宋体"/>
          <w:b/>
          <w:bCs/>
        </w:rPr>
      </w:pPr>
    </w:p>
    <w:p>
      <w:pPr>
        <w:spacing w:line="360" w:lineRule="auto"/>
        <w:rPr>
          <w:rFonts w:ascii="宋体" w:hAnsi="宋体" w:cs="宋体"/>
          <w:b/>
          <w:bCs/>
        </w:rPr>
      </w:pPr>
    </w:p>
    <w:p>
      <w:pPr>
        <w:spacing w:line="360" w:lineRule="auto"/>
        <w:jc w:val="center"/>
        <w:rPr>
          <w:rFonts w:ascii="宋体" w:hAnsi="宋体" w:cs="宋体"/>
          <w:b/>
          <w:bCs/>
          <w:sz w:val="28"/>
        </w:rPr>
      </w:pPr>
      <w:r>
        <w:rPr>
          <w:rFonts w:hint="eastAsia" w:ascii="宋体" w:hAnsi="宋体" w:cs="宋体"/>
          <w:b/>
          <w:bCs/>
          <w:sz w:val="28"/>
        </w:rPr>
        <w:t>属于监狱企业的证明文件</w:t>
      </w:r>
    </w:p>
    <w:p>
      <w:pPr>
        <w:spacing w:line="360" w:lineRule="auto"/>
        <w:rPr>
          <w:rFonts w:ascii="宋体" w:hAnsi="宋体" w:cs="宋体"/>
        </w:rPr>
      </w:pPr>
      <w:r>
        <w:rPr>
          <w:rFonts w:hint="eastAsia" w:ascii="宋体" w:hAnsi="宋体" w:cs="宋体"/>
        </w:rPr>
        <w:t>（提供由省级以上监狱管理局、戒毒管理局(含新疆生产建设兵团)出具的属于监狱企业的证明文件）</w:t>
      </w:r>
    </w:p>
    <w:p>
      <w:pPr>
        <w:spacing w:line="360" w:lineRule="auto"/>
        <w:rPr>
          <w:rFonts w:ascii="宋体" w:hAnsi="宋体" w:cs="宋体"/>
          <w:b/>
          <w:bCs/>
        </w:rPr>
      </w:pPr>
    </w:p>
    <w:p>
      <w:pPr>
        <w:spacing w:line="360" w:lineRule="auto"/>
        <w:rPr>
          <w:rFonts w:ascii="宋体" w:hAnsi="宋体" w:cs="宋体"/>
          <w:b/>
          <w:bCs/>
        </w:rPr>
      </w:pPr>
    </w:p>
    <w:p>
      <w:pPr>
        <w:spacing w:line="360" w:lineRule="auto"/>
        <w:jc w:val="center"/>
        <w:rPr>
          <w:rFonts w:ascii="宋体" w:hAnsi="宋体" w:cs="宋体"/>
          <w:b/>
          <w:bCs/>
        </w:rPr>
      </w:pPr>
      <w:r>
        <w:rPr>
          <w:rFonts w:hint="eastAsia" w:ascii="宋体" w:hAnsi="宋体" w:cs="宋体"/>
          <w:b/>
          <w:bCs/>
          <w:sz w:val="28"/>
        </w:rPr>
        <w:t>节能产品认证证书</w:t>
      </w:r>
    </w:p>
    <w:p>
      <w:pPr>
        <w:spacing w:line="360" w:lineRule="auto"/>
        <w:rPr>
          <w:rFonts w:ascii="宋体" w:hAnsi="宋体" w:cs="宋体"/>
          <w:bCs/>
        </w:rPr>
      </w:pPr>
      <w:r>
        <w:rPr>
          <w:rFonts w:hint="eastAsia" w:ascii="宋体" w:hAnsi="宋体" w:cs="宋体"/>
          <w:bCs/>
        </w:rPr>
        <w:t>（提供国家确定的认证机构出具的、处于有效期之内的产品认证证书）</w:t>
      </w:r>
    </w:p>
    <w:p>
      <w:pPr>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宋体"/>
          <w:b/>
          <w:bCs/>
        </w:rPr>
      </w:pPr>
    </w:p>
    <w:p>
      <w:pPr>
        <w:spacing w:line="360" w:lineRule="auto"/>
        <w:jc w:val="center"/>
        <w:rPr>
          <w:rFonts w:ascii="宋体" w:hAnsi="宋体" w:cs="宋体"/>
          <w:b/>
          <w:bCs/>
        </w:rPr>
      </w:pPr>
      <w:r>
        <w:rPr>
          <w:rFonts w:hint="eastAsia" w:ascii="宋体" w:hAnsi="宋体" w:cs="宋体"/>
          <w:b/>
          <w:bCs/>
          <w:sz w:val="28"/>
        </w:rPr>
        <w:t>环境标志产品认证证书</w:t>
      </w:r>
    </w:p>
    <w:p>
      <w:pPr>
        <w:spacing w:line="360" w:lineRule="auto"/>
        <w:rPr>
          <w:rFonts w:ascii="宋体" w:hAnsi="宋体" w:cs="宋体"/>
          <w:bCs/>
        </w:rPr>
      </w:pPr>
      <w:r>
        <w:rPr>
          <w:rFonts w:hint="eastAsia" w:ascii="宋体" w:hAnsi="宋体" w:cs="宋体"/>
          <w:bCs/>
        </w:rPr>
        <w:t>（提供国家确定的认证机构出具的、处于有效期之内的产品认证证书）</w:t>
      </w:r>
    </w:p>
    <w:p>
      <w:pPr>
        <w:pStyle w:val="56"/>
        <w:rPr>
          <w:rFonts w:ascii="宋体" w:hAnsi="宋体" w:cs="宋体"/>
          <w:bCs/>
        </w:rPr>
      </w:pPr>
    </w:p>
    <w:p>
      <w:pPr>
        <w:pStyle w:val="56"/>
        <w:rPr>
          <w:rFonts w:ascii="宋体" w:hAnsi="宋体" w:cs="宋体"/>
          <w:bCs/>
        </w:rPr>
      </w:pPr>
    </w:p>
    <w:p>
      <w:pPr>
        <w:pStyle w:val="56"/>
        <w:rPr>
          <w:rFonts w:ascii="宋体" w:hAnsi="宋体" w:cs="宋体"/>
          <w:bCs/>
        </w:rPr>
      </w:pPr>
    </w:p>
    <w:p>
      <w:pPr>
        <w:spacing w:line="360" w:lineRule="auto"/>
        <w:jc w:val="center"/>
        <w:rPr>
          <w:rFonts w:ascii="宋体" w:hAnsi="宋体" w:cs="宋体"/>
          <w:b/>
          <w:bCs/>
          <w:sz w:val="28"/>
        </w:rPr>
      </w:pPr>
      <w:r>
        <w:rPr>
          <w:rFonts w:hint="eastAsia" w:ascii="宋体" w:hAnsi="宋体" w:cs="宋体"/>
          <w:b/>
          <w:bCs/>
          <w:sz w:val="28"/>
        </w:rPr>
        <w:t>进口产品转让技术、消化吸收再创新方案</w:t>
      </w:r>
    </w:p>
    <w:p>
      <w:pPr>
        <w:spacing w:line="360" w:lineRule="auto"/>
        <w:rPr>
          <w:rFonts w:ascii="宋体" w:hAnsi="宋体" w:cs="宋体"/>
          <w:bCs/>
        </w:rPr>
      </w:pPr>
      <w:r>
        <w:rPr>
          <w:rFonts w:hint="eastAsia" w:ascii="宋体" w:hAnsi="宋体" w:cs="宋体"/>
          <w:bCs/>
        </w:rPr>
        <w:t>（对于允许进口产品参加的项目）</w:t>
      </w:r>
    </w:p>
    <w:p>
      <w:pPr>
        <w:spacing w:line="360" w:lineRule="auto"/>
        <w:rPr>
          <w:rFonts w:ascii="宋体" w:hAnsi="宋体" w:cs="宋体"/>
          <w:b/>
          <w:bCs/>
        </w:rPr>
      </w:pPr>
    </w:p>
    <w:p>
      <w:pPr>
        <w:autoSpaceDE w:val="0"/>
        <w:autoSpaceDN w:val="0"/>
        <w:adjustRightInd w:val="0"/>
        <w:spacing w:line="360" w:lineRule="auto"/>
        <w:rPr>
          <w:rFonts w:ascii="宋体" w:hAnsi="宋体" w:cs="宋体"/>
          <w:b/>
        </w:rPr>
      </w:pPr>
      <w:r>
        <w:rPr>
          <w:rFonts w:hint="eastAsia" w:ascii="宋体" w:hAnsi="宋体" w:cs="宋体"/>
          <w:b/>
          <w:szCs w:val="21"/>
          <w:lang w:val="zh-CN"/>
        </w:rPr>
        <w:br w:type="page"/>
      </w:r>
      <w:r>
        <w:rPr>
          <w:rFonts w:hint="eastAsia" w:ascii="宋体" w:hAnsi="宋体" w:cs="宋体"/>
          <w:b/>
        </w:rPr>
        <w:t>附件十、无重大违法记录声明格式</w:t>
      </w:r>
    </w:p>
    <w:p>
      <w:pPr>
        <w:spacing w:line="240" w:lineRule="atLeast"/>
        <w:jc w:val="center"/>
        <w:rPr>
          <w:rFonts w:ascii="宋体" w:hAnsi="宋体" w:cs="宋体"/>
          <w:sz w:val="28"/>
          <w:szCs w:val="36"/>
        </w:rPr>
      </w:pPr>
    </w:p>
    <w:p>
      <w:pPr>
        <w:spacing w:line="240" w:lineRule="atLeast"/>
        <w:jc w:val="center"/>
        <w:rPr>
          <w:rFonts w:ascii="宋体" w:hAnsi="宋体" w:cs="宋体"/>
          <w:sz w:val="28"/>
          <w:szCs w:val="36"/>
        </w:rPr>
      </w:pPr>
      <w:r>
        <w:rPr>
          <w:rFonts w:hint="eastAsia" w:ascii="宋体" w:hAnsi="宋体" w:cs="宋体"/>
          <w:sz w:val="28"/>
          <w:szCs w:val="36"/>
        </w:rPr>
        <w:t>无重大违法记录声明</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江苏省设备成套股份有限公司：</w:t>
      </w:r>
    </w:p>
    <w:p>
      <w:pPr>
        <w:spacing w:line="360" w:lineRule="auto"/>
        <w:rPr>
          <w:rFonts w:ascii="宋体" w:hAnsi="宋体" w:cs="宋体"/>
        </w:rPr>
      </w:pPr>
    </w:p>
    <w:p>
      <w:pPr>
        <w:spacing w:line="360" w:lineRule="auto"/>
        <w:ind w:firstLine="336" w:firstLineChars="160"/>
        <w:rPr>
          <w:rFonts w:ascii="宋体" w:hAnsi="宋体" w:cs="宋体"/>
        </w:rPr>
      </w:pPr>
      <w:r>
        <w:rPr>
          <w:rFonts w:hint="eastAsia" w:ascii="宋体" w:hAnsi="宋体" w:cs="宋体"/>
        </w:rPr>
        <w:t>我单位（供应商名称）郑重声明：</w:t>
      </w:r>
    </w:p>
    <w:p>
      <w:pPr>
        <w:widowControl/>
        <w:shd w:val="clear" w:color="auto" w:fill="FFFFFF"/>
        <w:spacing w:line="360" w:lineRule="auto"/>
        <w:ind w:firstLine="308" w:firstLineChars="147"/>
        <w:rPr>
          <w:rFonts w:ascii="宋体" w:hAnsi="宋体" w:cs="宋体"/>
          <w:b/>
          <w:kern w:val="0"/>
          <w:szCs w:val="21"/>
        </w:rPr>
      </w:pPr>
      <w:r>
        <w:rPr>
          <w:rFonts w:hint="eastAsia" w:ascii="宋体" w:hAnsi="宋体" w:cs="宋体"/>
          <w:kern w:val="0"/>
          <w:szCs w:val="21"/>
        </w:rPr>
        <w:t>我单位</w:t>
      </w:r>
      <w:r>
        <w:rPr>
          <w:rFonts w:hint="eastAsia" w:ascii="宋体" w:hAnsi="宋体" w:cs="宋体"/>
        </w:rPr>
        <w:t>参加政府采购活动前3年内在经营活动中（</w:t>
      </w:r>
      <w:r>
        <w:rPr>
          <w:rFonts w:hint="eastAsia" w:ascii="宋体" w:hAnsi="宋体" w:cs="宋体"/>
          <w:b/>
          <w:i/>
          <w:u w:val="single"/>
        </w:rPr>
        <w:t>在下划线上如实填写：有或没有</w:t>
      </w:r>
      <w:r>
        <w:rPr>
          <w:rFonts w:hint="eastAsia" w:ascii="宋体" w:hAnsi="宋体" w:cs="宋体"/>
        </w:rPr>
        <w:t>）</w:t>
      </w:r>
      <w:r>
        <w:rPr>
          <w:rFonts w:hint="eastAsia" w:ascii="宋体" w:hAnsi="宋体" w:cs="宋体"/>
          <w:b/>
        </w:rPr>
        <w:t>重大违法记录</w:t>
      </w:r>
      <w:r>
        <w:rPr>
          <w:rFonts w:hint="eastAsia" w:ascii="宋体" w:hAnsi="宋体" w:cs="宋体"/>
          <w:b/>
          <w:kern w:val="0"/>
          <w:szCs w:val="21"/>
        </w:rPr>
        <w:t>，且不是失信被执行人、重大税收违法案件当事人名单、政府采购严重违法失信行为记录名单的供应商。</w:t>
      </w:r>
    </w:p>
    <w:p>
      <w:pPr>
        <w:spacing w:line="360" w:lineRule="auto"/>
        <w:ind w:firstLine="420" w:firstLineChars="200"/>
        <w:rPr>
          <w:rFonts w:ascii="宋体" w:hAnsi="宋体" w:cs="宋体"/>
        </w:rPr>
      </w:pPr>
    </w:p>
    <w:p>
      <w:pPr>
        <w:spacing w:line="360" w:lineRule="auto"/>
        <w:ind w:firstLine="315" w:firstLineChars="150"/>
        <w:rPr>
          <w:rFonts w:ascii="宋体" w:hAnsi="宋体" w:cs="宋体"/>
        </w:rPr>
      </w:pPr>
      <w:r>
        <w:rPr>
          <w:rFonts w:hint="eastAsia" w:ascii="宋体" w:hAnsi="宋体" w:cs="宋体"/>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宋体" w:hAnsi="宋体" w:cs="宋体"/>
        </w:rPr>
      </w:pPr>
    </w:p>
    <w:p>
      <w:pPr>
        <w:spacing w:line="360" w:lineRule="auto"/>
        <w:rPr>
          <w:rFonts w:ascii="宋体" w:hAnsi="宋体" w:cs="宋体"/>
        </w:rPr>
      </w:pPr>
    </w:p>
    <w:p>
      <w:pPr>
        <w:spacing w:line="360" w:lineRule="auto"/>
        <w:ind w:firstLine="5103" w:firstLineChars="2430"/>
        <w:rPr>
          <w:rFonts w:ascii="宋体" w:hAnsi="宋体" w:cs="宋体"/>
        </w:rPr>
      </w:pPr>
      <w:r>
        <w:rPr>
          <w:rFonts w:hint="eastAsia" w:ascii="宋体" w:hAnsi="宋体" w:cs="宋体"/>
        </w:rPr>
        <w:t>声明人：（公章）</w:t>
      </w:r>
    </w:p>
    <w:p>
      <w:pPr>
        <w:autoSpaceDE w:val="0"/>
        <w:autoSpaceDN w:val="0"/>
        <w:adjustRightInd w:val="0"/>
        <w:spacing w:line="360" w:lineRule="auto"/>
        <w:ind w:firstLine="5040" w:firstLineChars="2400"/>
        <w:rPr>
          <w:rFonts w:ascii="宋体" w:hAnsi="宋体" w:cs="宋体"/>
          <w:b/>
        </w:rPr>
      </w:pPr>
      <w:r>
        <w:rPr>
          <w:rFonts w:hint="eastAsia" w:ascii="宋体" w:hAnsi="宋体" w:cs="宋体"/>
          <w:szCs w:val="21"/>
          <w:lang w:val="zh-CN"/>
        </w:rPr>
        <w:t>日期：</w:t>
      </w:r>
      <w:r>
        <w:rPr>
          <w:rFonts w:hint="eastAsia" w:ascii="宋体" w:hAnsi="宋体" w:cs="宋体"/>
          <w:szCs w:val="21"/>
        </w:rPr>
        <w:t xml:space="preserve">    </w:t>
      </w:r>
      <w:r>
        <w:rPr>
          <w:rFonts w:hint="eastAsia" w:ascii="宋体" w:hAnsi="宋体" w:cs="宋体"/>
          <w:szCs w:val="21"/>
          <w:lang w:val="zh-CN"/>
        </w:rPr>
        <w:t>年</w:t>
      </w:r>
      <w:r>
        <w:rPr>
          <w:rFonts w:hint="eastAsia" w:ascii="宋体" w:hAnsi="宋体" w:cs="宋体"/>
          <w:szCs w:val="21"/>
        </w:rPr>
        <w:t xml:space="preserve">   </w:t>
      </w:r>
      <w:r>
        <w:rPr>
          <w:rFonts w:hint="eastAsia" w:ascii="宋体" w:hAnsi="宋体" w:cs="宋体"/>
          <w:szCs w:val="21"/>
          <w:lang w:val="zh-CN"/>
        </w:rPr>
        <w:t>月</w:t>
      </w:r>
      <w:r>
        <w:rPr>
          <w:rFonts w:hint="eastAsia" w:ascii="宋体" w:hAnsi="宋体" w:cs="宋体"/>
          <w:b/>
          <w:szCs w:val="21"/>
          <w:lang w:val="zh-CN"/>
        </w:rPr>
        <w:br w:type="page"/>
      </w:r>
    </w:p>
    <w:p>
      <w:pPr>
        <w:autoSpaceDE w:val="0"/>
        <w:autoSpaceDN w:val="0"/>
        <w:adjustRightInd w:val="0"/>
        <w:spacing w:line="360" w:lineRule="auto"/>
        <w:rPr>
          <w:rFonts w:ascii="宋体" w:hAnsi="宋体" w:cs="宋体"/>
          <w:b/>
        </w:rPr>
      </w:pPr>
      <w:r>
        <w:rPr>
          <w:rFonts w:hint="eastAsia" w:ascii="宋体" w:hAnsi="宋体" w:cs="宋体"/>
          <w:b/>
        </w:rPr>
        <w:t>附件十一、 资格资信证明文件</w:t>
      </w: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r>
        <w:rPr>
          <w:rFonts w:hint="eastAsia" w:ascii="宋体" w:hAnsi="宋体" w:cs="宋体"/>
          <w:b/>
        </w:rPr>
        <w:t>附件十二、 联合体协议及联合体授权委托书（如允许联合体）</w:t>
      </w: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widowControl/>
        <w:shd w:val="clear" w:color="auto" w:fill="FFFFFF"/>
        <w:spacing w:line="360" w:lineRule="auto"/>
        <w:jc w:val="left"/>
        <w:rPr>
          <w:rFonts w:ascii="宋体" w:hAnsi="宋体" w:cs="宋体"/>
          <w:szCs w:val="21"/>
        </w:rPr>
      </w:pPr>
      <w:r>
        <w:rPr>
          <w:rFonts w:hint="eastAsia" w:ascii="宋体" w:hAnsi="宋体" w:cs="宋体"/>
          <w:b/>
        </w:rPr>
        <w:t>附件十三、《南京市政府采购供应商信用记录表暨信用承诺书》</w:t>
      </w:r>
      <w:r>
        <w:rPr>
          <w:rFonts w:hint="eastAsia" w:ascii="宋体" w:hAnsi="宋体" w:cs="宋体"/>
          <w:b/>
          <w:szCs w:val="20"/>
        </w:rPr>
        <w:t>（网站在线打印）</w:t>
      </w: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r>
        <w:rPr>
          <w:rFonts w:hint="eastAsia" w:ascii="宋体" w:hAnsi="宋体" w:cs="宋体"/>
          <w:b/>
        </w:rPr>
        <w:t>附件十四、投标保证金缴纳凭证（如需要）</w:t>
      </w: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p>
    <w:p>
      <w:pPr>
        <w:autoSpaceDE w:val="0"/>
        <w:autoSpaceDN w:val="0"/>
        <w:adjustRightInd w:val="0"/>
        <w:spacing w:line="360" w:lineRule="auto"/>
        <w:rPr>
          <w:rFonts w:ascii="宋体" w:hAnsi="宋体" w:cs="宋体"/>
          <w:b/>
        </w:rPr>
      </w:pPr>
      <w:r>
        <w:rPr>
          <w:rFonts w:hint="eastAsia" w:ascii="宋体" w:hAnsi="宋体" w:cs="宋体"/>
          <w:b/>
        </w:rPr>
        <w:t>附件十五、其他</w:t>
      </w:r>
    </w:p>
    <w:sectPr>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path/>
          <v:fill on="f" focussize="0,0"/>
          <v:stroke on="f" joinstyle="miter"/>
          <v:imagedata o:title=""/>
          <o:lock v:ext="edit"/>
          <v:textbox inset="0mm,0mm,0mm,0mm" style="mso-fit-shape-to-text:t;">
            <w:txbxContent>
              <w:p>
                <w:pPr>
                  <w:pStyle w:val="29"/>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1">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2">
    <w:nsid w:val="130A2188"/>
    <w:multiLevelType w:val="multilevel"/>
    <w:tmpl w:val="130A2188"/>
    <w:lvl w:ilvl="0" w:tentative="0">
      <w:start w:val="1"/>
      <w:numFmt w:val="chineseCountingThousand"/>
      <w:pStyle w:val="147"/>
      <w:lvlText w:val="%1"/>
      <w:lvlJc w:val="left"/>
      <w:pPr>
        <w:ind w:left="425" w:hanging="425"/>
      </w:pPr>
      <w:rPr>
        <w:rFonts w:hint="eastAsia" w:ascii="Arial Unicode MS" w:hAnsi="Arial Unicode MS" w:eastAsia="微软雅黑"/>
        <w:b/>
        <w:i w:val="0"/>
        <w:lang w:val="en-US"/>
      </w:rPr>
    </w:lvl>
    <w:lvl w:ilvl="1" w:tentative="0">
      <w:start w:val="1"/>
      <w:numFmt w:val="decimal"/>
      <w:pStyle w:val="167"/>
      <w:isLgl/>
      <w:lvlText w:val="%1.%2"/>
      <w:lvlJc w:val="left"/>
      <w:pPr>
        <w:ind w:left="425" w:hanging="425"/>
      </w:pPr>
      <w:rPr>
        <w:rFonts w:hint="eastAsia" w:ascii="Arial Unicode MS" w:hAnsi="Arial Unicode MS" w:eastAsia="微软雅黑"/>
        <w:b/>
        <w:i w:val="0"/>
      </w:rPr>
    </w:lvl>
    <w:lvl w:ilvl="2" w:tentative="0">
      <w:start w:val="1"/>
      <w:numFmt w:val="decimal"/>
      <w:pStyle w:val="181"/>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5915610C"/>
    <w:multiLevelType w:val="singleLevel"/>
    <w:tmpl w:val="5915610C"/>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33BC"/>
    <w:rsid w:val="000037BA"/>
    <w:rsid w:val="00003E09"/>
    <w:rsid w:val="00004ADD"/>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45A0"/>
    <w:rsid w:val="000A573E"/>
    <w:rsid w:val="000A7DA8"/>
    <w:rsid w:val="000B086C"/>
    <w:rsid w:val="000B21A6"/>
    <w:rsid w:val="000B4AC4"/>
    <w:rsid w:val="000B5EB0"/>
    <w:rsid w:val="000B6FEE"/>
    <w:rsid w:val="000C3C47"/>
    <w:rsid w:val="000D18A2"/>
    <w:rsid w:val="000D4CDD"/>
    <w:rsid w:val="000E0528"/>
    <w:rsid w:val="000E513A"/>
    <w:rsid w:val="000E5792"/>
    <w:rsid w:val="000E595A"/>
    <w:rsid w:val="000E6BE6"/>
    <w:rsid w:val="000E70D0"/>
    <w:rsid w:val="000E7AEC"/>
    <w:rsid w:val="000F353A"/>
    <w:rsid w:val="000F3911"/>
    <w:rsid w:val="000F64B8"/>
    <w:rsid w:val="00100C2D"/>
    <w:rsid w:val="00102973"/>
    <w:rsid w:val="00106DF5"/>
    <w:rsid w:val="00107AD2"/>
    <w:rsid w:val="001152DD"/>
    <w:rsid w:val="00115C20"/>
    <w:rsid w:val="0011699D"/>
    <w:rsid w:val="00116AB7"/>
    <w:rsid w:val="00121249"/>
    <w:rsid w:val="00123A13"/>
    <w:rsid w:val="00124DDA"/>
    <w:rsid w:val="00125FE2"/>
    <w:rsid w:val="0013061E"/>
    <w:rsid w:val="00130C01"/>
    <w:rsid w:val="001315EC"/>
    <w:rsid w:val="00132750"/>
    <w:rsid w:val="00132D0F"/>
    <w:rsid w:val="00133C84"/>
    <w:rsid w:val="0013431C"/>
    <w:rsid w:val="0014026B"/>
    <w:rsid w:val="0014045A"/>
    <w:rsid w:val="0014108C"/>
    <w:rsid w:val="00142258"/>
    <w:rsid w:val="00145CD4"/>
    <w:rsid w:val="00153691"/>
    <w:rsid w:val="00156B27"/>
    <w:rsid w:val="00156C22"/>
    <w:rsid w:val="001620DA"/>
    <w:rsid w:val="00163D70"/>
    <w:rsid w:val="00165899"/>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5013B"/>
    <w:rsid w:val="00250EDD"/>
    <w:rsid w:val="00253197"/>
    <w:rsid w:val="002570EE"/>
    <w:rsid w:val="002604F0"/>
    <w:rsid w:val="00263349"/>
    <w:rsid w:val="002708AF"/>
    <w:rsid w:val="002723FB"/>
    <w:rsid w:val="00273495"/>
    <w:rsid w:val="002740C3"/>
    <w:rsid w:val="0027735C"/>
    <w:rsid w:val="0027753E"/>
    <w:rsid w:val="002810AC"/>
    <w:rsid w:val="002812CC"/>
    <w:rsid w:val="002867C5"/>
    <w:rsid w:val="00293EC3"/>
    <w:rsid w:val="00295A7F"/>
    <w:rsid w:val="002A3AF4"/>
    <w:rsid w:val="002A74F1"/>
    <w:rsid w:val="002A7B32"/>
    <w:rsid w:val="002B7B7D"/>
    <w:rsid w:val="002C084A"/>
    <w:rsid w:val="002C24AF"/>
    <w:rsid w:val="002C4A64"/>
    <w:rsid w:val="002C6711"/>
    <w:rsid w:val="002D2894"/>
    <w:rsid w:val="002D696C"/>
    <w:rsid w:val="002D7BA2"/>
    <w:rsid w:val="002E0562"/>
    <w:rsid w:val="002E0FD5"/>
    <w:rsid w:val="002E35B5"/>
    <w:rsid w:val="002E3BC8"/>
    <w:rsid w:val="002E585D"/>
    <w:rsid w:val="002E5CD7"/>
    <w:rsid w:val="002E67FB"/>
    <w:rsid w:val="002E6D7C"/>
    <w:rsid w:val="002F0C61"/>
    <w:rsid w:val="002F4462"/>
    <w:rsid w:val="002F5066"/>
    <w:rsid w:val="002F5D82"/>
    <w:rsid w:val="002F6084"/>
    <w:rsid w:val="0030167A"/>
    <w:rsid w:val="00304E56"/>
    <w:rsid w:val="003120B1"/>
    <w:rsid w:val="003129FD"/>
    <w:rsid w:val="00312B26"/>
    <w:rsid w:val="00313484"/>
    <w:rsid w:val="00313AEF"/>
    <w:rsid w:val="00313BF3"/>
    <w:rsid w:val="003141CA"/>
    <w:rsid w:val="003154A3"/>
    <w:rsid w:val="003203E5"/>
    <w:rsid w:val="00322CB1"/>
    <w:rsid w:val="003246D4"/>
    <w:rsid w:val="00326C8C"/>
    <w:rsid w:val="00327533"/>
    <w:rsid w:val="003309C5"/>
    <w:rsid w:val="003335D3"/>
    <w:rsid w:val="00334124"/>
    <w:rsid w:val="00340850"/>
    <w:rsid w:val="0034418A"/>
    <w:rsid w:val="00345DB5"/>
    <w:rsid w:val="00346E30"/>
    <w:rsid w:val="0034735E"/>
    <w:rsid w:val="003512E3"/>
    <w:rsid w:val="00351AFA"/>
    <w:rsid w:val="003527FB"/>
    <w:rsid w:val="00352E13"/>
    <w:rsid w:val="00357CF7"/>
    <w:rsid w:val="003600F4"/>
    <w:rsid w:val="003651BD"/>
    <w:rsid w:val="00367044"/>
    <w:rsid w:val="00367B81"/>
    <w:rsid w:val="0037007A"/>
    <w:rsid w:val="00372366"/>
    <w:rsid w:val="00372537"/>
    <w:rsid w:val="00374628"/>
    <w:rsid w:val="003762DA"/>
    <w:rsid w:val="003767C0"/>
    <w:rsid w:val="00381242"/>
    <w:rsid w:val="0038766E"/>
    <w:rsid w:val="00393EC0"/>
    <w:rsid w:val="003969C7"/>
    <w:rsid w:val="003A12C6"/>
    <w:rsid w:val="003A1936"/>
    <w:rsid w:val="003A2501"/>
    <w:rsid w:val="003A2F14"/>
    <w:rsid w:val="003A3E1F"/>
    <w:rsid w:val="003A477C"/>
    <w:rsid w:val="003A565F"/>
    <w:rsid w:val="003B1470"/>
    <w:rsid w:val="003B57AF"/>
    <w:rsid w:val="003B5E57"/>
    <w:rsid w:val="003B6BFB"/>
    <w:rsid w:val="003B6DB0"/>
    <w:rsid w:val="003C5B1B"/>
    <w:rsid w:val="003D11A8"/>
    <w:rsid w:val="003D3875"/>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AF"/>
    <w:rsid w:val="00420A4C"/>
    <w:rsid w:val="00434F67"/>
    <w:rsid w:val="00435AEC"/>
    <w:rsid w:val="004361EB"/>
    <w:rsid w:val="0043707B"/>
    <w:rsid w:val="00440CD0"/>
    <w:rsid w:val="00440FFE"/>
    <w:rsid w:val="0044226E"/>
    <w:rsid w:val="00443704"/>
    <w:rsid w:val="00447E6A"/>
    <w:rsid w:val="004506CC"/>
    <w:rsid w:val="0045464A"/>
    <w:rsid w:val="0045557D"/>
    <w:rsid w:val="00455F44"/>
    <w:rsid w:val="0046330A"/>
    <w:rsid w:val="00463ACA"/>
    <w:rsid w:val="00463CB4"/>
    <w:rsid w:val="004642FE"/>
    <w:rsid w:val="00470C69"/>
    <w:rsid w:val="004726C8"/>
    <w:rsid w:val="00473F2F"/>
    <w:rsid w:val="00476ECA"/>
    <w:rsid w:val="00477B1A"/>
    <w:rsid w:val="00483480"/>
    <w:rsid w:val="00484798"/>
    <w:rsid w:val="00484BCF"/>
    <w:rsid w:val="004860C3"/>
    <w:rsid w:val="00492FA1"/>
    <w:rsid w:val="00497549"/>
    <w:rsid w:val="004A24F0"/>
    <w:rsid w:val="004A5E41"/>
    <w:rsid w:val="004C1F95"/>
    <w:rsid w:val="004C4DBA"/>
    <w:rsid w:val="004C5EAB"/>
    <w:rsid w:val="004C6150"/>
    <w:rsid w:val="004C6A6C"/>
    <w:rsid w:val="004C6F0B"/>
    <w:rsid w:val="004C6F22"/>
    <w:rsid w:val="004C7623"/>
    <w:rsid w:val="004D07DF"/>
    <w:rsid w:val="004D611F"/>
    <w:rsid w:val="004D7D51"/>
    <w:rsid w:val="004E0E67"/>
    <w:rsid w:val="004E3F50"/>
    <w:rsid w:val="004E58AB"/>
    <w:rsid w:val="004E6188"/>
    <w:rsid w:val="004F0BBC"/>
    <w:rsid w:val="004F44BE"/>
    <w:rsid w:val="005017C3"/>
    <w:rsid w:val="00501DC6"/>
    <w:rsid w:val="00502239"/>
    <w:rsid w:val="00502CFD"/>
    <w:rsid w:val="00502FF2"/>
    <w:rsid w:val="00507FE8"/>
    <w:rsid w:val="00512D9D"/>
    <w:rsid w:val="00517586"/>
    <w:rsid w:val="00520554"/>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F95"/>
    <w:rsid w:val="00572476"/>
    <w:rsid w:val="00573C88"/>
    <w:rsid w:val="005759AF"/>
    <w:rsid w:val="005770BB"/>
    <w:rsid w:val="00580AB2"/>
    <w:rsid w:val="005810A3"/>
    <w:rsid w:val="00582092"/>
    <w:rsid w:val="005852C9"/>
    <w:rsid w:val="00585A68"/>
    <w:rsid w:val="005868C9"/>
    <w:rsid w:val="00586A03"/>
    <w:rsid w:val="00586B6F"/>
    <w:rsid w:val="00586E84"/>
    <w:rsid w:val="005877F6"/>
    <w:rsid w:val="00592F71"/>
    <w:rsid w:val="00592FF1"/>
    <w:rsid w:val="005A495B"/>
    <w:rsid w:val="005A56EA"/>
    <w:rsid w:val="005A61D7"/>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94"/>
    <w:rsid w:val="00601B4B"/>
    <w:rsid w:val="00603813"/>
    <w:rsid w:val="00606EDF"/>
    <w:rsid w:val="006128AC"/>
    <w:rsid w:val="0061542D"/>
    <w:rsid w:val="00620715"/>
    <w:rsid w:val="00624187"/>
    <w:rsid w:val="006252AF"/>
    <w:rsid w:val="006304CC"/>
    <w:rsid w:val="00631DEC"/>
    <w:rsid w:val="0063310F"/>
    <w:rsid w:val="0063400A"/>
    <w:rsid w:val="00634CC2"/>
    <w:rsid w:val="00635435"/>
    <w:rsid w:val="00636109"/>
    <w:rsid w:val="00637F2B"/>
    <w:rsid w:val="00646FBB"/>
    <w:rsid w:val="006476CE"/>
    <w:rsid w:val="006503D3"/>
    <w:rsid w:val="00654CF6"/>
    <w:rsid w:val="00655583"/>
    <w:rsid w:val="00656945"/>
    <w:rsid w:val="00661BA3"/>
    <w:rsid w:val="0066223F"/>
    <w:rsid w:val="00663C55"/>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7D40"/>
    <w:rsid w:val="006F0FCE"/>
    <w:rsid w:val="006F31BB"/>
    <w:rsid w:val="006F36D3"/>
    <w:rsid w:val="006F6030"/>
    <w:rsid w:val="006F62A0"/>
    <w:rsid w:val="006F75D1"/>
    <w:rsid w:val="006F7B4F"/>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71EB"/>
    <w:rsid w:val="00761F7A"/>
    <w:rsid w:val="007639EB"/>
    <w:rsid w:val="00764437"/>
    <w:rsid w:val="00764D39"/>
    <w:rsid w:val="0076516C"/>
    <w:rsid w:val="00767F86"/>
    <w:rsid w:val="00772B9E"/>
    <w:rsid w:val="00773D1C"/>
    <w:rsid w:val="00774A96"/>
    <w:rsid w:val="007752BE"/>
    <w:rsid w:val="00775C02"/>
    <w:rsid w:val="007763D4"/>
    <w:rsid w:val="00777BF5"/>
    <w:rsid w:val="00781498"/>
    <w:rsid w:val="00784A5B"/>
    <w:rsid w:val="0079007B"/>
    <w:rsid w:val="007903B1"/>
    <w:rsid w:val="00791A2F"/>
    <w:rsid w:val="00793211"/>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6D21"/>
    <w:rsid w:val="007C701D"/>
    <w:rsid w:val="007D23BF"/>
    <w:rsid w:val="007D60DB"/>
    <w:rsid w:val="007D615F"/>
    <w:rsid w:val="007E05FE"/>
    <w:rsid w:val="007E0C57"/>
    <w:rsid w:val="007E5512"/>
    <w:rsid w:val="007F403B"/>
    <w:rsid w:val="00800176"/>
    <w:rsid w:val="00801882"/>
    <w:rsid w:val="00802408"/>
    <w:rsid w:val="008100C8"/>
    <w:rsid w:val="00813ACF"/>
    <w:rsid w:val="008225BB"/>
    <w:rsid w:val="00825B11"/>
    <w:rsid w:val="0082761A"/>
    <w:rsid w:val="00830124"/>
    <w:rsid w:val="00831A1E"/>
    <w:rsid w:val="00832600"/>
    <w:rsid w:val="0083386A"/>
    <w:rsid w:val="00833C7A"/>
    <w:rsid w:val="00835672"/>
    <w:rsid w:val="00836244"/>
    <w:rsid w:val="0084216B"/>
    <w:rsid w:val="0084342C"/>
    <w:rsid w:val="00845109"/>
    <w:rsid w:val="00846FB4"/>
    <w:rsid w:val="00861FDD"/>
    <w:rsid w:val="0086227A"/>
    <w:rsid w:val="0086783C"/>
    <w:rsid w:val="00870D02"/>
    <w:rsid w:val="00870D28"/>
    <w:rsid w:val="00872E0F"/>
    <w:rsid w:val="008763EA"/>
    <w:rsid w:val="00876475"/>
    <w:rsid w:val="00880F39"/>
    <w:rsid w:val="00881BD6"/>
    <w:rsid w:val="00882AB7"/>
    <w:rsid w:val="0088575E"/>
    <w:rsid w:val="00885CAF"/>
    <w:rsid w:val="00892ACF"/>
    <w:rsid w:val="0089353F"/>
    <w:rsid w:val="00896EAB"/>
    <w:rsid w:val="008A3C15"/>
    <w:rsid w:val="008A53D0"/>
    <w:rsid w:val="008B0795"/>
    <w:rsid w:val="008B0C0F"/>
    <w:rsid w:val="008B30E9"/>
    <w:rsid w:val="008B3E7B"/>
    <w:rsid w:val="008B558C"/>
    <w:rsid w:val="008B6C7E"/>
    <w:rsid w:val="008B7A42"/>
    <w:rsid w:val="008C113C"/>
    <w:rsid w:val="008C1984"/>
    <w:rsid w:val="008C30C4"/>
    <w:rsid w:val="008C3BF5"/>
    <w:rsid w:val="008C502A"/>
    <w:rsid w:val="008D0BF3"/>
    <w:rsid w:val="008D2503"/>
    <w:rsid w:val="008D556A"/>
    <w:rsid w:val="008E411E"/>
    <w:rsid w:val="008E4653"/>
    <w:rsid w:val="008E6170"/>
    <w:rsid w:val="008E7A24"/>
    <w:rsid w:val="008F1C48"/>
    <w:rsid w:val="008F2690"/>
    <w:rsid w:val="008F5667"/>
    <w:rsid w:val="008F57E9"/>
    <w:rsid w:val="008F67CB"/>
    <w:rsid w:val="009003BF"/>
    <w:rsid w:val="009108B8"/>
    <w:rsid w:val="00910F76"/>
    <w:rsid w:val="00915A2F"/>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B4BC4"/>
    <w:rsid w:val="009B6F6E"/>
    <w:rsid w:val="009C052A"/>
    <w:rsid w:val="009C273F"/>
    <w:rsid w:val="009C2E52"/>
    <w:rsid w:val="009C5742"/>
    <w:rsid w:val="009C634D"/>
    <w:rsid w:val="009D09B2"/>
    <w:rsid w:val="009D1894"/>
    <w:rsid w:val="009D7A62"/>
    <w:rsid w:val="009D7E3A"/>
    <w:rsid w:val="009E5EE5"/>
    <w:rsid w:val="009E793F"/>
    <w:rsid w:val="009F005A"/>
    <w:rsid w:val="009F060E"/>
    <w:rsid w:val="009F4A60"/>
    <w:rsid w:val="009F62C3"/>
    <w:rsid w:val="00A009E1"/>
    <w:rsid w:val="00A04CAD"/>
    <w:rsid w:val="00A05EBA"/>
    <w:rsid w:val="00A06538"/>
    <w:rsid w:val="00A15221"/>
    <w:rsid w:val="00A174BA"/>
    <w:rsid w:val="00A17910"/>
    <w:rsid w:val="00A17E00"/>
    <w:rsid w:val="00A21FEB"/>
    <w:rsid w:val="00A23187"/>
    <w:rsid w:val="00A23AA3"/>
    <w:rsid w:val="00A23B5F"/>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76E4F"/>
    <w:rsid w:val="00A87993"/>
    <w:rsid w:val="00A9111A"/>
    <w:rsid w:val="00A939FC"/>
    <w:rsid w:val="00A96D7B"/>
    <w:rsid w:val="00AA0DFF"/>
    <w:rsid w:val="00AA48DB"/>
    <w:rsid w:val="00AA6D6C"/>
    <w:rsid w:val="00AA7036"/>
    <w:rsid w:val="00AA76E0"/>
    <w:rsid w:val="00AB4B93"/>
    <w:rsid w:val="00AB7BC7"/>
    <w:rsid w:val="00AC0555"/>
    <w:rsid w:val="00AC3CE1"/>
    <w:rsid w:val="00AD2779"/>
    <w:rsid w:val="00AD5827"/>
    <w:rsid w:val="00AD5D52"/>
    <w:rsid w:val="00AD6419"/>
    <w:rsid w:val="00AD664C"/>
    <w:rsid w:val="00AE1C40"/>
    <w:rsid w:val="00AE1CDC"/>
    <w:rsid w:val="00AE4A32"/>
    <w:rsid w:val="00AF2E8F"/>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6A86"/>
    <w:rsid w:val="00B3135E"/>
    <w:rsid w:val="00B35BA3"/>
    <w:rsid w:val="00B40276"/>
    <w:rsid w:val="00B40CB7"/>
    <w:rsid w:val="00B41B5C"/>
    <w:rsid w:val="00B41E08"/>
    <w:rsid w:val="00B4362D"/>
    <w:rsid w:val="00B43F73"/>
    <w:rsid w:val="00B45AEE"/>
    <w:rsid w:val="00B52ABC"/>
    <w:rsid w:val="00B52BCB"/>
    <w:rsid w:val="00B53034"/>
    <w:rsid w:val="00B60C6E"/>
    <w:rsid w:val="00B62C19"/>
    <w:rsid w:val="00B6458E"/>
    <w:rsid w:val="00B646E8"/>
    <w:rsid w:val="00B70D16"/>
    <w:rsid w:val="00B73B6F"/>
    <w:rsid w:val="00B74BB5"/>
    <w:rsid w:val="00B83525"/>
    <w:rsid w:val="00B847F1"/>
    <w:rsid w:val="00B852CF"/>
    <w:rsid w:val="00B86BF1"/>
    <w:rsid w:val="00B871C6"/>
    <w:rsid w:val="00B908D5"/>
    <w:rsid w:val="00B9567F"/>
    <w:rsid w:val="00B96B13"/>
    <w:rsid w:val="00BA5931"/>
    <w:rsid w:val="00BA643D"/>
    <w:rsid w:val="00BA77B1"/>
    <w:rsid w:val="00BB5965"/>
    <w:rsid w:val="00BB6E73"/>
    <w:rsid w:val="00BC1FEC"/>
    <w:rsid w:val="00BC4002"/>
    <w:rsid w:val="00BC4039"/>
    <w:rsid w:val="00BC4788"/>
    <w:rsid w:val="00BC4F7A"/>
    <w:rsid w:val="00BD1BFA"/>
    <w:rsid w:val="00BD239B"/>
    <w:rsid w:val="00BD2CBA"/>
    <w:rsid w:val="00BD424B"/>
    <w:rsid w:val="00BD75C8"/>
    <w:rsid w:val="00BD7A67"/>
    <w:rsid w:val="00BE14FC"/>
    <w:rsid w:val="00BE18B2"/>
    <w:rsid w:val="00BE3415"/>
    <w:rsid w:val="00BE47A9"/>
    <w:rsid w:val="00BE73AA"/>
    <w:rsid w:val="00BF2DEB"/>
    <w:rsid w:val="00BF3BDE"/>
    <w:rsid w:val="00BF53AE"/>
    <w:rsid w:val="00BF58A6"/>
    <w:rsid w:val="00C0020E"/>
    <w:rsid w:val="00C00D89"/>
    <w:rsid w:val="00C063BE"/>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A0C53"/>
    <w:rsid w:val="00CA138A"/>
    <w:rsid w:val="00CA17E5"/>
    <w:rsid w:val="00CA2B62"/>
    <w:rsid w:val="00CA3030"/>
    <w:rsid w:val="00CA3CD3"/>
    <w:rsid w:val="00CA55D0"/>
    <w:rsid w:val="00CA5876"/>
    <w:rsid w:val="00CB0495"/>
    <w:rsid w:val="00CB0CCF"/>
    <w:rsid w:val="00CB3E3D"/>
    <w:rsid w:val="00CC216A"/>
    <w:rsid w:val="00CC3FAB"/>
    <w:rsid w:val="00CC4D44"/>
    <w:rsid w:val="00CD15B3"/>
    <w:rsid w:val="00CD345C"/>
    <w:rsid w:val="00CD76FF"/>
    <w:rsid w:val="00CE03A7"/>
    <w:rsid w:val="00CE64EF"/>
    <w:rsid w:val="00CF07A6"/>
    <w:rsid w:val="00CF0FFE"/>
    <w:rsid w:val="00CF52B0"/>
    <w:rsid w:val="00CF586B"/>
    <w:rsid w:val="00CF7CF7"/>
    <w:rsid w:val="00D03886"/>
    <w:rsid w:val="00D04600"/>
    <w:rsid w:val="00D1163E"/>
    <w:rsid w:val="00D13DFA"/>
    <w:rsid w:val="00D15918"/>
    <w:rsid w:val="00D1596B"/>
    <w:rsid w:val="00D23B2E"/>
    <w:rsid w:val="00D27127"/>
    <w:rsid w:val="00D34579"/>
    <w:rsid w:val="00D351D3"/>
    <w:rsid w:val="00D36535"/>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767A2"/>
    <w:rsid w:val="00D80DD9"/>
    <w:rsid w:val="00D90426"/>
    <w:rsid w:val="00D922E2"/>
    <w:rsid w:val="00D95BAC"/>
    <w:rsid w:val="00D97D9D"/>
    <w:rsid w:val="00DA79FF"/>
    <w:rsid w:val="00DB02DB"/>
    <w:rsid w:val="00DB1E2B"/>
    <w:rsid w:val="00DB1E53"/>
    <w:rsid w:val="00DB2E4F"/>
    <w:rsid w:val="00DC360B"/>
    <w:rsid w:val="00DC426A"/>
    <w:rsid w:val="00DD3430"/>
    <w:rsid w:val="00DD4DEB"/>
    <w:rsid w:val="00DD5BAF"/>
    <w:rsid w:val="00DD5D0F"/>
    <w:rsid w:val="00DD7056"/>
    <w:rsid w:val="00DD763F"/>
    <w:rsid w:val="00DD7900"/>
    <w:rsid w:val="00DE1CA0"/>
    <w:rsid w:val="00DE7E64"/>
    <w:rsid w:val="00DF05DB"/>
    <w:rsid w:val="00E00F42"/>
    <w:rsid w:val="00E014A6"/>
    <w:rsid w:val="00E02CEA"/>
    <w:rsid w:val="00E0387F"/>
    <w:rsid w:val="00E04D4B"/>
    <w:rsid w:val="00E070B5"/>
    <w:rsid w:val="00E12A33"/>
    <w:rsid w:val="00E13411"/>
    <w:rsid w:val="00E1366E"/>
    <w:rsid w:val="00E13CF7"/>
    <w:rsid w:val="00E17DAE"/>
    <w:rsid w:val="00E25032"/>
    <w:rsid w:val="00E26533"/>
    <w:rsid w:val="00E303F7"/>
    <w:rsid w:val="00E30714"/>
    <w:rsid w:val="00E32B6F"/>
    <w:rsid w:val="00E334F0"/>
    <w:rsid w:val="00E369B3"/>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4F52"/>
    <w:rsid w:val="00E85579"/>
    <w:rsid w:val="00E871F1"/>
    <w:rsid w:val="00E876F5"/>
    <w:rsid w:val="00E909B3"/>
    <w:rsid w:val="00E951EB"/>
    <w:rsid w:val="00E968CF"/>
    <w:rsid w:val="00EA152B"/>
    <w:rsid w:val="00EA3DFF"/>
    <w:rsid w:val="00EB226C"/>
    <w:rsid w:val="00EB4048"/>
    <w:rsid w:val="00EB5814"/>
    <w:rsid w:val="00EB6B3F"/>
    <w:rsid w:val="00EB77BA"/>
    <w:rsid w:val="00EB7F9C"/>
    <w:rsid w:val="00EC0994"/>
    <w:rsid w:val="00EC6044"/>
    <w:rsid w:val="00EC68FF"/>
    <w:rsid w:val="00EC6982"/>
    <w:rsid w:val="00ED016E"/>
    <w:rsid w:val="00ED113C"/>
    <w:rsid w:val="00ED2A85"/>
    <w:rsid w:val="00EE59C9"/>
    <w:rsid w:val="00EE78B2"/>
    <w:rsid w:val="00EF4558"/>
    <w:rsid w:val="00EF52AB"/>
    <w:rsid w:val="00F00286"/>
    <w:rsid w:val="00F03651"/>
    <w:rsid w:val="00F060AA"/>
    <w:rsid w:val="00F06B84"/>
    <w:rsid w:val="00F10C97"/>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6683"/>
    <w:rsid w:val="00F602A9"/>
    <w:rsid w:val="00F60E76"/>
    <w:rsid w:val="00F72186"/>
    <w:rsid w:val="00F73A04"/>
    <w:rsid w:val="00F757A6"/>
    <w:rsid w:val="00F8422B"/>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A7EA1"/>
    <w:rsid w:val="00FB1C45"/>
    <w:rsid w:val="00FB1D95"/>
    <w:rsid w:val="00FB2707"/>
    <w:rsid w:val="00FB2C77"/>
    <w:rsid w:val="00FB433B"/>
    <w:rsid w:val="00FC0004"/>
    <w:rsid w:val="00FC0121"/>
    <w:rsid w:val="00FC1F29"/>
    <w:rsid w:val="00FC36B9"/>
    <w:rsid w:val="00FC4D67"/>
    <w:rsid w:val="00FC4F35"/>
    <w:rsid w:val="00FD6875"/>
    <w:rsid w:val="00FE0272"/>
    <w:rsid w:val="00FE04CE"/>
    <w:rsid w:val="00FE152C"/>
    <w:rsid w:val="00FE2D29"/>
    <w:rsid w:val="00FE3CC9"/>
    <w:rsid w:val="00FE4057"/>
    <w:rsid w:val="00FE42F7"/>
    <w:rsid w:val="00FE675C"/>
    <w:rsid w:val="00FF04AB"/>
    <w:rsid w:val="00FF0DB2"/>
    <w:rsid w:val="00FF2F69"/>
    <w:rsid w:val="00FF617C"/>
    <w:rsid w:val="010A08C5"/>
    <w:rsid w:val="01214A1E"/>
    <w:rsid w:val="014F1B49"/>
    <w:rsid w:val="0161201C"/>
    <w:rsid w:val="01674AD8"/>
    <w:rsid w:val="017B15F7"/>
    <w:rsid w:val="019B2A51"/>
    <w:rsid w:val="01BB069A"/>
    <w:rsid w:val="01DB1680"/>
    <w:rsid w:val="01E41C8C"/>
    <w:rsid w:val="01EE6DBE"/>
    <w:rsid w:val="020E7F3F"/>
    <w:rsid w:val="02102EA5"/>
    <w:rsid w:val="021A6004"/>
    <w:rsid w:val="022E08B9"/>
    <w:rsid w:val="023A07E4"/>
    <w:rsid w:val="025D291A"/>
    <w:rsid w:val="026A2419"/>
    <w:rsid w:val="027202B1"/>
    <w:rsid w:val="02721F48"/>
    <w:rsid w:val="02805163"/>
    <w:rsid w:val="02815E8D"/>
    <w:rsid w:val="02E41BF4"/>
    <w:rsid w:val="02F07CB0"/>
    <w:rsid w:val="030D75EF"/>
    <w:rsid w:val="031168BC"/>
    <w:rsid w:val="03426C59"/>
    <w:rsid w:val="03433AF1"/>
    <w:rsid w:val="03501AE4"/>
    <w:rsid w:val="03716722"/>
    <w:rsid w:val="038C028C"/>
    <w:rsid w:val="039744EC"/>
    <w:rsid w:val="039B623A"/>
    <w:rsid w:val="03B44AA5"/>
    <w:rsid w:val="03EA32B1"/>
    <w:rsid w:val="040020A7"/>
    <w:rsid w:val="04473247"/>
    <w:rsid w:val="044D2B93"/>
    <w:rsid w:val="04833676"/>
    <w:rsid w:val="04930DBB"/>
    <w:rsid w:val="04A2371F"/>
    <w:rsid w:val="04A53BA4"/>
    <w:rsid w:val="04AA1834"/>
    <w:rsid w:val="04D17C83"/>
    <w:rsid w:val="04DF3F87"/>
    <w:rsid w:val="04E374DE"/>
    <w:rsid w:val="04EA6B5B"/>
    <w:rsid w:val="04FF00EB"/>
    <w:rsid w:val="0501459E"/>
    <w:rsid w:val="05175FCF"/>
    <w:rsid w:val="05205315"/>
    <w:rsid w:val="052263A0"/>
    <w:rsid w:val="054E23E8"/>
    <w:rsid w:val="05586075"/>
    <w:rsid w:val="0586756C"/>
    <w:rsid w:val="058E5789"/>
    <w:rsid w:val="059C5E7A"/>
    <w:rsid w:val="059F3F35"/>
    <w:rsid w:val="05AB2DB2"/>
    <w:rsid w:val="05C127AF"/>
    <w:rsid w:val="05C342DE"/>
    <w:rsid w:val="05D56659"/>
    <w:rsid w:val="05EB76F4"/>
    <w:rsid w:val="05EC4B85"/>
    <w:rsid w:val="05F56B6A"/>
    <w:rsid w:val="05F7106C"/>
    <w:rsid w:val="05FE60AA"/>
    <w:rsid w:val="06027766"/>
    <w:rsid w:val="06305727"/>
    <w:rsid w:val="06322461"/>
    <w:rsid w:val="063475AA"/>
    <w:rsid w:val="06647C6C"/>
    <w:rsid w:val="06665E33"/>
    <w:rsid w:val="06936D88"/>
    <w:rsid w:val="06A31CA0"/>
    <w:rsid w:val="06D31947"/>
    <w:rsid w:val="06D9153A"/>
    <w:rsid w:val="06D92562"/>
    <w:rsid w:val="06E760D7"/>
    <w:rsid w:val="06EA54F3"/>
    <w:rsid w:val="06F650AE"/>
    <w:rsid w:val="07075B45"/>
    <w:rsid w:val="070A76BD"/>
    <w:rsid w:val="07132833"/>
    <w:rsid w:val="072E5643"/>
    <w:rsid w:val="073D7196"/>
    <w:rsid w:val="07504429"/>
    <w:rsid w:val="07612720"/>
    <w:rsid w:val="076A60B4"/>
    <w:rsid w:val="07792B42"/>
    <w:rsid w:val="077E3D0B"/>
    <w:rsid w:val="078C511B"/>
    <w:rsid w:val="078D2D8A"/>
    <w:rsid w:val="07BE2A34"/>
    <w:rsid w:val="07D43E3E"/>
    <w:rsid w:val="07DF1893"/>
    <w:rsid w:val="07E53F70"/>
    <w:rsid w:val="07F03CBF"/>
    <w:rsid w:val="07F42B67"/>
    <w:rsid w:val="080D0CE3"/>
    <w:rsid w:val="082F4D18"/>
    <w:rsid w:val="086626CB"/>
    <w:rsid w:val="08790814"/>
    <w:rsid w:val="08817F9A"/>
    <w:rsid w:val="08933F38"/>
    <w:rsid w:val="089E56D2"/>
    <w:rsid w:val="08B472FE"/>
    <w:rsid w:val="08B614BD"/>
    <w:rsid w:val="08B937A7"/>
    <w:rsid w:val="08C15F16"/>
    <w:rsid w:val="08CD671D"/>
    <w:rsid w:val="08D83875"/>
    <w:rsid w:val="08F56067"/>
    <w:rsid w:val="08F56798"/>
    <w:rsid w:val="09072AF5"/>
    <w:rsid w:val="090D78C9"/>
    <w:rsid w:val="09101FB3"/>
    <w:rsid w:val="09296C06"/>
    <w:rsid w:val="09AD5BC2"/>
    <w:rsid w:val="09F8752F"/>
    <w:rsid w:val="0A0D439F"/>
    <w:rsid w:val="0A0F0D09"/>
    <w:rsid w:val="0A1D4600"/>
    <w:rsid w:val="0A1F68B2"/>
    <w:rsid w:val="0A210F95"/>
    <w:rsid w:val="0A2836E0"/>
    <w:rsid w:val="0A29194C"/>
    <w:rsid w:val="0A593073"/>
    <w:rsid w:val="0A8E5529"/>
    <w:rsid w:val="0AB44EF5"/>
    <w:rsid w:val="0AC159A6"/>
    <w:rsid w:val="0AE34BB1"/>
    <w:rsid w:val="0AED0B6E"/>
    <w:rsid w:val="0B4B7099"/>
    <w:rsid w:val="0B747542"/>
    <w:rsid w:val="0B9E1A60"/>
    <w:rsid w:val="0BAD70EA"/>
    <w:rsid w:val="0BE60C5C"/>
    <w:rsid w:val="0C12442E"/>
    <w:rsid w:val="0C296CAE"/>
    <w:rsid w:val="0C365370"/>
    <w:rsid w:val="0C437410"/>
    <w:rsid w:val="0C442C80"/>
    <w:rsid w:val="0C4B30F1"/>
    <w:rsid w:val="0C7376A8"/>
    <w:rsid w:val="0C763A6D"/>
    <w:rsid w:val="0C801F53"/>
    <w:rsid w:val="0C8076E1"/>
    <w:rsid w:val="0C9726DE"/>
    <w:rsid w:val="0CA97841"/>
    <w:rsid w:val="0CF22F65"/>
    <w:rsid w:val="0CFD3771"/>
    <w:rsid w:val="0D001BEA"/>
    <w:rsid w:val="0D0A7F77"/>
    <w:rsid w:val="0D4D0748"/>
    <w:rsid w:val="0D5F5515"/>
    <w:rsid w:val="0D642F6A"/>
    <w:rsid w:val="0D8943DC"/>
    <w:rsid w:val="0D8A04E4"/>
    <w:rsid w:val="0D932BB8"/>
    <w:rsid w:val="0D98461B"/>
    <w:rsid w:val="0DB904D9"/>
    <w:rsid w:val="0DBB0918"/>
    <w:rsid w:val="0DE25782"/>
    <w:rsid w:val="0DEE271A"/>
    <w:rsid w:val="0DF148E8"/>
    <w:rsid w:val="0E210D90"/>
    <w:rsid w:val="0E280BF1"/>
    <w:rsid w:val="0E2A2732"/>
    <w:rsid w:val="0E2F7B01"/>
    <w:rsid w:val="0E4B5699"/>
    <w:rsid w:val="0E512E80"/>
    <w:rsid w:val="0E6E1A32"/>
    <w:rsid w:val="0E915BD0"/>
    <w:rsid w:val="0ECD4128"/>
    <w:rsid w:val="0EF05635"/>
    <w:rsid w:val="0F0913A4"/>
    <w:rsid w:val="0F360DD3"/>
    <w:rsid w:val="0F6B1793"/>
    <w:rsid w:val="0F7B5DFB"/>
    <w:rsid w:val="0FEC3AC5"/>
    <w:rsid w:val="0FF37EF3"/>
    <w:rsid w:val="0FFE4C46"/>
    <w:rsid w:val="10064480"/>
    <w:rsid w:val="100930B7"/>
    <w:rsid w:val="10156FD1"/>
    <w:rsid w:val="10371F2F"/>
    <w:rsid w:val="105A6D80"/>
    <w:rsid w:val="105E051F"/>
    <w:rsid w:val="107B23CF"/>
    <w:rsid w:val="107E1871"/>
    <w:rsid w:val="10824E25"/>
    <w:rsid w:val="10BD5626"/>
    <w:rsid w:val="10C85301"/>
    <w:rsid w:val="10F5099F"/>
    <w:rsid w:val="11046680"/>
    <w:rsid w:val="11423CF0"/>
    <w:rsid w:val="1159255C"/>
    <w:rsid w:val="115D038D"/>
    <w:rsid w:val="116741A8"/>
    <w:rsid w:val="11887A9E"/>
    <w:rsid w:val="119E030F"/>
    <w:rsid w:val="11AC3296"/>
    <w:rsid w:val="11BF3764"/>
    <w:rsid w:val="11BF5D6D"/>
    <w:rsid w:val="11EF6486"/>
    <w:rsid w:val="11F75962"/>
    <w:rsid w:val="11FC0451"/>
    <w:rsid w:val="120C4EB8"/>
    <w:rsid w:val="122D760A"/>
    <w:rsid w:val="12311F5A"/>
    <w:rsid w:val="12427601"/>
    <w:rsid w:val="125944FB"/>
    <w:rsid w:val="12624EB7"/>
    <w:rsid w:val="1282388F"/>
    <w:rsid w:val="128572E6"/>
    <w:rsid w:val="128A0F8B"/>
    <w:rsid w:val="129139EE"/>
    <w:rsid w:val="12B26461"/>
    <w:rsid w:val="12B41713"/>
    <w:rsid w:val="12D228CA"/>
    <w:rsid w:val="12F36759"/>
    <w:rsid w:val="1300045E"/>
    <w:rsid w:val="130A6921"/>
    <w:rsid w:val="133D024F"/>
    <w:rsid w:val="133D6D87"/>
    <w:rsid w:val="13716BB4"/>
    <w:rsid w:val="13821EE1"/>
    <w:rsid w:val="13890B9C"/>
    <w:rsid w:val="13CB4137"/>
    <w:rsid w:val="13D11AEC"/>
    <w:rsid w:val="13F27FD8"/>
    <w:rsid w:val="13F74970"/>
    <w:rsid w:val="13FA3C10"/>
    <w:rsid w:val="14197590"/>
    <w:rsid w:val="141C7AF8"/>
    <w:rsid w:val="142D5867"/>
    <w:rsid w:val="14311C3C"/>
    <w:rsid w:val="14333BA0"/>
    <w:rsid w:val="14A05CEA"/>
    <w:rsid w:val="14BA7BD0"/>
    <w:rsid w:val="14BE0DA8"/>
    <w:rsid w:val="14DF2DE8"/>
    <w:rsid w:val="14E20E88"/>
    <w:rsid w:val="14E71B9C"/>
    <w:rsid w:val="14ED24C4"/>
    <w:rsid w:val="14FE6E45"/>
    <w:rsid w:val="15030DD2"/>
    <w:rsid w:val="151246C1"/>
    <w:rsid w:val="15300534"/>
    <w:rsid w:val="15430081"/>
    <w:rsid w:val="1549179A"/>
    <w:rsid w:val="155855A0"/>
    <w:rsid w:val="15760A82"/>
    <w:rsid w:val="15885993"/>
    <w:rsid w:val="15943580"/>
    <w:rsid w:val="159F71E4"/>
    <w:rsid w:val="15DA54BE"/>
    <w:rsid w:val="15DE1A29"/>
    <w:rsid w:val="16883ABF"/>
    <w:rsid w:val="16AA3EEF"/>
    <w:rsid w:val="16BB65F1"/>
    <w:rsid w:val="16C30E50"/>
    <w:rsid w:val="16DF70C3"/>
    <w:rsid w:val="16E36A8E"/>
    <w:rsid w:val="17174321"/>
    <w:rsid w:val="17382C6C"/>
    <w:rsid w:val="17B2733D"/>
    <w:rsid w:val="17D32110"/>
    <w:rsid w:val="17E241A7"/>
    <w:rsid w:val="17EF333D"/>
    <w:rsid w:val="17F736BA"/>
    <w:rsid w:val="180B1C8C"/>
    <w:rsid w:val="1856228A"/>
    <w:rsid w:val="18655549"/>
    <w:rsid w:val="186E33DA"/>
    <w:rsid w:val="1883698B"/>
    <w:rsid w:val="189D5730"/>
    <w:rsid w:val="18AE6BDF"/>
    <w:rsid w:val="18B73C6E"/>
    <w:rsid w:val="18BC41FE"/>
    <w:rsid w:val="18D255E8"/>
    <w:rsid w:val="18E73115"/>
    <w:rsid w:val="190A6030"/>
    <w:rsid w:val="191206D3"/>
    <w:rsid w:val="192E2BD3"/>
    <w:rsid w:val="19362545"/>
    <w:rsid w:val="197B5636"/>
    <w:rsid w:val="198D30EC"/>
    <w:rsid w:val="19E57F4B"/>
    <w:rsid w:val="1A200C49"/>
    <w:rsid w:val="1A2C7C12"/>
    <w:rsid w:val="1A382E26"/>
    <w:rsid w:val="1A3E3A1B"/>
    <w:rsid w:val="1A5C16D9"/>
    <w:rsid w:val="1A5C6D63"/>
    <w:rsid w:val="1A7636B6"/>
    <w:rsid w:val="1A7B17BE"/>
    <w:rsid w:val="1AE133EF"/>
    <w:rsid w:val="1AEF4DAE"/>
    <w:rsid w:val="1AF77FAB"/>
    <w:rsid w:val="1AFB020E"/>
    <w:rsid w:val="1B492FF3"/>
    <w:rsid w:val="1B4950A4"/>
    <w:rsid w:val="1B4978E9"/>
    <w:rsid w:val="1B556620"/>
    <w:rsid w:val="1B64285E"/>
    <w:rsid w:val="1BA324C2"/>
    <w:rsid w:val="1BA61267"/>
    <w:rsid w:val="1BAF2B44"/>
    <w:rsid w:val="1BFB746E"/>
    <w:rsid w:val="1C2663BF"/>
    <w:rsid w:val="1C36433C"/>
    <w:rsid w:val="1C376E21"/>
    <w:rsid w:val="1C607E4F"/>
    <w:rsid w:val="1C721035"/>
    <w:rsid w:val="1C887DF5"/>
    <w:rsid w:val="1C89288A"/>
    <w:rsid w:val="1CA47846"/>
    <w:rsid w:val="1CD565D5"/>
    <w:rsid w:val="1CDF6675"/>
    <w:rsid w:val="1CEF14EF"/>
    <w:rsid w:val="1CF43006"/>
    <w:rsid w:val="1CFB37EF"/>
    <w:rsid w:val="1D077570"/>
    <w:rsid w:val="1D325942"/>
    <w:rsid w:val="1D672B1F"/>
    <w:rsid w:val="1D8B3670"/>
    <w:rsid w:val="1DA73124"/>
    <w:rsid w:val="1DAE0556"/>
    <w:rsid w:val="1DB1270C"/>
    <w:rsid w:val="1DB67C12"/>
    <w:rsid w:val="1DD50B1E"/>
    <w:rsid w:val="1E060554"/>
    <w:rsid w:val="1E0F6E32"/>
    <w:rsid w:val="1E415560"/>
    <w:rsid w:val="1E5D18EA"/>
    <w:rsid w:val="1E604A81"/>
    <w:rsid w:val="1E706AC5"/>
    <w:rsid w:val="1E706D9C"/>
    <w:rsid w:val="1E71495E"/>
    <w:rsid w:val="1E841A5F"/>
    <w:rsid w:val="1EA33881"/>
    <w:rsid w:val="1EA40105"/>
    <w:rsid w:val="1EA972F9"/>
    <w:rsid w:val="1EBC7CC4"/>
    <w:rsid w:val="1EC665E8"/>
    <w:rsid w:val="1EDC6093"/>
    <w:rsid w:val="1F14468F"/>
    <w:rsid w:val="1F1F4F63"/>
    <w:rsid w:val="1F524DE1"/>
    <w:rsid w:val="1F69585D"/>
    <w:rsid w:val="1F6B38B0"/>
    <w:rsid w:val="1FB5252B"/>
    <w:rsid w:val="1FD0749B"/>
    <w:rsid w:val="1FE35ADC"/>
    <w:rsid w:val="201F4E21"/>
    <w:rsid w:val="203A5CDB"/>
    <w:rsid w:val="206823A1"/>
    <w:rsid w:val="207A43DF"/>
    <w:rsid w:val="207F6629"/>
    <w:rsid w:val="20952E68"/>
    <w:rsid w:val="20B24112"/>
    <w:rsid w:val="20CB4F5C"/>
    <w:rsid w:val="20D91DD8"/>
    <w:rsid w:val="20DD5762"/>
    <w:rsid w:val="20EE43F2"/>
    <w:rsid w:val="20F301B2"/>
    <w:rsid w:val="20F716A2"/>
    <w:rsid w:val="20F903BB"/>
    <w:rsid w:val="21011A51"/>
    <w:rsid w:val="21096B24"/>
    <w:rsid w:val="210B25F8"/>
    <w:rsid w:val="211E2099"/>
    <w:rsid w:val="2123675E"/>
    <w:rsid w:val="21442395"/>
    <w:rsid w:val="2158043E"/>
    <w:rsid w:val="21637A27"/>
    <w:rsid w:val="216C08BA"/>
    <w:rsid w:val="21A665AD"/>
    <w:rsid w:val="21B33C19"/>
    <w:rsid w:val="21BB34D8"/>
    <w:rsid w:val="21D722C1"/>
    <w:rsid w:val="21DF24FF"/>
    <w:rsid w:val="22136A87"/>
    <w:rsid w:val="222C0C93"/>
    <w:rsid w:val="224B3D5F"/>
    <w:rsid w:val="2258252F"/>
    <w:rsid w:val="225E4F1E"/>
    <w:rsid w:val="228F63A9"/>
    <w:rsid w:val="22A177E6"/>
    <w:rsid w:val="22E6677E"/>
    <w:rsid w:val="231D3794"/>
    <w:rsid w:val="233236E3"/>
    <w:rsid w:val="233B768D"/>
    <w:rsid w:val="233D3A34"/>
    <w:rsid w:val="2346752C"/>
    <w:rsid w:val="234D4FF2"/>
    <w:rsid w:val="23585DD8"/>
    <w:rsid w:val="235B4AD3"/>
    <w:rsid w:val="237D05D8"/>
    <w:rsid w:val="239B1C02"/>
    <w:rsid w:val="23AB3963"/>
    <w:rsid w:val="23BA793E"/>
    <w:rsid w:val="23D17044"/>
    <w:rsid w:val="23D172B3"/>
    <w:rsid w:val="23E40684"/>
    <w:rsid w:val="23F23381"/>
    <w:rsid w:val="2411563C"/>
    <w:rsid w:val="242447AF"/>
    <w:rsid w:val="242877DE"/>
    <w:rsid w:val="24334C53"/>
    <w:rsid w:val="24771FAD"/>
    <w:rsid w:val="24C15DE7"/>
    <w:rsid w:val="24D75451"/>
    <w:rsid w:val="24DC47FF"/>
    <w:rsid w:val="24FC2E7A"/>
    <w:rsid w:val="25005256"/>
    <w:rsid w:val="250439EF"/>
    <w:rsid w:val="25057851"/>
    <w:rsid w:val="2557729C"/>
    <w:rsid w:val="255A6A4F"/>
    <w:rsid w:val="257239B5"/>
    <w:rsid w:val="257A3E03"/>
    <w:rsid w:val="258C3DF5"/>
    <w:rsid w:val="25E1786F"/>
    <w:rsid w:val="25EB11E1"/>
    <w:rsid w:val="25F252DE"/>
    <w:rsid w:val="25F453F1"/>
    <w:rsid w:val="25F574EA"/>
    <w:rsid w:val="260B280F"/>
    <w:rsid w:val="263F3EBB"/>
    <w:rsid w:val="265D777E"/>
    <w:rsid w:val="266E1364"/>
    <w:rsid w:val="268E2249"/>
    <w:rsid w:val="26A67D94"/>
    <w:rsid w:val="26C52C94"/>
    <w:rsid w:val="26E51871"/>
    <w:rsid w:val="26EC52C4"/>
    <w:rsid w:val="26FD1062"/>
    <w:rsid w:val="27224B0F"/>
    <w:rsid w:val="272F1E9F"/>
    <w:rsid w:val="274E1A68"/>
    <w:rsid w:val="2764417B"/>
    <w:rsid w:val="27795A37"/>
    <w:rsid w:val="278476CC"/>
    <w:rsid w:val="27F710A0"/>
    <w:rsid w:val="282E0D0A"/>
    <w:rsid w:val="283659E1"/>
    <w:rsid w:val="284F7247"/>
    <w:rsid w:val="2854115A"/>
    <w:rsid w:val="286744CD"/>
    <w:rsid w:val="287B2854"/>
    <w:rsid w:val="2887096F"/>
    <w:rsid w:val="28891A68"/>
    <w:rsid w:val="28AF083C"/>
    <w:rsid w:val="28B0142C"/>
    <w:rsid w:val="28B031C4"/>
    <w:rsid w:val="28B813D8"/>
    <w:rsid w:val="28C05393"/>
    <w:rsid w:val="28C15F16"/>
    <w:rsid w:val="28C8217E"/>
    <w:rsid w:val="28D13A25"/>
    <w:rsid w:val="28E23AA6"/>
    <w:rsid w:val="291433AE"/>
    <w:rsid w:val="292274D8"/>
    <w:rsid w:val="29432A42"/>
    <w:rsid w:val="294F62D4"/>
    <w:rsid w:val="2976043F"/>
    <w:rsid w:val="29834CA6"/>
    <w:rsid w:val="298429E5"/>
    <w:rsid w:val="29AA7F26"/>
    <w:rsid w:val="29B710E8"/>
    <w:rsid w:val="29D250A3"/>
    <w:rsid w:val="29D97152"/>
    <w:rsid w:val="29EA6773"/>
    <w:rsid w:val="2A2622F9"/>
    <w:rsid w:val="2A2E7A7E"/>
    <w:rsid w:val="2A4735A8"/>
    <w:rsid w:val="2A5F40B6"/>
    <w:rsid w:val="2A657682"/>
    <w:rsid w:val="2ACC3142"/>
    <w:rsid w:val="2B1A174A"/>
    <w:rsid w:val="2B332625"/>
    <w:rsid w:val="2B565E56"/>
    <w:rsid w:val="2B7865F9"/>
    <w:rsid w:val="2B8C374E"/>
    <w:rsid w:val="2B8F46B6"/>
    <w:rsid w:val="2B991DFF"/>
    <w:rsid w:val="2BF24C23"/>
    <w:rsid w:val="2BFC6B25"/>
    <w:rsid w:val="2C3415D0"/>
    <w:rsid w:val="2C421FD2"/>
    <w:rsid w:val="2C6B4093"/>
    <w:rsid w:val="2C997AF3"/>
    <w:rsid w:val="2C997CDE"/>
    <w:rsid w:val="2C9E14E5"/>
    <w:rsid w:val="2CD25FF8"/>
    <w:rsid w:val="2CF3392B"/>
    <w:rsid w:val="2D377655"/>
    <w:rsid w:val="2D403484"/>
    <w:rsid w:val="2D651E34"/>
    <w:rsid w:val="2DAB5DC1"/>
    <w:rsid w:val="2DF14475"/>
    <w:rsid w:val="2DF83CAE"/>
    <w:rsid w:val="2E1036F7"/>
    <w:rsid w:val="2E2F76FC"/>
    <w:rsid w:val="2E3B3187"/>
    <w:rsid w:val="2E422DCC"/>
    <w:rsid w:val="2E66613F"/>
    <w:rsid w:val="2E754540"/>
    <w:rsid w:val="2E905186"/>
    <w:rsid w:val="2ED2330B"/>
    <w:rsid w:val="2EDC447A"/>
    <w:rsid w:val="2EE5733A"/>
    <w:rsid w:val="2EEE11AC"/>
    <w:rsid w:val="2EFE35E8"/>
    <w:rsid w:val="2F315682"/>
    <w:rsid w:val="2F4E6128"/>
    <w:rsid w:val="2F593497"/>
    <w:rsid w:val="2F80221D"/>
    <w:rsid w:val="2FA6202F"/>
    <w:rsid w:val="2FC20D6A"/>
    <w:rsid w:val="2FDB47FA"/>
    <w:rsid w:val="303F08C7"/>
    <w:rsid w:val="30412492"/>
    <w:rsid w:val="304704C5"/>
    <w:rsid w:val="30615FED"/>
    <w:rsid w:val="309713C6"/>
    <w:rsid w:val="30A232E4"/>
    <w:rsid w:val="30C50C66"/>
    <w:rsid w:val="30EC7A7E"/>
    <w:rsid w:val="30ED1711"/>
    <w:rsid w:val="31167200"/>
    <w:rsid w:val="312C69BA"/>
    <w:rsid w:val="31393DCB"/>
    <w:rsid w:val="31636DC3"/>
    <w:rsid w:val="316A224B"/>
    <w:rsid w:val="316D2854"/>
    <w:rsid w:val="31712EBC"/>
    <w:rsid w:val="317D5FB6"/>
    <w:rsid w:val="318C7F04"/>
    <w:rsid w:val="319C5AA7"/>
    <w:rsid w:val="319F465C"/>
    <w:rsid w:val="31C32FA3"/>
    <w:rsid w:val="31CD468B"/>
    <w:rsid w:val="31D91BE1"/>
    <w:rsid w:val="31E60856"/>
    <w:rsid w:val="31EA35E8"/>
    <w:rsid w:val="322C0610"/>
    <w:rsid w:val="322E1BFD"/>
    <w:rsid w:val="323A3E96"/>
    <w:rsid w:val="323E22F7"/>
    <w:rsid w:val="32A5173A"/>
    <w:rsid w:val="32BB148C"/>
    <w:rsid w:val="32BB6217"/>
    <w:rsid w:val="33291ACF"/>
    <w:rsid w:val="333D7CDA"/>
    <w:rsid w:val="336C20F6"/>
    <w:rsid w:val="337D6DD6"/>
    <w:rsid w:val="339670C9"/>
    <w:rsid w:val="339B1966"/>
    <w:rsid w:val="33A23507"/>
    <w:rsid w:val="33C1178D"/>
    <w:rsid w:val="33CD5CBF"/>
    <w:rsid w:val="33CF6A93"/>
    <w:rsid w:val="33D52CF0"/>
    <w:rsid w:val="33E3198C"/>
    <w:rsid w:val="33F352AE"/>
    <w:rsid w:val="341663D8"/>
    <w:rsid w:val="34226D15"/>
    <w:rsid w:val="34491953"/>
    <w:rsid w:val="344F1FA8"/>
    <w:rsid w:val="345721E6"/>
    <w:rsid w:val="34751483"/>
    <w:rsid w:val="34B44B7E"/>
    <w:rsid w:val="34B6606F"/>
    <w:rsid w:val="34F64668"/>
    <w:rsid w:val="35056F41"/>
    <w:rsid w:val="350A4AD0"/>
    <w:rsid w:val="350C6601"/>
    <w:rsid w:val="350F0702"/>
    <w:rsid w:val="351763B4"/>
    <w:rsid w:val="35537C83"/>
    <w:rsid w:val="35A873D1"/>
    <w:rsid w:val="35C76FEA"/>
    <w:rsid w:val="35F42B4E"/>
    <w:rsid w:val="36312097"/>
    <w:rsid w:val="36440AAB"/>
    <w:rsid w:val="36460B81"/>
    <w:rsid w:val="36495886"/>
    <w:rsid w:val="36637A63"/>
    <w:rsid w:val="367F4F73"/>
    <w:rsid w:val="3698772A"/>
    <w:rsid w:val="36DF1B09"/>
    <w:rsid w:val="36F5558D"/>
    <w:rsid w:val="36FA75CB"/>
    <w:rsid w:val="36FE69CC"/>
    <w:rsid w:val="37077031"/>
    <w:rsid w:val="370A446C"/>
    <w:rsid w:val="37186290"/>
    <w:rsid w:val="371F5514"/>
    <w:rsid w:val="37236D14"/>
    <w:rsid w:val="374A1271"/>
    <w:rsid w:val="376806DB"/>
    <w:rsid w:val="37846EE5"/>
    <w:rsid w:val="379461DF"/>
    <w:rsid w:val="379C5527"/>
    <w:rsid w:val="379F25AA"/>
    <w:rsid w:val="37B7331B"/>
    <w:rsid w:val="37BE432D"/>
    <w:rsid w:val="37C0269B"/>
    <w:rsid w:val="37C20289"/>
    <w:rsid w:val="37CC113C"/>
    <w:rsid w:val="37D93D9B"/>
    <w:rsid w:val="37DD3769"/>
    <w:rsid w:val="37FE4685"/>
    <w:rsid w:val="37FF250D"/>
    <w:rsid w:val="38316343"/>
    <w:rsid w:val="38540962"/>
    <w:rsid w:val="38727B02"/>
    <w:rsid w:val="38812AD7"/>
    <w:rsid w:val="389F5CD8"/>
    <w:rsid w:val="38A90F03"/>
    <w:rsid w:val="38AA6BDA"/>
    <w:rsid w:val="38B279EB"/>
    <w:rsid w:val="38B82AF5"/>
    <w:rsid w:val="38C7204D"/>
    <w:rsid w:val="38EA6C83"/>
    <w:rsid w:val="392B1828"/>
    <w:rsid w:val="394D58E5"/>
    <w:rsid w:val="39933B19"/>
    <w:rsid w:val="39A33CED"/>
    <w:rsid w:val="39B63F14"/>
    <w:rsid w:val="39BB11C0"/>
    <w:rsid w:val="39ED5AEC"/>
    <w:rsid w:val="39F25C1A"/>
    <w:rsid w:val="3A2B463D"/>
    <w:rsid w:val="3A386A14"/>
    <w:rsid w:val="3A3C0A2C"/>
    <w:rsid w:val="3A453174"/>
    <w:rsid w:val="3A5133D0"/>
    <w:rsid w:val="3A52381C"/>
    <w:rsid w:val="3A58654F"/>
    <w:rsid w:val="3A687E26"/>
    <w:rsid w:val="3A8322BE"/>
    <w:rsid w:val="3AC7728A"/>
    <w:rsid w:val="3ACB380C"/>
    <w:rsid w:val="3ADA3E24"/>
    <w:rsid w:val="3AF6205F"/>
    <w:rsid w:val="3B050D2B"/>
    <w:rsid w:val="3B063AE5"/>
    <w:rsid w:val="3B1D2FE9"/>
    <w:rsid w:val="3B1F566C"/>
    <w:rsid w:val="3B265D2B"/>
    <w:rsid w:val="3B497D60"/>
    <w:rsid w:val="3B4D0406"/>
    <w:rsid w:val="3B4F3729"/>
    <w:rsid w:val="3B5C1C29"/>
    <w:rsid w:val="3B716F78"/>
    <w:rsid w:val="3B8725C8"/>
    <w:rsid w:val="3BB54638"/>
    <w:rsid w:val="3BD62991"/>
    <w:rsid w:val="3BD95935"/>
    <w:rsid w:val="3BF34A5A"/>
    <w:rsid w:val="3BF75334"/>
    <w:rsid w:val="3C2A50F0"/>
    <w:rsid w:val="3C2B11E4"/>
    <w:rsid w:val="3C40286C"/>
    <w:rsid w:val="3C4373C4"/>
    <w:rsid w:val="3C7D3321"/>
    <w:rsid w:val="3C9508B9"/>
    <w:rsid w:val="3CBE1861"/>
    <w:rsid w:val="3CD06F1D"/>
    <w:rsid w:val="3CD9405C"/>
    <w:rsid w:val="3CDB019A"/>
    <w:rsid w:val="3CE83CA8"/>
    <w:rsid w:val="3CF672F5"/>
    <w:rsid w:val="3D11065F"/>
    <w:rsid w:val="3D14219F"/>
    <w:rsid w:val="3D32517E"/>
    <w:rsid w:val="3D5B4B1B"/>
    <w:rsid w:val="3D7778E1"/>
    <w:rsid w:val="3DD64A42"/>
    <w:rsid w:val="3DFF7691"/>
    <w:rsid w:val="3E21293C"/>
    <w:rsid w:val="3E6A644A"/>
    <w:rsid w:val="3E711D4C"/>
    <w:rsid w:val="3E83250B"/>
    <w:rsid w:val="3E861F2A"/>
    <w:rsid w:val="3E865C72"/>
    <w:rsid w:val="3E920965"/>
    <w:rsid w:val="3E92378D"/>
    <w:rsid w:val="3EC57D85"/>
    <w:rsid w:val="3ED81093"/>
    <w:rsid w:val="3EF76DEB"/>
    <w:rsid w:val="3F147322"/>
    <w:rsid w:val="3F1B7BDA"/>
    <w:rsid w:val="3F4F53D8"/>
    <w:rsid w:val="3F532D8A"/>
    <w:rsid w:val="3F7561FB"/>
    <w:rsid w:val="3F8175A9"/>
    <w:rsid w:val="3F9110FB"/>
    <w:rsid w:val="3F970AC9"/>
    <w:rsid w:val="3F983970"/>
    <w:rsid w:val="3FA04C1F"/>
    <w:rsid w:val="3FAB3EF2"/>
    <w:rsid w:val="3FB74B79"/>
    <w:rsid w:val="3FB97FE1"/>
    <w:rsid w:val="3FC62C11"/>
    <w:rsid w:val="3FE10133"/>
    <w:rsid w:val="3FF03FC2"/>
    <w:rsid w:val="400F586A"/>
    <w:rsid w:val="40225FCC"/>
    <w:rsid w:val="402C43AB"/>
    <w:rsid w:val="402D0F85"/>
    <w:rsid w:val="4031573F"/>
    <w:rsid w:val="403645F3"/>
    <w:rsid w:val="40491F46"/>
    <w:rsid w:val="40A86353"/>
    <w:rsid w:val="40CC47B9"/>
    <w:rsid w:val="40D25BC3"/>
    <w:rsid w:val="40E41DEF"/>
    <w:rsid w:val="40F17FA1"/>
    <w:rsid w:val="40F2485A"/>
    <w:rsid w:val="40FC47E1"/>
    <w:rsid w:val="41345493"/>
    <w:rsid w:val="4138297C"/>
    <w:rsid w:val="41656A44"/>
    <w:rsid w:val="4188317F"/>
    <w:rsid w:val="41924FB9"/>
    <w:rsid w:val="41B34DF1"/>
    <w:rsid w:val="41BB0480"/>
    <w:rsid w:val="41BF708C"/>
    <w:rsid w:val="42041BE8"/>
    <w:rsid w:val="42097713"/>
    <w:rsid w:val="420D42E6"/>
    <w:rsid w:val="42186FAF"/>
    <w:rsid w:val="42436B6D"/>
    <w:rsid w:val="42635B8E"/>
    <w:rsid w:val="428136B5"/>
    <w:rsid w:val="42BB2A5D"/>
    <w:rsid w:val="42CB6444"/>
    <w:rsid w:val="42F27836"/>
    <w:rsid w:val="430A6E5A"/>
    <w:rsid w:val="4330416F"/>
    <w:rsid w:val="433E2AAC"/>
    <w:rsid w:val="434F7A62"/>
    <w:rsid w:val="436752A6"/>
    <w:rsid w:val="43804E58"/>
    <w:rsid w:val="43843FDD"/>
    <w:rsid w:val="439F0E69"/>
    <w:rsid w:val="43D7406A"/>
    <w:rsid w:val="43DC5799"/>
    <w:rsid w:val="43F42B17"/>
    <w:rsid w:val="43FD5278"/>
    <w:rsid w:val="441A3D23"/>
    <w:rsid w:val="441E1F6C"/>
    <w:rsid w:val="44284DFE"/>
    <w:rsid w:val="442E3C85"/>
    <w:rsid w:val="443B29FC"/>
    <w:rsid w:val="443B4DCB"/>
    <w:rsid w:val="443D5D23"/>
    <w:rsid w:val="4464327A"/>
    <w:rsid w:val="446A3FBF"/>
    <w:rsid w:val="44D8473A"/>
    <w:rsid w:val="44E37827"/>
    <w:rsid w:val="44E701A5"/>
    <w:rsid w:val="45080D22"/>
    <w:rsid w:val="450E74EC"/>
    <w:rsid w:val="45265484"/>
    <w:rsid w:val="452D74E0"/>
    <w:rsid w:val="45396AC7"/>
    <w:rsid w:val="457C4123"/>
    <w:rsid w:val="45855844"/>
    <w:rsid w:val="458B69F6"/>
    <w:rsid w:val="45A647C9"/>
    <w:rsid w:val="45C943D0"/>
    <w:rsid w:val="45DA6D30"/>
    <w:rsid w:val="45DE14B8"/>
    <w:rsid w:val="463842DE"/>
    <w:rsid w:val="46386E53"/>
    <w:rsid w:val="4639036D"/>
    <w:rsid w:val="463A05A5"/>
    <w:rsid w:val="463A5557"/>
    <w:rsid w:val="46460291"/>
    <w:rsid w:val="464A0A81"/>
    <w:rsid w:val="46625A9D"/>
    <w:rsid w:val="4666004F"/>
    <w:rsid w:val="469506DA"/>
    <w:rsid w:val="469B1818"/>
    <w:rsid w:val="46A9385A"/>
    <w:rsid w:val="46CA4E0D"/>
    <w:rsid w:val="470B23CA"/>
    <w:rsid w:val="472762D3"/>
    <w:rsid w:val="47454177"/>
    <w:rsid w:val="474F15D8"/>
    <w:rsid w:val="4754049B"/>
    <w:rsid w:val="475E7C0D"/>
    <w:rsid w:val="476415D8"/>
    <w:rsid w:val="47701558"/>
    <w:rsid w:val="477426A5"/>
    <w:rsid w:val="47873BD6"/>
    <w:rsid w:val="47B2336A"/>
    <w:rsid w:val="47BA4F6E"/>
    <w:rsid w:val="47D7366E"/>
    <w:rsid w:val="47E12DA0"/>
    <w:rsid w:val="47F243FC"/>
    <w:rsid w:val="483B158F"/>
    <w:rsid w:val="484653A1"/>
    <w:rsid w:val="486C3D94"/>
    <w:rsid w:val="48A226AD"/>
    <w:rsid w:val="48B2699F"/>
    <w:rsid w:val="48B67D8D"/>
    <w:rsid w:val="48C260C0"/>
    <w:rsid w:val="4902628A"/>
    <w:rsid w:val="490B2882"/>
    <w:rsid w:val="492412C0"/>
    <w:rsid w:val="494E7D53"/>
    <w:rsid w:val="4988006D"/>
    <w:rsid w:val="499646A6"/>
    <w:rsid w:val="499F4D25"/>
    <w:rsid w:val="49B26E0D"/>
    <w:rsid w:val="49BB06FB"/>
    <w:rsid w:val="49BC2A68"/>
    <w:rsid w:val="49F04BCB"/>
    <w:rsid w:val="49FD451C"/>
    <w:rsid w:val="4A152F65"/>
    <w:rsid w:val="4A3E0914"/>
    <w:rsid w:val="4A3F1207"/>
    <w:rsid w:val="4A57472F"/>
    <w:rsid w:val="4A715E3D"/>
    <w:rsid w:val="4AB72982"/>
    <w:rsid w:val="4B1B2082"/>
    <w:rsid w:val="4B635F8B"/>
    <w:rsid w:val="4B65032C"/>
    <w:rsid w:val="4B712A43"/>
    <w:rsid w:val="4B82202B"/>
    <w:rsid w:val="4BB61578"/>
    <w:rsid w:val="4BBE1692"/>
    <w:rsid w:val="4BCA0C2B"/>
    <w:rsid w:val="4BD65A7B"/>
    <w:rsid w:val="4BE106C3"/>
    <w:rsid w:val="4C0B49E3"/>
    <w:rsid w:val="4C180EC0"/>
    <w:rsid w:val="4C696745"/>
    <w:rsid w:val="4C737423"/>
    <w:rsid w:val="4C987A51"/>
    <w:rsid w:val="4C993ABE"/>
    <w:rsid w:val="4CAA2DCE"/>
    <w:rsid w:val="4CB96EE9"/>
    <w:rsid w:val="4CD66C96"/>
    <w:rsid w:val="4CDC5A3B"/>
    <w:rsid w:val="4CDF0E5D"/>
    <w:rsid w:val="4CE376D5"/>
    <w:rsid w:val="4D0432FE"/>
    <w:rsid w:val="4D0D3FCB"/>
    <w:rsid w:val="4D3366B5"/>
    <w:rsid w:val="4D547564"/>
    <w:rsid w:val="4D6C65CD"/>
    <w:rsid w:val="4D8217BA"/>
    <w:rsid w:val="4D9C1BB4"/>
    <w:rsid w:val="4DC65A69"/>
    <w:rsid w:val="4DF4626D"/>
    <w:rsid w:val="4DFC20A2"/>
    <w:rsid w:val="4DFF1B97"/>
    <w:rsid w:val="4DFF2684"/>
    <w:rsid w:val="4E020B1B"/>
    <w:rsid w:val="4E043535"/>
    <w:rsid w:val="4E1362FB"/>
    <w:rsid w:val="4E25360E"/>
    <w:rsid w:val="4E2719FC"/>
    <w:rsid w:val="4E5E12F1"/>
    <w:rsid w:val="4E62045F"/>
    <w:rsid w:val="4E783F31"/>
    <w:rsid w:val="4E900C47"/>
    <w:rsid w:val="4EAC689C"/>
    <w:rsid w:val="4EB25AA5"/>
    <w:rsid w:val="4EDD2691"/>
    <w:rsid w:val="4EF911E3"/>
    <w:rsid w:val="4EF94046"/>
    <w:rsid w:val="4F0048E8"/>
    <w:rsid w:val="4F0C760F"/>
    <w:rsid w:val="4F15188C"/>
    <w:rsid w:val="4F1C48C2"/>
    <w:rsid w:val="4F255836"/>
    <w:rsid w:val="4F29165C"/>
    <w:rsid w:val="4F3F24FD"/>
    <w:rsid w:val="4F4F67C3"/>
    <w:rsid w:val="4F580453"/>
    <w:rsid w:val="4F647CAE"/>
    <w:rsid w:val="4F7F4759"/>
    <w:rsid w:val="4F8A3560"/>
    <w:rsid w:val="4F8A6E9D"/>
    <w:rsid w:val="4FA00EA1"/>
    <w:rsid w:val="4FA7410F"/>
    <w:rsid w:val="4FB10DBD"/>
    <w:rsid w:val="4FD02150"/>
    <w:rsid w:val="4FD47514"/>
    <w:rsid w:val="4FDC31A9"/>
    <w:rsid w:val="4FE15CB0"/>
    <w:rsid w:val="4FF525AA"/>
    <w:rsid w:val="4FF63DCE"/>
    <w:rsid w:val="500A5543"/>
    <w:rsid w:val="501D01A2"/>
    <w:rsid w:val="501D19C7"/>
    <w:rsid w:val="50372FFC"/>
    <w:rsid w:val="50381A05"/>
    <w:rsid w:val="504305E6"/>
    <w:rsid w:val="504C6018"/>
    <w:rsid w:val="50500C93"/>
    <w:rsid w:val="506E1264"/>
    <w:rsid w:val="508B7406"/>
    <w:rsid w:val="509F73B0"/>
    <w:rsid w:val="50B26A6B"/>
    <w:rsid w:val="50C20F4E"/>
    <w:rsid w:val="50D40C4B"/>
    <w:rsid w:val="50E46F54"/>
    <w:rsid w:val="50F515F4"/>
    <w:rsid w:val="5144267E"/>
    <w:rsid w:val="514D07CA"/>
    <w:rsid w:val="51604849"/>
    <w:rsid w:val="51747844"/>
    <w:rsid w:val="51777F08"/>
    <w:rsid w:val="51912DDA"/>
    <w:rsid w:val="51AB47E1"/>
    <w:rsid w:val="51B047FE"/>
    <w:rsid w:val="51B204B9"/>
    <w:rsid w:val="51B56296"/>
    <w:rsid w:val="51C72834"/>
    <w:rsid w:val="51E74EF3"/>
    <w:rsid w:val="520C2961"/>
    <w:rsid w:val="522F500B"/>
    <w:rsid w:val="523852D6"/>
    <w:rsid w:val="523E768F"/>
    <w:rsid w:val="5242577E"/>
    <w:rsid w:val="527076ED"/>
    <w:rsid w:val="52783884"/>
    <w:rsid w:val="52AC28BC"/>
    <w:rsid w:val="52B05067"/>
    <w:rsid w:val="52CC23E6"/>
    <w:rsid w:val="52D7787C"/>
    <w:rsid w:val="52E07238"/>
    <w:rsid w:val="52EA11D5"/>
    <w:rsid w:val="5306390C"/>
    <w:rsid w:val="5329120F"/>
    <w:rsid w:val="536F68C7"/>
    <w:rsid w:val="5382736B"/>
    <w:rsid w:val="539E491F"/>
    <w:rsid w:val="53B24EEA"/>
    <w:rsid w:val="53B97E84"/>
    <w:rsid w:val="53BF4F14"/>
    <w:rsid w:val="53C72845"/>
    <w:rsid w:val="53CA6414"/>
    <w:rsid w:val="53D00E36"/>
    <w:rsid w:val="53D31D47"/>
    <w:rsid w:val="53DD499C"/>
    <w:rsid w:val="53EF09CA"/>
    <w:rsid w:val="53F014B1"/>
    <w:rsid w:val="5408182A"/>
    <w:rsid w:val="54125F57"/>
    <w:rsid w:val="54187343"/>
    <w:rsid w:val="541C31AF"/>
    <w:rsid w:val="5420466B"/>
    <w:rsid w:val="5433414C"/>
    <w:rsid w:val="54465F20"/>
    <w:rsid w:val="545D4199"/>
    <w:rsid w:val="54831B18"/>
    <w:rsid w:val="549502FD"/>
    <w:rsid w:val="54AB09A6"/>
    <w:rsid w:val="54AF20D4"/>
    <w:rsid w:val="54B72A99"/>
    <w:rsid w:val="54BC49A0"/>
    <w:rsid w:val="54EE39DB"/>
    <w:rsid w:val="54F00CE8"/>
    <w:rsid w:val="55022976"/>
    <w:rsid w:val="551C096F"/>
    <w:rsid w:val="55240097"/>
    <w:rsid w:val="552B4870"/>
    <w:rsid w:val="552C3D46"/>
    <w:rsid w:val="554D13EE"/>
    <w:rsid w:val="55730ADB"/>
    <w:rsid w:val="55816000"/>
    <w:rsid w:val="559341A6"/>
    <w:rsid w:val="55C57ADE"/>
    <w:rsid w:val="55CE22F2"/>
    <w:rsid w:val="56160365"/>
    <w:rsid w:val="561717F3"/>
    <w:rsid w:val="566E6821"/>
    <w:rsid w:val="56DD747D"/>
    <w:rsid w:val="56EE039D"/>
    <w:rsid w:val="56F96728"/>
    <w:rsid w:val="571F273F"/>
    <w:rsid w:val="572F7A73"/>
    <w:rsid w:val="575B3A04"/>
    <w:rsid w:val="575B5634"/>
    <w:rsid w:val="575D7EC0"/>
    <w:rsid w:val="576015AA"/>
    <w:rsid w:val="576138FC"/>
    <w:rsid w:val="576A3886"/>
    <w:rsid w:val="578736CD"/>
    <w:rsid w:val="578739BB"/>
    <w:rsid w:val="57893C0F"/>
    <w:rsid w:val="5798256F"/>
    <w:rsid w:val="579840C7"/>
    <w:rsid w:val="57C2221D"/>
    <w:rsid w:val="57E1536E"/>
    <w:rsid w:val="57F0306C"/>
    <w:rsid w:val="57FD673B"/>
    <w:rsid w:val="583A7FA8"/>
    <w:rsid w:val="58544955"/>
    <w:rsid w:val="58566AE7"/>
    <w:rsid w:val="585962B5"/>
    <w:rsid w:val="585F5B75"/>
    <w:rsid w:val="587A4269"/>
    <w:rsid w:val="589A5A5F"/>
    <w:rsid w:val="58B94375"/>
    <w:rsid w:val="58BA4A70"/>
    <w:rsid w:val="5902444F"/>
    <w:rsid w:val="591B5CBF"/>
    <w:rsid w:val="5927514C"/>
    <w:rsid w:val="594F3C5E"/>
    <w:rsid w:val="594F610B"/>
    <w:rsid w:val="59600EE5"/>
    <w:rsid w:val="59633BAD"/>
    <w:rsid w:val="59634BDC"/>
    <w:rsid w:val="59941B20"/>
    <w:rsid w:val="599A4004"/>
    <w:rsid w:val="599B086D"/>
    <w:rsid w:val="59B927ED"/>
    <w:rsid w:val="59BF5C8E"/>
    <w:rsid w:val="59D97EC2"/>
    <w:rsid w:val="59E24823"/>
    <w:rsid w:val="59E27409"/>
    <w:rsid w:val="59E52BA1"/>
    <w:rsid w:val="59ED36DC"/>
    <w:rsid w:val="59FC781F"/>
    <w:rsid w:val="5A3526A3"/>
    <w:rsid w:val="5A370571"/>
    <w:rsid w:val="5A4E41C1"/>
    <w:rsid w:val="5A6210CC"/>
    <w:rsid w:val="5A7348C9"/>
    <w:rsid w:val="5A7521D8"/>
    <w:rsid w:val="5A7E7218"/>
    <w:rsid w:val="5A9725BE"/>
    <w:rsid w:val="5AC76508"/>
    <w:rsid w:val="5AD45AFB"/>
    <w:rsid w:val="5AFC1624"/>
    <w:rsid w:val="5B095493"/>
    <w:rsid w:val="5B115BA8"/>
    <w:rsid w:val="5B235AE9"/>
    <w:rsid w:val="5B246A53"/>
    <w:rsid w:val="5B416E74"/>
    <w:rsid w:val="5B437EA2"/>
    <w:rsid w:val="5B534ED1"/>
    <w:rsid w:val="5B8859A0"/>
    <w:rsid w:val="5B9F7743"/>
    <w:rsid w:val="5BB522B5"/>
    <w:rsid w:val="5BBA4618"/>
    <w:rsid w:val="5BF250F3"/>
    <w:rsid w:val="5BF84DDB"/>
    <w:rsid w:val="5C111338"/>
    <w:rsid w:val="5C691941"/>
    <w:rsid w:val="5C7919DF"/>
    <w:rsid w:val="5CAA3741"/>
    <w:rsid w:val="5CB35D47"/>
    <w:rsid w:val="5CC85C68"/>
    <w:rsid w:val="5CEC3A93"/>
    <w:rsid w:val="5CEF405D"/>
    <w:rsid w:val="5CFE5040"/>
    <w:rsid w:val="5D1341B2"/>
    <w:rsid w:val="5D251093"/>
    <w:rsid w:val="5D287B54"/>
    <w:rsid w:val="5D3047D1"/>
    <w:rsid w:val="5D3F0ED4"/>
    <w:rsid w:val="5D494018"/>
    <w:rsid w:val="5D6B14A2"/>
    <w:rsid w:val="5D9B0E6A"/>
    <w:rsid w:val="5D9E1AED"/>
    <w:rsid w:val="5D9E4E16"/>
    <w:rsid w:val="5DBA0135"/>
    <w:rsid w:val="5DCD5DE5"/>
    <w:rsid w:val="5DD437EF"/>
    <w:rsid w:val="5DF16302"/>
    <w:rsid w:val="5DFF4B46"/>
    <w:rsid w:val="5E3B0A10"/>
    <w:rsid w:val="5E424B71"/>
    <w:rsid w:val="5E881A80"/>
    <w:rsid w:val="5EB51AB3"/>
    <w:rsid w:val="5EC33621"/>
    <w:rsid w:val="5EF31C67"/>
    <w:rsid w:val="5EF4004E"/>
    <w:rsid w:val="5EFA106E"/>
    <w:rsid w:val="5EFF06CD"/>
    <w:rsid w:val="5F010576"/>
    <w:rsid w:val="5F0251FA"/>
    <w:rsid w:val="5F4475AE"/>
    <w:rsid w:val="5F4A6799"/>
    <w:rsid w:val="5F6C2424"/>
    <w:rsid w:val="5F946A7C"/>
    <w:rsid w:val="5FB14E62"/>
    <w:rsid w:val="5FBA79B0"/>
    <w:rsid w:val="5FBB761D"/>
    <w:rsid w:val="5FC61813"/>
    <w:rsid w:val="5FD57CF6"/>
    <w:rsid w:val="5FF50EAD"/>
    <w:rsid w:val="600676E3"/>
    <w:rsid w:val="601C5687"/>
    <w:rsid w:val="602B7B91"/>
    <w:rsid w:val="60391C4C"/>
    <w:rsid w:val="603B021E"/>
    <w:rsid w:val="604408E9"/>
    <w:rsid w:val="60584683"/>
    <w:rsid w:val="606F768E"/>
    <w:rsid w:val="608A1228"/>
    <w:rsid w:val="608D00E3"/>
    <w:rsid w:val="60992490"/>
    <w:rsid w:val="60A1419A"/>
    <w:rsid w:val="60A43A47"/>
    <w:rsid w:val="60C33C2B"/>
    <w:rsid w:val="60CB2C3E"/>
    <w:rsid w:val="60E97ACC"/>
    <w:rsid w:val="61160E7E"/>
    <w:rsid w:val="61311E12"/>
    <w:rsid w:val="61637659"/>
    <w:rsid w:val="617C570B"/>
    <w:rsid w:val="61853804"/>
    <w:rsid w:val="619B53CA"/>
    <w:rsid w:val="61A56DFA"/>
    <w:rsid w:val="61EB5F1D"/>
    <w:rsid w:val="62024D7E"/>
    <w:rsid w:val="621B5631"/>
    <w:rsid w:val="626D5F91"/>
    <w:rsid w:val="627E7D9D"/>
    <w:rsid w:val="628407FE"/>
    <w:rsid w:val="62880405"/>
    <w:rsid w:val="629073C4"/>
    <w:rsid w:val="62996318"/>
    <w:rsid w:val="62AA6D2C"/>
    <w:rsid w:val="62B0179B"/>
    <w:rsid w:val="62CC094F"/>
    <w:rsid w:val="62ED7643"/>
    <w:rsid w:val="62F95075"/>
    <w:rsid w:val="630334E9"/>
    <w:rsid w:val="63242B23"/>
    <w:rsid w:val="635C73A1"/>
    <w:rsid w:val="63621540"/>
    <w:rsid w:val="63743838"/>
    <w:rsid w:val="637455EF"/>
    <w:rsid w:val="637509AF"/>
    <w:rsid w:val="63A23228"/>
    <w:rsid w:val="63AB5D44"/>
    <w:rsid w:val="63B04CF8"/>
    <w:rsid w:val="63BA7188"/>
    <w:rsid w:val="63CC5A62"/>
    <w:rsid w:val="63DF59C2"/>
    <w:rsid w:val="63E6136F"/>
    <w:rsid w:val="63EA625B"/>
    <w:rsid w:val="63FC6F31"/>
    <w:rsid w:val="642E4F72"/>
    <w:rsid w:val="646469D4"/>
    <w:rsid w:val="64765F4C"/>
    <w:rsid w:val="647A419D"/>
    <w:rsid w:val="64846083"/>
    <w:rsid w:val="64851089"/>
    <w:rsid w:val="64983CC9"/>
    <w:rsid w:val="64B109D5"/>
    <w:rsid w:val="64D61F20"/>
    <w:rsid w:val="64E43E7F"/>
    <w:rsid w:val="64FE5C71"/>
    <w:rsid w:val="65107E36"/>
    <w:rsid w:val="654E476E"/>
    <w:rsid w:val="657B11CD"/>
    <w:rsid w:val="658A6BCD"/>
    <w:rsid w:val="659D0782"/>
    <w:rsid w:val="659D7C90"/>
    <w:rsid w:val="65A66EFD"/>
    <w:rsid w:val="65B300B5"/>
    <w:rsid w:val="65B73F0F"/>
    <w:rsid w:val="65D04EEB"/>
    <w:rsid w:val="65D424B9"/>
    <w:rsid w:val="66001BA4"/>
    <w:rsid w:val="66025947"/>
    <w:rsid w:val="663C7469"/>
    <w:rsid w:val="668A41F2"/>
    <w:rsid w:val="66965CDC"/>
    <w:rsid w:val="66B8269C"/>
    <w:rsid w:val="66DA6749"/>
    <w:rsid w:val="67051D14"/>
    <w:rsid w:val="671D46C8"/>
    <w:rsid w:val="671F22A3"/>
    <w:rsid w:val="67291A35"/>
    <w:rsid w:val="673669FF"/>
    <w:rsid w:val="67393CB7"/>
    <w:rsid w:val="673C6439"/>
    <w:rsid w:val="676A0B2B"/>
    <w:rsid w:val="676C3006"/>
    <w:rsid w:val="67827A7F"/>
    <w:rsid w:val="67A667D3"/>
    <w:rsid w:val="67A74C82"/>
    <w:rsid w:val="67A95111"/>
    <w:rsid w:val="67C365BF"/>
    <w:rsid w:val="67D8341E"/>
    <w:rsid w:val="67E46FF5"/>
    <w:rsid w:val="67ED6C16"/>
    <w:rsid w:val="680A6C82"/>
    <w:rsid w:val="6824034C"/>
    <w:rsid w:val="683E3347"/>
    <w:rsid w:val="6843364C"/>
    <w:rsid w:val="685E57CE"/>
    <w:rsid w:val="685F4AA0"/>
    <w:rsid w:val="68623D3F"/>
    <w:rsid w:val="686C7E0A"/>
    <w:rsid w:val="68757042"/>
    <w:rsid w:val="687D6111"/>
    <w:rsid w:val="6886166B"/>
    <w:rsid w:val="68954A3C"/>
    <w:rsid w:val="689B0DF8"/>
    <w:rsid w:val="68B5096E"/>
    <w:rsid w:val="68CC10BC"/>
    <w:rsid w:val="68F44B09"/>
    <w:rsid w:val="68FA1B9A"/>
    <w:rsid w:val="694E046E"/>
    <w:rsid w:val="69652D27"/>
    <w:rsid w:val="696A42A3"/>
    <w:rsid w:val="69952A0C"/>
    <w:rsid w:val="699A1218"/>
    <w:rsid w:val="699B4BDB"/>
    <w:rsid w:val="69A51678"/>
    <w:rsid w:val="69BB329B"/>
    <w:rsid w:val="69BD4C61"/>
    <w:rsid w:val="69FC56C6"/>
    <w:rsid w:val="69FD3B6F"/>
    <w:rsid w:val="6A0065EF"/>
    <w:rsid w:val="6A1F1C32"/>
    <w:rsid w:val="6A616283"/>
    <w:rsid w:val="6A641407"/>
    <w:rsid w:val="6A656882"/>
    <w:rsid w:val="6A8B60FB"/>
    <w:rsid w:val="6A9674BF"/>
    <w:rsid w:val="6A9A37E0"/>
    <w:rsid w:val="6AA604CA"/>
    <w:rsid w:val="6AB67B97"/>
    <w:rsid w:val="6ADB41F3"/>
    <w:rsid w:val="6AFB4F4A"/>
    <w:rsid w:val="6B12444F"/>
    <w:rsid w:val="6B2A12A7"/>
    <w:rsid w:val="6B4533C9"/>
    <w:rsid w:val="6B4B7E5F"/>
    <w:rsid w:val="6B5C39DF"/>
    <w:rsid w:val="6B5E11EE"/>
    <w:rsid w:val="6B611937"/>
    <w:rsid w:val="6B611EB1"/>
    <w:rsid w:val="6B961766"/>
    <w:rsid w:val="6BC8334A"/>
    <w:rsid w:val="6BD61A98"/>
    <w:rsid w:val="6BF77F96"/>
    <w:rsid w:val="6BFE19E1"/>
    <w:rsid w:val="6C050A47"/>
    <w:rsid w:val="6C0B1A74"/>
    <w:rsid w:val="6C16659B"/>
    <w:rsid w:val="6C27235B"/>
    <w:rsid w:val="6C3342D8"/>
    <w:rsid w:val="6C394A8B"/>
    <w:rsid w:val="6C420156"/>
    <w:rsid w:val="6C5142B7"/>
    <w:rsid w:val="6C7457E7"/>
    <w:rsid w:val="6C7D6E82"/>
    <w:rsid w:val="6C8311C3"/>
    <w:rsid w:val="6CA5691E"/>
    <w:rsid w:val="6CEC7297"/>
    <w:rsid w:val="6CFC1EEB"/>
    <w:rsid w:val="6CFD2D93"/>
    <w:rsid w:val="6D167189"/>
    <w:rsid w:val="6D1B3C07"/>
    <w:rsid w:val="6D290842"/>
    <w:rsid w:val="6D2A6B5F"/>
    <w:rsid w:val="6D4E51E9"/>
    <w:rsid w:val="6D680792"/>
    <w:rsid w:val="6DAB0FE0"/>
    <w:rsid w:val="6DEE7FF8"/>
    <w:rsid w:val="6E0B6604"/>
    <w:rsid w:val="6E1E5CB1"/>
    <w:rsid w:val="6E51496A"/>
    <w:rsid w:val="6E8555D0"/>
    <w:rsid w:val="6E876629"/>
    <w:rsid w:val="6E893B3A"/>
    <w:rsid w:val="6EDA7020"/>
    <w:rsid w:val="6EDF1C43"/>
    <w:rsid w:val="6F08338C"/>
    <w:rsid w:val="6F492FDA"/>
    <w:rsid w:val="6F5013AD"/>
    <w:rsid w:val="6F561A7D"/>
    <w:rsid w:val="6F6005AE"/>
    <w:rsid w:val="6FA629B9"/>
    <w:rsid w:val="6FB41CDF"/>
    <w:rsid w:val="6FE52B7F"/>
    <w:rsid w:val="6FEF72C5"/>
    <w:rsid w:val="70047746"/>
    <w:rsid w:val="701B22C2"/>
    <w:rsid w:val="704A18A5"/>
    <w:rsid w:val="70535193"/>
    <w:rsid w:val="705353D7"/>
    <w:rsid w:val="70595CFD"/>
    <w:rsid w:val="70731CBA"/>
    <w:rsid w:val="70AB2A5F"/>
    <w:rsid w:val="70C40F6B"/>
    <w:rsid w:val="70FF2B52"/>
    <w:rsid w:val="71053071"/>
    <w:rsid w:val="710C4547"/>
    <w:rsid w:val="71146B3B"/>
    <w:rsid w:val="711E1A75"/>
    <w:rsid w:val="715E5257"/>
    <w:rsid w:val="718176C8"/>
    <w:rsid w:val="71BB1264"/>
    <w:rsid w:val="71C14470"/>
    <w:rsid w:val="71C15629"/>
    <w:rsid w:val="71DD01AD"/>
    <w:rsid w:val="71E01DDD"/>
    <w:rsid w:val="721629DF"/>
    <w:rsid w:val="723D68AF"/>
    <w:rsid w:val="724721AC"/>
    <w:rsid w:val="72586E19"/>
    <w:rsid w:val="72705108"/>
    <w:rsid w:val="729452D5"/>
    <w:rsid w:val="72F657B0"/>
    <w:rsid w:val="72FC409A"/>
    <w:rsid w:val="72FE4B6F"/>
    <w:rsid w:val="73032FC0"/>
    <w:rsid w:val="730F48D7"/>
    <w:rsid w:val="73253B84"/>
    <w:rsid w:val="733D0BED"/>
    <w:rsid w:val="738707F8"/>
    <w:rsid w:val="738754CA"/>
    <w:rsid w:val="738B6F89"/>
    <w:rsid w:val="73C056D8"/>
    <w:rsid w:val="73CB6AC4"/>
    <w:rsid w:val="73ED1A3A"/>
    <w:rsid w:val="73F05696"/>
    <w:rsid w:val="73F50B6F"/>
    <w:rsid w:val="74077FAE"/>
    <w:rsid w:val="74146799"/>
    <w:rsid w:val="741A1B16"/>
    <w:rsid w:val="741E67C6"/>
    <w:rsid w:val="742C5E27"/>
    <w:rsid w:val="74551D23"/>
    <w:rsid w:val="745D7B18"/>
    <w:rsid w:val="745F299C"/>
    <w:rsid w:val="7466617E"/>
    <w:rsid w:val="746F1484"/>
    <w:rsid w:val="74B800CA"/>
    <w:rsid w:val="74F55B27"/>
    <w:rsid w:val="753D165B"/>
    <w:rsid w:val="75511543"/>
    <w:rsid w:val="756B2471"/>
    <w:rsid w:val="75726F76"/>
    <w:rsid w:val="758D6086"/>
    <w:rsid w:val="758F1A33"/>
    <w:rsid w:val="75F8009A"/>
    <w:rsid w:val="761B49BF"/>
    <w:rsid w:val="762B22A9"/>
    <w:rsid w:val="763A3819"/>
    <w:rsid w:val="76471DE8"/>
    <w:rsid w:val="764C1D57"/>
    <w:rsid w:val="76701D3D"/>
    <w:rsid w:val="76951140"/>
    <w:rsid w:val="76974BD9"/>
    <w:rsid w:val="76977026"/>
    <w:rsid w:val="76A70C95"/>
    <w:rsid w:val="76D15D09"/>
    <w:rsid w:val="76EB626F"/>
    <w:rsid w:val="76F57B1F"/>
    <w:rsid w:val="771349E5"/>
    <w:rsid w:val="7714635C"/>
    <w:rsid w:val="771C30FA"/>
    <w:rsid w:val="77206134"/>
    <w:rsid w:val="772F3A61"/>
    <w:rsid w:val="773553A7"/>
    <w:rsid w:val="77580A66"/>
    <w:rsid w:val="775E7457"/>
    <w:rsid w:val="778D01FE"/>
    <w:rsid w:val="77A3436B"/>
    <w:rsid w:val="77B86288"/>
    <w:rsid w:val="77C30483"/>
    <w:rsid w:val="77F437B1"/>
    <w:rsid w:val="780738D1"/>
    <w:rsid w:val="782226C6"/>
    <w:rsid w:val="782365EF"/>
    <w:rsid w:val="783D4AFF"/>
    <w:rsid w:val="784D30F3"/>
    <w:rsid w:val="785D4173"/>
    <w:rsid w:val="78693C27"/>
    <w:rsid w:val="788A2C6A"/>
    <w:rsid w:val="78AD0D21"/>
    <w:rsid w:val="78B73B4F"/>
    <w:rsid w:val="78B934ED"/>
    <w:rsid w:val="78C37C8A"/>
    <w:rsid w:val="78DE2D7C"/>
    <w:rsid w:val="7922596C"/>
    <w:rsid w:val="792F01A6"/>
    <w:rsid w:val="79382965"/>
    <w:rsid w:val="794C1894"/>
    <w:rsid w:val="795161CA"/>
    <w:rsid w:val="79820F11"/>
    <w:rsid w:val="79A81252"/>
    <w:rsid w:val="79AC037E"/>
    <w:rsid w:val="79B4594A"/>
    <w:rsid w:val="79B978EA"/>
    <w:rsid w:val="79BC708D"/>
    <w:rsid w:val="79EB1C7D"/>
    <w:rsid w:val="7A1B476E"/>
    <w:rsid w:val="7A3C7F7B"/>
    <w:rsid w:val="7A50702E"/>
    <w:rsid w:val="7A9722EA"/>
    <w:rsid w:val="7AA274F5"/>
    <w:rsid w:val="7AF27BF0"/>
    <w:rsid w:val="7B1A4611"/>
    <w:rsid w:val="7B1A6AB5"/>
    <w:rsid w:val="7B1C00F9"/>
    <w:rsid w:val="7B327BB5"/>
    <w:rsid w:val="7B33563C"/>
    <w:rsid w:val="7B4C0E94"/>
    <w:rsid w:val="7B5737ED"/>
    <w:rsid w:val="7B594633"/>
    <w:rsid w:val="7B763FD0"/>
    <w:rsid w:val="7B8D6D12"/>
    <w:rsid w:val="7B9147B3"/>
    <w:rsid w:val="7BAC1017"/>
    <w:rsid w:val="7BC5015F"/>
    <w:rsid w:val="7BDB40C8"/>
    <w:rsid w:val="7BFC639E"/>
    <w:rsid w:val="7C1060A4"/>
    <w:rsid w:val="7C212B16"/>
    <w:rsid w:val="7C23124E"/>
    <w:rsid w:val="7C344D27"/>
    <w:rsid w:val="7C6034EF"/>
    <w:rsid w:val="7C8F3841"/>
    <w:rsid w:val="7C927737"/>
    <w:rsid w:val="7CE055BA"/>
    <w:rsid w:val="7CFC1051"/>
    <w:rsid w:val="7D15058B"/>
    <w:rsid w:val="7D157DA1"/>
    <w:rsid w:val="7D213138"/>
    <w:rsid w:val="7D2521B2"/>
    <w:rsid w:val="7D317598"/>
    <w:rsid w:val="7D3230DC"/>
    <w:rsid w:val="7D4D08D5"/>
    <w:rsid w:val="7D551F58"/>
    <w:rsid w:val="7D6A282B"/>
    <w:rsid w:val="7DF04831"/>
    <w:rsid w:val="7DF22A1C"/>
    <w:rsid w:val="7E0E1134"/>
    <w:rsid w:val="7E282CD5"/>
    <w:rsid w:val="7E3672A9"/>
    <w:rsid w:val="7E4618EE"/>
    <w:rsid w:val="7E49452F"/>
    <w:rsid w:val="7E577B57"/>
    <w:rsid w:val="7E7A400D"/>
    <w:rsid w:val="7E872237"/>
    <w:rsid w:val="7E873820"/>
    <w:rsid w:val="7E8C3F75"/>
    <w:rsid w:val="7E9832EF"/>
    <w:rsid w:val="7EA80241"/>
    <w:rsid w:val="7EAB6E1B"/>
    <w:rsid w:val="7ED76DD4"/>
    <w:rsid w:val="7EE354CD"/>
    <w:rsid w:val="7F06366D"/>
    <w:rsid w:val="7F13011A"/>
    <w:rsid w:val="7F5456A0"/>
    <w:rsid w:val="7F5A396B"/>
    <w:rsid w:val="7F5C0130"/>
    <w:rsid w:val="7F79289E"/>
    <w:rsid w:val="7F8F1F7C"/>
    <w:rsid w:val="7FA8445B"/>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3"/>
    <w:qFormat/>
    <w:uiPriority w:val="0"/>
    <w:pPr>
      <w:keepNext/>
      <w:keepLines/>
      <w:numPr>
        <w:ilvl w:val="0"/>
        <w:numId w:val="1"/>
      </w:numPr>
      <w:spacing w:before="340" w:after="330" w:line="578" w:lineRule="auto"/>
      <w:jc w:val="center"/>
      <w:outlineLvl w:val="0"/>
    </w:pPr>
    <w:rPr>
      <w:b/>
      <w:bCs/>
      <w:kern w:val="44"/>
      <w:sz w:val="32"/>
      <w:szCs w:val="44"/>
    </w:rPr>
  </w:style>
  <w:style w:type="paragraph" w:styleId="5">
    <w:name w:val="heading 2"/>
    <w:basedOn w:val="1"/>
    <w:next w:val="1"/>
    <w:link w:val="57"/>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6">
    <w:name w:val="heading 3"/>
    <w:basedOn w:val="1"/>
    <w:next w:val="1"/>
    <w:link w:val="10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39"/>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1"/>
    <w:link w:val="9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77"/>
    <w:qFormat/>
    <w:uiPriority w:val="0"/>
    <w:pPr>
      <w:keepNext/>
      <w:keepLines/>
      <w:numPr>
        <w:ilvl w:val="5"/>
        <w:numId w:val="1"/>
      </w:numPr>
      <w:spacing w:before="240" w:after="64" w:line="320" w:lineRule="auto"/>
      <w:outlineLvl w:val="5"/>
    </w:pPr>
    <w:rPr>
      <w:rFonts w:ascii="Cambria" w:hAnsi="Cambria"/>
      <w:b/>
      <w:bCs/>
      <w:sz w:val="24"/>
    </w:rPr>
  </w:style>
  <w:style w:type="paragraph" w:styleId="10">
    <w:name w:val="heading 7"/>
    <w:basedOn w:val="1"/>
    <w:next w:val="1"/>
    <w:link w:val="13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117"/>
    <w:qFormat/>
    <w:uiPriority w:val="0"/>
    <w:pPr>
      <w:keepNext/>
      <w:keepLines/>
      <w:numPr>
        <w:ilvl w:val="7"/>
        <w:numId w:val="1"/>
      </w:numPr>
      <w:spacing w:before="240" w:after="64" w:line="320" w:lineRule="auto"/>
      <w:outlineLvl w:val="7"/>
    </w:pPr>
    <w:rPr>
      <w:rFonts w:ascii="Cambria" w:hAnsi="Cambria"/>
      <w:sz w:val="24"/>
    </w:rPr>
  </w:style>
  <w:style w:type="paragraph" w:styleId="12">
    <w:name w:val="heading 9"/>
    <w:basedOn w:val="1"/>
    <w:next w:val="1"/>
    <w:link w:val="95"/>
    <w:qFormat/>
    <w:uiPriority w:val="0"/>
    <w:pPr>
      <w:keepNext/>
      <w:keepLines/>
      <w:numPr>
        <w:ilvl w:val="8"/>
        <w:numId w:val="1"/>
      </w:numPr>
      <w:spacing w:before="240" w:after="64" w:line="320" w:lineRule="auto"/>
      <w:outlineLvl w:val="8"/>
    </w:pPr>
    <w:rPr>
      <w:rFonts w:ascii="Cambria" w:hAnsi="Cambria"/>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next w:val="3"/>
    <w:qFormat/>
    <w:uiPriority w:val="99"/>
    <w:pPr>
      <w:ind w:firstLine="420" w:firstLineChars="200"/>
    </w:pPr>
  </w:style>
  <w:style w:type="paragraph" w:styleId="3">
    <w:name w:val="annotation text"/>
    <w:basedOn w:val="1"/>
    <w:link w:val="109"/>
    <w:qFormat/>
    <w:uiPriority w:val="99"/>
    <w:pPr>
      <w:jc w:val="left"/>
    </w:pPr>
  </w:style>
  <w:style w:type="paragraph" w:styleId="13">
    <w:name w:val="List 3"/>
    <w:basedOn w:val="1"/>
    <w:unhideWhenUsed/>
    <w:qFormat/>
    <w:uiPriority w:val="99"/>
    <w:pPr>
      <w:spacing w:before="100" w:beforeAutospacing="1" w:after="100" w:afterAutospacing="1"/>
      <w:ind w:left="1260" w:hanging="420"/>
    </w:pPr>
    <w:rPr>
      <w:szCs w:val="21"/>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Normal Indent"/>
    <w:basedOn w:val="1"/>
    <w:next w:val="1"/>
    <w:qFormat/>
    <w:uiPriority w:val="0"/>
    <w:pPr>
      <w:ind w:firstLine="420"/>
    </w:pPr>
    <w:rPr>
      <w:b/>
      <w:sz w:val="24"/>
      <w:szCs w:val="20"/>
    </w:rPr>
  </w:style>
  <w:style w:type="paragraph" w:styleId="16">
    <w:name w:val="caption"/>
    <w:basedOn w:val="1"/>
    <w:next w:val="1"/>
    <w:qFormat/>
    <w:uiPriority w:val="0"/>
    <w:rPr>
      <w:rFonts w:ascii="Cambria" w:hAnsi="Cambria" w:eastAsia="黑体"/>
      <w:sz w:val="20"/>
      <w:szCs w:val="22"/>
    </w:rPr>
  </w:style>
  <w:style w:type="paragraph" w:styleId="17">
    <w:name w:val="Document Map"/>
    <w:basedOn w:val="1"/>
    <w:link w:val="85"/>
    <w:qFormat/>
    <w:uiPriority w:val="0"/>
    <w:rPr>
      <w:rFonts w:ascii="宋体"/>
      <w:sz w:val="18"/>
      <w:szCs w:val="18"/>
    </w:rPr>
  </w:style>
  <w:style w:type="paragraph" w:styleId="18">
    <w:name w:val="Body Text 3"/>
    <w:basedOn w:val="1"/>
    <w:link w:val="128"/>
    <w:qFormat/>
    <w:uiPriority w:val="0"/>
    <w:rPr>
      <w:rFonts w:ascii="宋体"/>
      <w:sz w:val="24"/>
      <w:szCs w:val="20"/>
    </w:rPr>
  </w:style>
  <w:style w:type="paragraph" w:styleId="19">
    <w:name w:val="Body Text"/>
    <w:basedOn w:val="1"/>
    <w:next w:val="15"/>
    <w:link w:val="116"/>
    <w:qFormat/>
    <w:uiPriority w:val="0"/>
    <w:pPr>
      <w:jc w:val="center"/>
    </w:pPr>
    <w:rPr>
      <w:rFonts w:eastAsia="幼圆"/>
      <w:b/>
      <w:bCs/>
      <w:sz w:val="44"/>
    </w:rPr>
  </w:style>
  <w:style w:type="paragraph" w:styleId="20">
    <w:name w:val="Body Text Indent"/>
    <w:basedOn w:val="1"/>
    <w:link w:val="72"/>
    <w:qFormat/>
    <w:uiPriority w:val="0"/>
    <w:pPr>
      <w:spacing w:after="120"/>
      <w:ind w:left="420" w:leftChars="200"/>
    </w:pPr>
  </w:style>
  <w:style w:type="paragraph" w:styleId="21">
    <w:name w:val="index 4"/>
    <w:basedOn w:val="1"/>
    <w:next w:val="1"/>
    <w:qFormat/>
    <w:uiPriority w:val="0"/>
    <w:pPr>
      <w:ind w:left="600" w:leftChars="600"/>
    </w:pPr>
    <w:rPr>
      <w:rFonts w:ascii="Calibri" w:hAnsi="Calibri"/>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qFormat/>
    <w:uiPriority w:val="39"/>
    <w:pPr>
      <w:ind w:left="840" w:leftChars="400"/>
    </w:pPr>
    <w:rPr>
      <w:rFonts w:ascii="Calibri" w:hAnsi="Calibri"/>
      <w:szCs w:val="22"/>
    </w:rPr>
  </w:style>
  <w:style w:type="paragraph" w:styleId="24">
    <w:name w:val="Plain Text"/>
    <w:basedOn w:val="1"/>
    <w:link w:val="78"/>
    <w:qFormat/>
    <w:uiPriority w:val="0"/>
    <w:rPr>
      <w:rFonts w:ascii="Ari"/>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86"/>
    <w:unhideWhenUsed/>
    <w:qFormat/>
    <w:uiPriority w:val="0"/>
  </w:style>
  <w:style w:type="paragraph" w:styleId="27">
    <w:name w:val="Body Text Indent 2"/>
    <w:basedOn w:val="1"/>
    <w:link w:val="108"/>
    <w:unhideWhenUsed/>
    <w:qFormat/>
    <w:uiPriority w:val="99"/>
    <w:pPr>
      <w:spacing w:line="420" w:lineRule="exact"/>
      <w:ind w:firstLine="525"/>
    </w:pPr>
    <w:rPr>
      <w:rFonts w:ascii="宋体"/>
      <w:kern w:val="0"/>
      <w:sz w:val="20"/>
      <w:szCs w:val="20"/>
    </w:rPr>
  </w:style>
  <w:style w:type="paragraph" w:styleId="28">
    <w:name w:val="Balloon Text"/>
    <w:basedOn w:val="1"/>
    <w:link w:val="131"/>
    <w:qFormat/>
    <w:uiPriority w:val="0"/>
    <w:rPr>
      <w:sz w:val="18"/>
      <w:szCs w:val="18"/>
    </w:rPr>
  </w:style>
  <w:style w:type="paragraph" w:styleId="29">
    <w:name w:val="footer"/>
    <w:basedOn w:val="1"/>
    <w:link w:val="121"/>
    <w:qFormat/>
    <w:uiPriority w:val="99"/>
    <w:pPr>
      <w:tabs>
        <w:tab w:val="center" w:pos="4153"/>
        <w:tab w:val="right" w:pos="8306"/>
      </w:tabs>
      <w:snapToGrid w:val="0"/>
      <w:jc w:val="left"/>
    </w:pPr>
    <w:rPr>
      <w:sz w:val="18"/>
      <w:szCs w:val="18"/>
    </w:rPr>
  </w:style>
  <w:style w:type="paragraph" w:styleId="30">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toc 4"/>
    <w:basedOn w:val="1"/>
    <w:next w:val="1"/>
    <w:unhideWhenUsed/>
    <w:qFormat/>
    <w:uiPriority w:val="39"/>
    <w:pPr>
      <w:ind w:left="1260" w:leftChars="600"/>
    </w:pPr>
    <w:rPr>
      <w:rFonts w:ascii="Calibri" w:hAnsi="Calibri"/>
      <w:szCs w:val="22"/>
    </w:rPr>
  </w:style>
  <w:style w:type="paragraph" w:styleId="33">
    <w:name w:val="Subtitle"/>
    <w:basedOn w:val="1"/>
    <w:next w:val="1"/>
    <w:link w:val="104"/>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unhideWhenUsed/>
    <w:qFormat/>
    <w:uiPriority w:val="39"/>
    <w:pPr>
      <w:ind w:left="2100" w:leftChars="1000"/>
    </w:pPr>
    <w:rPr>
      <w:rFonts w:ascii="Calibri" w:hAnsi="Calibri"/>
      <w:szCs w:val="22"/>
    </w:rPr>
  </w:style>
  <w:style w:type="paragraph" w:styleId="35">
    <w:name w:val="Body Text Indent 3"/>
    <w:basedOn w:val="1"/>
    <w:link w:val="129"/>
    <w:qFormat/>
    <w:uiPriority w:val="0"/>
    <w:pPr>
      <w:spacing w:after="120"/>
      <w:ind w:left="420" w:leftChars="200"/>
    </w:pPr>
    <w:rPr>
      <w:sz w:val="16"/>
      <w:szCs w:val="20"/>
    </w:rPr>
  </w:style>
  <w:style w:type="paragraph" w:styleId="36">
    <w:name w:val="toc 2"/>
    <w:basedOn w:val="1"/>
    <w:next w:val="1"/>
    <w:qFormat/>
    <w:uiPriority w:val="39"/>
    <w:pPr>
      <w:ind w:left="420" w:leftChars="200"/>
    </w:pPr>
    <w:rPr>
      <w:rFonts w:ascii="Calibri" w:hAnsi="Calibri"/>
      <w:szCs w:val="22"/>
    </w:rPr>
  </w:style>
  <w:style w:type="paragraph" w:styleId="37">
    <w:name w:val="toc 9"/>
    <w:basedOn w:val="1"/>
    <w:next w:val="1"/>
    <w:unhideWhenUsed/>
    <w:qFormat/>
    <w:uiPriority w:val="39"/>
    <w:pPr>
      <w:ind w:left="3360" w:leftChars="1600"/>
    </w:pPr>
    <w:rPr>
      <w:rFonts w:ascii="Calibri" w:hAnsi="Calibri"/>
      <w:szCs w:val="22"/>
    </w:rPr>
  </w:style>
  <w:style w:type="paragraph" w:styleId="38">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pPr>
      <w:spacing w:line="220" w:lineRule="exact"/>
      <w:jc w:val="center"/>
    </w:pPr>
    <w:rPr>
      <w:rFonts w:ascii="仿宋_GB2312" w:hAnsi="Calibri" w:eastAsia="仿宋_GB2312"/>
      <w:szCs w:val="22"/>
    </w:rPr>
  </w:style>
  <w:style w:type="paragraph" w:styleId="42">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3"/>
    <w:next w:val="3"/>
    <w:link w:val="119"/>
    <w:qFormat/>
    <w:uiPriority w:val="0"/>
    <w:rPr>
      <w:b/>
      <w:bCs/>
    </w:rPr>
  </w:style>
  <w:style w:type="paragraph" w:styleId="44">
    <w:name w:val="Body Text First Indent"/>
    <w:basedOn w:val="19"/>
    <w:qFormat/>
    <w:uiPriority w:val="99"/>
    <w:pPr>
      <w:ind w:firstLine="420" w:firstLineChars="100"/>
    </w:pPr>
  </w:style>
  <w:style w:type="paragraph" w:styleId="45">
    <w:name w:val="Body Text First Indent 2"/>
    <w:basedOn w:val="1"/>
    <w:next w:val="1"/>
    <w:qFormat/>
    <w:uiPriority w:val="99"/>
    <w:pPr>
      <w:ind w:firstLine="420" w:firstLineChars="200"/>
    </w:pPr>
  </w:style>
  <w:style w:type="table" w:styleId="47">
    <w:name w:val="Table Grid"/>
    <w:basedOn w:val="4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rFonts w:cs="Times New Roman"/>
      <w:b/>
    </w:rPr>
  </w:style>
  <w:style w:type="character" w:styleId="50">
    <w:name w:val="page number"/>
    <w:qFormat/>
    <w:uiPriority w:val="0"/>
    <w:rPr>
      <w:rFonts w:eastAsia="宋体"/>
      <w:b/>
      <w:spacing w:val="0"/>
      <w:kern w:val="2"/>
      <w:sz w:val="24"/>
      <w:szCs w:val="24"/>
      <w:vertAlign w:val="baseline"/>
      <w:lang w:val="en-US" w:eastAsia="zh-CN" w:bidi="ar-SA"/>
    </w:rPr>
  </w:style>
  <w:style w:type="character" w:styleId="51">
    <w:name w:val="FollowedHyperlink"/>
    <w:qFormat/>
    <w:uiPriority w:val="0"/>
    <w:rPr>
      <w:color w:val="800080"/>
      <w:u w:val="single"/>
    </w:rPr>
  </w:style>
  <w:style w:type="character" w:styleId="52">
    <w:name w:val="Emphasis"/>
    <w:qFormat/>
    <w:uiPriority w:val="0"/>
    <w:rPr>
      <w:color w:val="CC0000"/>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color w:val="008000"/>
    </w:rPr>
  </w:style>
  <w:style w:type="paragraph" w:customStyle="1" w:styleId="56">
    <w:name w:val="列表段落1"/>
    <w:basedOn w:val="1"/>
    <w:qFormat/>
    <w:uiPriority w:val="99"/>
    <w:pPr>
      <w:ind w:firstLine="420" w:firstLineChars="200"/>
    </w:pPr>
    <w:rPr>
      <w:szCs w:val="20"/>
    </w:rPr>
  </w:style>
  <w:style w:type="character" w:customStyle="1" w:styleId="57">
    <w:name w:val="标题 2 字符"/>
    <w:link w:val="5"/>
    <w:qFormat/>
    <w:uiPriority w:val="0"/>
    <w:rPr>
      <w:rFonts w:ascii="Cambria" w:hAnsi="Cambria"/>
      <w:b/>
      <w:bCs/>
      <w:kern w:val="2"/>
      <w:sz w:val="32"/>
      <w:szCs w:val="32"/>
    </w:rPr>
  </w:style>
  <w:style w:type="character" w:customStyle="1" w:styleId="58">
    <w:name w:val="明显强调1"/>
    <w:qFormat/>
    <w:uiPriority w:val="0"/>
    <w:rPr>
      <w:b/>
      <w:bCs/>
      <w:i/>
      <w:iCs/>
      <w:color w:val="4F81BD"/>
    </w:rPr>
  </w:style>
  <w:style w:type="character" w:customStyle="1" w:styleId="59">
    <w:name w:val="批注文字 Char2"/>
    <w:qFormat/>
    <w:uiPriority w:val="0"/>
    <w:rPr>
      <w:kern w:val="2"/>
      <w:sz w:val="21"/>
    </w:rPr>
  </w:style>
  <w:style w:type="character" w:customStyle="1" w:styleId="60">
    <w:name w:val="标题 3 Char_0"/>
    <w:link w:val="61"/>
    <w:qFormat/>
    <w:uiPriority w:val="0"/>
    <w:rPr>
      <w:b/>
      <w:bCs/>
      <w:sz w:val="32"/>
      <w:szCs w:val="32"/>
    </w:rPr>
  </w:style>
  <w:style w:type="paragraph" w:customStyle="1" w:styleId="61">
    <w:name w:val="标题 3_0"/>
    <w:basedOn w:val="62"/>
    <w:next w:val="62"/>
    <w:link w:val="60"/>
    <w:qFormat/>
    <w:uiPriority w:val="0"/>
    <w:pPr>
      <w:keepNext/>
      <w:keepLines/>
      <w:spacing w:before="260" w:after="260" w:line="416" w:lineRule="auto"/>
      <w:outlineLvl w:val="2"/>
    </w:pPr>
    <w:rPr>
      <w:b/>
      <w:bCs/>
      <w:kern w:val="0"/>
      <w:sz w:val="32"/>
      <w:szCs w:val="32"/>
    </w:rPr>
  </w:style>
  <w:style w:type="paragraph" w:customStyle="1" w:styleId="6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正文文本 Char2"/>
    <w:semiHidden/>
    <w:qFormat/>
    <w:uiPriority w:val="99"/>
    <w:rPr>
      <w:rFonts w:ascii="Calibri" w:hAnsi="Calibri" w:eastAsia="宋体" w:cs="Times New Roman"/>
    </w:rPr>
  </w:style>
  <w:style w:type="character" w:customStyle="1" w:styleId="64">
    <w:name w:val="页脚 Char1"/>
    <w:semiHidden/>
    <w:qFormat/>
    <w:uiPriority w:val="99"/>
    <w:rPr>
      <w:rFonts w:ascii="Calibri" w:hAnsi="Calibri" w:eastAsia="宋体" w:cs="Times New Roman"/>
      <w:sz w:val="18"/>
      <w:szCs w:val="18"/>
    </w:rPr>
  </w:style>
  <w:style w:type="character" w:customStyle="1" w:styleId="65">
    <w:name w:val="明显引用 Char2"/>
    <w:qFormat/>
    <w:uiPriority w:val="99"/>
    <w:rPr>
      <w:b/>
      <w:bCs/>
      <w:i/>
      <w:iCs/>
      <w:color w:val="4F81BD"/>
      <w:kern w:val="2"/>
      <w:sz w:val="21"/>
      <w:szCs w:val="24"/>
    </w:rPr>
  </w:style>
  <w:style w:type="character" w:customStyle="1" w:styleId="66">
    <w:name w:val="引用 Char"/>
    <w:link w:val="67"/>
    <w:qFormat/>
    <w:uiPriority w:val="0"/>
    <w:rPr>
      <w:i/>
      <w:iCs/>
      <w:color w:val="000000"/>
    </w:rPr>
  </w:style>
  <w:style w:type="paragraph" w:customStyle="1" w:styleId="67">
    <w:name w:val="引用1"/>
    <w:basedOn w:val="1"/>
    <w:next w:val="1"/>
    <w:link w:val="66"/>
    <w:qFormat/>
    <w:uiPriority w:val="0"/>
    <w:rPr>
      <w:i/>
      <w:iCs/>
      <w:color w:val="000000"/>
      <w:kern w:val="0"/>
      <w:sz w:val="20"/>
      <w:szCs w:val="20"/>
    </w:rPr>
  </w:style>
  <w:style w:type="character" w:customStyle="1" w:styleId="68">
    <w:name w:val="标题 1 Char_0"/>
    <w:link w:val="69"/>
    <w:qFormat/>
    <w:uiPriority w:val="0"/>
    <w:rPr>
      <w:b/>
      <w:bCs/>
      <w:kern w:val="44"/>
      <w:sz w:val="44"/>
      <w:szCs w:val="44"/>
    </w:rPr>
  </w:style>
  <w:style w:type="paragraph" w:customStyle="1" w:styleId="69">
    <w:name w:val="标题 1_0"/>
    <w:basedOn w:val="62"/>
    <w:next w:val="62"/>
    <w:link w:val="68"/>
    <w:qFormat/>
    <w:uiPriority w:val="0"/>
    <w:pPr>
      <w:keepNext/>
      <w:keepLines/>
      <w:spacing w:before="340" w:after="330" w:line="578" w:lineRule="auto"/>
      <w:outlineLvl w:val="0"/>
    </w:pPr>
    <w:rPr>
      <w:b/>
      <w:bCs/>
      <w:kern w:val="44"/>
      <w:sz w:val="44"/>
      <w:szCs w:val="44"/>
    </w:rPr>
  </w:style>
  <w:style w:type="character" w:customStyle="1" w:styleId="70">
    <w:name w:val="正文文本缩进 3 Char1"/>
    <w:semiHidden/>
    <w:qFormat/>
    <w:uiPriority w:val="99"/>
    <w:rPr>
      <w:kern w:val="2"/>
      <w:sz w:val="16"/>
      <w:szCs w:val="16"/>
    </w:rPr>
  </w:style>
  <w:style w:type="character" w:customStyle="1" w:styleId="71">
    <w:name w:val="引用 Char1"/>
    <w:qFormat/>
    <w:uiPriority w:val="29"/>
    <w:rPr>
      <w:i/>
      <w:iCs/>
      <w:color w:val="000000"/>
      <w:kern w:val="2"/>
      <w:sz w:val="21"/>
    </w:rPr>
  </w:style>
  <w:style w:type="character" w:customStyle="1" w:styleId="72">
    <w:name w:val="正文文本缩进 字符"/>
    <w:link w:val="20"/>
    <w:qFormat/>
    <w:uiPriority w:val="0"/>
    <w:rPr>
      <w:kern w:val="2"/>
      <w:sz w:val="21"/>
      <w:szCs w:val="24"/>
    </w:rPr>
  </w:style>
  <w:style w:type="character" w:customStyle="1" w:styleId="73">
    <w:name w:val="font161"/>
    <w:qFormat/>
    <w:uiPriority w:val="0"/>
    <w:rPr>
      <w:b/>
      <w:sz w:val="32"/>
    </w:rPr>
  </w:style>
  <w:style w:type="character" w:customStyle="1" w:styleId="74">
    <w:name w:val="标题 4 Char_0"/>
    <w:link w:val="75"/>
    <w:qFormat/>
    <w:uiPriority w:val="0"/>
    <w:rPr>
      <w:rFonts w:ascii="Arial" w:hAnsi="Arial" w:eastAsia="黑体"/>
      <w:b/>
      <w:bCs/>
      <w:sz w:val="28"/>
      <w:szCs w:val="28"/>
    </w:rPr>
  </w:style>
  <w:style w:type="paragraph" w:customStyle="1" w:styleId="75">
    <w:name w:val="标题 4_0"/>
    <w:basedOn w:val="62"/>
    <w:next w:val="62"/>
    <w:link w:val="74"/>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6">
    <w:name w:val="页眉 字符"/>
    <w:link w:val="30"/>
    <w:qFormat/>
    <w:uiPriority w:val="0"/>
    <w:rPr>
      <w:kern w:val="2"/>
      <w:sz w:val="18"/>
      <w:szCs w:val="18"/>
    </w:rPr>
  </w:style>
  <w:style w:type="character" w:customStyle="1" w:styleId="77">
    <w:name w:val="标题 6 字符"/>
    <w:link w:val="9"/>
    <w:qFormat/>
    <w:uiPriority w:val="0"/>
    <w:rPr>
      <w:rFonts w:ascii="Cambria" w:hAnsi="Cambria" w:eastAsia="宋体" w:cs="Times New Roman"/>
      <w:b/>
      <w:bCs/>
      <w:kern w:val="2"/>
      <w:sz w:val="24"/>
      <w:szCs w:val="24"/>
    </w:rPr>
  </w:style>
  <w:style w:type="character" w:customStyle="1" w:styleId="78">
    <w:name w:val="纯文本 字符"/>
    <w:link w:val="24"/>
    <w:qFormat/>
    <w:uiPriority w:val="0"/>
    <w:rPr>
      <w:rFonts w:ascii="Ari"/>
      <w:lang w:val="en-US" w:eastAsia="zh-CN" w:bidi="ar-SA"/>
    </w:rPr>
  </w:style>
  <w:style w:type="character" w:customStyle="1" w:styleId="79">
    <w:name w:val="引用 Char2"/>
    <w:qFormat/>
    <w:uiPriority w:val="99"/>
    <w:rPr>
      <w:i/>
      <w:iCs/>
      <w:color w:val="000000"/>
      <w:kern w:val="2"/>
      <w:sz w:val="21"/>
      <w:szCs w:val="24"/>
    </w:rPr>
  </w:style>
  <w:style w:type="character" w:customStyle="1" w:styleId="80">
    <w:name w:val="rvts11"/>
    <w:qFormat/>
    <w:uiPriority w:val="0"/>
    <w:rPr>
      <w:rFonts w:hint="default" w:ascii="KNLe" w:hAnsi="KNLe"/>
      <w:sz w:val="24"/>
      <w:szCs w:val="24"/>
      <w:u w:val="single"/>
    </w:rPr>
  </w:style>
  <w:style w:type="character" w:customStyle="1" w:styleId="81">
    <w:name w:val="标题 字符"/>
    <w:link w:val="42"/>
    <w:qFormat/>
    <w:uiPriority w:val="0"/>
    <w:rPr>
      <w:rFonts w:ascii="Arial" w:hAnsi="Arial"/>
      <w:b/>
      <w:sz w:val="32"/>
    </w:rPr>
  </w:style>
  <w:style w:type="character" w:customStyle="1" w:styleId="82">
    <w:name w:val="标题5 Char Char"/>
    <w:link w:val="83"/>
    <w:qFormat/>
    <w:uiPriority w:val="0"/>
    <w:rPr>
      <w:rFonts w:ascii="Arial" w:hAnsi="Arial"/>
      <w:b/>
      <w:bCs/>
      <w:sz w:val="24"/>
      <w:szCs w:val="32"/>
    </w:rPr>
  </w:style>
  <w:style w:type="paragraph" w:customStyle="1" w:styleId="83">
    <w:name w:val="标题5"/>
    <w:basedOn w:val="6"/>
    <w:link w:val="82"/>
    <w:qFormat/>
    <w:uiPriority w:val="0"/>
    <w:pPr>
      <w:numPr>
        <w:ilvl w:val="0"/>
        <w:numId w:val="0"/>
      </w:numPr>
      <w:spacing w:line="413" w:lineRule="auto"/>
    </w:pPr>
    <w:rPr>
      <w:rFonts w:ascii="Arial" w:hAnsi="Arial"/>
      <w:kern w:val="0"/>
      <w:sz w:val="24"/>
    </w:rPr>
  </w:style>
  <w:style w:type="character" w:customStyle="1" w:styleId="84">
    <w:name w:val="副标题 Char2"/>
    <w:qFormat/>
    <w:uiPriority w:val="11"/>
    <w:rPr>
      <w:rFonts w:ascii="Cambria" w:hAnsi="Cambria" w:cs="Times New Roman"/>
      <w:b/>
      <w:bCs/>
      <w:kern w:val="28"/>
      <w:sz w:val="32"/>
      <w:szCs w:val="32"/>
    </w:rPr>
  </w:style>
  <w:style w:type="character" w:customStyle="1" w:styleId="85">
    <w:name w:val="文档结构图 字符"/>
    <w:link w:val="17"/>
    <w:qFormat/>
    <w:uiPriority w:val="0"/>
    <w:rPr>
      <w:rFonts w:ascii="宋体"/>
      <w:kern w:val="2"/>
      <w:sz w:val="18"/>
      <w:szCs w:val="18"/>
    </w:rPr>
  </w:style>
  <w:style w:type="character" w:customStyle="1" w:styleId="86">
    <w:name w:val="日期 字符"/>
    <w:link w:val="26"/>
    <w:qFormat/>
    <w:uiPriority w:val="0"/>
    <w:rPr>
      <w:kern w:val="2"/>
      <w:sz w:val="21"/>
      <w:szCs w:val="24"/>
    </w:rPr>
  </w:style>
  <w:style w:type="character" w:customStyle="1" w:styleId="87">
    <w:name w:val="批注主题 Char1"/>
    <w:qFormat/>
    <w:uiPriority w:val="0"/>
    <w:rPr>
      <w:b/>
      <w:bCs/>
      <w:kern w:val="2"/>
      <w:sz w:val="21"/>
      <w:szCs w:val="22"/>
    </w:rPr>
  </w:style>
  <w:style w:type="character" w:customStyle="1" w:styleId="88">
    <w:name w:val="font31"/>
    <w:qFormat/>
    <w:uiPriority w:val="0"/>
    <w:rPr>
      <w:rFonts w:hint="eastAsia" w:ascii="宋体" w:hAnsi="宋体" w:eastAsia="宋体" w:cs="宋体"/>
      <w:color w:val="000000"/>
      <w:sz w:val="20"/>
      <w:szCs w:val="20"/>
      <w:u w:val="none"/>
    </w:rPr>
  </w:style>
  <w:style w:type="character" w:customStyle="1" w:styleId="89">
    <w:name w:val="明显引用 Char"/>
    <w:link w:val="90"/>
    <w:qFormat/>
    <w:uiPriority w:val="0"/>
    <w:rPr>
      <w:b/>
      <w:bCs/>
      <w:i/>
      <w:iCs/>
      <w:color w:val="4F81BD"/>
    </w:rPr>
  </w:style>
  <w:style w:type="paragraph" w:customStyle="1" w:styleId="90">
    <w:name w:val="明显引用1"/>
    <w:basedOn w:val="1"/>
    <w:next w:val="1"/>
    <w:link w:val="89"/>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1">
    <w:name w:val="标题 5 字符"/>
    <w:link w:val="8"/>
    <w:qFormat/>
    <w:uiPriority w:val="0"/>
    <w:rPr>
      <w:b/>
      <w:bCs/>
      <w:kern w:val="2"/>
      <w:sz w:val="28"/>
      <w:szCs w:val="28"/>
    </w:rPr>
  </w:style>
  <w:style w:type="character" w:customStyle="1" w:styleId="92">
    <w:name w:val="日期 Char1"/>
    <w:qFormat/>
    <w:uiPriority w:val="0"/>
    <w:rPr>
      <w:rFonts w:ascii="Calibri" w:hAnsi="Calibri" w:eastAsia="宋体" w:cs="Times New Roman"/>
    </w:rPr>
  </w:style>
  <w:style w:type="character" w:customStyle="1" w:styleId="93">
    <w:name w:val="批注框文本 Char1"/>
    <w:qFormat/>
    <w:uiPriority w:val="0"/>
    <w:rPr>
      <w:kern w:val="2"/>
      <w:sz w:val="18"/>
      <w:szCs w:val="18"/>
    </w:rPr>
  </w:style>
  <w:style w:type="character" w:customStyle="1" w:styleId="94">
    <w:name w:val="标题 Char1"/>
    <w:qFormat/>
    <w:uiPriority w:val="10"/>
    <w:rPr>
      <w:rFonts w:ascii="Cambria" w:hAnsi="Cambria" w:eastAsia="宋体" w:cs="Times New Roman"/>
      <w:b/>
      <w:bCs/>
      <w:sz w:val="32"/>
      <w:szCs w:val="32"/>
    </w:rPr>
  </w:style>
  <w:style w:type="character" w:customStyle="1" w:styleId="95">
    <w:name w:val="标题 9 字符"/>
    <w:link w:val="12"/>
    <w:qFormat/>
    <w:uiPriority w:val="0"/>
    <w:rPr>
      <w:rFonts w:ascii="Cambria" w:hAnsi="Cambria" w:eastAsia="宋体" w:cs="Times New Roman"/>
      <w:kern w:val="2"/>
      <w:sz w:val="21"/>
      <w:szCs w:val="21"/>
    </w:rPr>
  </w:style>
  <w:style w:type="character" w:customStyle="1" w:styleId="96">
    <w:name w:val="不明显参考1"/>
    <w:qFormat/>
    <w:uiPriority w:val="0"/>
    <w:rPr>
      <w:smallCaps/>
      <w:color w:val="C0504D"/>
      <w:u w:val="single"/>
    </w:rPr>
  </w:style>
  <w:style w:type="character" w:customStyle="1" w:styleId="97">
    <w:name w:val="批注文字 Char1"/>
    <w:qFormat/>
    <w:uiPriority w:val="0"/>
    <w:rPr>
      <w:rFonts w:ascii="Calibri" w:hAnsi="Calibri" w:eastAsia="宋体" w:cs="Times New Roman"/>
    </w:rPr>
  </w:style>
  <w:style w:type="character" w:customStyle="1" w:styleId="98">
    <w:name w:val="标题 Char2"/>
    <w:qFormat/>
    <w:uiPriority w:val="10"/>
    <w:rPr>
      <w:rFonts w:ascii="Cambria" w:hAnsi="Cambria" w:cs="Times New Roman"/>
      <w:b/>
      <w:bCs/>
      <w:kern w:val="2"/>
      <w:sz w:val="32"/>
      <w:szCs w:val="32"/>
    </w:rPr>
  </w:style>
  <w:style w:type="character" w:customStyle="1" w:styleId="99">
    <w:name w:val="正文文本 3 Char1"/>
    <w:semiHidden/>
    <w:qFormat/>
    <w:uiPriority w:val="99"/>
    <w:rPr>
      <w:kern w:val="2"/>
      <w:sz w:val="16"/>
      <w:szCs w:val="16"/>
    </w:rPr>
  </w:style>
  <w:style w:type="character" w:customStyle="1" w:styleId="100">
    <w:name w:val="批注主题 Char2"/>
    <w:qFormat/>
    <w:uiPriority w:val="0"/>
    <w:rPr>
      <w:b/>
      <w:bCs/>
      <w:kern w:val="2"/>
      <w:sz w:val="21"/>
    </w:rPr>
  </w:style>
  <w:style w:type="character" w:customStyle="1" w:styleId="101">
    <w:name w:val="标题 3 字符"/>
    <w:link w:val="6"/>
    <w:qFormat/>
    <w:uiPriority w:val="0"/>
    <w:rPr>
      <w:b/>
      <w:bCs/>
      <w:kern w:val="2"/>
      <w:sz w:val="32"/>
      <w:szCs w:val="32"/>
    </w:rPr>
  </w:style>
  <w:style w:type="character" w:customStyle="1" w:styleId="102">
    <w:name w:val="正文文本 Char_0"/>
    <w:link w:val="103"/>
    <w:qFormat/>
    <w:uiPriority w:val="0"/>
    <w:rPr>
      <w:szCs w:val="24"/>
    </w:rPr>
  </w:style>
  <w:style w:type="paragraph" w:customStyle="1" w:styleId="103">
    <w:name w:val="正文文本_0"/>
    <w:basedOn w:val="62"/>
    <w:link w:val="102"/>
    <w:qFormat/>
    <w:uiPriority w:val="0"/>
    <w:pPr>
      <w:spacing w:after="120"/>
    </w:pPr>
    <w:rPr>
      <w:kern w:val="0"/>
      <w:sz w:val="20"/>
    </w:rPr>
  </w:style>
  <w:style w:type="character" w:customStyle="1" w:styleId="104">
    <w:name w:val="副标题 字符"/>
    <w:link w:val="33"/>
    <w:qFormat/>
    <w:uiPriority w:val="0"/>
    <w:rPr>
      <w:rFonts w:ascii="Cambria" w:hAnsi="Cambria"/>
      <w:b/>
      <w:bCs/>
      <w:kern w:val="28"/>
      <w:sz w:val="32"/>
      <w:szCs w:val="32"/>
    </w:rPr>
  </w:style>
  <w:style w:type="character" w:customStyle="1" w:styleId="105">
    <w:name w:val="bookmark"/>
    <w:basedOn w:val="48"/>
    <w:qFormat/>
    <w:uiPriority w:val="0"/>
  </w:style>
  <w:style w:type="character" w:customStyle="1" w:styleId="106">
    <w:name w:val="标题 5 Char_0"/>
    <w:link w:val="107"/>
    <w:qFormat/>
    <w:uiPriority w:val="0"/>
    <w:rPr>
      <w:rFonts w:ascii="Calibri" w:hAnsi="Calibri"/>
      <w:b/>
      <w:bCs/>
      <w:sz w:val="28"/>
      <w:szCs w:val="28"/>
    </w:rPr>
  </w:style>
  <w:style w:type="paragraph" w:customStyle="1" w:styleId="107">
    <w:name w:val="标题 5_0"/>
    <w:basedOn w:val="62"/>
    <w:next w:val="62"/>
    <w:link w:val="106"/>
    <w:qFormat/>
    <w:uiPriority w:val="0"/>
    <w:pPr>
      <w:keepNext/>
      <w:keepLines/>
      <w:spacing w:before="280" w:after="290" w:line="372" w:lineRule="auto"/>
      <w:outlineLvl w:val="4"/>
    </w:pPr>
    <w:rPr>
      <w:rFonts w:ascii="Calibri" w:hAnsi="Calibri"/>
      <w:b/>
      <w:bCs/>
      <w:kern w:val="0"/>
      <w:sz w:val="28"/>
      <w:szCs w:val="28"/>
    </w:rPr>
  </w:style>
  <w:style w:type="character" w:customStyle="1" w:styleId="108">
    <w:name w:val="正文文本缩进 2 字符"/>
    <w:link w:val="27"/>
    <w:qFormat/>
    <w:uiPriority w:val="99"/>
    <w:rPr>
      <w:rFonts w:ascii="宋体"/>
    </w:rPr>
  </w:style>
  <w:style w:type="character" w:customStyle="1" w:styleId="109">
    <w:name w:val="批注文字 字符"/>
    <w:link w:val="3"/>
    <w:qFormat/>
    <w:uiPriority w:val="99"/>
    <w:rPr>
      <w:kern w:val="2"/>
      <w:sz w:val="21"/>
      <w:szCs w:val="24"/>
    </w:rPr>
  </w:style>
  <w:style w:type="character" w:customStyle="1" w:styleId="110">
    <w:name w:val="font11"/>
    <w:qFormat/>
    <w:uiPriority w:val="0"/>
    <w:rPr>
      <w:rFonts w:hint="eastAsia" w:ascii="宋体" w:hAnsi="宋体" w:eastAsia="宋体" w:cs="宋体"/>
      <w:color w:val="000000"/>
      <w:sz w:val="20"/>
      <w:szCs w:val="20"/>
      <w:u w:val="none"/>
    </w:rPr>
  </w:style>
  <w:style w:type="character" w:customStyle="1" w:styleId="111">
    <w:name w:val="明显参考1"/>
    <w:qFormat/>
    <w:uiPriority w:val="0"/>
    <w:rPr>
      <w:b/>
      <w:bCs/>
      <w:smallCaps/>
      <w:color w:val="C0504D"/>
      <w:spacing w:val="5"/>
      <w:u w:val="single"/>
    </w:rPr>
  </w:style>
  <w:style w:type="character" w:customStyle="1" w:styleId="112">
    <w:name w:val="超链接_0"/>
    <w:qFormat/>
    <w:uiPriority w:val="99"/>
    <w:rPr>
      <w:rFonts w:ascii="Calibri" w:hAnsi="Calibri"/>
      <w:color w:val="0000FF"/>
      <w:u w:val="single"/>
    </w:rPr>
  </w:style>
  <w:style w:type="character" w:customStyle="1" w:styleId="113">
    <w:name w:val="文档结构图 Char2"/>
    <w:semiHidden/>
    <w:qFormat/>
    <w:uiPriority w:val="99"/>
    <w:rPr>
      <w:rFonts w:ascii="宋体" w:hAnsi="Calibri" w:eastAsia="宋体" w:cs="Times New Roman"/>
      <w:sz w:val="18"/>
      <w:szCs w:val="18"/>
    </w:rPr>
  </w:style>
  <w:style w:type="character" w:customStyle="1" w:styleId="114">
    <w:name w:val="textcontents"/>
    <w:qFormat/>
    <w:uiPriority w:val="0"/>
    <w:rPr>
      <w:rFonts w:cs="Times New Roman"/>
    </w:rPr>
  </w:style>
  <w:style w:type="character" w:customStyle="1" w:styleId="115">
    <w:name w:val="标题 1 Char"/>
    <w:qFormat/>
    <w:uiPriority w:val="0"/>
    <w:rPr>
      <w:b/>
      <w:bCs/>
      <w:kern w:val="44"/>
      <w:sz w:val="32"/>
      <w:szCs w:val="44"/>
    </w:rPr>
  </w:style>
  <w:style w:type="character" w:customStyle="1" w:styleId="116">
    <w:name w:val="正文文本 字符"/>
    <w:link w:val="19"/>
    <w:qFormat/>
    <w:uiPriority w:val="0"/>
    <w:rPr>
      <w:rFonts w:eastAsia="幼圆"/>
      <w:b/>
      <w:bCs/>
      <w:kern w:val="2"/>
      <w:sz w:val="44"/>
      <w:szCs w:val="24"/>
    </w:rPr>
  </w:style>
  <w:style w:type="character" w:customStyle="1" w:styleId="117">
    <w:name w:val="标题 8 字符"/>
    <w:link w:val="11"/>
    <w:qFormat/>
    <w:uiPriority w:val="0"/>
    <w:rPr>
      <w:rFonts w:ascii="Cambria" w:hAnsi="Cambria" w:eastAsia="宋体" w:cs="Times New Roman"/>
      <w:kern w:val="2"/>
      <w:sz w:val="24"/>
      <w:szCs w:val="24"/>
    </w:rPr>
  </w:style>
  <w:style w:type="character" w:customStyle="1" w:styleId="118">
    <w:name w:val="副标题 Char1"/>
    <w:qFormat/>
    <w:uiPriority w:val="11"/>
    <w:rPr>
      <w:rFonts w:ascii="Cambria" w:hAnsi="Cambria" w:cs="Times New Roman"/>
      <w:b/>
      <w:bCs/>
      <w:kern w:val="28"/>
      <w:sz w:val="32"/>
      <w:szCs w:val="32"/>
    </w:rPr>
  </w:style>
  <w:style w:type="character" w:customStyle="1" w:styleId="119">
    <w:name w:val="批注主题 字符"/>
    <w:link w:val="43"/>
    <w:qFormat/>
    <w:uiPriority w:val="0"/>
    <w:rPr>
      <w:b/>
      <w:bCs/>
      <w:kern w:val="2"/>
      <w:sz w:val="21"/>
      <w:szCs w:val="24"/>
    </w:rPr>
  </w:style>
  <w:style w:type="character" w:customStyle="1" w:styleId="120">
    <w:name w:val="书籍标题1"/>
    <w:qFormat/>
    <w:uiPriority w:val="0"/>
    <w:rPr>
      <w:b/>
      <w:bCs/>
      <w:smallCaps/>
      <w:spacing w:val="5"/>
    </w:rPr>
  </w:style>
  <w:style w:type="character" w:customStyle="1" w:styleId="121">
    <w:name w:val="页脚 字符"/>
    <w:link w:val="29"/>
    <w:qFormat/>
    <w:uiPriority w:val="99"/>
    <w:rPr>
      <w:kern w:val="2"/>
      <w:sz w:val="18"/>
      <w:szCs w:val="18"/>
    </w:rPr>
  </w:style>
  <w:style w:type="character" w:customStyle="1" w:styleId="122">
    <w:name w:val="标题4 Char Char"/>
    <w:link w:val="123"/>
    <w:qFormat/>
    <w:uiPriority w:val="0"/>
    <w:rPr>
      <w:rFonts w:ascii="Arial" w:hAnsi="Arial"/>
      <w:b/>
      <w:bCs/>
      <w:sz w:val="24"/>
      <w:szCs w:val="32"/>
    </w:rPr>
  </w:style>
  <w:style w:type="paragraph" w:customStyle="1" w:styleId="123">
    <w:name w:val="标题4"/>
    <w:basedOn w:val="5"/>
    <w:next w:val="21"/>
    <w:link w:val="122"/>
    <w:qFormat/>
    <w:uiPriority w:val="0"/>
    <w:pPr>
      <w:numPr>
        <w:ilvl w:val="0"/>
        <w:numId w:val="0"/>
      </w:numPr>
      <w:spacing w:line="413" w:lineRule="auto"/>
    </w:pPr>
    <w:rPr>
      <w:rFonts w:ascii="Arial" w:hAnsi="Arial"/>
      <w:kern w:val="0"/>
      <w:sz w:val="24"/>
    </w:rPr>
  </w:style>
  <w:style w:type="character" w:customStyle="1" w:styleId="124">
    <w:name w:val="正文文本 Char1"/>
    <w:qFormat/>
    <w:uiPriority w:val="0"/>
    <w:rPr>
      <w:rFonts w:ascii="Calibri" w:hAnsi="Calibri" w:eastAsia="宋体" w:cs="Times New Roman"/>
    </w:rPr>
  </w:style>
  <w:style w:type="character" w:customStyle="1" w:styleId="125">
    <w:name w:val="明显引用 Char1"/>
    <w:qFormat/>
    <w:uiPriority w:val="30"/>
    <w:rPr>
      <w:b/>
      <w:bCs/>
      <w:i/>
      <w:iCs/>
      <w:color w:val="4F81BD"/>
      <w:kern w:val="2"/>
      <w:sz w:val="21"/>
    </w:rPr>
  </w:style>
  <w:style w:type="character" w:customStyle="1" w:styleId="126">
    <w:name w:val="页眉 Char1"/>
    <w:semiHidden/>
    <w:qFormat/>
    <w:uiPriority w:val="99"/>
    <w:rPr>
      <w:rFonts w:ascii="Calibri" w:hAnsi="Calibri" w:eastAsia="宋体" w:cs="Times New Roman"/>
      <w:sz w:val="18"/>
      <w:szCs w:val="18"/>
    </w:rPr>
  </w:style>
  <w:style w:type="character" w:customStyle="1" w:styleId="127">
    <w:name w:val="不明显强调1"/>
    <w:qFormat/>
    <w:uiPriority w:val="0"/>
    <w:rPr>
      <w:i/>
      <w:iCs/>
      <w:color w:val="808080"/>
    </w:rPr>
  </w:style>
  <w:style w:type="character" w:customStyle="1" w:styleId="128">
    <w:name w:val="正文文本 3 字符"/>
    <w:link w:val="18"/>
    <w:qFormat/>
    <w:uiPriority w:val="0"/>
    <w:rPr>
      <w:rFonts w:ascii="宋体"/>
      <w:kern w:val="2"/>
      <w:sz w:val="24"/>
    </w:rPr>
  </w:style>
  <w:style w:type="character" w:customStyle="1" w:styleId="129">
    <w:name w:val="正文文本缩进 3 字符"/>
    <w:link w:val="35"/>
    <w:qFormat/>
    <w:uiPriority w:val="0"/>
    <w:rPr>
      <w:kern w:val="2"/>
      <w:sz w:val="16"/>
    </w:rPr>
  </w:style>
  <w:style w:type="character" w:customStyle="1" w:styleId="130">
    <w:name w:val="font21"/>
    <w:qFormat/>
    <w:uiPriority w:val="0"/>
    <w:rPr>
      <w:rFonts w:hint="eastAsia" w:ascii="宋体" w:hAnsi="宋体" w:eastAsia="宋体" w:cs="宋体"/>
      <w:color w:val="000000"/>
      <w:sz w:val="20"/>
      <w:szCs w:val="20"/>
      <w:u w:val="none"/>
    </w:rPr>
  </w:style>
  <w:style w:type="character" w:customStyle="1" w:styleId="131">
    <w:name w:val="批注框文本 字符"/>
    <w:link w:val="28"/>
    <w:qFormat/>
    <w:uiPriority w:val="0"/>
    <w:rPr>
      <w:kern w:val="2"/>
      <w:sz w:val="18"/>
      <w:szCs w:val="18"/>
    </w:rPr>
  </w:style>
  <w:style w:type="character" w:customStyle="1" w:styleId="132">
    <w:name w:val="标题 7 字符"/>
    <w:link w:val="10"/>
    <w:qFormat/>
    <w:uiPriority w:val="0"/>
    <w:rPr>
      <w:b/>
      <w:bCs/>
      <w:kern w:val="2"/>
      <w:sz w:val="24"/>
      <w:szCs w:val="24"/>
    </w:rPr>
  </w:style>
  <w:style w:type="character" w:customStyle="1" w:styleId="133">
    <w:name w:val="标题 1 字符"/>
    <w:link w:val="4"/>
    <w:qFormat/>
    <w:uiPriority w:val="0"/>
    <w:rPr>
      <w:rFonts w:ascii="Times New Roman" w:hAnsi="Times New Roman" w:eastAsia="宋体" w:cs="Times New Roman"/>
      <w:b/>
      <w:bCs/>
      <w:kern w:val="44"/>
      <w:sz w:val="32"/>
      <w:szCs w:val="44"/>
    </w:rPr>
  </w:style>
  <w:style w:type="character" w:customStyle="1" w:styleId="134">
    <w:name w:val="文档结构图 Char1"/>
    <w:qFormat/>
    <w:uiPriority w:val="0"/>
    <w:rPr>
      <w:rFonts w:ascii="宋体" w:hAnsi="Calibri" w:eastAsia="宋体" w:cs="Times New Roman"/>
      <w:sz w:val="18"/>
      <w:szCs w:val="18"/>
    </w:rPr>
  </w:style>
  <w:style w:type="character" w:customStyle="1" w:styleId="135">
    <w:name w:val="标题 2 Char_0"/>
    <w:link w:val="136"/>
    <w:qFormat/>
    <w:uiPriority w:val="0"/>
    <w:rPr>
      <w:rFonts w:ascii="Cambria" w:hAnsi="Cambria"/>
      <w:b/>
      <w:bCs/>
      <w:sz w:val="32"/>
      <w:szCs w:val="32"/>
    </w:rPr>
  </w:style>
  <w:style w:type="paragraph" w:customStyle="1" w:styleId="136">
    <w:name w:val="标题 2_0"/>
    <w:basedOn w:val="62"/>
    <w:next w:val="62"/>
    <w:link w:val="135"/>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7">
    <w:name w:val="日期 Char2"/>
    <w:semiHidden/>
    <w:qFormat/>
    <w:uiPriority w:val="99"/>
    <w:rPr>
      <w:rFonts w:ascii="Calibri" w:hAnsi="Calibri" w:eastAsia="宋体" w:cs="Times New Roman"/>
    </w:rPr>
  </w:style>
  <w:style w:type="character" w:customStyle="1" w:styleId="138">
    <w:name w:val="批注框文本 Char2"/>
    <w:semiHidden/>
    <w:qFormat/>
    <w:uiPriority w:val="99"/>
    <w:rPr>
      <w:rFonts w:ascii="Calibri" w:hAnsi="Calibri" w:eastAsia="宋体" w:cs="Times New Roman"/>
      <w:sz w:val="18"/>
      <w:szCs w:val="18"/>
    </w:rPr>
  </w:style>
  <w:style w:type="character" w:customStyle="1" w:styleId="139">
    <w:name w:val="标题 4 字符"/>
    <w:link w:val="7"/>
    <w:qFormat/>
    <w:uiPriority w:val="0"/>
    <w:rPr>
      <w:rFonts w:ascii="Cambria" w:hAnsi="Cambria" w:eastAsia="宋体" w:cs="Times New Roman"/>
      <w:b/>
      <w:bCs/>
      <w:kern w:val="2"/>
      <w:sz w:val="28"/>
      <w:szCs w:val="28"/>
    </w:rPr>
  </w:style>
  <w:style w:type="character" w:customStyle="1" w:styleId="140">
    <w:name w:val="列出段落 Char"/>
    <w:link w:val="141"/>
    <w:qFormat/>
    <w:locked/>
    <w:uiPriority w:val="99"/>
    <w:rPr>
      <w:kern w:val="2"/>
      <w:sz w:val="21"/>
      <w:szCs w:val="24"/>
    </w:rPr>
  </w:style>
  <w:style w:type="paragraph" w:customStyle="1" w:styleId="141">
    <w:name w:val="List Paragraph1"/>
    <w:basedOn w:val="1"/>
    <w:link w:val="140"/>
    <w:qFormat/>
    <w:uiPriority w:val="99"/>
    <w:pPr>
      <w:ind w:firstLine="420" w:firstLineChars="200"/>
    </w:pPr>
  </w:style>
  <w:style w:type="paragraph" w:customStyle="1" w:styleId="142">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43">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7">
    <w:name w:val="1方案格式1"/>
    <w:basedOn w:val="4"/>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8">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49">
    <w:name w:val="正文1"/>
    <w:qFormat/>
    <w:uiPriority w:val="0"/>
    <w:pPr>
      <w:widowControl w:val="0"/>
      <w:jc w:val="both"/>
    </w:pPr>
    <w:rPr>
      <w:rFonts w:ascii="Calibri" w:hAnsi="Calibri" w:eastAsia="宋体" w:cs="Times New Roman"/>
      <w:lang w:val="en-US" w:eastAsia="zh-CN" w:bidi="ar-SA"/>
    </w:rPr>
  </w:style>
  <w:style w:type="paragraph" w:customStyle="1" w:styleId="150">
    <w:name w:val="列出段落1"/>
    <w:basedOn w:val="1"/>
    <w:qFormat/>
    <w:uiPriority w:val="99"/>
    <w:pPr>
      <w:widowControl/>
      <w:ind w:left="720"/>
      <w:contextualSpacing/>
      <w:jc w:val="left"/>
    </w:pPr>
    <w:rPr>
      <w:rFonts w:ascii="Arial" w:hAnsi="Arial" w:eastAsia="黑体"/>
      <w:kern w:val="0"/>
      <w:sz w:val="24"/>
      <w:lang w:eastAsia="en-US"/>
    </w:rPr>
  </w:style>
  <w:style w:type="paragraph" w:customStyle="1" w:styleId="151">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152">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153">
    <w:name w:val="目录 5_0"/>
    <w:basedOn w:val="62"/>
    <w:next w:val="62"/>
    <w:qFormat/>
    <w:uiPriority w:val="39"/>
    <w:pPr>
      <w:ind w:left="1680" w:leftChars="800"/>
    </w:pPr>
    <w:rPr>
      <w:rFonts w:ascii="Calibri" w:hAnsi="Calibri"/>
    </w:rPr>
  </w:style>
  <w:style w:type="paragraph" w:customStyle="1" w:styleId="154">
    <w:name w:val="修订1"/>
    <w:qFormat/>
    <w:uiPriority w:val="0"/>
    <w:rPr>
      <w:rFonts w:ascii="Times New Roman" w:hAnsi="Times New Roman" w:eastAsia="宋体" w:cs="Times New Roman"/>
      <w:kern w:val="2"/>
      <w:sz w:val="21"/>
      <w:szCs w:val="24"/>
      <w:lang w:val="en-US" w:eastAsia="zh-CN" w:bidi="ar-SA"/>
    </w:rPr>
  </w:style>
  <w:style w:type="paragraph" w:customStyle="1" w:styleId="155">
    <w:name w:val="标题 11"/>
    <w:basedOn w:val="149"/>
    <w:next w:val="149"/>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6">
    <w:name w:val="正文 + 行距: 固定值 20 磅"/>
    <w:basedOn w:val="1"/>
    <w:qFormat/>
    <w:uiPriority w:val="0"/>
    <w:pPr>
      <w:spacing w:line="400" w:lineRule="exact"/>
      <w:ind w:firstLine="716" w:firstLineChars="341"/>
    </w:pPr>
    <w:rPr>
      <w:rFonts w:ascii="Calibri" w:hAnsi="Calibri"/>
      <w:szCs w:val="22"/>
    </w:rPr>
  </w:style>
  <w:style w:type="paragraph" w:customStyle="1" w:styleId="157">
    <w:name w:val="TOC 标题1"/>
    <w:basedOn w:val="4"/>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8">
    <w:name w:val="表格文字"/>
    <w:basedOn w:val="1"/>
    <w:link w:val="189"/>
    <w:qFormat/>
    <w:uiPriority w:val="0"/>
    <w:pPr>
      <w:adjustRightInd w:val="0"/>
      <w:spacing w:line="420" w:lineRule="atLeast"/>
      <w:jc w:val="left"/>
      <w:textAlignment w:val="baseline"/>
    </w:pPr>
    <w:rPr>
      <w:rFonts w:ascii="Calibri" w:hAnsi="Calibri"/>
      <w:kern w:val="0"/>
      <w:szCs w:val="22"/>
    </w:rPr>
  </w:style>
  <w:style w:type="paragraph" w:customStyle="1" w:styleId="159">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60">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61">
    <w:name w:val="表格"/>
    <w:basedOn w:val="1"/>
    <w:qFormat/>
    <w:uiPriority w:val="0"/>
    <w:pPr>
      <w:jc w:val="center"/>
      <w:textAlignment w:val="center"/>
    </w:pPr>
    <w:rPr>
      <w:rFonts w:ascii="华文细黑" w:hAnsi="华文细黑"/>
      <w:kern w:val="0"/>
      <w:szCs w:val="22"/>
    </w:rPr>
  </w:style>
  <w:style w:type="paragraph" w:customStyle="1" w:styleId="16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4">
    <w:name w:val="列出段落2"/>
    <w:basedOn w:val="1"/>
    <w:qFormat/>
    <w:uiPriority w:val="99"/>
    <w:pPr>
      <w:ind w:firstLine="420" w:firstLineChars="200"/>
    </w:pPr>
  </w:style>
  <w:style w:type="paragraph" w:customStyle="1" w:styleId="165">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6">
    <w:name w:val="Char Char Char Char Char Char Char"/>
    <w:basedOn w:val="1"/>
    <w:qFormat/>
    <w:uiPriority w:val="0"/>
    <w:pPr>
      <w:adjustRightInd w:val="0"/>
      <w:spacing w:line="360" w:lineRule="auto"/>
    </w:pPr>
    <w:rPr>
      <w:kern w:val="0"/>
      <w:sz w:val="24"/>
      <w:szCs w:val="20"/>
    </w:rPr>
  </w:style>
  <w:style w:type="paragraph" w:customStyle="1" w:styleId="167">
    <w:name w:val="2方案格式2"/>
    <w:basedOn w:val="147"/>
    <w:qFormat/>
    <w:uiPriority w:val="0"/>
    <w:pPr>
      <w:numPr>
        <w:ilvl w:val="1"/>
      </w:numPr>
      <w:spacing w:before="50" w:after="50" w:line="240" w:lineRule="auto"/>
      <w:outlineLvl w:val="1"/>
    </w:pPr>
    <w:rPr>
      <w:sz w:val="44"/>
    </w:rPr>
  </w:style>
  <w:style w:type="paragraph" w:customStyle="1" w:styleId="16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170">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目录 4_0"/>
    <w:basedOn w:val="62"/>
    <w:next w:val="62"/>
    <w:qFormat/>
    <w:uiPriority w:val="39"/>
    <w:pPr>
      <w:ind w:left="1260" w:leftChars="600"/>
    </w:pPr>
    <w:rPr>
      <w:rFonts w:ascii="Calibri" w:hAnsi="Calibri"/>
    </w:rPr>
  </w:style>
  <w:style w:type="paragraph" w:customStyle="1" w:styleId="172">
    <w:name w:val="目录 3_0"/>
    <w:basedOn w:val="62"/>
    <w:next w:val="62"/>
    <w:qFormat/>
    <w:uiPriority w:val="39"/>
    <w:pPr>
      <w:ind w:left="840" w:leftChars="400"/>
    </w:pPr>
    <w:rPr>
      <w:rFonts w:ascii="Calibri" w:hAnsi="Calibri"/>
    </w:rPr>
  </w:style>
  <w:style w:type="paragraph" w:customStyle="1" w:styleId="173">
    <w:name w:val="样式 标题 1 + 黑体 三号 非加粗 居中 段前: 6 磅 段后: 6 磅 行距: 固定值 20 磅"/>
    <w:basedOn w:val="4"/>
    <w:qFormat/>
    <w:uiPriority w:val="0"/>
    <w:pPr>
      <w:numPr>
        <w:numId w:val="0"/>
      </w:numPr>
      <w:spacing w:before="120" w:after="120" w:line="400" w:lineRule="exact"/>
    </w:pPr>
    <w:rPr>
      <w:rFonts w:ascii="黑体" w:hAnsi="黑体" w:eastAsia="黑体"/>
      <w:b w:val="0"/>
      <w:bCs w:val="0"/>
      <w:szCs w:val="20"/>
    </w:rPr>
  </w:style>
  <w:style w:type="paragraph" w:customStyle="1" w:styleId="174">
    <w:name w:val="1"/>
    <w:basedOn w:val="1"/>
    <w:next w:val="1"/>
    <w:qFormat/>
    <w:uiPriority w:val="0"/>
    <w:rPr>
      <w:rFonts w:ascii="Calibri" w:hAnsi="Calibri"/>
      <w:szCs w:val="22"/>
    </w:rPr>
  </w:style>
  <w:style w:type="paragraph" w:customStyle="1" w:styleId="175">
    <w:name w:val="Blockquote_0"/>
    <w:basedOn w:val="62"/>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6">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77">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78">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
    <w:name w:val="p0"/>
    <w:basedOn w:val="1"/>
    <w:qFormat/>
    <w:uiPriority w:val="0"/>
    <w:pPr>
      <w:widowControl/>
    </w:pPr>
    <w:rPr>
      <w:b/>
      <w:bCs/>
      <w:kern w:val="0"/>
      <w:sz w:val="24"/>
    </w:rPr>
  </w:style>
  <w:style w:type="paragraph" w:customStyle="1" w:styleId="180">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81">
    <w:name w:val="3方案格式3"/>
    <w:basedOn w:val="167"/>
    <w:qFormat/>
    <w:uiPriority w:val="0"/>
    <w:pPr>
      <w:numPr>
        <w:ilvl w:val="2"/>
      </w:numPr>
      <w:outlineLvl w:val="2"/>
    </w:pPr>
    <w:rPr>
      <w:sz w:val="32"/>
    </w:rPr>
  </w:style>
  <w:style w:type="paragraph" w:customStyle="1" w:styleId="182">
    <w:name w:val="样式 标题 2 + Times New Roman 四号 非加粗 段前: 5 磅 段后: 0 磅 行距: 固定值 20..."/>
    <w:basedOn w:val="5"/>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3">
    <w:name w:val="标题2"/>
    <w:basedOn w:val="5"/>
    <w:next w:val="19"/>
    <w:qFormat/>
    <w:uiPriority w:val="0"/>
    <w:pPr>
      <w:spacing w:before="156" w:after="156" w:line="360" w:lineRule="auto"/>
    </w:pPr>
    <w:rPr>
      <w:bCs w:val="0"/>
      <w:sz w:val="24"/>
    </w:rPr>
  </w:style>
  <w:style w:type="paragraph" w:customStyle="1" w:styleId="18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5">
    <w:name w:val="正文11"/>
    <w:qFormat/>
    <w:uiPriority w:val="0"/>
    <w:rPr>
      <w:rFonts w:ascii="Calibri" w:hAnsi="Calibri" w:eastAsia="宋体" w:cs="Calibri"/>
      <w:sz w:val="24"/>
      <w:szCs w:val="24"/>
      <w:lang w:val="en-US" w:eastAsia="zh-CN" w:bidi="ar-SA"/>
    </w:rPr>
  </w:style>
  <w:style w:type="paragraph" w:customStyle="1" w:styleId="186">
    <w:name w:val="正文2"/>
    <w:qFormat/>
    <w:uiPriority w:val="0"/>
    <w:rPr>
      <w:rFonts w:ascii="Times New Roman" w:hAnsi="Times New Roman" w:eastAsia="微软雅黑" w:cs="Times New Roman"/>
      <w:sz w:val="24"/>
      <w:szCs w:val="24"/>
      <w:lang w:val="en-US" w:eastAsia="zh-CN" w:bidi="ar-SA"/>
    </w:rPr>
  </w:style>
  <w:style w:type="paragraph" w:customStyle="1" w:styleId="187">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8">
    <w:name w:val="纯文本2"/>
    <w:basedOn w:val="1"/>
    <w:qFormat/>
    <w:uiPriority w:val="0"/>
    <w:pPr>
      <w:jc w:val="left"/>
    </w:pPr>
    <w:rPr>
      <w:rFonts w:hint="eastAsia" w:ascii="宋体" w:hAnsi="宋体" w:cs="Courier New"/>
      <w:kern w:val="1"/>
      <w:sz w:val="24"/>
      <w:szCs w:val="20"/>
      <w:lang w:bidi="hi-IN"/>
    </w:rPr>
  </w:style>
  <w:style w:type="character" w:customStyle="1" w:styleId="189">
    <w:name w:val="表格文字 字符"/>
    <w:link w:val="158"/>
    <w:qFormat/>
    <w:uiPriority w:val="0"/>
    <w:rPr>
      <w:rFonts w:ascii="Calibri" w:hAnsi="Calibri" w:eastAsia="宋体" w:cs="Times New Roman"/>
      <w:sz w:val="21"/>
      <w:szCs w:val="22"/>
    </w:rPr>
  </w:style>
  <w:style w:type="paragraph" w:customStyle="1" w:styleId="19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List Paragraph_a51b13b6-d5a4-47e0-ab8f-95bc84043e19"/>
    <w:basedOn w:val="1"/>
    <w:next w:val="3"/>
    <w:qFormat/>
    <w:uiPriority w:val="99"/>
    <w:pPr>
      <w:ind w:firstLine="420" w:firstLineChars="200"/>
    </w:pPr>
  </w:style>
  <w:style w:type="paragraph" w:customStyle="1" w:styleId="192">
    <w:name w:val="首行缩进"/>
    <w:basedOn w:val="1"/>
    <w:qFormat/>
    <w:uiPriority w:val="0"/>
    <w:pPr>
      <w:ind w:firstLine="480" w:firstLineChars="200"/>
    </w:pPr>
    <w:rPr>
      <w:szCs w:val="20"/>
      <w:lang w:val="zh-CN"/>
    </w:rPr>
  </w:style>
  <w:style w:type="paragraph" w:customStyle="1" w:styleId="193">
    <w:name w:val="p15"/>
    <w:basedOn w:val="1"/>
    <w:qFormat/>
    <w:uiPriority w:val="0"/>
    <w:pPr>
      <w:widowControl/>
      <w:snapToGrid w:val="0"/>
      <w:jc w:val="left"/>
    </w:pPr>
    <w:rPr>
      <w:rFonts w:ascii="黑体" w:hAnsi="黑体" w:eastAsia="黑体" w:cs="宋体"/>
      <w:color w:val="000000"/>
      <w:kern w:val="0"/>
      <w:sz w:val="24"/>
    </w:rPr>
  </w:style>
  <w:style w:type="paragraph" w:customStyle="1" w:styleId="194">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7C34C-57A6-40EE-9AE1-C3FDF1D51E9E}">
  <ds:schemaRefs/>
</ds:datastoreItem>
</file>

<file path=docProps/app.xml><?xml version="1.0" encoding="utf-8"?>
<Properties xmlns="http://schemas.openxmlformats.org/officeDocument/2006/extended-properties" xmlns:vt="http://schemas.openxmlformats.org/officeDocument/2006/docPropsVTypes">
  <Template>Normal.dotm</Template>
  <Company>江苏省设备成套有限公司</Company>
  <Pages>47</Pages>
  <Words>4651</Words>
  <Characters>26511</Characters>
  <Lines>220</Lines>
  <Paragraphs>62</Paragraphs>
  <TotalTime>2</TotalTime>
  <ScaleCrop>false</ScaleCrop>
  <LinksUpToDate>false</LinksUpToDate>
  <CharactersWithSpaces>31100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2023-09-01T02:49:00Z</dcterms:created>
  <dc:creator>Lenovo User</dc:creator>
  <cp:lastModifiedBy>pupu</cp:lastModifiedBy>
  <cp:lastPrinted>2020-07-17T07:24:00Z</cp:lastPrinted>
  <dcterms:modified xsi:type="dcterms:W3CDTF">2024-02-20T02:54:49Z</dcterms:modified>
  <dc:title>公开招标文件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AC03651FF9E143A7ADB3469F5857CEDD</vt:lpwstr>
  </property>
</Properties>
</file>