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880" w:firstLineChars="200"/>
        <w:rPr>
          <w:rFonts w:hint="eastAsia" w:ascii="宋体" w:hAnsi="宋体" w:eastAsia="宋体" w:cs="宋体"/>
          <w:color w:val="auto"/>
          <w:sz w:val="44"/>
          <w:highlight w:val="none"/>
        </w:rPr>
      </w:pPr>
    </w:p>
    <w:p>
      <w:pPr>
        <w:ind w:firstLine="880" w:firstLineChars="200"/>
        <w:rPr>
          <w:rFonts w:hint="eastAsia" w:ascii="宋体" w:hAnsi="宋体" w:eastAsia="宋体" w:cs="宋体"/>
          <w:color w:val="auto"/>
          <w:sz w:val="44"/>
          <w:highlight w:val="none"/>
        </w:rPr>
      </w:pPr>
    </w:p>
    <w:p>
      <w:pPr>
        <w:tabs>
          <w:tab w:val="left" w:pos="390"/>
          <w:tab w:val="center" w:pos="4404"/>
        </w:tabs>
        <w:jc w:val="center"/>
        <w:rPr>
          <w:rFonts w:hint="eastAsia" w:ascii="宋体" w:hAnsi="宋体" w:eastAsia="宋体" w:cs="宋体"/>
          <w:color w:val="auto"/>
          <w:sz w:val="76"/>
          <w:szCs w:val="76"/>
          <w:highlight w:val="none"/>
        </w:rPr>
      </w:pPr>
      <w:r>
        <w:rPr>
          <w:rFonts w:hint="eastAsia" w:ascii="宋体" w:hAnsi="宋体" w:eastAsia="宋体" w:cs="宋体"/>
          <w:color w:val="auto"/>
          <w:sz w:val="75"/>
          <w:szCs w:val="75"/>
          <w:highlight w:val="none"/>
        </w:rPr>
        <w:t>招标文件</w:t>
      </w:r>
    </w:p>
    <w:p>
      <w:pPr>
        <w:ind w:firstLine="880" w:firstLineChars="200"/>
        <w:rPr>
          <w:rFonts w:hint="eastAsia" w:ascii="宋体" w:hAnsi="宋体" w:eastAsia="宋体" w:cs="宋体"/>
          <w:color w:val="auto"/>
          <w:sz w:val="44"/>
          <w:highlight w:val="none"/>
        </w:rPr>
      </w:pPr>
    </w:p>
    <w:p>
      <w:pPr>
        <w:pStyle w:val="4"/>
        <w:spacing w:before="312" w:after="312"/>
        <w:ind w:firstLine="2898"/>
        <w:rPr>
          <w:rFonts w:hint="eastAsia" w:ascii="宋体" w:hAnsi="宋体" w:eastAsia="宋体" w:cs="宋体"/>
          <w:color w:val="auto"/>
          <w:highlight w:val="none"/>
        </w:rPr>
      </w:pPr>
    </w:p>
    <w:p>
      <w:pPr>
        <w:ind w:firstLine="880" w:firstLineChars="200"/>
        <w:rPr>
          <w:rFonts w:hint="eastAsia" w:ascii="宋体" w:hAnsi="宋体" w:eastAsia="宋体" w:cs="宋体"/>
          <w:color w:val="auto"/>
          <w:sz w:val="44"/>
          <w:highlight w:val="none"/>
        </w:rPr>
      </w:pPr>
    </w:p>
    <w:p>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eastAsia="zh-CN"/>
        </w:rPr>
        <w:t>YSFHZB202302010</w:t>
      </w:r>
    </w:p>
    <w:p>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南京市雨花台区2024-2025年中小学、幼儿园大宗食材供应及配送服务</w:t>
      </w:r>
    </w:p>
    <w:p>
      <w:pPr>
        <w:ind w:firstLine="640" w:firstLineChars="200"/>
        <w:rPr>
          <w:rFonts w:hint="eastAsia" w:ascii="宋体" w:hAnsi="宋体" w:eastAsia="宋体" w:cs="宋体"/>
          <w:color w:val="auto"/>
          <w:sz w:val="32"/>
          <w:highlight w:val="none"/>
        </w:rPr>
      </w:pPr>
    </w:p>
    <w:p>
      <w:pPr>
        <w:rPr>
          <w:rFonts w:hint="eastAsia" w:ascii="宋体" w:hAnsi="宋体" w:eastAsia="宋体" w:cs="宋体"/>
          <w:color w:val="auto"/>
          <w:sz w:val="32"/>
          <w:highlight w:val="none"/>
        </w:rPr>
      </w:pPr>
    </w:p>
    <w:p>
      <w:pPr>
        <w:pStyle w:val="9"/>
        <w:rPr>
          <w:rFonts w:hint="eastAsia" w:ascii="宋体" w:hAnsi="宋体" w:eastAsia="宋体" w:cs="宋体"/>
          <w:color w:val="auto"/>
          <w:highlight w:val="none"/>
        </w:rPr>
      </w:pPr>
    </w:p>
    <w:p>
      <w:pPr>
        <w:ind w:firstLine="640" w:firstLineChars="200"/>
        <w:rPr>
          <w:rFonts w:hint="eastAsia" w:ascii="宋体" w:hAnsi="宋体" w:eastAsia="宋体" w:cs="宋体"/>
          <w:color w:val="auto"/>
          <w:sz w:val="32"/>
          <w:highlight w:val="none"/>
        </w:rPr>
      </w:pPr>
    </w:p>
    <w:p>
      <w:pPr>
        <w:ind w:firstLine="640" w:firstLineChars="200"/>
        <w:rPr>
          <w:rFonts w:hint="eastAsia" w:ascii="宋体" w:hAnsi="宋体" w:eastAsia="宋体" w:cs="宋体"/>
          <w:color w:val="auto"/>
          <w:sz w:val="32"/>
          <w:highlight w:val="none"/>
        </w:rPr>
      </w:pPr>
    </w:p>
    <w:p>
      <w:pPr>
        <w:ind w:firstLine="640" w:firstLineChars="200"/>
        <w:rPr>
          <w:rFonts w:hint="eastAsia" w:ascii="宋体" w:hAnsi="宋体" w:eastAsia="宋体" w:cs="宋体"/>
          <w:color w:val="auto"/>
          <w:sz w:val="32"/>
          <w:highlight w:val="none"/>
        </w:rPr>
      </w:pPr>
    </w:p>
    <w:p>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采购人</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zh-CN"/>
        </w:rPr>
        <w:t>南京市雨花台区教育局</w:t>
      </w:r>
    </w:p>
    <w:p>
      <w:pPr>
        <w:spacing w:line="360" w:lineRule="auto"/>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rPr>
        <w:t>代理人：南京雨顺丰华工程科技咨询股份有限公司</w:t>
      </w:r>
    </w:p>
    <w:p>
      <w:pPr>
        <w:spacing w:line="360" w:lineRule="auto"/>
        <w:ind w:firstLine="2560" w:firstLineChars="80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二O</w:t>
      </w:r>
      <w:r>
        <w:rPr>
          <w:rFonts w:hint="eastAsia" w:ascii="宋体" w:hAnsi="宋体" w:eastAsia="宋体" w:cs="宋体"/>
          <w:color w:val="auto"/>
          <w:sz w:val="32"/>
          <w:szCs w:val="32"/>
          <w:highlight w:val="none"/>
        </w:rPr>
        <w:t>二三</w:t>
      </w:r>
      <w:r>
        <w:rPr>
          <w:rFonts w:hint="eastAsia" w:ascii="宋体" w:hAnsi="宋体" w:eastAsia="宋体" w:cs="宋体"/>
          <w:color w:val="auto"/>
          <w:sz w:val="32"/>
          <w:szCs w:val="32"/>
          <w:highlight w:val="none"/>
          <w:lang w:val="zh-CN"/>
        </w:rPr>
        <w:t>年</w:t>
      </w:r>
      <w:r>
        <w:rPr>
          <w:rFonts w:hint="eastAsia" w:ascii="宋体" w:hAnsi="宋体" w:eastAsia="宋体" w:cs="宋体"/>
          <w:color w:val="auto"/>
          <w:sz w:val="32"/>
          <w:szCs w:val="32"/>
          <w:highlight w:val="none"/>
          <w:lang w:val="en-US" w:eastAsia="zh-CN"/>
        </w:rPr>
        <w:t>十二</w:t>
      </w:r>
      <w:r>
        <w:rPr>
          <w:rFonts w:hint="eastAsia" w:ascii="宋体" w:hAnsi="宋体" w:eastAsia="宋体" w:cs="宋体"/>
          <w:color w:val="auto"/>
          <w:sz w:val="32"/>
          <w:szCs w:val="32"/>
          <w:highlight w:val="none"/>
          <w:lang w:val="zh-CN"/>
        </w:rPr>
        <w:t>月</w:t>
      </w:r>
    </w:p>
    <w:p>
      <w:pPr>
        <w:pStyle w:val="404"/>
        <w:spacing w:line="480" w:lineRule="auto"/>
        <w:ind w:left="0" w:leftChars="0" w:firstLine="0" w:firstLineChars="0"/>
        <w:jc w:val="both"/>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pPr>
        <w:pStyle w:val="404"/>
        <w:spacing w:line="480" w:lineRule="auto"/>
        <w:ind w:left="0" w:leftChars="0" w:firstLine="0" w:firstLineChars="0"/>
        <w:jc w:val="both"/>
        <w:rPr>
          <w:rFonts w:hint="eastAsia" w:ascii="宋体" w:hAnsi="宋体" w:eastAsia="宋体" w:cs="宋体"/>
          <w:color w:val="auto"/>
          <w:sz w:val="44"/>
          <w:highlight w:val="none"/>
        </w:rPr>
      </w:pPr>
    </w:p>
    <w:p>
      <w:pPr>
        <w:pStyle w:val="404"/>
        <w:spacing w:line="480" w:lineRule="auto"/>
        <w:ind w:left="0" w:leftChars="0" w:firstLine="0" w:firstLineChars="0"/>
        <w:jc w:val="center"/>
        <w:rPr>
          <w:rFonts w:hint="eastAsia" w:ascii="宋体" w:hAnsi="宋体" w:eastAsia="宋体" w:cs="宋体"/>
          <w:b w:val="0"/>
          <w:color w:val="auto"/>
          <w:sz w:val="40"/>
          <w:highlight w:val="none"/>
        </w:rPr>
      </w:pPr>
      <w:r>
        <w:rPr>
          <w:rFonts w:hint="eastAsia" w:ascii="宋体" w:hAnsi="宋体" w:eastAsia="宋体" w:cs="宋体"/>
          <w:b w:val="0"/>
          <w:color w:val="auto"/>
          <w:sz w:val="40"/>
          <w:highlight w:val="none"/>
          <w:lang w:val="zh-CN"/>
        </w:rPr>
        <w:t>目录</w:t>
      </w:r>
    </w:p>
    <w:p>
      <w:pPr>
        <w:pStyle w:val="42"/>
        <w:tabs>
          <w:tab w:val="right" w:leader="dot" w:pos="9394"/>
        </w:tabs>
        <w:spacing w:line="480" w:lineRule="auto"/>
        <w:jc w:val="center"/>
        <w:rPr>
          <w:rFonts w:hint="eastAsia" w:ascii="宋体" w:hAnsi="宋体" w:eastAsia="宋体" w:cs="宋体"/>
          <w:color w:val="auto"/>
          <w:sz w:val="28"/>
          <w:szCs w:val="22"/>
          <w:highlight w:val="none"/>
        </w:rPr>
      </w:pPr>
      <w:r>
        <w:rPr>
          <w:rFonts w:hint="eastAsia" w:ascii="宋体" w:hAnsi="宋体" w:eastAsia="宋体" w:cs="宋体"/>
          <w:color w:val="auto"/>
          <w:sz w:val="28"/>
          <w:highlight w:val="none"/>
        </w:rPr>
        <w:fldChar w:fldCharType="begin"/>
      </w:r>
      <w:r>
        <w:rPr>
          <w:rFonts w:hint="eastAsia" w:ascii="宋体" w:hAnsi="宋体" w:eastAsia="宋体" w:cs="宋体"/>
          <w:color w:val="auto"/>
          <w:sz w:val="28"/>
          <w:highlight w:val="none"/>
        </w:rPr>
        <w:instrText xml:space="preserve"> TOC \o "1-3" \h \z \u </w:instrText>
      </w:r>
      <w:r>
        <w:rPr>
          <w:rFonts w:hint="eastAsia" w:ascii="宋体" w:hAnsi="宋体" w:eastAsia="宋体" w:cs="宋体"/>
          <w:color w:val="auto"/>
          <w:sz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"_Toc488329624"</w:instrText>
      </w:r>
      <w:r>
        <w:rPr>
          <w:rFonts w:hint="eastAsia" w:ascii="宋体" w:hAnsi="宋体" w:eastAsia="宋体" w:cs="宋体"/>
          <w:color w:val="auto"/>
          <w:highlight w:val="none"/>
        </w:rPr>
        <w:fldChar w:fldCharType="separate"/>
      </w:r>
      <w:r>
        <w:rPr>
          <w:rStyle w:val="73"/>
          <w:rFonts w:hint="eastAsia" w:ascii="宋体" w:hAnsi="宋体" w:eastAsia="宋体" w:cs="宋体"/>
          <w:color w:val="auto"/>
          <w:sz w:val="28"/>
          <w:highlight w:val="none"/>
          <w:lang w:val="zh-CN"/>
        </w:rPr>
        <w:t>第一章、招标公告</w:t>
      </w:r>
      <w:r>
        <w:rPr>
          <w:rFonts w:hint="eastAsia" w:ascii="宋体" w:hAnsi="宋体" w:eastAsia="宋体" w:cs="宋体"/>
          <w:color w:val="auto"/>
          <w:sz w:val="28"/>
          <w:highlight w:val="none"/>
        </w:rPr>
        <w:tab/>
      </w:r>
      <w:r>
        <w:rPr>
          <w:rFonts w:hint="eastAsia" w:ascii="宋体" w:hAnsi="宋体" w:eastAsia="宋体" w:cs="宋体"/>
          <w:color w:val="auto"/>
          <w:sz w:val="28"/>
          <w:highlight w:val="none"/>
          <w:lang w:val="en-US" w:eastAsia="zh-CN"/>
        </w:rPr>
        <w:t>3</w:t>
      </w:r>
      <w:r>
        <w:rPr>
          <w:rFonts w:hint="eastAsia" w:ascii="宋体" w:hAnsi="宋体" w:eastAsia="宋体" w:cs="宋体"/>
          <w:color w:val="auto"/>
          <w:highlight w:val="none"/>
        </w:rPr>
        <w:fldChar w:fldCharType="end"/>
      </w:r>
    </w:p>
    <w:p>
      <w:pPr>
        <w:pStyle w:val="42"/>
        <w:tabs>
          <w:tab w:val="right" w:leader="dot" w:pos="9394"/>
        </w:tabs>
        <w:spacing w:line="480" w:lineRule="auto"/>
        <w:jc w:val="center"/>
        <w:rPr>
          <w:rFonts w:hint="eastAsia" w:ascii="宋体" w:hAnsi="宋体" w:eastAsia="宋体" w:cs="宋体"/>
          <w:color w:val="auto"/>
          <w:sz w:val="28"/>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"_Toc488329625"</w:instrText>
      </w:r>
      <w:r>
        <w:rPr>
          <w:rFonts w:hint="eastAsia" w:ascii="宋体" w:hAnsi="宋体" w:eastAsia="宋体" w:cs="宋体"/>
          <w:color w:val="auto"/>
          <w:highlight w:val="none"/>
        </w:rPr>
        <w:fldChar w:fldCharType="separate"/>
      </w:r>
      <w:r>
        <w:rPr>
          <w:rStyle w:val="73"/>
          <w:rFonts w:hint="eastAsia" w:ascii="宋体" w:hAnsi="宋体" w:eastAsia="宋体" w:cs="宋体"/>
          <w:color w:val="auto"/>
          <w:sz w:val="28"/>
          <w:highlight w:val="none"/>
          <w:lang w:val="zh-CN"/>
        </w:rPr>
        <w:t>第二章、</w:t>
      </w:r>
      <w:r>
        <w:rPr>
          <w:rStyle w:val="73"/>
          <w:rFonts w:hint="eastAsia" w:ascii="宋体" w:hAnsi="宋体" w:eastAsia="宋体" w:cs="宋体"/>
          <w:color w:val="auto"/>
          <w:sz w:val="28"/>
          <w:highlight w:val="none"/>
          <w:lang w:val="en-US" w:eastAsia="zh-CN"/>
        </w:rPr>
        <w:t>投标人</w:t>
      </w:r>
      <w:r>
        <w:rPr>
          <w:rStyle w:val="73"/>
          <w:rFonts w:hint="eastAsia" w:ascii="宋体" w:hAnsi="宋体" w:eastAsia="宋体" w:cs="宋体"/>
          <w:color w:val="auto"/>
          <w:sz w:val="28"/>
          <w:highlight w:val="none"/>
          <w:lang w:val="zh-CN"/>
        </w:rPr>
        <w:t>须知</w:t>
      </w:r>
      <w:r>
        <w:rPr>
          <w:rFonts w:hint="eastAsia" w:ascii="宋体" w:hAnsi="宋体" w:eastAsia="宋体" w:cs="宋体"/>
          <w:color w:val="auto"/>
          <w:sz w:val="28"/>
          <w:highlight w:val="none"/>
        </w:rPr>
        <w:tab/>
      </w:r>
      <w:r>
        <w:rPr>
          <w:rFonts w:hint="eastAsia" w:ascii="宋体" w:hAnsi="宋体" w:eastAsia="宋体" w:cs="宋体"/>
          <w:color w:val="auto"/>
          <w:sz w:val="28"/>
          <w:highlight w:val="none"/>
          <w:lang w:val="en-US" w:eastAsia="zh-CN"/>
        </w:rPr>
        <w:t>8</w:t>
      </w:r>
      <w:r>
        <w:rPr>
          <w:rFonts w:hint="eastAsia" w:ascii="宋体" w:hAnsi="宋体" w:eastAsia="宋体" w:cs="宋体"/>
          <w:color w:val="auto"/>
          <w:highlight w:val="none"/>
        </w:rPr>
        <w:fldChar w:fldCharType="end"/>
      </w:r>
    </w:p>
    <w:p>
      <w:pPr>
        <w:pStyle w:val="42"/>
        <w:tabs>
          <w:tab w:val="right" w:leader="dot" w:pos="9394"/>
        </w:tabs>
        <w:spacing w:line="480" w:lineRule="auto"/>
        <w:jc w:val="center"/>
        <w:rPr>
          <w:rFonts w:hint="eastAsia" w:ascii="宋体" w:hAnsi="宋体" w:eastAsia="宋体" w:cs="宋体"/>
          <w:color w:val="auto"/>
          <w:sz w:val="28"/>
          <w:szCs w:val="22"/>
          <w:highlight w:val="none"/>
          <w:lang w:val="en-US" w:eastAsia="zh-CN"/>
        </w:rPr>
      </w:pPr>
      <w:r>
        <w:rPr>
          <w:rFonts w:hint="eastAsia" w:ascii="宋体" w:hAnsi="宋体" w:eastAsia="宋体" w:cs="宋体"/>
          <w:color w:val="auto"/>
          <w:sz w:val="28"/>
          <w:highlight w:val="none"/>
        </w:rPr>
        <w:fldChar w:fldCharType="begin"/>
      </w:r>
      <w:r>
        <w:rPr>
          <w:rFonts w:hint="eastAsia" w:ascii="宋体" w:hAnsi="宋体" w:eastAsia="宋体" w:cs="宋体"/>
          <w:color w:val="auto"/>
          <w:sz w:val="28"/>
          <w:highlight w:val="none"/>
        </w:rPr>
        <w:instrText xml:space="preserve">HYPERLINK \l "_Toc488329634"</w:instrText>
      </w:r>
      <w:r>
        <w:rPr>
          <w:rFonts w:hint="eastAsia" w:ascii="宋体" w:hAnsi="宋体" w:eastAsia="宋体" w:cs="宋体"/>
          <w:color w:val="auto"/>
          <w:sz w:val="28"/>
          <w:highlight w:val="none"/>
        </w:rPr>
        <w:fldChar w:fldCharType="separate"/>
      </w:r>
      <w:r>
        <w:rPr>
          <w:rFonts w:hint="eastAsia" w:ascii="宋体" w:hAnsi="宋体" w:eastAsia="宋体" w:cs="宋体"/>
          <w:color w:val="auto"/>
          <w:sz w:val="28"/>
          <w:highlight w:val="none"/>
        </w:rPr>
        <w:t>第三章、评标</w:t>
      </w:r>
      <w:r>
        <w:rPr>
          <w:rFonts w:hint="eastAsia" w:ascii="宋体" w:hAnsi="宋体" w:cs="宋体"/>
          <w:color w:val="auto"/>
          <w:sz w:val="28"/>
          <w:highlight w:val="none"/>
          <w:lang w:val="en-US" w:eastAsia="zh-CN"/>
        </w:rPr>
        <w:t>办法</w:t>
      </w:r>
      <w:r>
        <w:rPr>
          <w:rFonts w:hint="eastAsia" w:ascii="宋体" w:hAnsi="宋体" w:eastAsia="宋体" w:cs="宋体"/>
          <w:color w:val="auto"/>
          <w:sz w:val="28"/>
          <w:highlight w:val="none"/>
        </w:rPr>
        <w:tab/>
      </w:r>
      <w:r>
        <w:rPr>
          <w:rFonts w:hint="eastAsia" w:ascii="宋体" w:hAnsi="宋体" w:eastAsia="宋体" w:cs="宋体"/>
          <w:color w:val="auto"/>
          <w:sz w:val="28"/>
          <w:highlight w:val="none"/>
          <w:lang w:val="en-US" w:eastAsia="zh-CN"/>
        </w:rPr>
        <w:t>1</w:t>
      </w:r>
      <w:r>
        <w:rPr>
          <w:rFonts w:hint="eastAsia" w:ascii="宋体" w:hAnsi="宋体" w:eastAsia="宋体" w:cs="宋体"/>
          <w:color w:val="auto"/>
          <w:sz w:val="28"/>
          <w:highlight w:val="none"/>
        </w:rPr>
        <w:fldChar w:fldCharType="end"/>
      </w:r>
      <w:r>
        <w:rPr>
          <w:rFonts w:hint="eastAsia" w:ascii="宋体" w:hAnsi="宋体" w:eastAsia="宋体" w:cs="宋体"/>
          <w:color w:val="auto"/>
          <w:sz w:val="28"/>
          <w:highlight w:val="none"/>
          <w:lang w:val="en-US" w:eastAsia="zh-CN"/>
        </w:rPr>
        <w:t>7</w:t>
      </w:r>
    </w:p>
    <w:p>
      <w:pPr>
        <w:pStyle w:val="42"/>
        <w:tabs>
          <w:tab w:val="right" w:leader="dot" w:pos="9394"/>
        </w:tabs>
        <w:spacing w:line="480" w:lineRule="auto"/>
        <w:jc w:val="center"/>
        <w:rPr>
          <w:rFonts w:hint="eastAsia" w:ascii="宋体" w:hAnsi="宋体" w:eastAsia="宋体" w:cs="宋体"/>
          <w:color w:val="auto"/>
          <w:sz w:val="28"/>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"_Toc488329635"</w:instrText>
      </w:r>
      <w:r>
        <w:rPr>
          <w:rFonts w:hint="eastAsia" w:ascii="宋体" w:hAnsi="宋体" w:eastAsia="宋体" w:cs="宋体"/>
          <w:color w:val="auto"/>
          <w:highlight w:val="none"/>
        </w:rPr>
        <w:fldChar w:fldCharType="separate"/>
      </w:r>
      <w:r>
        <w:rPr>
          <w:rStyle w:val="73"/>
          <w:rFonts w:hint="eastAsia" w:ascii="宋体" w:hAnsi="宋体" w:eastAsia="宋体" w:cs="宋体"/>
          <w:color w:val="auto"/>
          <w:sz w:val="28"/>
          <w:highlight w:val="none"/>
        </w:rPr>
        <w:t>第四章、</w:t>
      </w:r>
      <w:r>
        <w:rPr>
          <w:rStyle w:val="73"/>
          <w:rFonts w:hint="eastAsia" w:ascii="宋体" w:hAnsi="宋体" w:eastAsia="宋体" w:cs="宋体"/>
          <w:color w:val="auto"/>
          <w:sz w:val="28"/>
          <w:highlight w:val="none"/>
          <w:lang w:val="en-US" w:eastAsia="zh-CN"/>
        </w:rPr>
        <w:t>采购需求</w:t>
      </w:r>
      <w:r>
        <w:rPr>
          <w:rFonts w:hint="eastAsia" w:ascii="宋体" w:hAnsi="宋体" w:eastAsia="宋体" w:cs="宋体"/>
          <w:color w:val="auto"/>
          <w:sz w:val="28"/>
          <w:highlight w:val="none"/>
        </w:rPr>
        <w:tab/>
      </w:r>
      <w:r>
        <w:rPr>
          <w:rFonts w:hint="eastAsia" w:ascii="宋体" w:hAnsi="宋体" w:eastAsia="宋体" w:cs="宋体"/>
          <w:color w:val="auto"/>
          <w:sz w:val="28"/>
          <w:highlight w:val="none"/>
          <w:lang w:val="en-US" w:eastAsia="zh-CN"/>
        </w:rPr>
        <w:t>2</w:t>
      </w:r>
      <w:r>
        <w:rPr>
          <w:rFonts w:hint="eastAsia" w:ascii="宋体" w:hAnsi="宋体" w:eastAsia="宋体" w:cs="宋体"/>
          <w:color w:val="auto"/>
          <w:highlight w:val="none"/>
        </w:rPr>
        <w:fldChar w:fldCharType="end"/>
      </w:r>
      <w:r>
        <w:rPr>
          <w:rFonts w:hint="eastAsia" w:ascii="宋体" w:hAnsi="宋体" w:eastAsia="宋体" w:cs="宋体"/>
          <w:color w:val="auto"/>
          <w:sz w:val="28"/>
          <w:highlight w:val="none"/>
          <w:lang w:val="en-US" w:eastAsia="zh-CN"/>
        </w:rPr>
        <w:t>1</w:t>
      </w:r>
    </w:p>
    <w:p>
      <w:pPr>
        <w:pStyle w:val="42"/>
        <w:tabs>
          <w:tab w:val="right" w:leader="dot" w:pos="9394"/>
        </w:tabs>
        <w:spacing w:line="480" w:lineRule="auto"/>
        <w:jc w:val="center"/>
        <w:rPr>
          <w:rFonts w:hint="eastAsia" w:ascii="宋体" w:hAnsi="宋体" w:eastAsia="宋体" w:cs="宋体"/>
          <w:color w:val="auto"/>
          <w:sz w:val="28"/>
          <w:szCs w:val="22"/>
          <w:highlight w:val="none"/>
          <w:lang w:val="en-US" w:eastAsia="zh-CN"/>
        </w:rPr>
      </w:pPr>
      <w:r>
        <w:rPr>
          <w:rFonts w:hint="eastAsia" w:ascii="宋体" w:hAnsi="宋体" w:eastAsia="宋体" w:cs="宋体"/>
          <w:color w:val="auto"/>
          <w:sz w:val="28"/>
          <w:highlight w:val="none"/>
        </w:rPr>
        <w:fldChar w:fldCharType="begin"/>
      </w:r>
      <w:r>
        <w:rPr>
          <w:rFonts w:hint="eastAsia" w:ascii="宋体" w:hAnsi="宋体" w:eastAsia="宋体" w:cs="宋体"/>
          <w:color w:val="auto"/>
          <w:sz w:val="28"/>
          <w:highlight w:val="none"/>
        </w:rPr>
        <w:instrText xml:space="preserve">HYPERLINK \l "_Toc488329636"</w:instrText>
      </w:r>
      <w:r>
        <w:rPr>
          <w:rFonts w:hint="eastAsia" w:ascii="宋体" w:hAnsi="宋体" w:eastAsia="宋体" w:cs="宋体"/>
          <w:color w:val="auto"/>
          <w:sz w:val="28"/>
          <w:highlight w:val="none"/>
        </w:rPr>
        <w:fldChar w:fldCharType="separate"/>
      </w:r>
      <w:r>
        <w:rPr>
          <w:rStyle w:val="73"/>
          <w:rFonts w:hint="eastAsia" w:ascii="宋体" w:hAnsi="宋体" w:eastAsia="宋体" w:cs="宋体"/>
          <w:color w:val="auto"/>
          <w:sz w:val="28"/>
          <w:highlight w:val="none"/>
          <w:lang w:val="zh-CN"/>
        </w:rPr>
        <w:t>第五章</w:t>
      </w:r>
      <w:r>
        <w:rPr>
          <w:rStyle w:val="73"/>
          <w:rFonts w:hint="eastAsia" w:ascii="宋体" w:hAnsi="宋体" w:eastAsia="宋体" w:cs="宋体"/>
          <w:color w:val="auto"/>
          <w:sz w:val="28"/>
          <w:highlight w:val="none"/>
        </w:rPr>
        <w:t>、</w:t>
      </w:r>
      <w:r>
        <w:rPr>
          <w:rStyle w:val="73"/>
          <w:rFonts w:hint="eastAsia" w:ascii="宋体" w:hAnsi="宋体" w:eastAsia="宋体" w:cs="宋体"/>
          <w:color w:val="auto"/>
          <w:sz w:val="28"/>
          <w:highlight w:val="none"/>
          <w:lang w:val="zh-CN"/>
        </w:rPr>
        <w:t>合同条款</w:t>
      </w:r>
      <w:r>
        <w:rPr>
          <w:rFonts w:hint="eastAsia" w:ascii="宋体" w:hAnsi="宋体" w:eastAsia="宋体" w:cs="宋体"/>
          <w:color w:val="auto"/>
          <w:sz w:val="28"/>
          <w:highlight w:val="none"/>
        </w:rPr>
        <w:tab/>
      </w:r>
      <w:r>
        <w:rPr>
          <w:rFonts w:hint="eastAsia" w:ascii="宋体" w:hAnsi="宋体" w:eastAsia="宋体" w:cs="宋体"/>
          <w:color w:val="auto"/>
          <w:sz w:val="28"/>
          <w:highlight w:val="none"/>
          <w:lang w:val="en-US" w:eastAsia="zh-CN"/>
        </w:rPr>
        <w:t>4</w:t>
      </w:r>
      <w:r>
        <w:rPr>
          <w:rFonts w:hint="eastAsia" w:ascii="宋体" w:hAnsi="宋体" w:eastAsia="宋体" w:cs="宋体"/>
          <w:color w:val="auto"/>
          <w:sz w:val="28"/>
          <w:highlight w:val="none"/>
        </w:rPr>
        <w:fldChar w:fldCharType="end"/>
      </w:r>
      <w:r>
        <w:rPr>
          <w:rFonts w:hint="eastAsia" w:ascii="宋体" w:hAnsi="宋体" w:eastAsia="宋体" w:cs="宋体"/>
          <w:color w:val="auto"/>
          <w:sz w:val="28"/>
          <w:highlight w:val="none"/>
          <w:lang w:val="en-US" w:eastAsia="zh-CN"/>
        </w:rPr>
        <w:t>6</w:t>
      </w:r>
    </w:p>
    <w:p>
      <w:pPr>
        <w:pStyle w:val="42"/>
        <w:tabs>
          <w:tab w:val="right" w:leader="dot" w:pos="9394"/>
        </w:tabs>
        <w:spacing w:line="480" w:lineRule="auto"/>
        <w:jc w:val="center"/>
        <w:rPr>
          <w:rFonts w:hint="eastAsia" w:ascii="宋体" w:hAnsi="宋体" w:eastAsia="宋体" w:cs="宋体"/>
          <w:color w:val="auto"/>
          <w:sz w:val="28"/>
          <w:szCs w:val="22"/>
          <w:highlight w:val="none"/>
          <w:lang w:val="en-US" w:eastAsia="zh-CN"/>
        </w:rPr>
      </w:pPr>
      <w:r>
        <w:rPr>
          <w:rFonts w:hint="eastAsia" w:ascii="宋体" w:hAnsi="宋体" w:eastAsia="宋体" w:cs="宋体"/>
          <w:color w:val="auto"/>
          <w:sz w:val="28"/>
          <w:highlight w:val="none"/>
        </w:rPr>
        <w:fldChar w:fldCharType="begin"/>
      </w:r>
      <w:r>
        <w:rPr>
          <w:rFonts w:hint="eastAsia" w:ascii="宋体" w:hAnsi="宋体" w:eastAsia="宋体" w:cs="宋体"/>
          <w:color w:val="auto"/>
          <w:sz w:val="28"/>
          <w:highlight w:val="none"/>
        </w:rPr>
        <w:instrText xml:space="preserve">HYPERLINK \l "_Toc488329639"</w:instrText>
      </w:r>
      <w:r>
        <w:rPr>
          <w:rFonts w:hint="eastAsia" w:ascii="宋体" w:hAnsi="宋体" w:eastAsia="宋体" w:cs="宋体"/>
          <w:color w:val="auto"/>
          <w:sz w:val="28"/>
          <w:highlight w:val="none"/>
        </w:rPr>
        <w:fldChar w:fldCharType="separate"/>
      </w:r>
      <w:r>
        <w:rPr>
          <w:rStyle w:val="73"/>
          <w:rFonts w:hint="eastAsia" w:ascii="宋体" w:hAnsi="宋体" w:eastAsia="宋体" w:cs="宋体"/>
          <w:color w:val="auto"/>
          <w:sz w:val="28"/>
          <w:highlight w:val="none"/>
          <w:lang w:val="zh-CN"/>
        </w:rPr>
        <w:t>第六章、</w:t>
      </w:r>
      <w:bookmarkStart w:id="0" w:name="_Hlt24033506"/>
      <w:bookmarkStart w:id="1" w:name="_Hlt24033505"/>
      <w:r>
        <w:rPr>
          <w:rStyle w:val="73"/>
          <w:rFonts w:hint="eastAsia" w:ascii="宋体" w:hAnsi="宋体" w:eastAsia="宋体" w:cs="宋体"/>
          <w:color w:val="auto"/>
          <w:sz w:val="28"/>
          <w:highlight w:val="none"/>
          <w:lang w:val="en-US" w:eastAsia="zh-CN"/>
        </w:rPr>
        <w:t>投标文件格式及</w:t>
      </w:r>
      <w:r>
        <w:rPr>
          <w:rStyle w:val="73"/>
          <w:rFonts w:hint="eastAsia" w:ascii="宋体" w:hAnsi="宋体" w:eastAsia="宋体" w:cs="宋体"/>
          <w:color w:val="auto"/>
          <w:sz w:val="28"/>
          <w:highlight w:val="none"/>
          <w:lang w:val="zh-CN"/>
        </w:rPr>
        <w:t>附</w:t>
      </w:r>
      <w:bookmarkEnd w:id="0"/>
      <w:bookmarkEnd w:id="1"/>
      <w:r>
        <w:rPr>
          <w:rStyle w:val="73"/>
          <w:rFonts w:hint="eastAsia" w:ascii="宋体" w:hAnsi="宋体" w:eastAsia="宋体" w:cs="宋体"/>
          <w:color w:val="auto"/>
          <w:sz w:val="28"/>
          <w:highlight w:val="none"/>
          <w:lang w:val="zh-CN"/>
        </w:rPr>
        <w:t>件</w:t>
      </w:r>
      <w:r>
        <w:rPr>
          <w:rFonts w:hint="eastAsia" w:ascii="宋体" w:hAnsi="宋体" w:eastAsia="宋体" w:cs="宋体"/>
          <w:color w:val="auto"/>
          <w:sz w:val="28"/>
          <w:highlight w:val="none"/>
        </w:rPr>
        <w:tab/>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rPr>
        <w:fldChar w:fldCharType="end"/>
      </w:r>
      <w:r>
        <w:rPr>
          <w:rFonts w:hint="eastAsia" w:ascii="宋体" w:hAnsi="宋体" w:eastAsia="宋体" w:cs="宋体"/>
          <w:color w:val="auto"/>
          <w:sz w:val="28"/>
          <w:highlight w:val="none"/>
          <w:lang w:val="en-US" w:eastAsia="zh-CN"/>
        </w:rPr>
        <w:t>2</w:t>
      </w:r>
    </w:p>
    <w:p>
      <w:pPr>
        <w:rPr>
          <w:rFonts w:hint="eastAsia" w:ascii="宋体" w:hAnsi="宋体" w:eastAsia="宋体" w:cs="宋体"/>
          <w:color w:val="auto"/>
          <w:sz w:val="44"/>
          <w:highlight w:val="none"/>
        </w:rPr>
      </w:pPr>
      <w:r>
        <w:rPr>
          <w:rFonts w:hint="eastAsia" w:ascii="宋体" w:hAnsi="宋体" w:eastAsia="宋体" w:cs="宋体"/>
          <w:color w:val="auto"/>
          <w:sz w:val="28"/>
          <w:highlight w:val="none"/>
        </w:rPr>
        <w:fldChar w:fldCharType="end"/>
      </w:r>
    </w:p>
    <w:p>
      <w:pPr>
        <w:rPr>
          <w:rFonts w:hint="eastAsia" w:ascii="宋体" w:hAnsi="宋体" w:eastAsia="宋体" w:cs="宋体"/>
          <w:color w:val="auto"/>
          <w:spacing w:val="-10"/>
          <w:sz w:val="36"/>
          <w:szCs w:val="36"/>
          <w:highlight w:val="none"/>
        </w:rPr>
      </w:pPr>
      <w:r>
        <w:rPr>
          <w:rFonts w:hint="eastAsia" w:ascii="宋体" w:hAnsi="宋体" w:eastAsia="宋体" w:cs="宋体"/>
          <w:color w:val="auto"/>
          <w:spacing w:val="-10"/>
          <w:sz w:val="36"/>
          <w:szCs w:val="36"/>
          <w:highlight w:val="none"/>
        </w:rPr>
        <w:br w:type="page"/>
      </w:r>
    </w:p>
    <w:p>
      <w:pPr>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pacing w:val="-10"/>
          <w:sz w:val="36"/>
          <w:szCs w:val="36"/>
          <w:highlight w:val="none"/>
        </w:rPr>
        <w:t>第一章 招标公告</w:t>
      </w:r>
    </w:p>
    <w:p>
      <w:pPr>
        <w:adjustRightInd w:val="0"/>
        <w:snapToGrid w:val="0"/>
        <w:ind w:firstLine="420" w:firstLineChars="200"/>
        <w:rPr>
          <w:rFonts w:hint="eastAsia" w:ascii="宋体" w:hAnsi="宋体" w:eastAsia="宋体" w:cs="宋体"/>
          <w:color w:val="auto"/>
          <w:szCs w:val="21"/>
          <w:highlight w:val="none"/>
          <w:lang w:val="zh-CN"/>
        </w:rPr>
      </w:pP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u w:val="single"/>
        </w:rPr>
        <w:t>南京雨顺丰华工程科技咨询股份有限公司</w:t>
      </w:r>
      <w:r>
        <w:rPr>
          <w:rFonts w:hint="eastAsia" w:ascii="宋体" w:hAnsi="宋体" w:eastAsia="宋体" w:cs="宋体"/>
          <w:color w:val="auto"/>
          <w:szCs w:val="21"/>
          <w:highlight w:val="none"/>
          <w:lang w:val="zh-CN"/>
        </w:rPr>
        <w:t>受</w:t>
      </w:r>
      <w:r>
        <w:rPr>
          <w:rFonts w:hint="eastAsia" w:ascii="宋体" w:hAnsi="宋体" w:eastAsia="宋体" w:cs="宋体"/>
          <w:color w:val="auto"/>
          <w:szCs w:val="21"/>
          <w:highlight w:val="none"/>
          <w:u w:val="single"/>
          <w:lang w:val="zh-CN"/>
        </w:rPr>
        <w:t>南京市雨花台区教育局</w:t>
      </w:r>
      <w:r>
        <w:rPr>
          <w:rFonts w:hint="eastAsia" w:ascii="宋体" w:hAnsi="宋体" w:eastAsia="宋体" w:cs="宋体"/>
          <w:color w:val="auto"/>
          <w:szCs w:val="21"/>
          <w:highlight w:val="none"/>
          <w:lang w:val="zh-CN"/>
        </w:rPr>
        <w:t>（单位名称，以下简称“采购人”）委托，就</w:t>
      </w:r>
      <w:r>
        <w:rPr>
          <w:rFonts w:hint="eastAsia" w:ascii="宋体" w:hAnsi="宋体" w:cs="宋体"/>
          <w:color w:val="auto"/>
          <w:szCs w:val="21"/>
          <w:highlight w:val="none"/>
          <w:u w:val="single"/>
          <w:lang w:eastAsia="zh-CN"/>
        </w:rPr>
        <w:t>南京市雨花台区2024-2025年中小学、幼儿园大宗食材供应及配送服务</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val="zh-CN"/>
        </w:rPr>
        <w:t>进行公开招标采购，兹邀请符合资格条件的投标人</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一、项目基本情况：</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1、项目编号：</w:t>
      </w:r>
      <w:r>
        <w:rPr>
          <w:rFonts w:hint="eastAsia" w:ascii="宋体" w:hAnsi="宋体" w:cs="宋体"/>
          <w:color w:val="auto"/>
          <w:szCs w:val="21"/>
          <w:highlight w:val="none"/>
          <w:lang w:eastAsia="zh-CN"/>
        </w:rPr>
        <w:t>YSFHZB202302010</w:t>
      </w:r>
    </w:p>
    <w:p>
      <w:pPr>
        <w:autoSpaceDE w:val="0"/>
        <w:autoSpaceDN w:val="0"/>
        <w:adjustRightInd w:val="0"/>
        <w:spacing w:before="4" w:after="4" w:line="360" w:lineRule="auto"/>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zh-CN"/>
        </w:rPr>
        <w:t>2、项目名称：</w:t>
      </w:r>
      <w:r>
        <w:rPr>
          <w:rFonts w:hint="eastAsia" w:ascii="宋体" w:hAnsi="宋体" w:cs="宋体"/>
          <w:color w:val="auto"/>
          <w:kern w:val="0"/>
          <w:sz w:val="22"/>
          <w:szCs w:val="22"/>
          <w:highlight w:val="none"/>
          <w:lang w:eastAsia="zh-CN"/>
        </w:rPr>
        <w:t>南京市雨花台区2024-2025年中小学、幼儿园大宗食材供应及配送服务，</w:t>
      </w:r>
      <w:r>
        <w:rPr>
          <w:rFonts w:hint="eastAsia" w:ascii="宋体" w:hAnsi="宋体" w:cs="宋体"/>
          <w:color w:val="auto"/>
          <w:kern w:val="0"/>
          <w:sz w:val="22"/>
          <w:szCs w:val="22"/>
          <w:highlight w:val="none"/>
          <w:lang w:val="en-US" w:eastAsia="zh-CN"/>
        </w:rPr>
        <w:t>项目分为如下八个包：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u w:val="none"/>
          <w:lang w:val="en-US" w:eastAsia="zh-CN"/>
        </w:rPr>
      </w:pPr>
      <w:r>
        <w:rPr>
          <w:rFonts w:hint="eastAsia"/>
          <w:color w:val="auto"/>
          <w:highlight w:val="none"/>
          <w:u w:val="none"/>
          <w:lang w:val="en-US" w:eastAsia="zh-CN"/>
        </w:rPr>
        <w:t>包一：粮、油  （入围12家）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olor w:val="auto"/>
          <w:highlight w:val="none"/>
          <w:u w:val="none"/>
          <w:lang w:val="en-US" w:eastAsia="zh-CN"/>
        </w:rPr>
      </w:pPr>
      <w:r>
        <w:rPr>
          <w:rFonts w:hint="eastAsia"/>
          <w:color w:val="auto"/>
          <w:highlight w:val="none"/>
          <w:u w:val="none"/>
          <w:lang w:val="en-US" w:eastAsia="zh-CN"/>
        </w:rPr>
        <w:t>包二：干货调味品  （入围12家）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u w:val="none"/>
          <w:lang w:val="en-US" w:eastAsia="zh-CN"/>
        </w:rPr>
      </w:pPr>
      <w:r>
        <w:rPr>
          <w:rFonts w:hint="eastAsia"/>
          <w:color w:val="auto"/>
          <w:highlight w:val="none"/>
          <w:u w:val="none"/>
          <w:lang w:val="en-US" w:eastAsia="zh-CN"/>
        </w:rPr>
        <w:t>包三：面点、乳制品  （入围12家）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u w:val="none"/>
          <w:lang w:val="en-US" w:eastAsia="zh-CN"/>
        </w:rPr>
      </w:pPr>
      <w:r>
        <w:rPr>
          <w:rFonts w:hint="eastAsia"/>
          <w:color w:val="auto"/>
          <w:highlight w:val="none"/>
          <w:u w:val="none"/>
          <w:lang w:val="en-US" w:eastAsia="zh-CN"/>
        </w:rPr>
        <w:t>包四：水产   （入围12家）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u w:val="none"/>
          <w:lang w:val="en-US" w:eastAsia="zh-CN"/>
        </w:rPr>
      </w:pPr>
      <w:r>
        <w:rPr>
          <w:rFonts w:hint="eastAsia"/>
          <w:color w:val="auto"/>
          <w:highlight w:val="none"/>
          <w:u w:val="none"/>
          <w:lang w:val="en-US" w:eastAsia="zh-CN"/>
        </w:rPr>
        <w:t>包五：冷鲜肉  （入围12家）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u w:val="none"/>
          <w:lang w:val="en-US" w:eastAsia="zh-CN"/>
        </w:rPr>
      </w:pPr>
      <w:r>
        <w:rPr>
          <w:rFonts w:hint="eastAsia"/>
          <w:color w:val="auto"/>
          <w:highlight w:val="none"/>
          <w:u w:val="none"/>
          <w:lang w:val="en-US" w:eastAsia="zh-CN"/>
        </w:rPr>
        <w:t>包六：冷冻制品及冷冻家禽  （入围12家）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u w:val="none"/>
          <w:lang w:val="en-US" w:eastAsia="zh-CN"/>
        </w:rPr>
      </w:pPr>
      <w:r>
        <w:rPr>
          <w:rFonts w:hint="eastAsia"/>
          <w:color w:val="auto"/>
          <w:highlight w:val="none"/>
          <w:u w:val="none"/>
          <w:lang w:val="en-US" w:eastAsia="zh-CN"/>
        </w:rPr>
        <w:t>包七：蔬菜、蛋、豆制品  （入围12家）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u w:val="none"/>
          <w:lang w:val="en-US" w:eastAsia="zh-CN"/>
        </w:rPr>
      </w:pPr>
      <w:r>
        <w:rPr>
          <w:rFonts w:hint="eastAsia"/>
          <w:color w:val="auto"/>
          <w:highlight w:val="none"/>
          <w:u w:val="none"/>
          <w:lang w:val="en-US" w:eastAsia="zh-CN"/>
        </w:rPr>
        <w:t>包八：水果  （入围12家）</w:t>
      </w:r>
    </w:p>
    <w:p>
      <w:pPr>
        <w:autoSpaceDE w:val="0"/>
        <w:autoSpaceDN w:val="0"/>
        <w:adjustRightInd w:val="0"/>
        <w:spacing w:before="4" w:after="4" w:line="360" w:lineRule="auto"/>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zh-CN"/>
        </w:rPr>
        <w:t>3、采购项目预算:</w:t>
      </w:r>
      <w:r>
        <w:rPr>
          <w:rFonts w:hint="eastAsia" w:ascii="宋体" w:hAnsi="宋体" w:cs="宋体"/>
          <w:color w:val="auto"/>
          <w:kern w:val="0"/>
          <w:sz w:val="22"/>
          <w:szCs w:val="22"/>
          <w:highlight w:val="none"/>
          <w:lang w:val="en-US" w:eastAsia="zh-CN"/>
        </w:rPr>
        <w:t>总估算价10000万元，具体金额根据实际供货数量结算</w:t>
      </w:r>
      <w:r>
        <w:rPr>
          <w:rFonts w:hint="eastAsia" w:ascii="宋体" w:hAnsi="宋体" w:eastAsia="宋体" w:cs="宋体"/>
          <w:color w:val="auto"/>
          <w:szCs w:val="21"/>
          <w:highlight w:val="none"/>
          <w:lang w:eastAsia="zh-CN"/>
        </w:rPr>
        <w:t>。</w:t>
      </w:r>
    </w:p>
    <w:p>
      <w:pPr>
        <w:autoSpaceDE w:val="0"/>
        <w:autoSpaceDN w:val="0"/>
        <w:adjustRightInd w:val="0"/>
        <w:spacing w:before="4" w:after="4" w:line="360" w:lineRule="auto"/>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4、</w:t>
      </w:r>
      <w:r>
        <w:rPr>
          <w:rFonts w:hint="eastAsia" w:ascii="宋体" w:hAnsi="宋体" w:eastAsia="宋体" w:cs="宋体"/>
          <w:color w:val="auto"/>
          <w:szCs w:val="21"/>
          <w:highlight w:val="none"/>
        </w:rPr>
        <w:t>采购需求：</w:t>
      </w:r>
      <w:r>
        <w:rPr>
          <w:rFonts w:hint="eastAsia" w:ascii="宋体" w:hAnsi="宋体" w:eastAsia="宋体" w:cs="宋体"/>
          <w:color w:val="auto"/>
          <w:kern w:val="0"/>
          <w:sz w:val="22"/>
          <w:szCs w:val="22"/>
          <w:highlight w:val="none"/>
          <w:lang w:eastAsia="zh-CN"/>
        </w:rPr>
        <w:t>为了系统推进学校食材配送各环节规范化、标准化建设，健全食品安全、着力改善学校食堂膳食质量、供餐服务，</w:t>
      </w:r>
      <w:r>
        <w:rPr>
          <w:rFonts w:hint="eastAsia" w:ascii="宋体" w:hAnsi="宋体" w:cs="宋体"/>
          <w:color w:val="auto"/>
          <w:kern w:val="0"/>
          <w:sz w:val="22"/>
          <w:szCs w:val="22"/>
          <w:highlight w:val="none"/>
          <w:lang w:val="en-US" w:eastAsia="zh-CN"/>
        </w:rPr>
        <w:t>保障南京市雨花台区公办中小学、幼儿园食材供应，</w:t>
      </w:r>
      <w:r>
        <w:rPr>
          <w:rFonts w:hint="eastAsia" w:ascii="宋体" w:hAnsi="宋体" w:eastAsia="宋体" w:cs="宋体"/>
          <w:color w:val="auto"/>
          <w:kern w:val="0"/>
          <w:sz w:val="22"/>
          <w:szCs w:val="22"/>
          <w:highlight w:val="none"/>
          <w:lang w:eastAsia="zh-CN"/>
        </w:rPr>
        <w:t>按（宁教办【2015】4号）文件中第六条“采购招标”之第三点：“区教育局负责统一实施本区学校食堂大宗食材和送餐企业采购工作”的要求，经研究决定，通过本次</w:t>
      </w:r>
      <w:r>
        <w:rPr>
          <w:rFonts w:hint="eastAsia" w:ascii="宋体" w:hAnsi="宋体" w:cs="宋体"/>
          <w:color w:val="auto"/>
          <w:kern w:val="0"/>
          <w:sz w:val="22"/>
          <w:szCs w:val="22"/>
          <w:highlight w:val="none"/>
          <w:lang w:val="en-US" w:eastAsia="zh-CN"/>
        </w:rPr>
        <w:t>公开招标方式择优选择南京市雨花台区2024-2025年中小学、幼儿园大宗食材供应及配送服务</w:t>
      </w:r>
      <w:r>
        <w:rPr>
          <w:rFonts w:hint="eastAsia" w:ascii="宋体" w:hAnsi="宋体" w:eastAsia="宋体" w:cs="宋体"/>
          <w:color w:val="auto"/>
          <w:kern w:val="0"/>
          <w:sz w:val="22"/>
          <w:szCs w:val="22"/>
          <w:highlight w:val="none"/>
          <w:lang w:eastAsia="zh-CN"/>
        </w:rPr>
        <w:t>（民办中小学、幼儿园可参照执行）。</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、合同履行期限：</w:t>
      </w:r>
      <w:r>
        <w:rPr>
          <w:rFonts w:hint="eastAsia" w:ascii="宋体" w:hAnsi="宋体" w:cs="宋体"/>
          <w:color w:val="auto"/>
          <w:szCs w:val="21"/>
          <w:highlight w:val="none"/>
          <w:lang w:eastAsia="zh-CN"/>
        </w:rPr>
        <w:t>2023-2024年度第二学期开学至2024-2025年度第一学期寒假</w:t>
      </w:r>
      <w:r>
        <w:rPr>
          <w:rFonts w:hint="eastAsia" w:ascii="宋体" w:hAnsi="宋体" w:eastAsia="宋体" w:cs="宋体"/>
          <w:color w:val="auto"/>
          <w:szCs w:val="21"/>
          <w:highlight w:val="none"/>
          <w:lang w:eastAsia="zh-CN"/>
        </w:rPr>
        <w:t>。中标供应商若在履行合同期间出现违反法律、行政法规、地方性法规、有关食品行业管理的标准规定、采购文件及双方合同的约定或发生食品安全事故、人身伤亡事故和经济纠纷等影响社会和谐稳定事件的，采购人有权提前终止合同。</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、本项目不接受联合体报价及不允许分包、转包。</w:t>
      </w:r>
    </w:p>
    <w:p>
      <w:pPr>
        <w:autoSpaceDE w:val="0"/>
        <w:autoSpaceDN w:val="0"/>
        <w:adjustRightIn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二、申请人资格要求</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numPr>
          <w:ilvl w:val="0"/>
          <w:numId w:val="0"/>
        </w:num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（1）具有独立承担民事责任的能力；</w:t>
      </w:r>
      <w:r>
        <w:rPr>
          <w:rFonts w:hint="eastAsia" w:ascii="宋体" w:hAnsi="宋体" w:eastAsia="宋体" w:cs="宋体"/>
          <w:color w:val="auto"/>
          <w:szCs w:val="21"/>
          <w:highlight w:val="none"/>
        </w:rPr>
        <w:t>（提供法人或者其他组织的营业执照，自然人的身份证明）</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（2）具有良好的商业信誉和健全的财务会计制度；（提供2022年度经审计的财务报告或投标截止时间前六个月内银行出具的资信证明或财政部门认可的政府采购专业担保机构出具的投标担保函）</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lang w:bidi="ar"/>
        </w:rPr>
        <w:t>具有履行合同所必需的设备和专业技术能力；（根据项目需求提供履行合同所必需的设备和专业技术能力的声明或证明材料）</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有依法缴纳税收和社会保障资金的良好记录；（提供参加本次采购活动前半年内至少一个月依法缴纳税收及缴纳社会保障资金的证明材料。投标人依法享受缓缴、免缴税收、不需要缴纳社会保障资金的提供证明材料）</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（5）参加政府采购活动前三年内，在经营活动中没有重大违法记录；（提供参加本次采购活动前3年内在经营活动中没有重大违法记录的书面声明）（格式见后附件）</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（6）法律、行政法规规定的其他条件（提供</w:t>
      </w:r>
      <w:r>
        <w:rPr>
          <w:rFonts w:hint="eastAsia" w:ascii="宋体" w:hAnsi="宋体" w:eastAsia="宋体" w:cs="宋体"/>
          <w:color w:val="auto"/>
          <w:kern w:val="0"/>
          <w:szCs w:val="21"/>
          <w:highlight w:val="none"/>
          <w:lang w:val="en-US" w:eastAsia="zh-CN" w:bidi="ar"/>
        </w:rPr>
        <w:t>具备法律、行政法规规定的其他条件的</w:t>
      </w:r>
      <w:r>
        <w:rPr>
          <w:rFonts w:hint="eastAsia" w:ascii="宋体" w:hAnsi="宋体" w:eastAsia="宋体" w:cs="宋体"/>
          <w:color w:val="auto"/>
          <w:kern w:val="0"/>
          <w:szCs w:val="21"/>
          <w:highlight w:val="none"/>
          <w:lang w:bidi="ar"/>
        </w:rPr>
        <w:t>证明材料）：无</w:t>
      </w:r>
      <w:r>
        <w:rPr>
          <w:rFonts w:hint="eastAsia" w:ascii="宋体" w:hAnsi="宋体" w:cs="宋体"/>
          <w:color w:val="auto"/>
          <w:kern w:val="0"/>
          <w:szCs w:val="21"/>
          <w:highlight w:val="none"/>
          <w:lang w:eastAsia="zh-CN" w:bidi="ar"/>
        </w:rPr>
        <w:t>。</w:t>
      </w:r>
      <w:bookmarkStart w:id="35" w:name="_GoBack"/>
      <w:bookmarkEnd w:id="35"/>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上述第（5）条所称重大违法记录，是指投标人因违法经营受到刑事处罚或者责令停产停业、吊销许可证或者执照、较大数额罚款等行政处罚。</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投标人在参加政府采购活动前3年内因违法经营被禁止在一定期限内参加政府采购活动，期限届满的，可以参加政府采购活动。</w:t>
      </w: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依据《关于在政府采购活动中推行信用承诺制的通知》（宁财购通[2021]5号）规定，投标人（含联合体各方）只需在</w:t>
      </w:r>
      <w:r>
        <w:rPr>
          <w:rFonts w:hint="eastAsia" w:ascii="宋体" w:hAnsi="宋体" w:eastAsia="宋体" w:cs="宋体"/>
          <w:color w:val="auto"/>
          <w:kern w:val="0"/>
          <w:szCs w:val="21"/>
          <w:highlight w:val="none"/>
          <w:lang w:val="en-US" w:eastAsia="zh-CN" w:bidi="ar"/>
        </w:rPr>
        <w:t>投标</w:t>
      </w:r>
      <w:r>
        <w:rPr>
          <w:rFonts w:hint="eastAsia" w:ascii="宋体" w:hAnsi="宋体" w:eastAsia="宋体" w:cs="宋体"/>
          <w:color w:val="auto"/>
          <w:kern w:val="0"/>
          <w:szCs w:val="21"/>
          <w:highlight w:val="none"/>
          <w:lang w:bidi="ar"/>
        </w:rPr>
        <w:t>文件中提供《南京市政府采购供应商信用记录表暨信用承诺书》，不再需要提供上述（2）-（6）项的证明材料。投标人在中标后，将上述由信用承诺书替代的证明材料提交</w:t>
      </w:r>
      <w:r>
        <w:rPr>
          <w:rFonts w:hint="eastAsia" w:ascii="宋体" w:hAnsi="宋体" w:eastAsia="宋体" w:cs="宋体"/>
          <w:color w:val="auto"/>
          <w:kern w:val="0"/>
          <w:szCs w:val="21"/>
          <w:highlight w:val="none"/>
          <w:lang w:eastAsia="zh-CN" w:bidi="ar"/>
        </w:rPr>
        <w:t>采购人</w:t>
      </w:r>
      <w:r>
        <w:rPr>
          <w:rFonts w:hint="eastAsia" w:ascii="宋体" w:hAnsi="宋体" w:eastAsia="宋体" w:cs="宋体"/>
          <w:color w:val="auto"/>
          <w:kern w:val="0"/>
          <w:szCs w:val="21"/>
          <w:highlight w:val="none"/>
          <w:lang w:bidi="ar"/>
        </w:rPr>
        <w:t>或采购代理机构核验，经核验无误后，由</w:t>
      </w:r>
      <w:r>
        <w:rPr>
          <w:rFonts w:hint="eastAsia" w:ascii="宋体" w:hAnsi="宋体" w:eastAsia="宋体" w:cs="宋体"/>
          <w:color w:val="auto"/>
          <w:kern w:val="0"/>
          <w:szCs w:val="21"/>
          <w:highlight w:val="none"/>
          <w:lang w:eastAsia="zh-CN" w:bidi="ar"/>
        </w:rPr>
        <w:t>采购人</w:t>
      </w:r>
      <w:r>
        <w:rPr>
          <w:rFonts w:hint="eastAsia" w:ascii="宋体" w:hAnsi="宋体" w:eastAsia="宋体" w:cs="宋体"/>
          <w:color w:val="auto"/>
          <w:kern w:val="0"/>
          <w:szCs w:val="21"/>
          <w:highlight w:val="none"/>
          <w:lang w:bidi="ar"/>
        </w:rPr>
        <w:t>或采购代理机构发出中标通知书。不适用信用承诺书的情形：①投标人被列入严重失信主体名单；②相关监管部门作出行政处罚且尚在处罚有效期内；③其他法律、行政法规规定的不适用信用承诺的情形。</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2、落实政府采购政策需满足的资格要求：中小企业政策等（监狱企业、残疾人福利性单位视同小型、微型企业），本项目不专门面向中小企业预留采购份额。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3、满足本项目特定资格要求的证明材料：</w:t>
      </w:r>
    </w:p>
    <w:p>
      <w:pPr>
        <w:autoSpaceDE w:val="0"/>
        <w:autoSpaceDN w:val="0"/>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（1）参与</w:t>
      </w:r>
      <w:r>
        <w:rPr>
          <w:rFonts w:hint="eastAsia"/>
          <w:color w:val="auto"/>
          <w:highlight w:val="none"/>
          <w:u w:val="none"/>
          <w:lang w:val="en-US" w:eastAsia="zh-CN"/>
        </w:rPr>
        <w:t>粮、油</w:t>
      </w:r>
      <w:r>
        <w:rPr>
          <w:rFonts w:hint="eastAsia" w:ascii="宋体" w:hAnsi="宋体" w:cs="宋体"/>
          <w:color w:val="auto"/>
          <w:szCs w:val="21"/>
          <w:highlight w:val="none"/>
          <w:lang w:val="en-US" w:eastAsia="zh-CN"/>
        </w:rPr>
        <w:t>（包一）；干货调味品（包二）；</w:t>
      </w:r>
      <w:r>
        <w:rPr>
          <w:rFonts w:hint="eastAsia" w:ascii="宋体" w:hAnsi="宋体" w:eastAsia="宋体" w:cs="宋体"/>
          <w:color w:val="auto"/>
          <w:szCs w:val="21"/>
          <w:highlight w:val="none"/>
          <w:lang w:val="en-US" w:eastAsia="zh-CN"/>
        </w:rPr>
        <w:t>面点</w:t>
      </w:r>
      <w:r>
        <w:rPr>
          <w:rFonts w:hint="eastAsia" w:ascii="宋体" w:hAnsi="宋体" w:cs="宋体"/>
          <w:color w:val="auto"/>
          <w:szCs w:val="21"/>
          <w:highlight w:val="none"/>
          <w:lang w:val="en-US" w:eastAsia="zh-CN"/>
        </w:rPr>
        <w:t>、乳制品</w:t>
      </w:r>
      <w:r>
        <w:rPr>
          <w:rFonts w:hint="eastAsia" w:ascii="宋体" w:hAnsi="宋体" w:eastAsia="宋体" w:cs="宋体"/>
          <w:color w:val="auto"/>
          <w:szCs w:val="21"/>
          <w:highlight w:val="none"/>
          <w:lang w:val="en-US" w:eastAsia="zh-CN"/>
        </w:rPr>
        <w:t>（包</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投标的特定资格要求：</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投标人为生产商的须提供:供应商有效期内的食品生产许可证、食品经营许可证。（</w:t>
      </w:r>
      <w:r>
        <w:rPr>
          <w:rFonts w:hint="eastAsia" w:ascii="宋体" w:hAnsi="宋体" w:eastAsia="宋体" w:cs="宋体"/>
          <w:color w:val="auto"/>
          <w:szCs w:val="21"/>
          <w:highlight w:val="none"/>
          <w:lang w:val="en-US" w:eastAsia="zh-CN"/>
        </w:rPr>
        <w:t>提供相关有效证书扫描件加盖公章）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投标人为经销商的须提供:供应商有效期内的食品经营许可证;所代理品牌生产商的授权及有效期内的营业执照、食品生产许可证。（提供相关有效证书扫描件加盖公章）。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（2）参与</w:t>
      </w:r>
      <w:r>
        <w:rPr>
          <w:rFonts w:hint="eastAsia"/>
          <w:color w:val="auto"/>
          <w:highlight w:val="none"/>
          <w:u w:val="none"/>
          <w:lang w:val="en-US" w:eastAsia="zh-CN"/>
        </w:rPr>
        <w:t>水产（包四）；蔬菜、蛋、豆制品（包七）</w:t>
      </w:r>
      <w:r>
        <w:rPr>
          <w:rFonts w:hint="eastAsia" w:ascii="宋体" w:hAnsi="宋体" w:eastAsia="宋体" w:cs="宋体"/>
          <w:color w:val="auto"/>
          <w:szCs w:val="21"/>
          <w:highlight w:val="none"/>
          <w:lang w:val="en-US" w:eastAsia="zh-CN"/>
        </w:rPr>
        <w:t>投标的特定资格要求：</w:t>
      </w:r>
    </w:p>
    <w:p>
      <w:pPr>
        <w:numPr>
          <w:ilvl w:val="0"/>
          <w:numId w:val="0"/>
        </w:numPr>
        <w:autoSpaceDE w:val="0"/>
        <w:autoSpaceDN w:val="0"/>
        <w:adjustRightIn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供应商有效期内的食品经营许可证。（提供相关有效证书扫描件加盖公章）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参与</w:t>
      </w:r>
      <w:r>
        <w:rPr>
          <w:rFonts w:hint="eastAsia"/>
          <w:color w:val="auto"/>
          <w:highlight w:val="none"/>
          <w:u w:val="none"/>
          <w:lang w:val="en-US" w:eastAsia="zh-CN"/>
        </w:rPr>
        <w:t>冷鲜肉</w:t>
      </w:r>
      <w:r>
        <w:rPr>
          <w:rFonts w:hint="eastAsia" w:ascii="宋体" w:hAnsi="宋体" w:eastAsia="宋体" w:cs="宋体"/>
          <w:color w:val="auto"/>
          <w:szCs w:val="21"/>
          <w:highlight w:val="none"/>
          <w:lang w:val="en-US" w:eastAsia="zh-CN"/>
        </w:rPr>
        <w:t>（包</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、冷冻制品及</w:t>
      </w:r>
      <w:r>
        <w:rPr>
          <w:rFonts w:hint="eastAsia"/>
          <w:color w:val="auto"/>
          <w:highlight w:val="none"/>
          <w:u w:val="none"/>
          <w:lang w:val="en-US" w:eastAsia="zh-CN"/>
        </w:rPr>
        <w:t>冷冻家禽</w:t>
      </w:r>
      <w:r>
        <w:rPr>
          <w:rFonts w:hint="eastAsia" w:ascii="宋体" w:hAnsi="宋体" w:eastAsia="宋体" w:cs="宋体"/>
          <w:color w:val="auto"/>
          <w:szCs w:val="21"/>
          <w:highlight w:val="none"/>
          <w:lang w:val="en-US" w:eastAsia="zh-CN"/>
        </w:rPr>
        <w:t>（包</w:t>
      </w: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lang w:val="en-US" w:eastAsia="zh-CN"/>
        </w:rPr>
        <w:t>）投标的特定资格要求：</w:t>
      </w:r>
    </w:p>
    <w:p>
      <w:pPr>
        <w:numPr>
          <w:ilvl w:val="0"/>
          <w:numId w:val="0"/>
        </w:numPr>
        <w:autoSpaceDE w:val="0"/>
        <w:autoSpaceDN w:val="0"/>
        <w:adjustRightIn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投标人为生产商的须提供:供应商有效期内的食品生产许可证</w:t>
      </w:r>
      <w:r>
        <w:rPr>
          <w:rFonts w:hint="eastAsia" w:ascii="宋体" w:hAnsi="宋体" w:cs="宋体"/>
          <w:color w:val="auto"/>
          <w:szCs w:val="21"/>
          <w:highlight w:val="none"/>
          <w:lang w:val="en-US" w:eastAsia="zh-CN"/>
        </w:rPr>
        <w:t>（或屠宰证）</w:t>
      </w:r>
      <w:r>
        <w:rPr>
          <w:rFonts w:hint="eastAsia" w:ascii="宋体" w:hAnsi="宋体" w:eastAsia="宋体" w:cs="宋体"/>
          <w:color w:val="auto"/>
          <w:szCs w:val="21"/>
          <w:highlight w:val="none"/>
          <w:lang w:val="en-US" w:eastAsia="zh-CN"/>
        </w:rPr>
        <w:t>、食品经营许可证、动物防疫条件合格证。（提供相关有效证书扫描件加盖公章）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投标人为经销商的须提供:供应商有效期内的食品经营许可证、动物防疫条件合格证;所代理品牌生产商的授权及有效期内的营业执照、食品生产许可证</w:t>
      </w:r>
      <w:r>
        <w:rPr>
          <w:rFonts w:hint="eastAsia" w:ascii="宋体" w:hAnsi="宋体" w:cs="宋体"/>
          <w:color w:val="auto"/>
          <w:szCs w:val="21"/>
          <w:highlight w:val="none"/>
          <w:lang w:val="en-US" w:eastAsia="zh-CN"/>
        </w:rPr>
        <w:t>（或屠宰证）</w:t>
      </w:r>
      <w:r>
        <w:rPr>
          <w:rFonts w:hint="eastAsia" w:ascii="宋体" w:hAnsi="宋体" w:eastAsia="宋体" w:cs="宋体"/>
          <w:color w:val="auto"/>
          <w:szCs w:val="21"/>
          <w:highlight w:val="none"/>
          <w:lang w:val="en-US" w:eastAsia="zh-CN"/>
        </w:rPr>
        <w:t>。（提供相关有效证书扫描件加盖公章）。</w:t>
      </w:r>
    </w:p>
    <w:p>
      <w:pPr>
        <w:numPr>
          <w:ilvl w:val="0"/>
          <w:numId w:val="0"/>
        </w:numPr>
        <w:autoSpaceDE w:val="0"/>
        <w:autoSpaceDN w:val="0"/>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4、拒绝下述投标人参加本次采购活动：</w:t>
      </w:r>
    </w:p>
    <w:p>
      <w:pPr>
        <w:numPr>
          <w:ilvl w:val="0"/>
          <w:numId w:val="0"/>
        </w:numPr>
        <w:autoSpaceDE w:val="0"/>
        <w:autoSpaceDN w:val="0"/>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（1）投标人单位负责人为同一人或者存在直接控股、管理关系的不同投标人，不得参加同一合同项下的政府采购活动。</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（2）为采购项目提供整体设计、规范编制或者项目管理、监理、检测等服务的投标人，不得再参加本项目的采购活动。</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（3）投标人被“信用中国”网站（www.creditchina.gov.cn）、“中国政府采购网"(www.ccgp.gov.cn)列入失信被执行人、重大税收违法案件当事人名单、政府采购严重违法失信行为记录名单。</w:t>
      </w:r>
    </w:p>
    <w:p>
      <w:pPr>
        <w:autoSpaceDE w:val="0"/>
        <w:autoSpaceDN w:val="0"/>
        <w:adjustRightIn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三、履约保证金：</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本项目中标供应商不论中标</w:t>
      </w:r>
      <w:r>
        <w:rPr>
          <w:rFonts w:hint="eastAsia" w:ascii="宋体" w:hAnsi="宋体" w:eastAsia="宋体" w:cs="宋体"/>
          <w:color w:val="auto"/>
          <w:szCs w:val="21"/>
          <w:highlight w:val="none"/>
          <w:lang w:val="en-US" w:eastAsia="zh-CN"/>
        </w:rPr>
        <w:t>分包数</w:t>
      </w:r>
      <w:r>
        <w:rPr>
          <w:rFonts w:hint="eastAsia" w:ascii="宋体" w:hAnsi="宋体" w:eastAsia="宋体" w:cs="宋体"/>
          <w:color w:val="auto"/>
          <w:szCs w:val="21"/>
          <w:highlight w:val="none"/>
        </w:rPr>
        <w:t>多少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一律以银行保函的形式向南京市</w:t>
      </w:r>
      <w:r>
        <w:rPr>
          <w:rFonts w:hint="eastAsia" w:ascii="宋体" w:hAnsi="宋体" w:eastAsia="宋体" w:cs="宋体"/>
          <w:color w:val="auto"/>
          <w:szCs w:val="21"/>
          <w:highlight w:val="none"/>
          <w:lang w:val="en-US" w:eastAsia="zh-CN"/>
        </w:rPr>
        <w:t>雨花台区</w:t>
      </w:r>
      <w:r>
        <w:rPr>
          <w:rFonts w:hint="eastAsia" w:ascii="宋体" w:hAnsi="宋体" w:eastAsia="宋体" w:cs="宋体"/>
          <w:color w:val="auto"/>
          <w:szCs w:val="21"/>
          <w:highlight w:val="none"/>
        </w:rPr>
        <w:t>教育局缴纳履约保证金伍万元。若不缴纳履约保证金视为自动放弃入选中标资格。</w:t>
      </w:r>
    </w:p>
    <w:p>
      <w:pPr>
        <w:autoSpaceDE w:val="0"/>
        <w:autoSpaceDN w:val="0"/>
        <w:adjustRightIn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四、获取招标文件</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获取时间：</w:t>
      </w:r>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rPr>
        <w:t>2023年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eastAsia="宋体" w:cs="宋体"/>
          <w:color w:val="auto"/>
          <w:szCs w:val="21"/>
          <w:highlight w:val="none"/>
        </w:rPr>
        <w:t>日09时00分</w:t>
      </w:r>
      <w:r>
        <w:rPr>
          <w:rFonts w:hint="eastAsia" w:ascii="宋体" w:hAnsi="宋体" w:eastAsia="宋体" w:cs="宋体"/>
          <w:color w:val="auto"/>
          <w:szCs w:val="21"/>
          <w:highlight w:val="none"/>
          <w:lang w:val="en-US" w:eastAsia="zh-CN"/>
        </w:rPr>
        <w:t>至</w:t>
      </w: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日17时00分。</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获取方式：本项目实行全流程电子化招投标。请各位投标人登录“雨花台区招投标采购平台”（http://yhzc.njyh.gov.cn/web），在线获取</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投标人第一次使用平台需要完成用户注册，在用户登录页面，点击“新用户注册”，按照注册向导页面说明完成用户注册及CA证书获取（CA证书由“皓盘云建”APP提供）。注册完成后登录系统，进入公告页面，点击“我要获取文件”进行</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的获取、下载。获取</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请按公告下附的“其他附件资料模板”提供相关资料。</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00元整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如需发票，进入“我的投标-投标项目”中在线申请。</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报名操作及投标工具使用咨询：包工025-51860071。</w:t>
      </w:r>
    </w:p>
    <w:p>
      <w:pPr>
        <w:autoSpaceDE w:val="0"/>
        <w:autoSpaceDN w:val="0"/>
        <w:adjustRightIn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eastAsia="宋体" w:cs="宋体"/>
          <w:b/>
          <w:bCs/>
          <w:color w:val="auto"/>
          <w:szCs w:val="21"/>
          <w:highlight w:val="none"/>
        </w:rPr>
        <w:t>、网上提交</w:t>
      </w:r>
      <w:r>
        <w:rPr>
          <w:rFonts w:hint="eastAsia" w:ascii="宋体" w:hAnsi="宋体" w:eastAsia="宋体" w:cs="宋体"/>
          <w:b/>
          <w:bCs/>
          <w:color w:val="auto"/>
          <w:szCs w:val="21"/>
          <w:highlight w:val="none"/>
          <w:lang w:val="en-US" w:eastAsia="zh-CN"/>
        </w:rPr>
        <w:t>投标</w:t>
      </w:r>
      <w:r>
        <w:rPr>
          <w:rFonts w:hint="eastAsia" w:ascii="宋体" w:hAnsi="宋体" w:eastAsia="宋体" w:cs="宋体"/>
          <w:b/>
          <w:bCs/>
          <w:color w:val="auto"/>
          <w:szCs w:val="21"/>
          <w:highlight w:val="none"/>
        </w:rPr>
        <w:t>文件时间、开标时间：</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包一：</w:t>
      </w:r>
      <w:r>
        <w:rPr>
          <w:rFonts w:hint="eastAsia"/>
          <w:color w:val="auto"/>
          <w:highlight w:val="none"/>
          <w:u w:val="none"/>
          <w:lang w:val="en-US" w:eastAsia="zh-CN"/>
        </w:rPr>
        <w:t>粮、油</w:t>
      </w:r>
      <w:r>
        <w:rPr>
          <w:rFonts w:hint="eastAsia" w:ascii="宋体" w:hAnsi="宋体" w:cs="宋体"/>
          <w:color w:val="auto"/>
          <w:szCs w:val="21"/>
          <w:highlight w:val="none"/>
          <w:lang w:val="en-US" w:eastAsia="zh-CN"/>
        </w:rPr>
        <w:t>；包二：</w:t>
      </w:r>
      <w:r>
        <w:rPr>
          <w:rFonts w:hint="eastAsia"/>
          <w:color w:val="auto"/>
          <w:highlight w:val="none"/>
          <w:u w:val="none"/>
          <w:lang w:val="en-US" w:eastAsia="zh-CN"/>
        </w:rPr>
        <w:t>干货调味品；</w:t>
      </w:r>
      <w:r>
        <w:rPr>
          <w:rFonts w:hint="eastAsia" w:ascii="宋体" w:hAnsi="宋体" w:cs="宋体"/>
          <w:color w:val="auto"/>
          <w:szCs w:val="21"/>
          <w:highlight w:val="none"/>
          <w:lang w:val="en-US" w:eastAsia="zh-CN"/>
        </w:rPr>
        <w:t>包三：</w:t>
      </w:r>
      <w:r>
        <w:rPr>
          <w:rFonts w:hint="eastAsia"/>
          <w:color w:val="auto"/>
          <w:highlight w:val="none"/>
          <w:u w:val="none"/>
          <w:lang w:val="en-US" w:eastAsia="zh-CN"/>
        </w:rPr>
        <w:t>面点、乳制品；</w:t>
      </w:r>
      <w:r>
        <w:rPr>
          <w:rFonts w:hint="eastAsia"/>
          <w:color w:val="auto"/>
          <w:highlight w:val="none"/>
          <w:lang w:val="en-US" w:eastAsia="zh-CN"/>
        </w:rPr>
        <w:t>包七：</w:t>
      </w:r>
      <w:r>
        <w:rPr>
          <w:rFonts w:hint="eastAsia"/>
          <w:color w:val="auto"/>
          <w:highlight w:val="none"/>
          <w:u w:val="none"/>
          <w:lang w:val="en-US" w:eastAsia="zh-CN"/>
        </w:rPr>
        <w:t>蔬菜、蛋、豆制品；</w:t>
      </w:r>
      <w:r>
        <w:rPr>
          <w:rFonts w:hint="eastAsia" w:ascii="宋体" w:hAnsi="宋体" w:eastAsia="宋体" w:cs="宋体"/>
          <w:color w:val="auto"/>
          <w:szCs w:val="21"/>
          <w:highlight w:val="none"/>
        </w:rPr>
        <w:t>网上提交</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截止时间及开标时间：</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9时30分；（北京时间）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color w:val="auto"/>
          <w:highlight w:val="none"/>
          <w:lang w:val="en-US" w:eastAsia="zh-CN"/>
        </w:rPr>
        <w:t>包四：</w:t>
      </w:r>
      <w:r>
        <w:rPr>
          <w:rFonts w:hint="eastAsia"/>
          <w:color w:val="auto"/>
          <w:highlight w:val="none"/>
          <w:u w:val="none"/>
          <w:lang w:val="en-US" w:eastAsia="zh-CN"/>
        </w:rPr>
        <w:t>水产；</w:t>
      </w:r>
      <w:r>
        <w:rPr>
          <w:rFonts w:hint="eastAsia"/>
          <w:color w:val="auto"/>
          <w:highlight w:val="none"/>
          <w:lang w:val="en-US" w:eastAsia="zh-CN"/>
        </w:rPr>
        <w:t>包五：</w:t>
      </w:r>
      <w:r>
        <w:rPr>
          <w:rFonts w:hint="eastAsia"/>
          <w:color w:val="auto"/>
          <w:highlight w:val="none"/>
          <w:u w:val="none"/>
          <w:lang w:val="en-US" w:eastAsia="zh-CN"/>
        </w:rPr>
        <w:t>冷鲜肉；</w:t>
      </w:r>
      <w:r>
        <w:rPr>
          <w:rFonts w:hint="eastAsia"/>
          <w:color w:val="auto"/>
          <w:highlight w:val="none"/>
          <w:lang w:val="en-US" w:eastAsia="zh-CN"/>
        </w:rPr>
        <w:t>包六：</w:t>
      </w:r>
      <w:r>
        <w:rPr>
          <w:rFonts w:hint="eastAsia"/>
          <w:color w:val="auto"/>
          <w:highlight w:val="none"/>
          <w:u w:val="none"/>
          <w:lang w:val="en-US" w:eastAsia="zh-CN"/>
        </w:rPr>
        <w:t>冷冻制品及冷冻家禽；</w:t>
      </w:r>
      <w:r>
        <w:rPr>
          <w:rFonts w:hint="eastAsia"/>
          <w:color w:val="auto"/>
          <w:highlight w:val="none"/>
          <w:lang w:val="en-US" w:eastAsia="zh-CN"/>
        </w:rPr>
        <w:t>包八：</w:t>
      </w:r>
      <w:r>
        <w:rPr>
          <w:rFonts w:hint="eastAsia"/>
          <w:color w:val="auto"/>
          <w:highlight w:val="none"/>
          <w:u w:val="none"/>
          <w:lang w:val="en-US" w:eastAsia="zh-CN"/>
        </w:rPr>
        <w:t>水果；</w:t>
      </w:r>
      <w:r>
        <w:rPr>
          <w:rFonts w:hint="eastAsia" w:ascii="宋体" w:hAnsi="宋体" w:eastAsia="宋体" w:cs="宋体"/>
          <w:color w:val="auto"/>
          <w:szCs w:val="21"/>
          <w:highlight w:val="none"/>
        </w:rPr>
        <w:t>网上提交</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截止时间及开标时间：</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9时30分；（北京时间）</w:t>
      </w:r>
    </w:p>
    <w:p>
      <w:pPr>
        <w:pStyle w:val="81"/>
        <w:keepNext w:val="0"/>
        <w:keepLines w:val="0"/>
        <w:pageBreakBefore w:val="0"/>
        <w:widowControl w:val="0"/>
        <w:kinsoku/>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Times New Roman"/>
          <w:color w:val="auto"/>
          <w:kern w:val="2"/>
          <w:sz w:val="21"/>
          <w:szCs w:val="20"/>
          <w:highlight w:val="none"/>
          <w:u w:val="none"/>
          <w:lang w:val="en-US" w:eastAsia="zh-CN" w:bidi="ar-SA"/>
        </w:rPr>
      </w:pPr>
      <w:r>
        <w:rPr>
          <w:rFonts w:hint="eastAsia" w:ascii="Times New Roman" w:hAnsi="Times New Roman" w:eastAsia="宋体" w:cs="Times New Roman"/>
          <w:color w:val="auto"/>
          <w:kern w:val="2"/>
          <w:sz w:val="21"/>
          <w:szCs w:val="20"/>
          <w:highlight w:val="none"/>
          <w:u w:val="none"/>
          <w:lang w:val="en-US" w:eastAsia="zh-CN" w:bidi="ar-SA"/>
        </w:rPr>
        <w:t>开标方式：雨花台区招投标采购平台在线开标</w:t>
      </w:r>
    </w:p>
    <w:p>
      <w:pPr>
        <w:pStyle w:val="81"/>
        <w:keepNext w:val="0"/>
        <w:keepLines w:val="0"/>
        <w:pageBreakBefore w:val="0"/>
        <w:widowControl w:val="0"/>
        <w:kinsoku/>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Times New Roman"/>
          <w:color w:val="auto"/>
          <w:kern w:val="2"/>
          <w:sz w:val="21"/>
          <w:szCs w:val="20"/>
          <w:highlight w:val="none"/>
          <w:u w:val="none"/>
          <w:lang w:val="en-US" w:eastAsia="zh-CN" w:bidi="ar-SA"/>
        </w:rPr>
      </w:pPr>
      <w:r>
        <w:rPr>
          <w:rFonts w:hint="eastAsia" w:ascii="Times New Roman" w:hAnsi="Times New Roman" w:eastAsia="宋体" w:cs="Times New Roman"/>
          <w:color w:val="auto"/>
          <w:kern w:val="2"/>
          <w:sz w:val="21"/>
          <w:szCs w:val="20"/>
          <w:highlight w:val="none"/>
          <w:u w:val="none"/>
          <w:lang w:val="en-US" w:eastAsia="zh-CN" w:bidi="ar-SA"/>
        </w:rPr>
        <w:t>①开标：各投标人在开标时间前15分钟（至少）使用电脑登录“雨花台区招投标采购平台”平台，进入“开标大厅”，找到当天拟开标的标段，进入网上开标室。</w:t>
      </w:r>
    </w:p>
    <w:p>
      <w:pPr>
        <w:pStyle w:val="81"/>
        <w:keepNext w:val="0"/>
        <w:keepLines w:val="0"/>
        <w:pageBreakBefore w:val="0"/>
        <w:widowControl w:val="0"/>
        <w:kinsoku/>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Times New Roman"/>
          <w:color w:val="auto"/>
          <w:kern w:val="2"/>
          <w:sz w:val="21"/>
          <w:szCs w:val="20"/>
          <w:highlight w:val="none"/>
          <w:u w:val="none"/>
          <w:lang w:val="en-US" w:eastAsia="zh-CN" w:bidi="ar-SA"/>
        </w:rPr>
      </w:pPr>
      <w:r>
        <w:rPr>
          <w:rFonts w:hint="eastAsia" w:ascii="Times New Roman" w:hAnsi="Times New Roman" w:eastAsia="宋体" w:cs="Times New Roman"/>
          <w:color w:val="auto"/>
          <w:kern w:val="2"/>
          <w:sz w:val="21"/>
          <w:szCs w:val="20"/>
          <w:highlight w:val="none"/>
          <w:u w:val="none"/>
          <w:lang w:val="en-US" w:eastAsia="zh-CN" w:bidi="ar-SA"/>
        </w:rPr>
        <w:t>②解密：当标段开标状态显示为“已开标”时，点击“解密”按钮通过"皓盘云建"APP进行扫码解密。投标人应在</w:t>
      </w:r>
      <w:r>
        <w:rPr>
          <w:rFonts w:hint="eastAsia" w:ascii="Times New Roman" w:hAnsi="Times New Roman" w:cs="Times New Roman"/>
          <w:color w:val="auto"/>
          <w:kern w:val="2"/>
          <w:sz w:val="21"/>
          <w:szCs w:val="20"/>
          <w:highlight w:val="none"/>
          <w:u w:val="none"/>
          <w:lang w:val="en-US" w:eastAsia="zh-CN" w:bidi="ar-SA"/>
        </w:rPr>
        <w:t>60</w:t>
      </w:r>
      <w:r>
        <w:rPr>
          <w:rFonts w:hint="eastAsia" w:ascii="Times New Roman" w:hAnsi="Times New Roman" w:eastAsia="宋体" w:cs="Times New Roman"/>
          <w:color w:val="auto"/>
          <w:kern w:val="2"/>
          <w:sz w:val="21"/>
          <w:szCs w:val="20"/>
          <w:highlight w:val="none"/>
          <w:u w:val="none"/>
          <w:lang w:val="en-US" w:eastAsia="zh-CN" w:bidi="ar-SA"/>
        </w:rPr>
        <w:t>分钟内解密完成，若未在有效时间内完成解密工作，招标人将拒绝其投标。解密时使用的手机和"皓盘云建"APP账号要跟加密时使用的一致，否则无法解密，后果由投标人自己承担。</w:t>
      </w:r>
    </w:p>
    <w:p>
      <w:pPr>
        <w:pStyle w:val="81"/>
        <w:keepNext w:val="0"/>
        <w:keepLines w:val="0"/>
        <w:pageBreakBefore w:val="0"/>
        <w:widowControl w:val="0"/>
        <w:kinsoku/>
        <w:overflowPunct/>
        <w:topLinePunct w:val="0"/>
        <w:autoSpaceDE w:val="0"/>
        <w:autoSpaceDN w:val="0"/>
        <w:bidi w:val="0"/>
        <w:adjustRightInd w:val="0"/>
        <w:snapToGrid/>
        <w:spacing w:line="360" w:lineRule="auto"/>
        <w:ind w:firstLine="420" w:firstLineChars="200"/>
        <w:textAlignment w:val="auto"/>
        <w:rPr>
          <w:rFonts w:hint="eastAsia" w:ascii="Times New Roman" w:hAnsi="Times New Roman" w:eastAsia="宋体" w:cs="Times New Roman"/>
          <w:color w:val="auto"/>
          <w:kern w:val="2"/>
          <w:sz w:val="21"/>
          <w:szCs w:val="20"/>
          <w:highlight w:val="none"/>
          <w:u w:val="none"/>
          <w:lang w:val="en-US" w:eastAsia="zh-CN" w:bidi="ar-SA"/>
        </w:rPr>
      </w:pPr>
      <w:r>
        <w:rPr>
          <w:rFonts w:hint="eastAsia" w:ascii="Times New Roman" w:hAnsi="Times New Roman" w:eastAsia="宋体" w:cs="Times New Roman"/>
          <w:color w:val="auto"/>
          <w:kern w:val="2"/>
          <w:sz w:val="21"/>
          <w:szCs w:val="20"/>
          <w:highlight w:val="none"/>
          <w:u w:val="none"/>
          <w:lang w:val="en-US" w:eastAsia="zh-CN" w:bidi="ar-SA"/>
        </w:rPr>
        <w:t>③异议或咨询：开标阶段，投标人如有异议或咨询可在网上开标室与招标人（招标代理公司）进行在线沟通，招标人在线答复投标人提出的异议或咨询。</w:t>
      </w:r>
    </w:p>
    <w:p>
      <w:pPr>
        <w:autoSpaceDE w:val="0"/>
        <w:autoSpaceDN w:val="0"/>
        <w:adjustRightInd w:val="0"/>
        <w:spacing w:line="360" w:lineRule="auto"/>
        <w:ind w:firstLine="420" w:firstLineChars="200"/>
        <w:rPr>
          <w:rFonts w:hint="eastAsia" w:ascii="Times New Roman" w:hAnsi="Times New Roman" w:eastAsia="宋体" w:cs="Times New Roman"/>
          <w:color w:val="auto"/>
          <w:kern w:val="2"/>
          <w:sz w:val="21"/>
          <w:szCs w:val="20"/>
          <w:highlight w:val="none"/>
          <w:u w:val="none"/>
          <w:lang w:val="en-US" w:eastAsia="zh-CN" w:bidi="ar-SA"/>
        </w:rPr>
      </w:pPr>
      <w:r>
        <w:rPr>
          <w:rFonts w:hint="eastAsia" w:ascii="Times New Roman" w:hAnsi="Times New Roman" w:eastAsia="宋体" w:cs="Times New Roman"/>
          <w:color w:val="auto"/>
          <w:kern w:val="2"/>
          <w:sz w:val="21"/>
          <w:szCs w:val="20"/>
          <w:highlight w:val="none"/>
          <w:u w:val="none"/>
          <w:lang w:val="en-US" w:eastAsia="zh-CN" w:bidi="ar-SA"/>
        </w:rPr>
        <w:t>④结束：公布开标一览表，开标结束。</w:t>
      </w:r>
    </w:p>
    <w:p>
      <w:pPr>
        <w:autoSpaceDE w:val="0"/>
        <w:autoSpaceDN w:val="0"/>
        <w:adjustRightIn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eastAsia="宋体" w:cs="宋体"/>
          <w:b/>
          <w:bCs/>
          <w:color w:val="auto"/>
          <w:szCs w:val="21"/>
          <w:highlight w:val="none"/>
        </w:rPr>
        <w:t xml:space="preserve">、公告期限 </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自本公告在法定媒体发布之日起五个工作日</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w:t>
      </w:r>
    </w:p>
    <w:p>
      <w:pPr>
        <w:numPr>
          <w:ilvl w:val="0"/>
          <w:numId w:val="0"/>
        </w:numPr>
        <w:autoSpaceDE w:val="0"/>
        <w:autoSpaceDN w:val="0"/>
        <w:adjustRightIn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七、</w:t>
      </w:r>
      <w:r>
        <w:rPr>
          <w:rFonts w:hint="eastAsia" w:ascii="宋体" w:hAnsi="宋体" w:eastAsia="宋体" w:cs="宋体"/>
          <w:b/>
          <w:bCs/>
          <w:color w:val="auto"/>
          <w:szCs w:val="21"/>
          <w:highlight w:val="none"/>
        </w:rPr>
        <w:t>其他补充事宜</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1.现场考察前答疑会</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bidi="ar"/>
        </w:rPr>
        <w:t>采购人</w:t>
      </w:r>
      <w:r>
        <w:rPr>
          <w:rFonts w:hint="eastAsia" w:ascii="宋体" w:hAnsi="宋体" w:eastAsia="宋体" w:cs="宋体"/>
          <w:color w:val="auto"/>
          <w:kern w:val="0"/>
          <w:szCs w:val="21"/>
          <w:highlight w:val="none"/>
          <w:lang w:bidi="ar"/>
        </w:rPr>
        <w:t>将不统一组织投标人现场考察前答疑会，投标人认为需要可自行进行现场考察，</w:t>
      </w:r>
      <w:r>
        <w:rPr>
          <w:rFonts w:hint="eastAsia" w:ascii="宋体" w:hAnsi="宋体" w:eastAsia="宋体" w:cs="宋体"/>
          <w:color w:val="auto"/>
          <w:kern w:val="0"/>
          <w:szCs w:val="21"/>
          <w:highlight w:val="none"/>
          <w:lang w:eastAsia="zh-CN" w:bidi="ar"/>
        </w:rPr>
        <w:t>采购人</w:t>
      </w:r>
      <w:r>
        <w:rPr>
          <w:rFonts w:hint="eastAsia" w:ascii="宋体" w:hAnsi="宋体" w:eastAsia="宋体" w:cs="宋体"/>
          <w:color w:val="auto"/>
          <w:kern w:val="0"/>
          <w:szCs w:val="21"/>
          <w:highlight w:val="none"/>
          <w:lang w:bidi="ar"/>
        </w:rPr>
        <w:t xml:space="preserve">将予以必要的协助，费用由投标人自理； </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2.本项目不收取投标保证金。 </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zh-CN" w:bidi="ar"/>
        </w:rPr>
        <w:t>有关本次招标的事项若存在变动或修改，敬请及时关注“</w:t>
      </w:r>
      <w:r>
        <w:rPr>
          <w:rFonts w:hint="eastAsia" w:ascii="宋体" w:hAnsi="宋体" w:eastAsia="宋体" w:cs="宋体"/>
          <w:color w:val="auto"/>
          <w:kern w:val="0"/>
          <w:szCs w:val="21"/>
          <w:highlight w:val="none"/>
          <w:lang w:bidi="ar"/>
        </w:rPr>
        <w:t>雨花台区招投标采购平台</w:t>
      </w:r>
      <w:r>
        <w:rPr>
          <w:rFonts w:hint="eastAsia" w:ascii="宋体" w:hAnsi="宋体" w:eastAsia="宋体" w:cs="宋体"/>
          <w:color w:val="auto"/>
          <w:kern w:val="0"/>
          <w:szCs w:val="21"/>
          <w:highlight w:val="none"/>
          <w:lang w:val="zh-CN" w:bidi="ar"/>
        </w:rPr>
        <w:t>”发布的信息更正公告。</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4.投标人诚信档案 </w:t>
      </w:r>
    </w:p>
    <w:p>
      <w:pPr>
        <w:widowControl/>
        <w:wordWrap w:val="0"/>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根据《南京市政府采购供应商信用管理工作暂行办法》（宁财规〔2018〕10号）有关规定，凡在南京地区参加政府采购活动的投标人，应当事先登录“南京公共采购信息网”（https://njgc.jfh.com/），点击主页“南京市政府采购供应商诚信档案”栏目并登录系统，在“信用记录”栏目中点击“信用记录打印”，打印《南京市政府采购供应商信用记录表暨信用承诺书》。</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（2）投标人必须在提交投标（响应）文件截止日2天前办理登记注册手续。投标人拟申请网上注册的，应当按以下程序进行：</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a.在“南京市政府采购供应商诚信档案管理系统”新用户注册界面，自行设置账号、登录密码，如实填写注册页信息，并进行信用承诺确认后，提交注册申请； </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b.系统审核后，投标人即可登录系统，进行《南京市政府采购供应商信用记录表暨信用承诺书》下载打印； </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c.南京市政府采购供应商诚信档案管理系统客服电话：025-52718366-622。投标人可就用户注册与打印事宜进行咨询。 </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（3）投标人参加本次</w:t>
      </w:r>
      <w:r>
        <w:rPr>
          <w:rFonts w:hint="eastAsia" w:ascii="宋体" w:hAnsi="宋体" w:cs="宋体"/>
          <w:color w:val="auto"/>
          <w:kern w:val="0"/>
          <w:szCs w:val="21"/>
          <w:highlight w:val="none"/>
          <w:lang w:val="en-US" w:eastAsia="zh-CN" w:bidi="ar"/>
        </w:rPr>
        <w:t>采购活动</w:t>
      </w:r>
      <w:r>
        <w:rPr>
          <w:rFonts w:hint="eastAsia" w:ascii="宋体" w:hAnsi="宋体" w:eastAsia="宋体" w:cs="宋体"/>
          <w:color w:val="auto"/>
          <w:kern w:val="0"/>
          <w:szCs w:val="21"/>
          <w:highlight w:val="none"/>
          <w:lang w:bidi="ar"/>
        </w:rPr>
        <w:t>时，在招标文件发布之日起至递交</w:t>
      </w:r>
      <w:r>
        <w:rPr>
          <w:rFonts w:hint="eastAsia" w:ascii="宋体" w:hAnsi="宋体" w:eastAsia="宋体" w:cs="宋体"/>
          <w:color w:val="auto"/>
          <w:kern w:val="0"/>
          <w:szCs w:val="21"/>
          <w:highlight w:val="none"/>
          <w:lang w:eastAsia="zh-CN" w:bidi="ar"/>
        </w:rPr>
        <w:t>投标文件</w:t>
      </w:r>
      <w:r>
        <w:rPr>
          <w:rFonts w:hint="eastAsia" w:ascii="宋体" w:hAnsi="宋体" w:eastAsia="宋体" w:cs="宋体"/>
          <w:color w:val="auto"/>
          <w:kern w:val="0"/>
          <w:szCs w:val="21"/>
          <w:highlight w:val="none"/>
          <w:lang w:bidi="ar"/>
        </w:rPr>
        <w:t>截止日前，应先登录“南京公共采购信息网”在线打印其《南京市政府采购供应商信用记录表暨信用承诺书》，加盖单位公章后作为</w:t>
      </w:r>
      <w:r>
        <w:rPr>
          <w:rFonts w:hint="eastAsia" w:ascii="宋体" w:hAnsi="宋体" w:eastAsia="宋体" w:cs="宋体"/>
          <w:color w:val="auto"/>
          <w:kern w:val="0"/>
          <w:szCs w:val="21"/>
          <w:highlight w:val="none"/>
          <w:lang w:eastAsia="zh-CN" w:bidi="ar"/>
        </w:rPr>
        <w:t>投标文件</w:t>
      </w:r>
      <w:r>
        <w:rPr>
          <w:rFonts w:hint="eastAsia" w:ascii="宋体" w:hAnsi="宋体" w:eastAsia="宋体" w:cs="宋体"/>
          <w:color w:val="auto"/>
          <w:kern w:val="0"/>
          <w:szCs w:val="21"/>
          <w:highlight w:val="none"/>
          <w:lang w:bidi="ar"/>
        </w:rPr>
        <w:t>的组成部分。</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5.本项目在南京公共采购信息网网站</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szCs w:val="21"/>
          <w:highlight w:val="none"/>
        </w:rPr>
        <w:t>雨花台区招投标采购平台</w:t>
      </w:r>
      <w:r>
        <w:rPr>
          <w:rFonts w:hint="eastAsia" w:ascii="宋体" w:hAnsi="宋体" w:eastAsia="宋体" w:cs="宋体"/>
          <w:color w:val="auto"/>
          <w:kern w:val="0"/>
          <w:szCs w:val="21"/>
          <w:highlight w:val="none"/>
          <w:lang w:bidi="ar"/>
        </w:rPr>
        <w:t>发布公告。</w:t>
      </w:r>
    </w:p>
    <w:p>
      <w:pPr>
        <w:numPr>
          <w:ilvl w:val="0"/>
          <w:numId w:val="0"/>
        </w:numPr>
        <w:autoSpaceDE w:val="0"/>
        <w:autoSpaceDN w:val="0"/>
        <w:adjustRightIn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八、</w:t>
      </w:r>
      <w:r>
        <w:rPr>
          <w:rFonts w:hint="eastAsia" w:ascii="宋体" w:hAnsi="宋体" w:eastAsia="宋体" w:cs="宋体"/>
          <w:b/>
          <w:bCs/>
          <w:color w:val="auto"/>
          <w:szCs w:val="21"/>
          <w:highlight w:val="none"/>
        </w:rPr>
        <w:t xml:space="preserve">对本次采购提出询问，请按以下方式联系 </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信息</w:t>
      </w:r>
    </w:p>
    <w:p>
      <w:pPr>
        <w:autoSpaceDE w:val="0"/>
        <w:autoSpaceDN w:val="0"/>
        <w:adjustRightIn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名称：</w:t>
      </w:r>
      <w:r>
        <w:rPr>
          <w:rFonts w:hint="eastAsia" w:ascii="宋体" w:hAnsi="宋体" w:eastAsia="宋体" w:cs="宋体"/>
          <w:bCs/>
          <w:color w:val="auto"/>
          <w:szCs w:val="21"/>
          <w:highlight w:val="none"/>
          <w:lang w:val="zh-CN"/>
        </w:rPr>
        <w:t>南京市雨花台区教育局</w:t>
      </w:r>
    </w:p>
    <w:p>
      <w:pPr>
        <w:autoSpaceDE w:val="0"/>
        <w:autoSpaceDN w:val="0"/>
        <w:adjustRightInd w:val="0"/>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lang w:eastAsia="zh-CN"/>
        </w:rPr>
        <w:t>南京市雨花台区雨花南路2号</w:t>
      </w:r>
      <w:r>
        <w:rPr>
          <w:rFonts w:hint="eastAsia" w:ascii="宋体" w:hAnsi="宋体" w:eastAsia="宋体" w:cs="宋体"/>
          <w:bCs/>
          <w:color w:val="auto"/>
          <w:szCs w:val="21"/>
          <w:highlight w:val="none"/>
          <w:lang w:val="zh-CN"/>
        </w:rPr>
        <w:t xml:space="preserve">    </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（2）代理机构信息</w:t>
      </w:r>
    </w:p>
    <w:p>
      <w:pPr>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名称</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rPr>
        <w:t>南京雨顺丰华工程科技咨询股份有限公司</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地址：</w:t>
      </w:r>
      <w:r>
        <w:rPr>
          <w:rFonts w:hint="eastAsia" w:ascii="宋体" w:hAnsi="宋体" w:eastAsia="宋体" w:cs="宋体"/>
          <w:bCs/>
          <w:color w:val="auto"/>
          <w:szCs w:val="21"/>
          <w:highlight w:val="none"/>
        </w:rPr>
        <w:t>南京市雨花台区安德门大街32号紫悦广场1幢202-207室</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联系方式：025-51860027</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（3）项目联系方式</w:t>
      </w:r>
    </w:p>
    <w:p>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项目联系人：张洁</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电话：13851895125</w:t>
      </w:r>
      <w:r>
        <w:rPr>
          <w:rFonts w:hint="eastAsia" w:ascii="宋体" w:hAnsi="宋体" w:eastAsia="宋体" w:cs="宋体"/>
          <w:color w:val="auto"/>
          <w:szCs w:val="21"/>
          <w:highlight w:val="none"/>
        </w:rPr>
        <w:br w:type="page"/>
      </w:r>
    </w:p>
    <w:p>
      <w:pPr>
        <w:autoSpaceDE w:val="0"/>
        <w:autoSpaceDN w:val="0"/>
        <w:adjustRightInd w:val="0"/>
        <w:snapToGrid w:val="0"/>
        <w:spacing w:line="360" w:lineRule="auto"/>
        <w:jc w:val="center"/>
        <w:rPr>
          <w:rFonts w:hint="eastAsia" w:ascii="宋体" w:hAnsi="宋体" w:eastAsia="宋体" w:cs="宋体"/>
          <w:color w:val="auto"/>
          <w:spacing w:val="-10"/>
          <w:sz w:val="36"/>
          <w:szCs w:val="36"/>
          <w:highlight w:val="none"/>
        </w:rPr>
      </w:pPr>
      <w:r>
        <w:rPr>
          <w:rFonts w:hint="eastAsia" w:ascii="宋体" w:hAnsi="宋体" w:eastAsia="宋体" w:cs="宋体"/>
          <w:color w:val="auto"/>
          <w:spacing w:val="-10"/>
          <w:sz w:val="36"/>
          <w:szCs w:val="36"/>
          <w:highlight w:val="none"/>
        </w:rPr>
        <w:t>第二章 投标人须知</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一、总则</w:t>
      </w:r>
    </w:p>
    <w:p>
      <w:pPr>
        <w:autoSpaceDE w:val="0"/>
        <w:autoSpaceDN w:val="0"/>
        <w:adjustRightInd w:val="0"/>
        <w:spacing w:line="360" w:lineRule="auto"/>
        <w:ind w:firstLine="420" w:firstLineChars="200"/>
        <w:outlineLvl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1、适用法律</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1.1《中华人民共和国政府采购法》、《中华人民共和国政府采购法实施条例》、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Cs w:val="21"/>
          <w:highlight w:val="none"/>
          <w:lang w:val="zh-CN"/>
        </w:rPr>
        <w:t>等有关法律、规章和规定等。</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1.2本次采购采用网上交易系统进行招标投标活动，招标、投标、评标和中标结果发布全程电子化。 </w:t>
      </w:r>
    </w:p>
    <w:p>
      <w:pPr>
        <w:autoSpaceDE w:val="0"/>
        <w:autoSpaceDN w:val="0"/>
        <w:adjustRightInd w:val="0"/>
        <w:spacing w:line="360" w:lineRule="auto"/>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2、定义</w:t>
      </w:r>
    </w:p>
    <w:p>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2.1 </w:t>
      </w:r>
      <w:r>
        <w:rPr>
          <w:rFonts w:hint="eastAsia" w:ascii="宋体" w:hAnsi="宋体" w:eastAsia="宋体" w:cs="宋体"/>
          <w:color w:val="auto"/>
          <w:szCs w:val="21"/>
          <w:highlight w:val="none"/>
        </w:rPr>
        <w:t>“供应商”“投标人”是指参加投标竞争，并符合招标文件规定资格条件的法人、其他组织或者自然人。</w:t>
      </w:r>
    </w:p>
    <w:p>
      <w:pPr>
        <w:autoSpaceDE w:val="0"/>
        <w:autoSpaceDN w:val="0"/>
        <w:adjustRightInd w:val="0"/>
        <w:spacing w:line="360" w:lineRule="auto"/>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3、政策功能</w:t>
      </w:r>
    </w:p>
    <w:p>
      <w:pPr>
        <w:autoSpaceDE w:val="0"/>
        <w:autoSpaceDN w:val="0"/>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政府采购促进中小企业发展政策，小企业（含小型、微型企业）提供的货物、工程和服务在评审时将获得优势，参加投标的小企业（含小型、微型企业）应当提供《中小企业声明函》，“中小企业划型标准”详见《统计上大中小微型企业划分办法（2017）》（国统字[2017]213号），中小企业享受政府采购支持政策的要求详见《政府采购促进中小企业发展管理办法》（财库[2020]46号）的相关规定。</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1）对于专门面向中小企业或小型、微型企业的项目，只面向中小企业或小型、微型企业采购；对于非专门面向中小企业或小型、微型企业的项目，对小型和微型企业的价格给予10%的扣除，用扣除后的价格参与评审。 </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2）对于未预留份额专门面向中小企业采购的采购项目，以及预留份额项目中的非预留部分采购包，且接受大中型企业与小微企业组成联合体或者允许大中型企业向一家或者多家小微企业分包的采购项目，对于联合体协议或者分包意向协议约定小微企业的合同份额占到合同总金额30%以上的联合体或者大中型企业的报价给予4%的扣除，用扣除后的价格参加评审。联合体各方均为小型、微型企业的，联合体视同为小型、微型企业给予10%价格扣除，用扣除后的价格参与评审。组成联合体或者接受分包的小微企业与联合体内其他企业、分包企业之间存在直接控股、管理关系的，不享受价格扣除优惠政策。 </w:t>
      </w:r>
    </w:p>
    <w:p>
      <w:pPr>
        <w:autoSpaceDE w:val="0"/>
        <w:autoSpaceDN w:val="0"/>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（3）规定依据本办法规定享受扶持政策获得政府采购合同的，小微企业不得将合同分包或转包给大中型企业，中型企业不得将合同分包或转包给大型企业。 </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pPr>
        <w:spacing w:line="360" w:lineRule="auto"/>
        <w:ind w:firstLine="411" w:firstLineChars="196"/>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3.4 </w:t>
      </w:r>
      <w:r>
        <w:rPr>
          <w:rFonts w:hint="eastAsia" w:ascii="宋体" w:hAnsi="宋体" w:eastAsia="宋体" w:cs="宋体"/>
          <w:color w:val="auto"/>
          <w:szCs w:val="21"/>
          <w:highlight w:val="none"/>
        </w:rPr>
        <w:t>政府采购节能产品、环境标志产品实施品目清单管理</w:t>
      </w:r>
      <w:r>
        <w:rPr>
          <w:rFonts w:hint="eastAsia" w:ascii="宋体" w:hAnsi="宋体" w:eastAsia="宋体" w:cs="宋体"/>
          <w:color w:val="auto"/>
          <w:szCs w:val="21"/>
          <w:highlight w:val="none"/>
          <w:lang w:val="zh-CN"/>
        </w:rPr>
        <w:t>。</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拟采购产品属于节能产品品目清单规定必须强制采购的，实行强制采购。</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（2）拟采购产品属于节能产品、环境标志产品品目清单规定优先采购的，在性能、技术、服务等指标同等条件下，实行优先采购。</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（3）参加政府采购活动的节能产品、环境标志产品投标人应当提供国家确定的认证机构出具的、处于有效期之内的节能产品、环境标志产品认证证书电子件。</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（4）对国家认定的节能产品和环保产品分别给予报价的5%价格扣除，用扣除后的价格参与评审。</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3.5强制采购信息安全产品。参加政府采购活动的产品投标人应当选择经国家认证的信息安全产品，并提供由中国信息安全认证中心按国家标准认证颁发的有效认证证书电子件。</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3.6进口产品政策</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（1）除招标公告载明接受进口产品参加外，不允许进口产品参加。进口产品认定依照《财政部关于政府采购进口产品管理有关问题的通知》（财办库[2008]248号）的规定。</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（2）允许进口产品参加的，满足需求的国内产品可以参加。</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（3）允许进口产品参加的，优先采购向我国企业转让技术、与我国企业签订消化吸收再创新方案的投标人的进口产品。</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3.7未按要求提供相关材料的，不享受相关政策。</w:t>
      </w:r>
    </w:p>
    <w:p>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二、</w:t>
      </w:r>
      <w:r>
        <w:rPr>
          <w:rFonts w:hint="eastAsia" w:ascii="宋体" w:hAnsi="宋体" w:eastAsia="宋体" w:cs="宋体"/>
          <w:b/>
          <w:color w:val="auto"/>
          <w:szCs w:val="21"/>
          <w:highlight w:val="none"/>
        </w:rPr>
        <w:t>招标</w:t>
      </w:r>
      <w:r>
        <w:rPr>
          <w:rFonts w:hint="eastAsia" w:ascii="宋体" w:hAnsi="宋体" w:eastAsia="宋体" w:cs="宋体"/>
          <w:b/>
          <w:color w:val="auto"/>
          <w:szCs w:val="21"/>
          <w:highlight w:val="none"/>
          <w:lang w:val="zh-CN"/>
        </w:rPr>
        <w:t>文件</w:t>
      </w:r>
    </w:p>
    <w:p>
      <w:pPr>
        <w:autoSpaceDE w:val="0"/>
        <w:autoSpaceDN w:val="0"/>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、招标文件组成</w:t>
      </w:r>
      <w:r>
        <w:rPr>
          <w:rFonts w:hint="eastAsia" w:ascii="宋体" w:hAnsi="宋体" w:eastAsia="宋体" w:cs="宋体"/>
          <w:color w:val="auto"/>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.1 招标文件组成：招标公告、投标人须知、评标办法、采购需求、合同条款、投标文件格式及附件等。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.2 招标的最小单位是包。招标服务数量及技术要求中未分包的，投标人对要求提供的服务不得部分投标；招标服务数量及技术要求中已经分包的，应当以包为单位投标。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lang w:val="en-US" w:eastAsia="zh-CN"/>
        </w:rPr>
        <w:t>或采购代理机构</w:t>
      </w:r>
      <w:r>
        <w:rPr>
          <w:rFonts w:hint="eastAsia" w:ascii="宋体" w:hAnsi="宋体" w:eastAsia="宋体" w:cs="宋体"/>
          <w:color w:val="auto"/>
          <w:szCs w:val="21"/>
          <w:highlight w:val="none"/>
        </w:rPr>
        <w:t>对已发出的招标文件进行必要澄清或者修改的，将在招标文件要求提交投标文件截止时间</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日前</w:t>
      </w:r>
      <w:r>
        <w:rPr>
          <w:rFonts w:hint="eastAsia" w:ascii="宋体" w:hAnsi="宋体" w:eastAsia="宋体" w:cs="宋体"/>
          <w:color w:val="auto"/>
          <w:szCs w:val="21"/>
          <w:highlight w:val="none"/>
          <w:lang w:eastAsia="zh-CN"/>
        </w:rPr>
        <w:t>（不足15日的，</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人或者</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代理机构应当顺延提交投标文件的截止时间）</w:t>
      </w:r>
      <w:r>
        <w:rPr>
          <w:rFonts w:hint="eastAsia" w:ascii="宋体" w:hAnsi="宋体" w:eastAsia="宋体" w:cs="宋体"/>
          <w:color w:val="auto"/>
          <w:szCs w:val="21"/>
          <w:highlight w:val="none"/>
        </w:rPr>
        <w:t>，在原招标公告媒体发布更正公告，</w:t>
      </w:r>
      <w:r>
        <w:rPr>
          <w:rFonts w:hint="eastAsia" w:ascii="宋体" w:hAnsi="宋体" w:eastAsia="宋体" w:cs="宋体"/>
          <w:color w:val="auto"/>
          <w:szCs w:val="21"/>
          <w:highlight w:val="none"/>
          <w:lang w:val="en-US" w:eastAsia="zh-CN"/>
        </w:rPr>
        <w:t>并通过“</w:t>
      </w:r>
      <w:r>
        <w:rPr>
          <w:rFonts w:hint="eastAsia" w:ascii="宋体" w:hAnsi="宋体" w:eastAsia="宋体" w:cs="宋体"/>
          <w:color w:val="auto"/>
          <w:szCs w:val="21"/>
          <w:highlight w:val="none"/>
        </w:rPr>
        <w:t>雨花台区招投标采购平台</w:t>
      </w:r>
      <w:r>
        <w:rPr>
          <w:rFonts w:hint="eastAsia" w:ascii="宋体" w:hAnsi="宋体" w:eastAsia="宋体" w:cs="宋体"/>
          <w:color w:val="auto"/>
          <w:szCs w:val="21"/>
          <w:highlight w:val="none"/>
          <w:lang w:val="en-US" w:eastAsia="zh-CN"/>
        </w:rPr>
        <w:t>”“答疑澄清”发出。届时会有短信提醒，请各投标人在开标前关注报名注册时的手机短信信息，及时登录平台进行查询和签收。</w:t>
      </w:r>
      <w:r>
        <w:rPr>
          <w:rFonts w:hint="eastAsia" w:ascii="宋体" w:hAnsi="宋体" w:eastAsia="宋体" w:cs="宋体"/>
          <w:color w:val="auto"/>
          <w:szCs w:val="21"/>
          <w:highlight w:val="none"/>
        </w:rPr>
        <w:t xml:space="preserve">该澄清或者修改的内容为招标文件的组成部分。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在招标文件要求提交投标文件截止时间前，有权决定延长投标截止时间和开标时间，并在原采购信息发布媒体上发布变更公告。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.5 投标人应在投标截止时间前关注原采购信息发布媒体有关本招标项目有无变更公告。</w:t>
      </w:r>
    </w:p>
    <w:p>
      <w:pPr>
        <w:pStyle w:val="9"/>
        <w:spacing w:before="0" w:after="0"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三、投标</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网上递交投标文件</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 投标人使用“皓盘云建”APP扫码登录“皓盘云建投标工具”，按要求编制投标文件和签章，并加密上传投标文件完成投标</w:t>
      </w:r>
      <w:r>
        <w:rPr>
          <w:rFonts w:hint="eastAsia" w:ascii="宋体" w:hAnsi="宋体" w:eastAsia="宋体" w:cs="宋体"/>
          <w:color w:val="auto"/>
          <w:szCs w:val="21"/>
          <w:highlight w:val="none"/>
          <w:lang w:val="zh-CN"/>
        </w:rPr>
        <w:t>，并对其提交的投标文件真实性、合法性承担法律责任。</w:t>
      </w:r>
      <w:r>
        <w:rPr>
          <w:rFonts w:hint="eastAsia" w:ascii="宋体" w:hAnsi="宋体" w:eastAsia="宋体" w:cs="宋体"/>
          <w:color w:val="auto"/>
          <w:szCs w:val="21"/>
          <w:highlight w:val="none"/>
        </w:rPr>
        <w:t>投标人应使用电脑登陆雨花台区招投标采购平台（http://yhzc.njyh.gov.cn/web）下载投标工具。</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投标人应当对招标文件提出的要求和条件作出实质性响应，并在网上交易系统逐条应答。</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 投标人应对要求提供的资格证明文件（如资质证书、资格证书）、技术资料（如白皮书、彩页、手册、检测报告等）扫描上传至投标工具。</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 服务属于小微企业提供的，应在投标文件中说明。</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.5 投标人拟在中标后将项目的非主体、非关键性工作交由他人完成的，应在投标文件中说明。 </w:t>
      </w:r>
    </w:p>
    <w:p>
      <w:pPr>
        <w:pStyle w:val="8"/>
        <w:spacing w:line="360"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.6 应急保障：投标人在投标文件制作及上传过程中出现无法完成的，请及时与平台、工具维护人员联系，联系电话：18951936689（24小时）。如投标人未能及时联系而导致投标不成功的，责任由投标人自行承担。投标人应对“皓盘云建”APP上注册的CA数字证书妥善保管，如被他人盗用投标，后果自负。</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lang w:val="zh-CN"/>
        </w:rPr>
        <w:t>、投标文件的语言、计量单位、货币和编制</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.1 提交的投标文件、技术文件和资料，包括图纸中的说明，以及投标人就有关</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zh-CN"/>
        </w:rPr>
        <w:t>的所有来往函电均应使用中文。投标文件中若有英文或其他语言文字的资料，应提供相应的中文翻译资料。对不同文本投标文件的解释发生异议的，以中文文本为准。</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.2 投标人所使用的计量单位应为国家法定计量单位。</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.3 投标人应用人民币报价，单位为“元”。</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.4 投标人所使用的技术标准应遵循国家最新标准及规范。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.5 </w:t>
      </w:r>
      <w:r>
        <w:rPr>
          <w:rFonts w:hint="eastAsia" w:ascii="宋体" w:hAnsi="宋体" w:eastAsia="宋体" w:cs="宋体"/>
          <w:color w:val="auto"/>
          <w:szCs w:val="21"/>
          <w:highlight w:val="none"/>
          <w:lang w:val="zh-CN"/>
        </w:rPr>
        <w:t>投标人中标后需提供</w:t>
      </w:r>
      <w:r>
        <w:rPr>
          <w:rFonts w:hint="eastAsia" w:ascii="宋体" w:hAnsi="宋体" w:eastAsia="宋体" w:cs="宋体"/>
          <w:color w:val="auto"/>
          <w:szCs w:val="21"/>
          <w:highlight w:val="none"/>
        </w:rPr>
        <w:t>壹</w:t>
      </w:r>
      <w:r>
        <w:rPr>
          <w:rFonts w:hint="eastAsia" w:ascii="宋体" w:hAnsi="宋体" w:eastAsia="宋体" w:cs="宋体"/>
          <w:color w:val="auto"/>
          <w:szCs w:val="21"/>
          <w:highlight w:val="none"/>
          <w:lang w:val="zh-CN"/>
        </w:rPr>
        <w:t>套加盖公章、骑缝章的纸质版投标文件送至</w:t>
      </w:r>
      <w:r>
        <w:rPr>
          <w:rFonts w:hint="eastAsia" w:ascii="宋体" w:hAnsi="宋体" w:eastAsia="宋体" w:cs="宋体"/>
          <w:color w:val="auto"/>
          <w:szCs w:val="21"/>
          <w:highlight w:val="none"/>
        </w:rPr>
        <w:t>招标代理公司经办人</w:t>
      </w:r>
      <w:r>
        <w:rPr>
          <w:rFonts w:hint="eastAsia" w:ascii="宋体" w:hAnsi="宋体" w:eastAsia="宋体" w:cs="宋体"/>
          <w:color w:val="auto"/>
          <w:szCs w:val="21"/>
          <w:highlight w:val="none"/>
          <w:lang w:val="zh-CN"/>
        </w:rPr>
        <w:t>，投标人提供的纸质文件</w:t>
      </w:r>
      <w:r>
        <w:rPr>
          <w:rFonts w:hint="eastAsia" w:ascii="宋体" w:hAnsi="宋体" w:eastAsia="宋体" w:cs="宋体"/>
          <w:color w:val="auto"/>
          <w:szCs w:val="21"/>
          <w:highlight w:val="none"/>
        </w:rPr>
        <w:t>必须</w:t>
      </w:r>
      <w:r>
        <w:rPr>
          <w:rFonts w:hint="eastAsia" w:ascii="宋体" w:hAnsi="宋体" w:eastAsia="宋体" w:cs="宋体"/>
          <w:color w:val="auto"/>
          <w:szCs w:val="21"/>
          <w:highlight w:val="none"/>
          <w:lang w:val="zh-CN"/>
        </w:rPr>
        <w:t>与投标电子文件</w:t>
      </w:r>
      <w:r>
        <w:rPr>
          <w:rFonts w:hint="eastAsia" w:ascii="宋体" w:hAnsi="宋体" w:eastAsia="宋体" w:cs="宋体"/>
          <w:color w:val="auto"/>
          <w:szCs w:val="21"/>
          <w:highlight w:val="none"/>
        </w:rPr>
        <w:t>保持</w:t>
      </w:r>
      <w:r>
        <w:rPr>
          <w:rFonts w:hint="eastAsia" w:ascii="宋体" w:hAnsi="宋体" w:eastAsia="宋体" w:cs="宋体"/>
          <w:color w:val="auto"/>
          <w:szCs w:val="21"/>
          <w:highlight w:val="none"/>
          <w:lang w:val="zh-CN"/>
        </w:rPr>
        <w:t xml:space="preserve">一致。 </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eastAsia="zh-CN"/>
        </w:rPr>
      </w:pP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val="zh-CN" w:eastAsia="zh-CN"/>
        </w:rPr>
        <w:t>联合</w:t>
      </w:r>
      <w:r>
        <w:rPr>
          <w:rFonts w:hint="eastAsia" w:ascii="宋体" w:hAnsi="宋体" w:eastAsia="宋体" w:cs="宋体"/>
          <w:b/>
          <w:bCs/>
          <w:color w:val="auto"/>
          <w:szCs w:val="21"/>
          <w:highlight w:val="none"/>
          <w:lang w:val="en-US" w:eastAsia="zh-CN"/>
        </w:rPr>
        <w:t>体</w:t>
      </w:r>
      <w:r>
        <w:rPr>
          <w:rFonts w:hint="eastAsia" w:ascii="宋体" w:hAnsi="宋体" w:eastAsia="宋体" w:cs="宋体"/>
          <w:b/>
          <w:bCs/>
          <w:color w:val="auto"/>
          <w:szCs w:val="21"/>
          <w:highlight w:val="none"/>
          <w:lang w:val="zh-CN" w:eastAsia="zh-CN"/>
        </w:rPr>
        <w:t>投标</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本项目不接受联合体投标。</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8、投标费用</w:t>
      </w:r>
    </w:p>
    <w:p>
      <w:pPr>
        <w:autoSpaceDE w:val="0"/>
        <w:autoSpaceDN w:val="0"/>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本次招标的招标代理服务费以中标价为计费基数，按照</w:t>
      </w:r>
      <w:r>
        <w:rPr>
          <w:rFonts w:hint="eastAsia" w:ascii="宋体" w:hAnsi="宋体" w:eastAsia="宋体" w:cs="宋体"/>
          <w:bCs/>
          <w:color w:val="auto"/>
          <w:szCs w:val="21"/>
          <w:highlight w:val="none"/>
          <w:lang w:val="en-US" w:eastAsia="zh-CN"/>
        </w:rPr>
        <w:t>原</w:t>
      </w:r>
      <w:r>
        <w:rPr>
          <w:rFonts w:hint="eastAsia" w:ascii="宋体" w:hAnsi="宋体" w:eastAsia="宋体" w:cs="宋体"/>
          <w:bCs/>
          <w:color w:val="auto"/>
          <w:szCs w:val="21"/>
          <w:highlight w:val="none"/>
        </w:rPr>
        <w:t>计价格[2002]1980号文规定标准收取，</w:t>
      </w:r>
      <w:r>
        <w:rPr>
          <w:rFonts w:hint="eastAsia" w:ascii="宋体" w:hAnsi="宋体" w:cs="宋体"/>
          <w:bCs/>
          <w:color w:val="auto"/>
          <w:szCs w:val="21"/>
          <w:highlight w:val="none"/>
          <w:lang w:val="en-US" w:eastAsia="zh-CN"/>
        </w:rPr>
        <w:t>按3000元/家/包收取（不含评委费用）</w:t>
      </w:r>
      <w:r>
        <w:rPr>
          <w:rFonts w:hint="eastAsia" w:ascii="宋体" w:hAnsi="宋体" w:eastAsia="宋体" w:cs="宋体"/>
          <w:bCs/>
          <w:color w:val="auto"/>
          <w:szCs w:val="21"/>
          <w:highlight w:val="none"/>
        </w:rPr>
        <w:t>，由</w:t>
      </w:r>
      <w:r>
        <w:rPr>
          <w:rFonts w:hint="eastAsia" w:ascii="宋体" w:hAnsi="宋体" w:eastAsia="宋体" w:cs="宋体"/>
          <w:bCs/>
          <w:color w:val="auto"/>
          <w:szCs w:val="21"/>
          <w:highlight w:val="none"/>
          <w:lang w:val="en-US" w:eastAsia="zh-CN"/>
        </w:rPr>
        <w:t>中标人</w:t>
      </w:r>
      <w:r>
        <w:rPr>
          <w:rFonts w:hint="eastAsia" w:ascii="宋体" w:hAnsi="宋体" w:eastAsia="宋体" w:cs="宋体"/>
          <w:bCs/>
          <w:color w:val="auto"/>
          <w:szCs w:val="21"/>
          <w:highlight w:val="none"/>
        </w:rPr>
        <w:t>在领取中标通知书（入选通知书）时向</w:t>
      </w:r>
      <w:r>
        <w:rPr>
          <w:rFonts w:hint="eastAsia" w:ascii="宋体" w:hAnsi="宋体" w:eastAsia="宋体" w:cs="宋体"/>
          <w:bCs/>
          <w:color w:val="auto"/>
          <w:szCs w:val="21"/>
          <w:highlight w:val="none"/>
          <w:lang w:val="en-US" w:eastAsia="zh-CN"/>
        </w:rPr>
        <w:t>采购</w:t>
      </w:r>
      <w:r>
        <w:rPr>
          <w:rFonts w:hint="eastAsia" w:ascii="宋体" w:hAnsi="宋体" w:eastAsia="宋体" w:cs="宋体"/>
          <w:bCs/>
          <w:color w:val="auto"/>
          <w:szCs w:val="21"/>
          <w:highlight w:val="none"/>
        </w:rPr>
        <w:t>代理机构一次性支付。</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lang w:val="zh-CN"/>
        </w:rPr>
        <w:t>、投标文件的组成</w:t>
      </w:r>
    </w:p>
    <w:p>
      <w:pPr>
        <w:widowControl/>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 xml:space="preserve">.1 </w:t>
      </w:r>
      <w:r>
        <w:rPr>
          <w:rFonts w:hint="eastAsia" w:ascii="宋体" w:hAnsi="宋体" w:eastAsia="宋体" w:cs="宋体"/>
          <w:color w:val="auto"/>
          <w:szCs w:val="21"/>
          <w:highlight w:val="none"/>
        </w:rPr>
        <w:t>投标人应当根据</w:t>
      </w:r>
      <w:r>
        <w:rPr>
          <w:rFonts w:hint="eastAsia" w:ascii="宋体" w:hAnsi="宋体" w:eastAsia="宋体" w:cs="宋体"/>
          <w:color w:val="auto"/>
          <w:szCs w:val="21"/>
          <w:highlight w:val="none"/>
          <w:lang w:val="zh-CN"/>
        </w:rPr>
        <w:t>招标文件</w:t>
      </w:r>
      <w:r>
        <w:rPr>
          <w:rFonts w:hint="eastAsia" w:ascii="宋体" w:hAnsi="宋体" w:eastAsia="宋体" w:cs="宋体"/>
          <w:color w:val="auto"/>
          <w:szCs w:val="21"/>
          <w:highlight w:val="none"/>
        </w:rPr>
        <w:t>要求编制投标文件，投标文件应对招标文件提出的要求和条件作出实质性响应，并在</w:t>
      </w:r>
      <w:r>
        <w:rPr>
          <w:rFonts w:hint="eastAsia" w:ascii="宋体" w:hAnsi="宋体" w:eastAsia="宋体" w:cs="宋体"/>
          <w:color w:val="auto"/>
          <w:szCs w:val="21"/>
          <w:highlight w:val="none"/>
          <w:lang w:val="zh-CN"/>
        </w:rPr>
        <w:t>《商务条款偏离表》和《技术条款偏离表》等处</w:t>
      </w:r>
      <w:r>
        <w:rPr>
          <w:rFonts w:hint="eastAsia" w:ascii="宋体" w:hAnsi="宋体" w:eastAsia="宋体" w:cs="宋体"/>
          <w:color w:val="auto"/>
          <w:szCs w:val="21"/>
          <w:highlight w:val="none"/>
        </w:rPr>
        <w:t>标明满足与否。</w:t>
      </w:r>
      <w:r>
        <w:rPr>
          <w:rFonts w:hint="eastAsia" w:ascii="宋体" w:hAnsi="宋体" w:eastAsia="宋体" w:cs="宋体"/>
          <w:b/>
          <w:bCs/>
          <w:color w:val="auto"/>
          <w:szCs w:val="21"/>
          <w:highlight w:val="none"/>
        </w:rPr>
        <w:t>对带星号（“★”）的条款必须在投标文件中响应，否则视为未响应</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lang w:val="zh-CN"/>
        </w:rPr>
        <w:t xml:space="preserve">.2 </w:t>
      </w:r>
      <w:r>
        <w:rPr>
          <w:rFonts w:hint="eastAsia" w:ascii="宋体" w:hAnsi="宋体" w:eastAsia="宋体" w:cs="宋体"/>
          <w:b/>
          <w:bCs/>
          <w:color w:val="auto"/>
          <w:szCs w:val="21"/>
          <w:highlight w:val="none"/>
          <w:lang w:val="zh-CN"/>
        </w:rPr>
        <w:t>投标文件的商务部分。</w:t>
      </w:r>
      <w:r>
        <w:rPr>
          <w:rFonts w:hint="eastAsia" w:ascii="宋体" w:hAnsi="宋体" w:eastAsia="宋体" w:cs="宋体"/>
          <w:color w:val="auto"/>
          <w:szCs w:val="21"/>
          <w:highlight w:val="none"/>
          <w:lang w:val="zh-CN"/>
        </w:rPr>
        <w:t>商务部分是证明投标人有资格参加</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zh-CN"/>
        </w:rPr>
        <w:t>和</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zh-CN"/>
        </w:rPr>
        <w:t>后有能力履行合同的文件，</w:t>
      </w:r>
      <w:r>
        <w:rPr>
          <w:rFonts w:hint="eastAsia" w:ascii="宋体" w:hAnsi="宋体" w:eastAsia="宋体" w:cs="宋体"/>
          <w:color w:val="auto"/>
          <w:szCs w:val="21"/>
          <w:highlight w:val="none"/>
        </w:rPr>
        <w:t>这些文件应能满足招标文件的要求</w:t>
      </w:r>
      <w:r>
        <w:rPr>
          <w:rFonts w:hint="eastAsia" w:ascii="宋体" w:hAnsi="宋体" w:eastAsia="宋体" w:cs="宋体"/>
          <w:color w:val="auto"/>
          <w:szCs w:val="21"/>
          <w:highlight w:val="none"/>
          <w:lang w:val="zh-CN"/>
        </w:rPr>
        <w:t>，包括但不限于下列文件，其中加“★”项目不得有缺失或无效：</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投标承诺函（投标申请及声明，格式见附件）</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（2）★法定代表人</w:t>
      </w:r>
      <w:r>
        <w:rPr>
          <w:rFonts w:hint="eastAsia" w:ascii="宋体" w:hAnsi="宋体" w:eastAsia="宋体" w:cs="宋体"/>
          <w:color w:val="auto"/>
          <w:szCs w:val="21"/>
          <w:highlight w:val="none"/>
        </w:rPr>
        <w:t>身份证明、</w:t>
      </w:r>
      <w:r>
        <w:rPr>
          <w:rFonts w:hint="eastAsia" w:ascii="宋体" w:hAnsi="宋体" w:eastAsia="宋体" w:cs="宋体"/>
          <w:color w:val="auto"/>
          <w:szCs w:val="21"/>
          <w:highlight w:val="none"/>
          <w:lang w:val="zh-CN"/>
        </w:rPr>
        <w:t xml:space="preserve">授权委托书及委托代理人的身份证扫描件；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（3）★第一章</w:t>
      </w:r>
      <w:r>
        <w:rPr>
          <w:rFonts w:hint="eastAsia" w:ascii="宋体" w:hAnsi="宋体" w:eastAsia="宋体" w:cs="宋体"/>
          <w:color w:val="auto"/>
          <w:szCs w:val="21"/>
          <w:highlight w:val="none"/>
        </w:rPr>
        <w:t>招标公告中</w:t>
      </w:r>
      <w:r>
        <w:rPr>
          <w:rFonts w:hint="eastAsia" w:ascii="宋体" w:hAnsi="宋体" w:eastAsia="宋体" w:cs="宋体"/>
          <w:color w:val="auto"/>
          <w:szCs w:val="21"/>
          <w:highlight w:val="none"/>
          <w:lang w:val="en-US" w:eastAsia="zh-CN"/>
        </w:rPr>
        <w:t>第二条申请人的</w:t>
      </w:r>
      <w:r>
        <w:rPr>
          <w:rFonts w:hint="eastAsia" w:ascii="宋体" w:hAnsi="宋体" w:eastAsia="宋体" w:cs="宋体"/>
          <w:color w:val="auto"/>
          <w:szCs w:val="21"/>
          <w:highlight w:val="none"/>
        </w:rPr>
        <w:t>资格要求；</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《南京市政府采购供应商信用记录表暨信用承诺书》；</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《商务条款偏离表》</w:t>
      </w:r>
      <w:r>
        <w:rPr>
          <w:rFonts w:hint="eastAsia" w:ascii="宋体" w:hAnsi="宋体" w:cs="宋体"/>
          <w:color w:val="auto"/>
          <w:szCs w:val="21"/>
          <w:highlight w:val="none"/>
          <w:lang w:val="zh-CN"/>
        </w:rPr>
        <w:t>；</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合同条款；</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）投标人认为需要提供的其他资格证明文件和商务资料。</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 xml:space="preserve">.3 </w:t>
      </w:r>
      <w:r>
        <w:rPr>
          <w:rFonts w:hint="eastAsia" w:ascii="宋体" w:hAnsi="宋体" w:eastAsia="宋体" w:cs="宋体"/>
          <w:b/>
          <w:bCs/>
          <w:color w:val="auto"/>
          <w:szCs w:val="21"/>
          <w:highlight w:val="none"/>
          <w:lang w:val="en-US" w:eastAsia="zh-CN"/>
        </w:rPr>
        <w:t>投标文件的技术部分。</w:t>
      </w:r>
      <w:r>
        <w:rPr>
          <w:rFonts w:hint="eastAsia" w:ascii="宋体" w:hAnsi="宋体" w:eastAsia="宋体" w:cs="宋体"/>
          <w:color w:val="auto"/>
          <w:szCs w:val="21"/>
          <w:highlight w:val="none"/>
          <w:lang w:val="zh-CN"/>
        </w:rPr>
        <w:t>技术部分是证明投标人提供的产品和服务是合格的，并符合招标文件要求的证明文件，以及对</w:t>
      </w:r>
      <w:r>
        <w:rPr>
          <w:rFonts w:hint="eastAsia" w:ascii="宋体" w:hAnsi="宋体" w:eastAsia="宋体" w:cs="宋体"/>
          <w:color w:val="auto"/>
          <w:szCs w:val="21"/>
          <w:highlight w:val="none"/>
          <w:lang w:val="en-US" w:eastAsia="zh-CN"/>
        </w:rPr>
        <w:t>货物和</w:t>
      </w:r>
      <w:r>
        <w:rPr>
          <w:rFonts w:hint="eastAsia" w:ascii="宋体" w:hAnsi="宋体" w:eastAsia="宋体" w:cs="宋体"/>
          <w:color w:val="auto"/>
          <w:szCs w:val="21"/>
          <w:highlight w:val="none"/>
          <w:lang w:val="zh-CN"/>
        </w:rPr>
        <w:t>服务的详细说明，这些文件可以是文字资料、图纸和数据等。</w:t>
      </w:r>
      <w:r>
        <w:rPr>
          <w:rFonts w:hint="eastAsia" w:ascii="宋体" w:hAnsi="宋体" w:eastAsia="宋体" w:cs="宋体"/>
          <w:color w:val="auto"/>
          <w:szCs w:val="21"/>
          <w:highlight w:val="none"/>
          <w:lang w:val="zh-CN" w:eastAsia="zh-CN"/>
        </w:rPr>
        <w:t>提供的货物和服务如与招标文件要求有不符之处，应说明其差别之所在。包括但不限于下列文件，</w:t>
      </w:r>
      <w:r>
        <w:rPr>
          <w:rFonts w:hint="eastAsia" w:ascii="宋体" w:hAnsi="宋体" w:eastAsia="宋体" w:cs="宋体"/>
          <w:b/>
          <w:bCs/>
          <w:color w:val="auto"/>
          <w:szCs w:val="21"/>
          <w:highlight w:val="none"/>
          <w:lang w:val="zh-CN"/>
        </w:rPr>
        <w:t>其中加★项目不得有缺失或无效</w:t>
      </w:r>
      <w:r>
        <w:rPr>
          <w:rFonts w:hint="eastAsia" w:ascii="宋体" w:hAnsi="宋体" w:eastAsia="宋体" w:cs="宋体"/>
          <w:color w:val="auto"/>
          <w:szCs w:val="21"/>
          <w:highlight w:val="none"/>
          <w:lang w:val="zh-CN" w:eastAsia="zh-CN"/>
        </w:rPr>
        <w:t>：</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（1）★技术说明或服务方案；</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（2）★《技术条款偏离表》；</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（3）服务承诺；</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eastAsia="zh-CN"/>
        </w:rPr>
        <w:t>）投标人认为需要提供的其他技术资料。</w:t>
      </w:r>
    </w:p>
    <w:p>
      <w:pPr>
        <w:autoSpaceDE w:val="0"/>
        <w:autoSpaceDN w:val="0"/>
        <w:adjustRightInd w:val="0"/>
        <w:snapToGrid w:val="0"/>
        <w:spacing w:line="360" w:lineRule="auto"/>
        <w:ind w:firstLine="420" w:firstLineChars="200"/>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 xml:space="preserve">.4 </w:t>
      </w:r>
      <w:r>
        <w:rPr>
          <w:rFonts w:hint="eastAsia" w:ascii="宋体" w:hAnsi="宋体" w:eastAsia="宋体" w:cs="宋体"/>
          <w:b/>
          <w:color w:val="auto"/>
          <w:szCs w:val="21"/>
          <w:highlight w:val="none"/>
          <w:lang w:val="zh-CN"/>
        </w:rPr>
        <w:t>投标文件的价格部分</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（1）价格部分是对所提供服务价格构成的说明，招标文件如没有特别说明的话，对每一项服务仅接受一个价格。</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kern w:val="0"/>
          <w:szCs w:val="21"/>
          <w:highlight w:val="none"/>
          <w:lang w:val="zh-CN"/>
        </w:rPr>
        <w:t>报价应包含完成本服务项目发生的所有含税费用、支付给员工的工资和国家强制缴纳的各种社会保障资金</w:t>
      </w:r>
      <w:r>
        <w:rPr>
          <w:rFonts w:hint="eastAsia" w:ascii="宋体" w:hAnsi="宋体" w:eastAsia="宋体" w:cs="宋体"/>
          <w:bCs/>
          <w:color w:val="auto"/>
          <w:szCs w:val="21"/>
          <w:highlight w:val="none"/>
        </w:rPr>
        <w:t>，以</w:t>
      </w:r>
      <w:r>
        <w:rPr>
          <w:rFonts w:hint="eastAsia" w:ascii="宋体" w:hAnsi="宋体" w:eastAsia="宋体" w:cs="宋体"/>
          <w:color w:val="auto"/>
          <w:szCs w:val="21"/>
          <w:highlight w:val="none"/>
        </w:rPr>
        <w:t>及投标人认为需要的其他费用等</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eastAsia="zh-CN"/>
        </w:rPr>
        <w:t>投标人的任何错漏、优惠、竞争性报价不得作为减轻责任、减少服务、增加收费、降低质量的理由。</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（4）投标人提供小微企业、残疾人福利性单位、监狱企业制造的货物和服务的，须在 《</w:t>
      </w:r>
      <w:r>
        <w:rPr>
          <w:rFonts w:hint="eastAsia" w:ascii="宋体" w:hAnsi="宋体" w:cs="宋体"/>
          <w:color w:val="auto"/>
          <w:szCs w:val="21"/>
          <w:highlight w:val="none"/>
          <w:lang w:val="en-US" w:eastAsia="zh-CN"/>
        </w:rPr>
        <w:t>开标</w:t>
      </w:r>
      <w:r>
        <w:rPr>
          <w:rFonts w:hint="eastAsia" w:ascii="宋体" w:hAnsi="宋体" w:eastAsia="宋体" w:cs="宋体"/>
          <w:color w:val="auto"/>
          <w:szCs w:val="21"/>
          <w:highlight w:val="none"/>
          <w:lang w:val="zh-CN"/>
        </w:rPr>
        <w:t>一览表》《分项报价表》中注明,投标人应当如实申报,否则评标委员会有权取消其小微企业、残疾人福利性单位、监狱企业优惠政策。</w:t>
      </w:r>
    </w:p>
    <w:p>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.5 投标文件的其他部分</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其他部分由投标人根据编制投标文件需要提供的其他相关文件。</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投标</w:t>
      </w:r>
      <w:r>
        <w:rPr>
          <w:rFonts w:hint="eastAsia" w:ascii="宋体" w:hAnsi="宋体" w:eastAsia="宋体" w:cs="宋体"/>
          <w:b/>
          <w:bCs/>
          <w:color w:val="auto"/>
          <w:szCs w:val="21"/>
          <w:highlight w:val="none"/>
          <w:lang w:val="zh-CN"/>
        </w:rPr>
        <w:t>保证金</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 xml:space="preserve">.1 本项目不收取投标保证金。  </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投标有效期</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自开标之日起</w:t>
      </w:r>
      <w:r>
        <w:rPr>
          <w:rFonts w:hint="eastAsia" w:ascii="宋体" w:hAnsi="宋体" w:eastAsia="宋体" w:cs="宋体"/>
          <w:color w:val="auto"/>
          <w:szCs w:val="21"/>
          <w:highlight w:val="none"/>
          <w:lang w:val="en-US" w:eastAsia="zh-CN"/>
        </w:rPr>
        <w:t>90</w:t>
      </w:r>
      <w:r>
        <w:rPr>
          <w:rFonts w:hint="eastAsia" w:ascii="宋体" w:hAnsi="宋体" w:eastAsia="宋体" w:cs="宋体"/>
          <w:color w:val="auto"/>
          <w:szCs w:val="21"/>
          <w:highlight w:val="none"/>
          <w:lang w:val="zh-CN"/>
        </w:rPr>
        <w:t xml:space="preserve">日内投标有效。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特殊情况下，在原投标有效期截止之前，</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lang w:val="zh-CN"/>
        </w:rPr>
        <w:t>可要求投标人同意延长投标有效期，这种要求与答复均以书面形式提交。</w:t>
      </w:r>
    </w:p>
    <w:p>
      <w:pPr>
        <w:autoSpaceDE w:val="0"/>
        <w:autoSpaceDN w:val="0"/>
        <w:adjustRightInd w:val="0"/>
        <w:snapToGrid w:val="0"/>
        <w:spacing w:line="360" w:lineRule="auto"/>
        <w:ind w:firstLine="422" w:firstLineChars="200"/>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投标文件</w:t>
      </w:r>
      <w:r>
        <w:rPr>
          <w:rFonts w:hint="eastAsia" w:ascii="宋体" w:hAnsi="宋体" w:eastAsia="宋体" w:cs="宋体"/>
          <w:b/>
          <w:bCs/>
          <w:color w:val="auto"/>
          <w:szCs w:val="21"/>
          <w:highlight w:val="none"/>
        </w:rPr>
        <w:t>盖章、修改和撤回</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 xml:space="preserve">.1 </w:t>
      </w:r>
      <w:r>
        <w:rPr>
          <w:rFonts w:hint="eastAsia" w:ascii="宋体" w:hAnsi="宋体" w:eastAsia="宋体" w:cs="宋体"/>
          <w:color w:val="auto"/>
          <w:szCs w:val="21"/>
          <w:highlight w:val="none"/>
        </w:rPr>
        <w:t>投标人应按照招标文件要求，对需要加盖公章上传的资格证明文件和有关资料加盖公章后扫描上传至投标文件内。</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.2 投标人应在投标文件指定位置加盖数字证书电子签章。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 xml:space="preserve">.3 </w:t>
      </w:r>
      <w:r>
        <w:rPr>
          <w:rFonts w:hint="eastAsia" w:ascii="宋体" w:hAnsi="宋体" w:eastAsia="宋体" w:cs="宋体"/>
          <w:color w:val="auto"/>
          <w:szCs w:val="21"/>
          <w:highlight w:val="none"/>
          <w:lang w:val="zh-CN"/>
        </w:rPr>
        <w:t>有下列情形之一的投标文件将拒收：</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（1）在招标文件要求提交投标文件的截止时间之后送达的等。</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 投标文件的修改和撤回</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（1）投标人在网上投标截止时间前，可以对所提交的投标文件（电子数据）进行补充、修改或撤回。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（2）投标截止时间后，交易系统自动关闭，投标文件不能修改和撤回。</w:t>
      </w:r>
    </w:p>
    <w:p>
      <w:pPr>
        <w:pStyle w:val="9"/>
        <w:spacing w:before="0" w:after="0" w:line="360" w:lineRule="auto"/>
        <w:ind w:firstLine="422" w:firstLineChars="200"/>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四、开标、评标与确定中标人</w:t>
      </w:r>
    </w:p>
    <w:p>
      <w:pPr>
        <w:autoSpaceDE w:val="0"/>
        <w:autoSpaceDN w:val="0"/>
        <w:adjustRightInd w:val="0"/>
        <w:snapToGrid w:val="0"/>
        <w:spacing w:line="360" w:lineRule="auto"/>
        <w:ind w:firstLine="422" w:firstLineChars="200"/>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13、开标</w:t>
      </w:r>
    </w:p>
    <w:p>
      <w:pPr>
        <w:widowControl/>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.1 在提交投标文件时间截止后，</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val="zh-CN"/>
        </w:rPr>
        <w:t>在规定的时间和地点组织</w:t>
      </w:r>
      <w:r>
        <w:rPr>
          <w:rFonts w:hint="eastAsia" w:ascii="宋体" w:hAnsi="宋体" w:eastAsia="宋体" w:cs="宋体"/>
          <w:color w:val="auto"/>
          <w:szCs w:val="21"/>
          <w:highlight w:val="none"/>
        </w:rPr>
        <w:t>开标</w:t>
      </w:r>
      <w:r>
        <w:rPr>
          <w:rFonts w:hint="eastAsia" w:ascii="宋体" w:hAnsi="宋体" w:eastAsia="宋体" w:cs="宋体"/>
          <w:color w:val="auto"/>
          <w:szCs w:val="21"/>
          <w:highlight w:val="none"/>
          <w:lang w:val="zh-CN"/>
        </w:rPr>
        <w:t>。</w:t>
      </w:r>
    </w:p>
    <w:p>
      <w:pPr>
        <w:widowControl/>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.2 投标人凭CA数字证书登录网上交易系统查看开标信息。</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投标截止时间后参加投标的投标人不足三家的，不</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lang w:val="zh-CN"/>
        </w:rPr>
        <w:t>开标</w:t>
      </w:r>
      <w:r>
        <w:rPr>
          <w:rFonts w:hint="eastAsia" w:ascii="宋体" w:hAnsi="宋体" w:eastAsia="宋体" w:cs="宋体"/>
          <w:color w:val="auto"/>
          <w:szCs w:val="21"/>
          <w:highlight w:val="none"/>
        </w:rPr>
        <w:t>。</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 xml:space="preserve">13.4 </w:t>
      </w:r>
      <w:r>
        <w:rPr>
          <w:rFonts w:hint="eastAsia" w:ascii="宋体" w:hAnsi="宋体" w:eastAsia="宋体" w:cs="宋体"/>
          <w:color w:val="auto"/>
          <w:highlight w:val="none"/>
        </w:rPr>
        <w:t>投标人未参加开标的，视同认可开标结果。</w:t>
      </w:r>
    </w:p>
    <w:p>
      <w:pPr>
        <w:widowControl/>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highlight w:val="none"/>
          <w:lang w:val="en-US" w:eastAsia="zh-CN"/>
        </w:rPr>
        <w:t xml:space="preserve">13.5 </w:t>
      </w:r>
      <w:r>
        <w:rPr>
          <w:rFonts w:hint="eastAsia" w:ascii="宋体" w:hAnsi="宋体" w:eastAsia="宋体" w:cs="宋体"/>
          <w:color w:val="auto"/>
          <w:highlight w:val="none"/>
        </w:rPr>
        <w:t>公开招标数额标准以上的采购项目，投标截止后投标人不足3家或者通过资格审查或</w:t>
      </w:r>
      <w:r>
        <w:rPr>
          <w:rFonts w:hint="eastAsia" w:ascii="宋体" w:hAnsi="宋体" w:eastAsia="宋体" w:cs="宋体"/>
          <w:color w:val="auto"/>
          <w:szCs w:val="21"/>
          <w:highlight w:val="none"/>
          <w:lang w:val="zh-CN"/>
        </w:rPr>
        <w:t>符合性审查的投标人不足3家的，除采购任务取消情形外，按照以下方式处理：</w:t>
      </w:r>
    </w:p>
    <w:p>
      <w:pPr>
        <w:widowControl/>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（1）招标文件存在不合理条款或者招标程序不符合规定的，采购人、采购代理机构改正后依法重新招标；</w:t>
      </w:r>
    </w:p>
    <w:p>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（2）招标文件没有不合理条款、招标程序符合规定，需要采用其他采购方式采购的，采购人依法报财政部门批准，经批准后，可变更为其他采购方式采购。本次招标文件中对</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val="zh-CN"/>
        </w:rPr>
        <w:t>资格条件要求、技术要求和商务等要求，将作为其他采购方式采购的基本要求和谈判依据。</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14、评标</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14.1 评标组织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（1）评标工作由</w:t>
      </w:r>
      <w:r>
        <w:rPr>
          <w:rFonts w:hint="eastAsia" w:ascii="宋体" w:hAnsi="宋体" w:eastAsia="宋体" w:cs="宋体"/>
          <w:color w:val="auto"/>
          <w:szCs w:val="21"/>
          <w:highlight w:val="none"/>
          <w:lang w:val="en-US" w:eastAsia="zh-CN"/>
        </w:rPr>
        <w:t>采购人（采购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组织，具体评标事务由依法组建的评标委员会负责，并独立履行下列职责：</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①审查、评价投标文件是否符合招标文件的商务、技术等实质性要求；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②要求投标人对投标文件有关事项作出澄清或者说明；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③对投标文件进行比较和评价；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④推荐中标候选人或根据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委托直接确定中标人；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招标代理机构或者有关部门报告评标中发现的违法</w:t>
      </w:r>
      <w:r>
        <w:rPr>
          <w:rFonts w:hint="eastAsia" w:ascii="宋体" w:hAnsi="宋体" w:eastAsia="宋体" w:cs="宋体"/>
          <w:color w:val="auto"/>
          <w:szCs w:val="21"/>
          <w:highlight w:val="none"/>
          <w:lang w:val="en-US" w:eastAsia="zh-CN"/>
        </w:rPr>
        <w:t>违规</w:t>
      </w:r>
      <w:r>
        <w:rPr>
          <w:rFonts w:hint="eastAsia" w:ascii="宋体" w:hAnsi="宋体" w:eastAsia="宋体" w:cs="宋体"/>
          <w:color w:val="auto"/>
          <w:szCs w:val="21"/>
          <w:highlight w:val="none"/>
          <w:lang w:eastAsia="zh-CN"/>
        </w:rPr>
        <w:t>行为。</w:t>
      </w:r>
      <w:r>
        <w:rPr>
          <w:rFonts w:hint="eastAsia" w:ascii="宋体" w:hAnsi="宋体" w:eastAsia="宋体" w:cs="宋体"/>
          <w:color w:val="auto"/>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代表和有关技术、经济等方面的专家组成，独立开展评审工作。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14.2 评标程序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投标文件的资格性检查。依据法律法规和招标文件的规定，对投标文件中资格证明等进行审查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合格</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不足3家的，不得评标。投标文件有下列情况之一的，在资格性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符合性</w:t>
      </w:r>
      <w:r>
        <w:rPr>
          <w:rFonts w:hint="eastAsia" w:ascii="宋体" w:hAnsi="宋体" w:eastAsia="宋体" w:cs="宋体"/>
          <w:color w:val="auto"/>
          <w:szCs w:val="21"/>
          <w:highlight w:val="none"/>
        </w:rPr>
        <w:t>审查时按照无效投标处理：</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①</w:t>
      </w:r>
      <w:r>
        <w:rPr>
          <w:rFonts w:hint="eastAsia" w:ascii="宋体" w:hAnsi="宋体" w:eastAsia="宋体" w:cs="宋体"/>
          <w:color w:val="auto"/>
          <w:szCs w:val="21"/>
          <w:highlight w:val="none"/>
        </w:rPr>
        <w:t>不具备招标文件中规定资格条件的；</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②</w:t>
      </w:r>
      <w:r>
        <w:rPr>
          <w:rFonts w:hint="eastAsia" w:ascii="宋体" w:hAnsi="宋体" w:eastAsia="宋体" w:cs="宋体"/>
          <w:color w:val="auto"/>
          <w:szCs w:val="21"/>
          <w:highlight w:val="none"/>
        </w:rPr>
        <w:t>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）投标文件的符合性审查，评标委员会将依据法律法规和招标文件的规定，对投标文件的有效性、完整性和对招标文件的响应程度进行审查，</w:t>
      </w:r>
      <w:r>
        <w:rPr>
          <w:rFonts w:hint="eastAsia" w:ascii="宋体" w:hAnsi="宋体" w:eastAsia="宋体" w:cs="宋体"/>
          <w:color w:val="auto"/>
          <w:szCs w:val="21"/>
          <w:highlight w:val="none"/>
          <w:lang w:val="zh-CN" w:eastAsia="zh-CN"/>
        </w:rPr>
        <w:t>以确定其是否满足招标文件的实质性要求</w:t>
      </w:r>
      <w:r>
        <w:rPr>
          <w:rFonts w:hint="eastAsia" w:ascii="宋体" w:hAnsi="宋体" w:eastAsia="宋体" w:cs="宋体"/>
          <w:color w:val="auto"/>
          <w:szCs w:val="21"/>
          <w:highlight w:val="none"/>
          <w:lang w:val="zh-CN"/>
        </w:rPr>
        <w:t>。投标人不得通过修改或撤销不合要求的偏离而使其投标成为实质性响应的投标。投标文件有下列情况之一的，在符合性审查时按照无效投标处理：</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①未按招标文件规定签署、盖章的；</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②投标总价</w:t>
      </w:r>
      <w:r>
        <w:rPr>
          <w:rFonts w:hint="eastAsia" w:ascii="宋体" w:hAnsi="宋体" w:eastAsia="宋体" w:cs="宋体"/>
          <w:color w:val="auto"/>
          <w:szCs w:val="21"/>
          <w:highlight w:val="none"/>
          <w:lang w:val="en-US" w:eastAsia="zh-CN"/>
        </w:rPr>
        <w:t>和单价</w:t>
      </w:r>
      <w:r>
        <w:rPr>
          <w:rFonts w:hint="eastAsia" w:ascii="宋体" w:hAnsi="宋体" w:eastAsia="宋体" w:cs="宋体"/>
          <w:color w:val="auto"/>
          <w:szCs w:val="21"/>
          <w:highlight w:val="none"/>
          <w:lang w:val="zh-CN"/>
        </w:rPr>
        <w:t>超出采购项目预算或者最高限价的；</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③投标文件含有采购人不能接受的附加条件的；</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④不同投标人的投标文件由同一单位或者个人编制；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val="zh-CN"/>
        </w:rPr>
        <w:t xml:space="preserve">不同投标人委托同一单位或者个人办理投标事宜；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⑥不同投标人的投标文件载明的项目管理成员为同一人；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⑦不同投标人的投标文件异常一致或者投标报价呈规律性差异；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⑧不同投标人的投标保证金从同一单位或者个人的帐户转出；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⑨不同投标人的法定代表人或委托代理人有夫妻、直系血亲关系的；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⑩不同投标人的负责人为同一人或者存在控股、管理关系的；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⑪属于投标邀请中拒绝参加本次采购活动投标人的；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⑫没有逐一说明投标产品品牌、型号、产地、性能参数，而是直接拷贝招标文件技术要求的；</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⑬评标委员会认为投标人的报价明显低于其他投标人的报价，有可能影响服务质量或者不能诚信履约的，未在评标现场合理的时间内提供书面说明或相关证明材料，不能证明其报价合理的。</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⑭不符合法律、法规和招标文件规定的其他实质性要求的。</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实质性要求是指本招标文件中用带星号（“★”）、“必须”或“应（应当）”等其他文字说明和商务和技术要求。</w:t>
      </w:r>
    </w:p>
    <w:p>
      <w:pPr>
        <w:numPr>
          <w:ilvl w:val="0"/>
          <w:numId w:val="0"/>
        </w:num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有下列情形之一的予以废标，同时将废标原因通知所有投标人：</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①符合资格条件的投标人或者对招标文件作实质性响应的投标人不足三家的；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②出现影响采购公正的违法、违规行为的；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③投标人的报价均超过了采购预算或最高限价，</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不能支付的； </w:t>
      </w:r>
    </w:p>
    <w:p>
      <w:pPr>
        <w:numPr>
          <w:ilvl w:val="0"/>
          <w:numId w:val="0"/>
        </w:num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④因重大变故，采购任务取消的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在评标期间，出现符合资格性检查的供应商或者对招标文件作出实质性响应的供应商不足三家情形的，比照</w:t>
      </w:r>
      <w:r>
        <w:rPr>
          <w:rFonts w:hint="eastAsia" w:ascii="宋体" w:hAnsi="宋体" w:eastAsia="宋体" w:cs="宋体"/>
          <w:color w:val="auto"/>
          <w:szCs w:val="21"/>
          <w:highlight w:val="none"/>
          <w:lang w:val="en-US" w:eastAsia="zh-CN"/>
        </w:rPr>
        <w:t>13.5</w:t>
      </w:r>
      <w:r>
        <w:rPr>
          <w:rFonts w:hint="eastAsia" w:ascii="宋体" w:hAnsi="宋体" w:eastAsia="宋体" w:cs="宋体"/>
          <w:color w:val="auto"/>
          <w:szCs w:val="21"/>
          <w:highlight w:val="none"/>
          <w:lang w:val="zh-CN" w:eastAsia="zh-CN"/>
        </w:rPr>
        <w:t xml:space="preserve">款执行。 </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澄清有关问题。对投标文件中含义不明确、同类问题表述不一致或者明显文字和计算错误的内容，评标委员会可以要求供应商作出必要的澄清、说明或者补正。供应商的澄清、说明、补正应当采用书面形式，由其授权代表签字或签章，但不得超出投标文件的范围或者改变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）比较与评价。按照招标文件中规定的评标方法和标准，对资格性检查和符合性检查合格的投标文件进行商务和技术评估，综合比较与评价。</w:t>
      </w:r>
    </w:p>
    <w:p>
      <w:pPr>
        <w:autoSpaceDE w:val="0"/>
        <w:autoSpaceDN w:val="0"/>
        <w:adjustRightInd w:val="0"/>
        <w:snapToGrid w:val="0"/>
        <w:spacing w:line="360" w:lineRule="auto"/>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zh-CN"/>
        </w:rPr>
        <w:t>、评定方法和标准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.1 </w:t>
      </w:r>
      <w:r>
        <w:rPr>
          <w:rFonts w:hint="eastAsia" w:ascii="宋体" w:hAnsi="宋体" w:eastAsia="宋体" w:cs="宋体"/>
          <w:b/>
          <w:color w:val="auto"/>
          <w:kern w:val="0"/>
          <w:szCs w:val="21"/>
          <w:highlight w:val="none"/>
          <w:lang w:val="zh-CN"/>
        </w:rPr>
        <w:t>采用综合评分法。</w:t>
      </w:r>
      <w:r>
        <w:rPr>
          <w:rFonts w:hint="eastAsia" w:ascii="宋体" w:hAnsi="宋体" w:eastAsia="宋体" w:cs="宋体"/>
          <w:color w:val="auto"/>
          <w:kern w:val="0"/>
          <w:szCs w:val="21"/>
          <w:highlight w:val="none"/>
          <w:lang w:val="zh-CN"/>
        </w:rPr>
        <w:t>即在最大限度地满足招标文件实质性要求前提下，按照招标文件中规定的各项因素进行综合评审后，以评审总得分最高的投标人作为中标候选人或者中标人的评审方法。本次评标的评分方法和标准，</w:t>
      </w:r>
      <w:r>
        <w:rPr>
          <w:rFonts w:hint="eastAsia" w:ascii="宋体" w:hAnsi="宋体" w:eastAsia="宋体" w:cs="宋体"/>
          <w:b/>
          <w:bCs/>
          <w:color w:val="auto"/>
          <w:kern w:val="0"/>
          <w:szCs w:val="21"/>
          <w:highlight w:val="none"/>
          <w:lang w:val="zh-CN"/>
        </w:rPr>
        <w:t>具体详见本招标文件第三章</w:t>
      </w:r>
      <w:r>
        <w:rPr>
          <w:rFonts w:hint="eastAsia" w:ascii="宋体" w:hAnsi="宋体" w:eastAsia="宋体" w:cs="宋体"/>
          <w:color w:val="auto"/>
          <w:kern w:val="0"/>
          <w:szCs w:val="21"/>
          <w:highlight w:val="none"/>
          <w:lang w:val="zh-CN"/>
        </w:rPr>
        <w:t>。</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w:t>
      </w:r>
      <w:r>
        <w:rPr>
          <w:rFonts w:hint="eastAsia" w:ascii="宋体" w:hAnsi="宋体" w:eastAsia="宋体" w:cs="宋体"/>
          <w:b/>
          <w:bCs/>
          <w:color w:val="auto"/>
          <w:szCs w:val="21"/>
          <w:highlight w:val="none"/>
        </w:rPr>
        <w:t>6</w:t>
      </w:r>
      <w:r>
        <w:rPr>
          <w:rFonts w:hint="eastAsia" w:ascii="宋体" w:hAnsi="宋体" w:eastAsia="宋体" w:cs="宋体"/>
          <w:b/>
          <w:bCs/>
          <w:color w:val="auto"/>
          <w:szCs w:val="21"/>
          <w:highlight w:val="none"/>
          <w:lang w:val="zh-CN"/>
        </w:rPr>
        <w:t>、确定中标人</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16.1 综合比较与评价后按照得分高低顺序对投标人进行排列。得分相同的，按投标报价由低到高顺序排列。得分且投标报价相同的，按技术指标优劣顺序排列。按各投标人总得分由高到低确定若干入围中标人（具体以招标文件第四章采购需求里面成交供应商数量为准）。若有效投标人达不到招标人要求的入围供应商数量，则全部为入围中标人。 </w:t>
      </w:r>
    </w:p>
    <w:p>
      <w:pPr>
        <w:widowControl/>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中标人确定</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，在原采购公告发布媒体上发布公告，向中标人发出中标通知书。中标人应按中标通知书规定的时间、地点与采购单位签订采购合同。</w:t>
      </w:r>
    </w:p>
    <w:p>
      <w:pPr>
        <w:widowControl/>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《中标通知书》对</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 xml:space="preserve">和中标人具有同等法律效力。 </w:t>
      </w:r>
    </w:p>
    <w:p>
      <w:pPr>
        <w:widowControl/>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代理对未中标的投标人不作未中标原因的解释。 </w:t>
      </w:r>
    </w:p>
    <w:p>
      <w:pPr>
        <w:widowControl/>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所有投标文件不论中标与否，均不退回。 </w:t>
      </w:r>
    </w:p>
    <w:p>
      <w:pPr>
        <w:widowControl/>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中标通知书发出后，招标人或中标人拒绝签订合同的，拒绝签订合同的一方应至少向另一方支付补偿金，以及为招标、投标所发生的有关费用和双方商定的其他补偿。 </w:t>
      </w:r>
    </w:p>
    <w:p>
      <w:pPr>
        <w:widowControl/>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编写评标报告</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评标委员会根据评标过程和结果编写评标报告。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rPr>
        <w:t>8</w:t>
      </w:r>
      <w:r>
        <w:rPr>
          <w:rFonts w:hint="eastAsia" w:ascii="宋体" w:hAnsi="宋体" w:eastAsia="宋体" w:cs="宋体"/>
          <w:b/>
          <w:color w:val="auto"/>
          <w:szCs w:val="21"/>
          <w:highlight w:val="none"/>
          <w:lang w:val="zh-CN"/>
        </w:rPr>
        <w:t>、</w:t>
      </w:r>
      <w:r>
        <w:rPr>
          <w:rFonts w:hint="eastAsia" w:ascii="宋体" w:hAnsi="宋体" w:eastAsia="宋体" w:cs="宋体"/>
          <w:b/>
          <w:bCs/>
          <w:color w:val="auto"/>
          <w:kern w:val="0"/>
          <w:szCs w:val="21"/>
          <w:highlight w:val="none"/>
        </w:rPr>
        <w:t>评标过程的保密性</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和采购代理机构将采取必要措施，保证评标在严格保密的情况下进行。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.2 任何单位和个人不得非法干预、影响评标办法的确定，以及评标过程和结果。</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.3 凡是与审查、澄清、评价和比较投标的有关资料等，均不向投标人及与评标无关的其他人员透露。</w:t>
      </w:r>
    </w:p>
    <w:p>
      <w:pPr>
        <w:autoSpaceDE w:val="0"/>
        <w:autoSpaceDN w:val="0"/>
        <w:adjustRightInd w:val="0"/>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en-US" w:eastAsia="zh-CN"/>
        </w:rPr>
        <w:t>19、</w:t>
      </w:r>
      <w:r>
        <w:rPr>
          <w:rFonts w:hint="eastAsia" w:ascii="宋体" w:hAnsi="宋体" w:eastAsia="宋体" w:cs="宋体"/>
          <w:b/>
          <w:bCs/>
          <w:color w:val="auto"/>
          <w:szCs w:val="21"/>
          <w:highlight w:val="none"/>
          <w:lang w:val="zh-CN"/>
        </w:rPr>
        <w:t>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与中标人应当自中标通知书发出之日起30日内，按照招标文件和中标人投标文件的规定，签订书面合同。所签订的合同不得对招标文件确定的事项和中标人投标文件作实质性修改。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不得向中标人提出任何不合理的要求作为签订合同的条件。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中标人拒绝与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采购合同履行中，</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与中标人应当根据合同的约定依法履行合同义务。</w:t>
      </w:r>
    </w:p>
    <w:p>
      <w:pPr>
        <w:autoSpaceDE w:val="0"/>
        <w:autoSpaceDN w:val="0"/>
        <w:adjustRightInd w:val="0"/>
        <w:snapToGrid w:val="0"/>
        <w:spacing w:line="360" w:lineRule="auto"/>
        <w:ind w:firstLine="422" w:firstLineChars="200"/>
        <w:outlineLvl w:val="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五</w:t>
      </w:r>
      <w:r>
        <w:rPr>
          <w:rFonts w:hint="eastAsia" w:ascii="宋体" w:hAnsi="宋体" w:eastAsia="宋体" w:cs="宋体"/>
          <w:b/>
          <w:bCs/>
          <w:color w:val="auto"/>
          <w:szCs w:val="21"/>
          <w:highlight w:val="none"/>
          <w:lang w:val="zh-CN"/>
        </w:rPr>
        <w:t>、质疑、投诉和诚实信用</w:t>
      </w:r>
    </w:p>
    <w:p>
      <w:pPr>
        <w:autoSpaceDE w:val="0"/>
        <w:autoSpaceDN w:val="0"/>
        <w:adjustRightInd w:val="0"/>
        <w:spacing w:line="360" w:lineRule="auto"/>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20</w:t>
      </w:r>
      <w:r>
        <w:rPr>
          <w:rFonts w:hint="eastAsia" w:ascii="宋体" w:hAnsi="宋体" w:eastAsia="宋体" w:cs="宋体"/>
          <w:b/>
          <w:color w:val="auto"/>
          <w:szCs w:val="21"/>
          <w:highlight w:val="none"/>
          <w:lang w:val="zh-CN"/>
        </w:rPr>
        <w:t>、质疑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 xml:space="preserve"> 投标人</w:t>
      </w:r>
      <w:r>
        <w:rPr>
          <w:rFonts w:hint="eastAsia" w:ascii="宋体" w:hAnsi="宋体" w:eastAsia="宋体" w:cs="宋体"/>
          <w:color w:val="auto"/>
          <w:kern w:val="0"/>
          <w:szCs w:val="21"/>
          <w:highlight w:val="none"/>
        </w:rPr>
        <w:t>对招标活动事项有疑问的，可以向采购代理机构提出询问，采购代理机构将依法作出答复，但答复的内容不涉及商业秘密。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提出质疑的</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应当是参与所质疑项目采购活动的</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。潜在</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已依法获取其可质疑的</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的，可以对该文件提出质疑。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以联合体形式参加采购活动的，其质疑应当由组成联合体的所有</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共同提出。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 xml:space="preserve"> 投标人</w:t>
      </w:r>
      <w:r>
        <w:rPr>
          <w:rFonts w:hint="eastAsia" w:ascii="宋体" w:hAnsi="宋体" w:eastAsia="宋体" w:cs="宋体"/>
          <w:color w:val="auto"/>
          <w:kern w:val="0"/>
          <w:szCs w:val="21"/>
          <w:highlight w:val="none"/>
        </w:rPr>
        <w:t>认为</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、采购过程和中标结果使自己的合法权益受到损害的，可以在知道或者应知其权益受到损害之日起七个工作日内，将质疑文件原件送达</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或采购代理机构。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应知其权益受到损害之日，是指：对</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提出质疑的，应当在获取</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公告期限届满之日起7个工作日内提出；对采购过程提出质疑的，为各采购程序环节结束之日；对中标或者成交结果提出质疑的，为中标或者成交结果公告期限届满之日。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必须在法定质疑期内一次性提出针对同一采购程序环节的质疑。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 xml:space="preserve">.4 </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提出质疑应当提交质疑函和必要的证明材料。质疑函应当包括下列内容：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（一）</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的姓名或者名称、地址、邮编、联系人及联系电话；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（二）质疑项目的名称、编号；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（三）具体、明确的质疑事项和与质疑事项相关的请求（具体条款）；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（四）事实依据（具体条款）；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（五）必要的法律依据（具体条款）；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（六）提出质疑的日期。</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为自然人的，应当由本人签字；</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为法人或者其他组织的，应当由法定代表人、主要负责人，或者其授权代表签字或者盖章，并加盖公章。代理人提出质疑和投诉，应当提交</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签署的授权委托书。其授权委托书应当载明代理人的姓名或者名称、代理事项、具体权限、期限和相关事项。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 xml:space="preserve">.6 </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不得虚假质疑和恶意质疑，并对质疑内容的真实性承担责任。</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或者其他利害关系人通过捏造事实、伪造证明材料等方式提出异议或投诉，阻碍招投标活动正常进行的，属于严重不良行为，代理机构将提请财政部门将其列入不良行为记录名单，并依法予以处罚。</w:t>
      </w:r>
    </w:p>
    <w:p>
      <w:pPr>
        <w:autoSpaceDE w:val="0"/>
        <w:autoSpaceDN w:val="0"/>
        <w:adjustRightInd w:val="0"/>
        <w:spacing w:line="360" w:lineRule="auto"/>
        <w:ind w:firstLine="422" w:firstLineChars="20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rPr>
        <w:t>21</w:t>
      </w:r>
      <w:r>
        <w:rPr>
          <w:rFonts w:hint="eastAsia" w:ascii="宋体" w:hAnsi="宋体" w:eastAsia="宋体" w:cs="宋体"/>
          <w:b/>
          <w:bCs/>
          <w:color w:val="auto"/>
          <w:szCs w:val="21"/>
          <w:highlight w:val="none"/>
          <w:lang w:val="zh-CN"/>
        </w:rPr>
        <w:t>、投诉</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zh-CN"/>
        </w:rPr>
        <w:t>.1 质疑投标人对</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val="zh-CN"/>
        </w:rPr>
        <w:t>的答复不满意，或</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val="zh-CN"/>
        </w:rPr>
        <w:t>未在规定的时间内作出答复的，可以在答复期满后</w:t>
      </w:r>
      <w:r>
        <w:rPr>
          <w:rFonts w:hint="eastAsia" w:ascii="宋体" w:hAnsi="宋体" w:eastAsia="宋体" w:cs="宋体"/>
          <w:b/>
          <w:bCs/>
          <w:color w:val="auto"/>
          <w:szCs w:val="21"/>
          <w:highlight w:val="none"/>
          <w:lang w:val="zh-CN"/>
        </w:rPr>
        <w:t>十五个工作日内</w:t>
      </w:r>
      <w:r>
        <w:rPr>
          <w:rFonts w:hint="eastAsia" w:ascii="宋体" w:hAnsi="宋体" w:eastAsia="宋体" w:cs="宋体"/>
          <w:color w:val="auto"/>
          <w:szCs w:val="21"/>
          <w:highlight w:val="none"/>
          <w:lang w:val="zh-CN"/>
        </w:rPr>
        <w:t>向采购项目同级财政部门投诉。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xml:space="preserve"> 投标人</w:t>
      </w:r>
      <w:r>
        <w:rPr>
          <w:rFonts w:hint="eastAsia" w:ascii="宋体" w:hAnsi="宋体" w:eastAsia="宋体" w:cs="宋体"/>
          <w:color w:val="auto"/>
          <w:kern w:val="0"/>
          <w:szCs w:val="21"/>
          <w:highlight w:val="none"/>
        </w:rPr>
        <w:t>投诉应当有明确的请求和必要的证明材料。</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投诉的事项不得超出已质疑事项的范围。</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投诉人对监督管理部门的投诉处理决定不服或者监督管理部门逾期未作处理的，可以依法申请行政复议或者向人民法院提起行政诉讼。</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.4 投诉人有下列行为之一的，属于严重失信行为，由</w:t>
      </w:r>
      <w:r>
        <w:rPr>
          <w:rFonts w:hint="eastAsia" w:ascii="宋体" w:hAnsi="宋体" w:eastAsia="宋体" w:cs="宋体"/>
          <w:color w:val="auto"/>
          <w:kern w:val="0"/>
          <w:szCs w:val="21"/>
          <w:highlight w:val="none"/>
          <w:lang w:val="en-US" w:eastAsia="zh-CN"/>
        </w:rPr>
        <w:t>主管</w:t>
      </w:r>
      <w:r>
        <w:rPr>
          <w:rFonts w:hint="eastAsia" w:ascii="宋体" w:hAnsi="宋体" w:eastAsia="宋体" w:cs="宋体"/>
          <w:color w:val="auto"/>
          <w:kern w:val="0"/>
          <w:szCs w:val="21"/>
          <w:highlight w:val="none"/>
        </w:rPr>
        <w:t>部门列入不良行为记录名单，禁止其一至三年内参加政府采购活动。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（1）投诉人在全国范围12个月内三次以上投诉查无实据的；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（2）采用捏造事实、提供虚假材料或者以非法手段取得证明材料等方式进行虚假、恶意投诉。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证据来源的合法性存在明显疑问，投诉人无法证明其取得方式合法的，视为以非法手段取得证明材料。</w:t>
      </w:r>
    </w:p>
    <w:p>
      <w:pPr>
        <w:pStyle w:val="81"/>
        <w:spacing w:line="360" w:lineRule="auto"/>
        <w:ind w:firstLine="480" w:firstLineChars="200"/>
        <w:rPr>
          <w:rFonts w:hint="eastAsia" w:ascii="宋体" w:hAnsi="宋体" w:eastAsia="宋体" w:cs="宋体"/>
          <w:color w:val="auto"/>
          <w:szCs w:val="21"/>
          <w:highlight w:val="none"/>
          <w:lang w:val="zh-CN"/>
        </w:rPr>
      </w:pPr>
    </w:p>
    <w:p>
      <w:pPr>
        <w:pStyle w:val="53"/>
        <w:spacing w:line="360" w:lineRule="auto"/>
        <w:ind w:firstLine="400" w:firstLineChars="200"/>
        <w:rPr>
          <w:rFonts w:hint="eastAsia" w:ascii="宋体" w:hAnsi="宋体" w:eastAsia="宋体" w:cs="宋体"/>
          <w:color w:val="auto"/>
          <w:szCs w:val="21"/>
          <w:highlight w:val="none"/>
          <w:lang w:val="zh-CN"/>
        </w:rPr>
      </w:pPr>
    </w:p>
    <w:p>
      <w:pPr>
        <w:spacing w:line="360" w:lineRule="auto"/>
        <w:ind w:firstLine="420" w:firstLineChars="200"/>
        <w:rPr>
          <w:rFonts w:hint="eastAsia" w:ascii="宋体" w:hAnsi="宋体" w:eastAsia="宋体" w:cs="宋体"/>
          <w:color w:val="auto"/>
          <w:szCs w:val="21"/>
          <w:highlight w:val="none"/>
          <w:lang w:val="zh-CN"/>
        </w:rPr>
      </w:pPr>
    </w:p>
    <w:p>
      <w:pPr>
        <w:numPr>
          <w:ilvl w:val="0"/>
          <w:numId w:val="5"/>
        </w:numPr>
        <w:spacing w:line="360" w:lineRule="auto"/>
        <w:jc w:val="center"/>
        <w:rPr>
          <w:rFonts w:hint="eastAsia" w:ascii="宋体" w:hAnsi="宋体" w:eastAsia="宋体" w:cs="宋体"/>
          <w:color w:val="auto"/>
          <w:spacing w:val="-10"/>
          <w:sz w:val="36"/>
          <w:szCs w:val="36"/>
          <w:highlight w:val="none"/>
        </w:rPr>
      </w:pPr>
      <w:r>
        <w:rPr>
          <w:rFonts w:hint="eastAsia" w:ascii="宋体" w:hAnsi="宋体" w:eastAsia="宋体" w:cs="宋体"/>
          <w:color w:val="auto"/>
          <w:spacing w:val="-10"/>
          <w:sz w:val="36"/>
          <w:szCs w:val="36"/>
          <w:highlight w:val="none"/>
        </w:rPr>
        <w:t>评标办法</w:t>
      </w:r>
    </w:p>
    <w:p>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按评标总得分排序由高到低确定若干入围供应商的评标方法。</w:t>
      </w:r>
    </w:p>
    <w:tbl>
      <w:tblPr>
        <w:tblStyle w:val="62"/>
        <w:tblpPr w:leftFromText="180" w:rightFromText="180" w:vertAnchor="text" w:horzAnchor="page" w:tblpXSpec="center" w:tblpY="138"/>
        <w:tblOverlap w:val="never"/>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30"/>
        <w:gridCol w:w="1062"/>
        <w:gridCol w:w="1140"/>
        <w:gridCol w:w="57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序号</w:t>
            </w:r>
          </w:p>
        </w:tc>
        <w:tc>
          <w:tcPr>
            <w:tcW w:w="10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2"/>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评分细则</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评分标准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5"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w:t>
            </w:r>
          </w:p>
        </w:tc>
        <w:tc>
          <w:tcPr>
            <w:tcW w:w="10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投标报价（10分）</w:t>
            </w: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价格</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color w:val="auto"/>
                <w:highlight w:val="none"/>
                <w:lang w:val="en-US" w:eastAsia="zh-CN"/>
              </w:rPr>
            </w:pPr>
            <w:r>
              <w:rPr>
                <w:rFonts w:hint="eastAsia"/>
                <w:color w:val="auto"/>
                <w:highlight w:val="none"/>
                <w:lang w:val="en-US" w:eastAsia="zh-CN"/>
              </w:rPr>
              <w:t>满足招标文件要求且最后所投品目平均折扣率最高的投标人的价格为评标基准折扣率，其价格分为满分。其他投标人的价格分统一按照下列公式计算：投标报价得分=（所投品目平均折扣率/评标基准折扣率）×10（小数点保留两位）</w:t>
            </w:r>
          </w:p>
          <w:p>
            <w:pPr>
              <w:keepNext w:val="0"/>
              <w:keepLines w:val="0"/>
              <w:widowControl w:val="0"/>
              <w:suppressLineNumbers w:val="0"/>
              <w:spacing w:before="0" w:beforeAutospacing="0" w:after="0" w:afterAutospacing="0" w:line="240" w:lineRule="auto"/>
              <w:ind w:left="0" w:right="0"/>
              <w:jc w:val="left"/>
              <w:rPr>
                <w:rFonts w:hint="eastAsia"/>
                <w:color w:val="auto"/>
                <w:highlight w:val="none"/>
              </w:rPr>
            </w:pPr>
            <w:r>
              <w:rPr>
                <w:rFonts w:hint="eastAsia"/>
                <w:color w:val="auto"/>
                <w:highlight w:val="none"/>
                <w:lang w:val="en-US" w:eastAsia="zh-CN"/>
              </w:rPr>
              <w:t>备注：包五：以冷鲜肉1-7项所投品目平均折扣率、8-56项所投品目平均折扣率分别独立计算得分后取平均值作为投标报价最终得分；包七：以蔬菜、蛋、豆制品1-24项所投品目平均折扣率、25-236项所投品目平均折扣率分别独立计算得分后取平均值作为投标报价最终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1" w:hRule="atLeast"/>
          <w:jc w:val="center"/>
        </w:trPr>
        <w:tc>
          <w:tcPr>
            <w:tcW w:w="530" w:type="dxa"/>
            <w:vMerge w:val="restart"/>
            <w:tcBorders>
              <w:top w:val="nil"/>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62" w:type="dxa"/>
            <w:vMerge w:val="restart"/>
            <w:tcBorders>
              <w:top w:val="nil"/>
              <w:left w:val="single" w:color="auto" w:sz="4" w:space="0"/>
              <w:right w:val="single" w:color="auto" w:sz="4" w:space="0"/>
            </w:tcBorders>
            <w:shd w:val="clear" w:color="auto" w:fill="auto"/>
            <w:tcMar>
              <w:left w:w="108" w:type="dxa"/>
              <w:right w:w="108" w:type="dxa"/>
            </w:tcMar>
            <w:vAlign w:val="center"/>
          </w:tcPr>
          <w:p>
            <w:pPr>
              <w:keepNext w:val="0"/>
              <w:keepLines w:val="0"/>
              <w:suppressLineNumbers w:val="0"/>
              <w:wordWrap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商务部分</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分）</w:t>
            </w:r>
          </w:p>
        </w:tc>
        <w:tc>
          <w:tcPr>
            <w:tcW w:w="1140" w:type="dxa"/>
            <w:tcBorders>
              <w:top w:val="nil"/>
              <w:left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业绩</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bidi="ar"/>
              </w:rPr>
              <w:t>投标人</w:t>
            </w:r>
            <w:r>
              <w:rPr>
                <w:rFonts w:hint="eastAsia" w:ascii="宋体" w:hAnsi="宋体" w:eastAsia="宋体" w:cs="宋体"/>
                <w:color w:val="auto"/>
                <w:szCs w:val="21"/>
                <w:highlight w:val="none"/>
                <w:lang w:eastAsia="zh-CN"/>
              </w:rPr>
              <w:t>提供20</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月1日至今有政府机关或大型企业、事业单位、学校、医院、部队食堂签订的长期食材供货（所投标采购内容类）合同的，有一个得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分。（提供合同</w:t>
            </w:r>
            <w:r>
              <w:rPr>
                <w:rFonts w:hint="eastAsia" w:ascii="宋体" w:hAnsi="宋体" w:cs="宋体"/>
                <w:color w:val="auto"/>
                <w:szCs w:val="21"/>
                <w:highlight w:val="none"/>
                <w:lang w:val="en-US" w:eastAsia="zh-CN"/>
              </w:rPr>
              <w:t>扫描</w:t>
            </w:r>
            <w:r>
              <w:rPr>
                <w:rFonts w:hint="eastAsia" w:ascii="宋体" w:hAnsi="宋体" w:eastAsia="宋体" w:cs="宋体"/>
                <w:color w:val="auto"/>
                <w:szCs w:val="21"/>
                <w:highlight w:val="none"/>
                <w:lang w:eastAsia="zh-CN"/>
              </w:rPr>
              <w:t>件，原件备查）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1" w:hRule="atLeast"/>
          <w:jc w:val="center"/>
        </w:trPr>
        <w:tc>
          <w:tcPr>
            <w:tcW w:w="53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1062" w:type="dxa"/>
            <w:vMerge w:val="continue"/>
            <w:tcBorders>
              <w:left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140" w:type="dxa"/>
            <w:tcBorders>
              <w:top w:val="nil"/>
              <w:left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配送</w:t>
            </w:r>
            <w:r>
              <w:rPr>
                <w:rFonts w:hint="eastAsia" w:ascii="宋体" w:hAnsi="宋体" w:eastAsia="宋体" w:cs="宋体"/>
                <w:color w:val="auto"/>
                <w:szCs w:val="21"/>
                <w:highlight w:val="none"/>
                <w:lang w:eastAsia="zh-CN"/>
              </w:rPr>
              <w:t xml:space="preserve"> </w:t>
            </w:r>
          </w:p>
          <w:p>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color w:val="auto"/>
                <w:highlight w:val="none"/>
                <w:lang w:val="en-US" w:eastAsia="zh-CN"/>
              </w:rPr>
            </w:pPr>
            <w:r>
              <w:rPr>
                <w:rFonts w:hint="eastAsia" w:ascii="宋体" w:hAnsi="宋体" w:eastAsia="宋体" w:cs="宋体"/>
                <w:color w:val="auto"/>
                <w:highlight w:val="none"/>
                <w:lang w:val="en-US" w:eastAsia="zh-CN"/>
              </w:rPr>
              <w:t>①</w:t>
            </w:r>
            <w:r>
              <w:rPr>
                <w:rFonts w:hint="eastAsia"/>
                <w:color w:val="auto"/>
                <w:highlight w:val="none"/>
                <w:u w:val="none"/>
                <w:lang w:val="en-US" w:eastAsia="zh-CN"/>
              </w:rPr>
              <w:t>粮、油</w:t>
            </w:r>
            <w:r>
              <w:rPr>
                <w:rFonts w:hint="eastAsia"/>
                <w:color w:val="auto"/>
                <w:highlight w:val="none"/>
                <w:lang w:val="en-US" w:eastAsia="zh-CN"/>
              </w:rPr>
              <w:t>（包一）；</w:t>
            </w:r>
            <w:r>
              <w:rPr>
                <w:rFonts w:hint="eastAsia"/>
                <w:color w:val="auto"/>
                <w:highlight w:val="none"/>
                <w:u w:val="none"/>
                <w:lang w:val="en-US" w:eastAsia="zh-CN"/>
              </w:rPr>
              <w:t>干货调味品</w:t>
            </w:r>
            <w:r>
              <w:rPr>
                <w:rFonts w:hint="eastAsia"/>
                <w:color w:val="auto"/>
                <w:highlight w:val="none"/>
                <w:lang w:val="en-US" w:eastAsia="zh-CN"/>
              </w:rPr>
              <w:t>（包二）；</w:t>
            </w:r>
            <w:r>
              <w:rPr>
                <w:rFonts w:hint="eastAsia"/>
                <w:color w:val="auto"/>
                <w:highlight w:val="none"/>
                <w:u w:val="none"/>
                <w:lang w:val="en-US" w:eastAsia="zh-CN"/>
              </w:rPr>
              <w:t>蔬菜、蛋、豆制品</w:t>
            </w:r>
            <w:r>
              <w:rPr>
                <w:rFonts w:hint="eastAsia"/>
                <w:color w:val="auto"/>
                <w:highlight w:val="none"/>
                <w:lang w:val="en-US" w:eastAsia="zh-CN"/>
              </w:rPr>
              <w:t>（包七）；水果（包八）根据投标人提供的自有/租赁配送车辆情况综合评分，提供4（含）辆以上的得8分，每少1辆扣2分（扣完为止）。自有车辆提供车辆明细清单、《车辆行驶证》等相关证明材料扫描件加盖公章，租赁车辆须提供租赁合同及发票扫描件，未提供不得分。（原件备查）。</w:t>
            </w:r>
          </w:p>
          <w:p>
            <w:pPr>
              <w:keepNext w:val="0"/>
              <w:keepLines w:val="0"/>
              <w:widowControl w:val="0"/>
              <w:suppressLineNumbers w:val="0"/>
              <w:spacing w:before="0" w:beforeAutospacing="0" w:after="0" w:afterAutospacing="0" w:line="240" w:lineRule="auto"/>
              <w:ind w:left="0" w:right="0"/>
              <w:jc w:val="left"/>
              <w:rPr>
                <w:rFonts w:hint="eastAsia" w:ascii="Times New Roman" w:hAnsi="Times New Roman" w:eastAsia="宋体" w:cs="Times New Roman"/>
                <w:color w:val="auto"/>
                <w:kern w:val="2"/>
                <w:sz w:val="21"/>
                <w:highlight w:val="none"/>
                <w:lang w:val="en-US" w:eastAsia="zh-CN" w:bidi="ar-SA"/>
              </w:rPr>
            </w:pPr>
            <w:r>
              <w:rPr>
                <w:rFonts w:hint="eastAsia" w:ascii="宋体" w:hAnsi="宋体" w:eastAsia="宋体" w:cs="宋体"/>
                <w:color w:val="auto"/>
                <w:highlight w:val="none"/>
                <w:lang w:val="en-US" w:eastAsia="zh-CN"/>
              </w:rPr>
              <w:t>②</w:t>
            </w:r>
            <w:r>
              <w:rPr>
                <w:rFonts w:hint="eastAsia"/>
                <w:color w:val="auto"/>
                <w:highlight w:val="none"/>
                <w:u w:val="none"/>
                <w:lang w:val="en-US" w:eastAsia="zh-CN"/>
              </w:rPr>
              <w:t>面点、乳制品</w:t>
            </w:r>
            <w:r>
              <w:rPr>
                <w:rFonts w:hint="eastAsia"/>
                <w:color w:val="auto"/>
                <w:highlight w:val="none"/>
                <w:lang w:val="en-US" w:eastAsia="zh-CN"/>
              </w:rPr>
              <w:t>（包三）；</w:t>
            </w:r>
            <w:r>
              <w:rPr>
                <w:rFonts w:hint="eastAsia"/>
                <w:color w:val="auto"/>
                <w:highlight w:val="none"/>
                <w:u w:val="none"/>
                <w:lang w:val="en-US" w:eastAsia="zh-CN"/>
              </w:rPr>
              <w:t>水产</w:t>
            </w:r>
            <w:r>
              <w:rPr>
                <w:rFonts w:hint="eastAsia"/>
                <w:color w:val="auto"/>
                <w:highlight w:val="none"/>
                <w:lang w:val="en-US" w:eastAsia="zh-CN"/>
              </w:rPr>
              <w:t>（包四）；</w:t>
            </w:r>
            <w:r>
              <w:rPr>
                <w:rFonts w:hint="eastAsia"/>
                <w:color w:val="auto"/>
                <w:highlight w:val="none"/>
                <w:u w:val="none"/>
                <w:lang w:val="en-US" w:eastAsia="zh-CN"/>
              </w:rPr>
              <w:t>冷鲜肉</w:t>
            </w:r>
            <w:r>
              <w:rPr>
                <w:rFonts w:hint="eastAsia"/>
                <w:color w:val="auto"/>
                <w:highlight w:val="none"/>
                <w:lang w:val="en-US" w:eastAsia="zh-CN"/>
              </w:rPr>
              <w:t>（包五）；</w:t>
            </w:r>
            <w:r>
              <w:rPr>
                <w:rFonts w:hint="eastAsia"/>
                <w:color w:val="auto"/>
                <w:highlight w:val="none"/>
                <w:u w:val="none"/>
                <w:lang w:val="en-US" w:eastAsia="zh-CN"/>
              </w:rPr>
              <w:t>冷冻制品及冷冻家禽</w:t>
            </w:r>
            <w:r>
              <w:rPr>
                <w:rFonts w:hint="eastAsia"/>
                <w:color w:val="auto"/>
                <w:highlight w:val="none"/>
                <w:lang w:val="en-US" w:eastAsia="zh-CN"/>
              </w:rPr>
              <w:t>（包六）根据投标人提供的自有/租赁配送冷藏/冷链车辆情况综合评分，提供4（含）辆以上的得8分，每少1辆扣2分（扣完为止）。自有车辆提供车辆明细清单、《车辆行驶证》等相关证明材料扫描件加盖公章，租赁车辆须提供租赁合同及发票扫描件，未提供不得分，（原件备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1" w:hRule="atLeast"/>
          <w:jc w:val="center"/>
        </w:trPr>
        <w:tc>
          <w:tcPr>
            <w:tcW w:w="530"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1062" w:type="dxa"/>
            <w:vMerge w:val="continue"/>
            <w:tcBorders>
              <w:left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140" w:type="dxa"/>
            <w:tcBorders>
              <w:top w:val="nil"/>
              <w:left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检验检测（10分）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color w:val="auto"/>
                <w:highlight w:val="none"/>
                <w:lang w:val="en-US" w:eastAsia="zh-CN"/>
              </w:rPr>
            </w:pPr>
            <w:r>
              <w:rPr>
                <w:rFonts w:hint="eastAsia" w:ascii="宋体" w:hAnsi="宋体" w:eastAsia="宋体" w:cs="宋体"/>
                <w:color w:val="auto"/>
                <w:highlight w:val="none"/>
                <w:lang w:val="en-US" w:eastAsia="zh-CN"/>
              </w:rPr>
              <w:t>①</w:t>
            </w:r>
            <w:r>
              <w:rPr>
                <w:rFonts w:hint="eastAsia"/>
                <w:color w:val="auto"/>
                <w:highlight w:val="none"/>
                <w:lang w:val="en-US" w:eastAsia="zh-CN"/>
              </w:rPr>
              <w:t xml:space="preserve">投标人具有独立的食品安全检验检测设备、设施得5分，提供设施设备的购置发票扫描件加盖公章、图片等证明文件（原件备查）； </w:t>
            </w:r>
          </w:p>
          <w:p>
            <w:pPr>
              <w:keepNext w:val="0"/>
              <w:keepLines w:val="0"/>
              <w:widowControl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②</w:t>
            </w:r>
            <w:r>
              <w:rPr>
                <w:rFonts w:hint="eastAsia"/>
                <w:color w:val="auto"/>
                <w:highlight w:val="none"/>
                <w:lang w:val="en-US" w:eastAsia="zh-CN"/>
              </w:rPr>
              <w:t>投标人具有合格的食品安全检验人员的得5分，提供食品安全检验人员参加本次采购活动前6个月的社保证明材料，权威机构出具的食品安全检验资质证书扫描件加盖公章（原件备查）。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5" w:hRule="atLeast"/>
          <w:jc w:val="center"/>
        </w:trPr>
        <w:tc>
          <w:tcPr>
            <w:tcW w:w="53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1062"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技术部分（</w:t>
            </w:r>
            <w:r>
              <w:rPr>
                <w:rFonts w:hint="eastAsia" w:ascii="宋体" w:hAnsi="宋体" w:cs="宋体"/>
                <w:bCs/>
                <w:color w:val="auto"/>
                <w:kern w:val="0"/>
                <w:sz w:val="21"/>
                <w:szCs w:val="21"/>
                <w:highlight w:val="none"/>
                <w:lang w:val="en-US" w:eastAsia="zh-CN"/>
              </w:rPr>
              <w:t>66</w:t>
            </w:r>
            <w:r>
              <w:rPr>
                <w:rFonts w:hint="eastAsia" w:ascii="宋体" w:hAnsi="宋体" w:eastAsia="宋体" w:cs="宋体"/>
                <w:bCs/>
                <w:color w:val="auto"/>
                <w:kern w:val="0"/>
                <w:sz w:val="21"/>
                <w:szCs w:val="21"/>
                <w:highlight w:val="none"/>
                <w:lang w:val="en-US" w:eastAsia="zh-CN"/>
              </w:rPr>
              <w:t>分）</w:t>
            </w: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安全</w:t>
            </w:r>
            <w:r>
              <w:rPr>
                <w:rFonts w:hint="eastAsia" w:ascii="宋体" w:hAnsi="宋体" w:eastAsia="宋体" w:cs="宋体"/>
                <w:color w:val="auto"/>
                <w:szCs w:val="21"/>
                <w:highlight w:val="none"/>
                <w:lang w:eastAsia="zh-CN"/>
              </w:rPr>
              <w:t>保障</w:t>
            </w:r>
            <w:r>
              <w:rPr>
                <w:rFonts w:hint="eastAsia" w:ascii="宋体" w:hAnsi="宋体" w:eastAsia="宋体" w:cs="宋体"/>
                <w:color w:val="auto"/>
                <w:szCs w:val="21"/>
                <w:highlight w:val="none"/>
                <w:lang w:val="en-US" w:eastAsia="zh-CN"/>
              </w:rPr>
              <w:t>措施</w:t>
            </w:r>
            <w:r>
              <w:rPr>
                <w:rFonts w:hint="eastAsia" w:ascii="宋体" w:hAnsi="宋体" w:eastAsia="宋体" w:cs="宋体"/>
                <w:color w:val="auto"/>
                <w:szCs w:val="21"/>
                <w:highlight w:val="none"/>
                <w:lang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eastAsia="zh-CN"/>
              </w:rPr>
              <w:t>提供的质量安全保证措施(包括但不限于食品安全及卫生保证措施)给予评分。（提供文字说明或图片等证明资料）</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（1）质量安全保证措施(包括但不限于食品安全及卫生保证措施)</w:t>
            </w:r>
            <w:r>
              <w:rPr>
                <w:rFonts w:hint="eastAsia" w:ascii="宋体" w:hAnsi="宋体" w:cs="宋体"/>
                <w:color w:val="auto"/>
                <w:szCs w:val="21"/>
                <w:highlight w:val="none"/>
                <w:lang w:val="en-US" w:eastAsia="zh-CN"/>
              </w:rPr>
              <w:t>优的</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（2）质量安全保证措施(包括但不限于食品安全及卫生保证措施)</w:t>
            </w:r>
            <w:r>
              <w:rPr>
                <w:rFonts w:hint="eastAsia" w:ascii="宋体" w:hAnsi="宋体" w:cs="宋体"/>
                <w:color w:val="auto"/>
                <w:szCs w:val="21"/>
                <w:highlight w:val="none"/>
                <w:lang w:val="en-US" w:eastAsia="zh-CN"/>
              </w:rPr>
              <w:t>良好</w:t>
            </w:r>
            <w:r>
              <w:rPr>
                <w:rFonts w:hint="eastAsia" w:ascii="宋体" w:hAnsi="宋体" w:eastAsia="宋体" w:cs="宋体"/>
                <w:color w:val="auto"/>
                <w:szCs w:val="21"/>
                <w:highlight w:val="none"/>
                <w:lang w:eastAsia="zh-CN"/>
              </w:rPr>
              <w:t>的，得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（3）质量安全保证措施(包括但不限于食品安全及卫生保证措施)</w:t>
            </w:r>
            <w:r>
              <w:rPr>
                <w:rFonts w:hint="eastAsia" w:ascii="宋体" w:hAnsi="宋体" w:cs="宋体"/>
                <w:color w:val="auto"/>
                <w:szCs w:val="21"/>
                <w:highlight w:val="none"/>
                <w:lang w:val="en-US" w:eastAsia="zh-CN"/>
              </w:rPr>
              <w:t>一般</w:t>
            </w:r>
            <w:r>
              <w:rPr>
                <w:rFonts w:hint="eastAsia" w:ascii="宋体" w:hAnsi="宋体" w:eastAsia="宋体" w:cs="宋体"/>
                <w:color w:val="auto"/>
                <w:szCs w:val="21"/>
                <w:highlight w:val="none"/>
                <w:lang w:eastAsia="zh-CN"/>
              </w:rPr>
              <w:t>的，得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p>
            <w:pPr>
              <w:pStyle w:val="2"/>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（4）质量安全保证措施(包括但不限于食品安全及卫生保证措施)差的，得6分。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）无</w:t>
            </w:r>
            <w:r>
              <w:rPr>
                <w:rFonts w:hint="eastAsia" w:ascii="宋体" w:hAnsi="宋体" w:cs="宋体"/>
                <w:color w:val="auto"/>
                <w:kern w:val="2"/>
                <w:sz w:val="21"/>
                <w:szCs w:val="21"/>
                <w:highlight w:val="none"/>
                <w:lang w:val="en-US" w:eastAsia="zh-CN" w:bidi="ar-SA"/>
              </w:rPr>
              <w:t>此项</w:t>
            </w:r>
            <w:r>
              <w:rPr>
                <w:rFonts w:hint="eastAsia" w:ascii="宋体" w:hAnsi="宋体" w:eastAsia="宋体" w:cs="宋体"/>
                <w:color w:val="auto"/>
                <w:kern w:val="2"/>
                <w:sz w:val="21"/>
                <w:szCs w:val="21"/>
                <w:highlight w:val="none"/>
                <w:lang w:val="en-US" w:eastAsia="zh-CN" w:bidi="ar-SA"/>
              </w:rPr>
              <w:t>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1"/>
              <w:jc w:val="center"/>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5" w:hRule="atLeast"/>
          <w:jc w:val="center"/>
        </w:trPr>
        <w:tc>
          <w:tcPr>
            <w:tcW w:w="53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lang w:val="en-US" w:eastAsia="zh-CN"/>
              </w:rPr>
            </w:pPr>
          </w:p>
        </w:tc>
        <w:tc>
          <w:tcPr>
            <w:tcW w:w="1062" w:type="dxa"/>
            <w:vMerge w:val="continue"/>
            <w:tcBorders>
              <w:left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采购渠道</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eastAsia="zh-CN"/>
              </w:rPr>
              <w:t>提供的供货渠道打分，所供货品具有可追溯性（包含但不限于产品来源、产品品牌质量、经销资质、代理授权书等相关证明材料）。</w:t>
            </w:r>
          </w:p>
          <w:p>
            <w:pPr>
              <w:keepNext w:val="0"/>
              <w:keepLines w:val="0"/>
              <w:widowControl w:val="0"/>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供货渠道，所供货品</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eastAsia="zh-CN"/>
              </w:rPr>
              <w:t>可追溯性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内容全面、优的</w:t>
            </w:r>
            <w:r>
              <w:rPr>
                <w:rFonts w:hint="eastAsia" w:ascii="宋体" w:hAnsi="宋体" w:eastAsia="宋体" w:cs="宋体"/>
                <w:color w:val="auto"/>
                <w:szCs w:val="21"/>
                <w:highlight w:val="none"/>
                <w:lang w:eastAsia="zh-CN"/>
              </w:rPr>
              <w:t>得1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w:t>
            </w:r>
          </w:p>
          <w:p>
            <w:pPr>
              <w:keepNext w:val="0"/>
              <w:keepLines w:val="0"/>
              <w:widowControl w:val="0"/>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供货渠道，所供货品</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eastAsia="zh-CN"/>
              </w:rPr>
              <w:t>可追溯性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内容比较全面、良好的</w:t>
            </w:r>
            <w:r>
              <w:rPr>
                <w:rFonts w:hint="eastAsia" w:ascii="宋体" w:hAnsi="宋体" w:eastAsia="宋体" w:cs="宋体"/>
                <w:color w:val="auto"/>
                <w:szCs w:val="21"/>
                <w:highlight w:val="none"/>
                <w:lang w:eastAsia="zh-CN"/>
              </w:rPr>
              <w:t>得1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p>
            <w:pPr>
              <w:keepNext w:val="0"/>
              <w:keepLines w:val="0"/>
              <w:widowControl w:val="0"/>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供货渠道，所供货品</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eastAsia="zh-CN"/>
              </w:rPr>
              <w:t>可追溯性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内容一般的</w:t>
            </w:r>
            <w:r>
              <w:rPr>
                <w:rFonts w:hint="eastAsia" w:ascii="宋体" w:hAnsi="宋体" w:eastAsia="宋体" w:cs="宋体"/>
                <w:color w:val="auto"/>
                <w:szCs w:val="21"/>
                <w:highlight w:val="none"/>
                <w:lang w:eastAsia="zh-CN"/>
              </w:rPr>
              <w:t>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p>
            <w:pPr>
              <w:keepNext w:val="0"/>
              <w:keepLines w:val="0"/>
              <w:widowControl w:val="0"/>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供货渠道，所供货品</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eastAsia="zh-CN"/>
              </w:rPr>
              <w:t>可追溯性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内容差的</w:t>
            </w:r>
            <w:r>
              <w:rPr>
                <w:rFonts w:hint="eastAsia" w:ascii="宋体" w:hAnsi="宋体" w:eastAsia="宋体" w:cs="宋体"/>
                <w:color w:val="auto"/>
                <w:szCs w:val="21"/>
                <w:highlight w:val="none"/>
                <w:lang w:eastAsia="zh-CN"/>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p>
          <w:p>
            <w:pPr>
              <w:keepNext w:val="0"/>
              <w:keepLines w:val="0"/>
              <w:widowControl w:val="0"/>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无</w:t>
            </w:r>
            <w:r>
              <w:rPr>
                <w:rFonts w:hint="eastAsia" w:ascii="宋体" w:hAnsi="宋体" w:cs="宋体"/>
                <w:color w:val="auto"/>
                <w:szCs w:val="21"/>
                <w:highlight w:val="none"/>
                <w:lang w:val="en-US" w:eastAsia="zh-CN"/>
              </w:rPr>
              <w:t>此项</w:t>
            </w:r>
            <w:r>
              <w:rPr>
                <w:rFonts w:hint="eastAsia" w:ascii="宋体" w:hAnsi="宋体" w:eastAsia="宋体" w:cs="宋体"/>
                <w:color w:val="auto"/>
                <w:szCs w:val="21"/>
                <w:highlight w:val="none"/>
                <w:lang w:eastAsia="zh-CN"/>
              </w:rPr>
              <w:t>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1"/>
              <w:jc w:val="center"/>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53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lang w:val="en-US" w:eastAsia="zh-CN"/>
              </w:rPr>
            </w:pPr>
          </w:p>
        </w:tc>
        <w:tc>
          <w:tcPr>
            <w:tcW w:w="1062" w:type="dxa"/>
            <w:vMerge w:val="continue"/>
            <w:tcBorders>
              <w:left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服务方案</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eastAsia="zh-CN"/>
              </w:rPr>
              <w:t>必须有提供长期的本地化服务能力，根据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eastAsia="zh-CN"/>
              </w:rPr>
              <w:t>提供的服务方案，包括对区属学校情况考察、建立投诉反馈机制、突发事件应急处理预案、仓储物流配套方案、人员分工、文档管理等问题，方案能体现出服务有标准、质量有保障、管理有措施，且科学合理具有实际可操作性。</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服务方案</w:t>
            </w:r>
            <w:r>
              <w:rPr>
                <w:rFonts w:hint="eastAsia" w:ascii="宋体" w:hAnsi="宋体" w:eastAsia="宋体" w:cs="宋体"/>
                <w:color w:val="auto"/>
                <w:szCs w:val="21"/>
                <w:highlight w:val="none"/>
                <w:lang w:eastAsia="zh-CN"/>
              </w:rPr>
              <w:t>全面的，得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服务方案</w:t>
            </w:r>
            <w:r>
              <w:rPr>
                <w:rFonts w:hint="eastAsia" w:ascii="宋体" w:hAnsi="宋体" w:eastAsia="宋体" w:cs="宋体"/>
                <w:color w:val="auto"/>
                <w:szCs w:val="21"/>
                <w:highlight w:val="none"/>
                <w:lang w:eastAsia="zh-CN"/>
              </w:rPr>
              <w:t>比较全面</w:t>
            </w:r>
            <w:r>
              <w:rPr>
                <w:rFonts w:hint="eastAsia" w:ascii="宋体" w:hAnsi="宋体" w:eastAsia="宋体" w:cs="宋体"/>
                <w:color w:val="auto"/>
                <w:szCs w:val="21"/>
                <w:highlight w:val="none"/>
                <w:lang w:val="en-US" w:eastAsia="zh-CN"/>
              </w:rPr>
              <w:t>比较有</w:t>
            </w:r>
            <w:r>
              <w:rPr>
                <w:rFonts w:hint="eastAsia" w:ascii="宋体" w:hAnsi="宋体" w:eastAsia="宋体" w:cs="宋体"/>
                <w:color w:val="auto"/>
                <w:szCs w:val="21"/>
                <w:highlight w:val="none"/>
                <w:lang w:eastAsia="zh-CN"/>
              </w:rPr>
              <w:t>针对性的，得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服务方案</w:t>
            </w:r>
            <w:r>
              <w:rPr>
                <w:rFonts w:hint="eastAsia" w:ascii="宋体" w:hAnsi="宋体" w:eastAsia="宋体" w:cs="宋体"/>
                <w:color w:val="auto"/>
                <w:szCs w:val="21"/>
                <w:highlight w:val="none"/>
                <w:lang w:eastAsia="zh-CN"/>
              </w:rPr>
              <w:t>不够明确、不够</w:t>
            </w:r>
            <w:r>
              <w:rPr>
                <w:rFonts w:hint="eastAsia" w:ascii="宋体" w:hAnsi="宋体" w:eastAsia="宋体" w:cs="宋体"/>
                <w:color w:val="auto"/>
                <w:szCs w:val="21"/>
                <w:highlight w:val="none"/>
                <w:lang w:val="en-US" w:eastAsia="zh-CN"/>
              </w:rPr>
              <w:t>有针对性</w:t>
            </w:r>
            <w:r>
              <w:rPr>
                <w:rFonts w:hint="eastAsia" w:ascii="宋体" w:hAnsi="宋体" w:eastAsia="宋体" w:cs="宋体"/>
                <w:color w:val="auto"/>
                <w:szCs w:val="21"/>
                <w:highlight w:val="none"/>
                <w:lang w:eastAsia="zh-CN"/>
              </w:rPr>
              <w:t>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r>
              <w:rPr>
                <w:rFonts w:hint="eastAsia" w:ascii="宋体" w:hAnsi="宋体" w:cs="宋体"/>
                <w:color w:val="auto"/>
                <w:szCs w:val="21"/>
                <w:highlight w:val="none"/>
                <w:lang w:eastAsia="zh-CN"/>
              </w:rPr>
              <w:t>；</w:t>
            </w:r>
          </w:p>
          <w:p>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服务方案差的，得</w:t>
            </w:r>
            <w:r>
              <w:rPr>
                <w:rFonts w:hint="eastAsia" w:ascii="宋体" w:hAnsi="宋体" w:cs="宋体"/>
                <w:color w:val="auto"/>
                <w:szCs w:val="21"/>
                <w:highlight w:val="none"/>
                <w:lang w:val="en-US" w:eastAsia="zh-CN"/>
              </w:rPr>
              <w:t>3分；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）无</w:t>
            </w:r>
            <w:r>
              <w:rPr>
                <w:rFonts w:hint="eastAsia" w:ascii="宋体" w:hAnsi="宋体" w:cs="宋体"/>
                <w:color w:val="auto"/>
                <w:szCs w:val="21"/>
                <w:highlight w:val="none"/>
                <w:lang w:val="en-US" w:eastAsia="zh-CN"/>
              </w:rPr>
              <w:t>此项</w:t>
            </w:r>
            <w:r>
              <w:rPr>
                <w:rFonts w:hint="eastAsia" w:ascii="宋体" w:hAnsi="宋体" w:eastAsia="宋体" w:cs="宋体"/>
                <w:color w:val="auto"/>
                <w:szCs w:val="21"/>
                <w:highlight w:val="none"/>
                <w:lang w:eastAsia="zh-CN"/>
              </w:rPr>
              <w:t>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1"/>
              <w:jc w:val="center"/>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5" w:hRule="atLeast"/>
          <w:jc w:val="center"/>
        </w:trPr>
        <w:tc>
          <w:tcPr>
            <w:tcW w:w="53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p>
        </w:tc>
        <w:tc>
          <w:tcPr>
            <w:tcW w:w="1062" w:type="dxa"/>
            <w:vMerge w:val="continue"/>
            <w:tcBorders>
              <w:left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保供运输方案、</w:t>
            </w:r>
            <w:r>
              <w:rPr>
                <w:rFonts w:hint="eastAsia" w:ascii="宋体" w:hAnsi="宋体" w:eastAsia="宋体" w:cs="宋体"/>
                <w:color w:val="auto"/>
                <w:szCs w:val="21"/>
                <w:highlight w:val="none"/>
                <w:lang w:eastAsia="zh-CN"/>
              </w:rPr>
              <w:t>应急预案（1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lang w:eastAsia="zh-CN"/>
              </w:rPr>
              <w:t>的保供运输方案和应急预案进行综合评分。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（1）保供运输、突发事件应急处理预案完备健全，对本服务项目针对性强，具有实际可操作性的，得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（2）保供运输、突发事件应急处理预案比较完备、健全的，得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（3）保供运输、突发事件应急处理预案不</w:t>
            </w:r>
            <w:r>
              <w:rPr>
                <w:rFonts w:hint="eastAsia" w:ascii="宋体" w:hAnsi="宋体" w:cs="宋体"/>
                <w:color w:val="auto"/>
                <w:szCs w:val="21"/>
                <w:highlight w:val="none"/>
                <w:lang w:val="en-US" w:eastAsia="zh-CN"/>
              </w:rPr>
              <w:t>够完备、不够</w:t>
            </w:r>
            <w:r>
              <w:rPr>
                <w:rFonts w:hint="eastAsia" w:ascii="宋体" w:hAnsi="宋体" w:eastAsia="宋体" w:cs="宋体"/>
                <w:color w:val="auto"/>
                <w:szCs w:val="21"/>
                <w:highlight w:val="none"/>
                <w:lang w:eastAsia="zh-CN"/>
              </w:rPr>
              <w:t>健全的，得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（4）保供运输、突发事件应急处理预案</w:t>
            </w:r>
            <w:r>
              <w:rPr>
                <w:rFonts w:hint="eastAsia" w:ascii="宋体" w:hAnsi="宋体" w:cs="宋体"/>
                <w:color w:val="auto"/>
                <w:szCs w:val="21"/>
                <w:highlight w:val="none"/>
                <w:lang w:val="en-US" w:eastAsia="zh-CN"/>
              </w:rPr>
              <w:t>差</w:t>
            </w:r>
            <w:r>
              <w:rPr>
                <w:rFonts w:hint="eastAsia" w:ascii="宋体" w:hAnsi="宋体" w:eastAsia="宋体" w:cs="宋体"/>
                <w:color w:val="auto"/>
                <w:szCs w:val="21"/>
                <w:highlight w:val="none"/>
                <w:lang w:eastAsia="zh-CN"/>
              </w:rPr>
              <w:t>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无</w:t>
            </w:r>
            <w:r>
              <w:rPr>
                <w:rFonts w:hint="eastAsia" w:ascii="宋体" w:hAnsi="宋体" w:cs="宋体"/>
                <w:color w:val="auto"/>
                <w:szCs w:val="21"/>
                <w:highlight w:val="none"/>
                <w:lang w:val="en-US" w:eastAsia="zh-CN"/>
              </w:rPr>
              <w:t>此项</w:t>
            </w:r>
            <w:r>
              <w:rPr>
                <w:rFonts w:hint="eastAsia" w:ascii="宋体" w:hAnsi="宋体" w:eastAsia="宋体" w:cs="宋体"/>
                <w:color w:val="auto"/>
                <w:szCs w:val="21"/>
                <w:highlight w:val="none"/>
                <w:lang w:eastAsia="zh-CN"/>
              </w:rPr>
              <w:t>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1"/>
              <w:jc w:val="center"/>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5" w:hRule="atLeast"/>
          <w:jc w:val="center"/>
        </w:trPr>
        <w:tc>
          <w:tcPr>
            <w:tcW w:w="53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p>
        </w:tc>
        <w:tc>
          <w:tcPr>
            <w:tcW w:w="1062" w:type="dxa"/>
            <w:vMerge w:val="continue"/>
            <w:tcBorders>
              <w:left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auto"/>
                <w:kern w:val="0"/>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w:t>
            </w:r>
            <w:r>
              <w:rPr>
                <w:rFonts w:hint="eastAsia" w:ascii="宋体" w:hAnsi="宋体" w:eastAsia="宋体" w:cs="宋体"/>
                <w:color w:val="auto"/>
                <w:szCs w:val="21"/>
                <w:highlight w:val="none"/>
                <w:lang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tc>
        <w:tc>
          <w:tcPr>
            <w:tcW w:w="5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根据供应商的售后服务方案进行综合评分。</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lang w:eastAsia="zh-CN"/>
              </w:rPr>
              <w:t>（1）售后服务体系</w:t>
            </w:r>
            <w:r>
              <w:rPr>
                <w:rFonts w:hint="eastAsia" w:ascii="宋体" w:hAnsi="宋体" w:cs="宋体"/>
                <w:color w:val="auto"/>
                <w:szCs w:val="21"/>
                <w:highlight w:val="none"/>
                <w:lang w:val="en-US" w:eastAsia="zh-CN"/>
              </w:rPr>
              <w:t>非常</w:t>
            </w:r>
            <w:r>
              <w:rPr>
                <w:rFonts w:hint="eastAsia" w:ascii="宋体" w:hAnsi="宋体" w:eastAsia="宋体" w:cs="宋体"/>
                <w:color w:val="auto"/>
                <w:szCs w:val="21"/>
                <w:highlight w:val="none"/>
                <w:lang w:eastAsia="zh-CN"/>
              </w:rPr>
              <w:t>完善、响应速度</w:t>
            </w:r>
            <w:r>
              <w:rPr>
                <w:rFonts w:hint="eastAsia" w:ascii="宋体" w:hAnsi="宋体" w:cs="宋体"/>
                <w:color w:val="auto"/>
                <w:szCs w:val="21"/>
                <w:highlight w:val="none"/>
                <w:lang w:val="en-US" w:eastAsia="zh-CN"/>
              </w:rPr>
              <w:t>非常</w:t>
            </w:r>
            <w:r>
              <w:rPr>
                <w:rFonts w:hint="eastAsia" w:ascii="宋体" w:hAnsi="宋体" w:eastAsia="宋体" w:cs="宋体"/>
                <w:color w:val="auto"/>
                <w:szCs w:val="21"/>
                <w:highlight w:val="none"/>
                <w:lang w:eastAsia="zh-CN"/>
              </w:rPr>
              <w:t>快、服务人员</w:t>
            </w:r>
            <w:r>
              <w:rPr>
                <w:rFonts w:hint="eastAsia" w:ascii="宋体" w:hAnsi="宋体" w:cs="宋体"/>
                <w:color w:val="auto"/>
                <w:szCs w:val="21"/>
                <w:highlight w:val="none"/>
                <w:lang w:val="en-US" w:eastAsia="zh-CN"/>
              </w:rPr>
              <w:t>非常</w:t>
            </w:r>
            <w:r>
              <w:rPr>
                <w:rFonts w:hint="eastAsia" w:ascii="宋体" w:hAnsi="宋体" w:eastAsia="宋体" w:cs="宋体"/>
                <w:color w:val="auto"/>
                <w:szCs w:val="21"/>
                <w:highlight w:val="none"/>
                <w:lang w:eastAsia="zh-CN"/>
              </w:rPr>
              <w:t>充足的，得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cs="宋体"/>
                <w:color w:val="auto"/>
                <w:szCs w:val="21"/>
                <w:highlight w:val="none"/>
                <w:lang w:val="en-US" w:eastAsia="zh-CN"/>
              </w:rPr>
              <w:t>售后</w:t>
            </w:r>
            <w:r>
              <w:rPr>
                <w:rFonts w:hint="eastAsia" w:ascii="宋体" w:hAnsi="宋体" w:eastAsia="宋体" w:cs="宋体"/>
                <w:color w:val="auto"/>
                <w:szCs w:val="21"/>
                <w:highlight w:val="none"/>
                <w:lang w:eastAsia="zh-CN"/>
              </w:rPr>
              <w:t>服务体系</w:t>
            </w:r>
            <w:r>
              <w:rPr>
                <w:rFonts w:hint="eastAsia" w:ascii="宋体" w:hAnsi="宋体" w:cs="宋体"/>
                <w:color w:val="auto"/>
                <w:szCs w:val="21"/>
                <w:highlight w:val="none"/>
                <w:lang w:val="en-US" w:eastAsia="zh-CN"/>
              </w:rPr>
              <w:t>比较完善</w:t>
            </w:r>
            <w:r>
              <w:rPr>
                <w:rFonts w:hint="eastAsia" w:ascii="宋体" w:hAnsi="宋体" w:eastAsia="宋体" w:cs="宋体"/>
                <w:color w:val="auto"/>
                <w:szCs w:val="21"/>
                <w:highlight w:val="none"/>
                <w:lang w:eastAsia="zh-CN"/>
              </w:rPr>
              <w:t>、响应速度</w:t>
            </w:r>
            <w:r>
              <w:rPr>
                <w:rFonts w:hint="eastAsia" w:ascii="宋体" w:hAnsi="宋体" w:cs="宋体"/>
                <w:color w:val="auto"/>
                <w:szCs w:val="21"/>
                <w:highlight w:val="none"/>
                <w:lang w:val="en-US" w:eastAsia="zh-CN"/>
              </w:rPr>
              <w:t>可行</w:t>
            </w:r>
            <w:r>
              <w:rPr>
                <w:rFonts w:hint="eastAsia" w:ascii="宋体" w:hAnsi="宋体" w:eastAsia="宋体" w:cs="宋体"/>
                <w:color w:val="auto"/>
                <w:szCs w:val="21"/>
                <w:highlight w:val="none"/>
                <w:lang w:eastAsia="zh-CN"/>
              </w:rPr>
              <w:t>、服务人员</w:t>
            </w:r>
            <w:r>
              <w:rPr>
                <w:rFonts w:hint="eastAsia" w:ascii="宋体" w:hAnsi="宋体" w:cs="宋体"/>
                <w:color w:val="auto"/>
                <w:szCs w:val="21"/>
                <w:highlight w:val="none"/>
                <w:lang w:val="en-US" w:eastAsia="zh-CN"/>
              </w:rPr>
              <w:t>比较充足</w:t>
            </w:r>
            <w:r>
              <w:rPr>
                <w:rFonts w:hint="eastAsia" w:ascii="宋体" w:hAnsi="宋体" w:eastAsia="宋体" w:cs="宋体"/>
                <w:color w:val="auto"/>
                <w:szCs w:val="21"/>
                <w:highlight w:val="none"/>
                <w:lang w:eastAsia="zh-CN"/>
              </w:rPr>
              <w:t>的，得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（3）</w:t>
            </w:r>
            <w:r>
              <w:rPr>
                <w:rFonts w:hint="eastAsia" w:ascii="宋体" w:hAnsi="宋体" w:cs="宋体"/>
                <w:color w:val="auto"/>
                <w:szCs w:val="21"/>
                <w:highlight w:val="none"/>
                <w:lang w:val="en-US" w:eastAsia="zh-CN"/>
              </w:rPr>
              <w:t>售后服务体系一般、响应速度一般、服务人员一般的，得6分；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r>
              <w:rPr>
                <w:rFonts w:hint="eastAsia" w:ascii="宋体" w:hAnsi="宋体" w:cs="宋体"/>
                <w:color w:val="auto"/>
                <w:szCs w:val="21"/>
                <w:highlight w:val="none"/>
                <w:lang w:val="en-US" w:eastAsia="zh-CN"/>
              </w:rPr>
              <w:t>售后</w:t>
            </w:r>
            <w:r>
              <w:rPr>
                <w:rFonts w:hint="eastAsia" w:ascii="宋体" w:hAnsi="宋体" w:eastAsia="宋体" w:cs="宋体"/>
                <w:color w:val="auto"/>
                <w:szCs w:val="21"/>
                <w:highlight w:val="none"/>
                <w:lang w:eastAsia="zh-CN"/>
              </w:rPr>
              <w:t>服务体系差、响应速度</w:t>
            </w:r>
            <w:r>
              <w:rPr>
                <w:rFonts w:hint="eastAsia" w:ascii="宋体" w:hAnsi="宋体" w:cs="宋体"/>
                <w:color w:val="auto"/>
                <w:szCs w:val="21"/>
                <w:highlight w:val="none"/>
                <w:lang w:val="en-US" w:eastAsia="zh-CN"/>
              </w:rPr>
              <w:t>差</w:t>
            </w:r>
            <w:r>
              <w:rPr>
                <w:rFonts w:hint="eastAsia" w:ascii="宋体" w:hAnsi="宋体" w:eastAsia="宋体" w:cs="宋体"/>
                <w:color w:val="auto"/>
                <w:szCs w:val="21"/>
                <w:highlight w:val="none"/>
                <w:lang w:eastAsia="zh-CN"/>
              </w:rPr>
              <w:t>、服务人员</w:t>
            </w:r>
            <w:r>
              <w:rPr>
                <w:rFonts w:hint="eastAsia" w:ascii="宋体" w:hAnsi="宋体" w:cs="宋体"/>
                <w:color w:val="auto"/>
                <w:szCs w:val="21"/>
                <w:highlight w:val="none"/>
                <w:lang w:val="en-US" w:eastAsia="zh-CN"/>
              </w:rPr>
              <w:t>差</w:t>
            </w:r>
            <w:r>
              <w:rPr>
                <w:rFonts w:hint="eastAsia" w:ascii="宋体" w:hAnsi="宋体" w:eastAsia="宋体" w:cs="宋体"/>
                <w:color w:val="auto"/>
                <w:szCs w:val="21"/>
                <w:highlight w:val="none"/>
                <w:lang w:eastAsia="zh-CN"/>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分；</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无</w:t>
            </w:r>
            <w:r>
              <w:rPr>
                <w:rFonts w:hint="eastAsia" w:ascii="宋体" w:hAnsi="宋体" w:cs="宋体"/>
                <w:color w:val="auto"/>
                <w:szCs w:val="21"/>
                <w:highlight w:val="none"/>
                <w:lang w:val="en-US" w:eastAsia="zh-CN"/>
              </w:rPr>
              <w:t>此项</w:t>
            </w:r>
            <w:r>
              <w:rPr>
                <w:rFonts w:hint="eastAsia" w:ascii="宋体" w:hAnsi="宋体" w:eastAsia="宋体" w:cs="宋体"/>
                <w:color w:val="auto"/>
                <w:szCs w:val="21"/>
                <w:highlight w:val="none"/>
                <w:lang w:eastAsia="zh-CN"/>
              </w:rPr>
              <w:t>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1"/>
              <w:jc w:val="center"/>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Cs w:val="21"/>
                <w:highlight w:val="none"/>
              </w:rPr>
              <w:t>1</w:t>
            </w:r>
            <w:r>
              <w:rPr>
                <w:rFonts w:hint="eastAsia"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94" w:hRule="atLeast"/>
          <w:jc w:val="center"/>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79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w:t>
            </w:r>
          </w:p>
        </w:tc>
      </w:tr>
    </w:tbl>
    <w:p>
      <w:pPr>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一、小微企业的价格扣除:</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1．对小微企业提供的最终服务报价给予10%价格扣除，用扣除后的价格参与评审。</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大中型企业和其他自然人、法人或者其他组织与小型、微型企业（监狱企业、残疾人福利单位）组成联合体共同参加投标，如果联合协议中约定，小型、微型企业（监狱企业、残疾人福利单位）的协议合同金额占到联合体协议合同总金额30%以上的，给予联合体2%的价格扣除。联合体各方均为中小型、微型企业（监狱企业、残疾人福利单位）的，联合体视同为小型、微型企业享受10%价格扣除，用扣除后的价格参与评审。</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小企业（含小型、微型企业）应当同时符合以下条件：</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（1）投标人为小企业，且符合中小企业划分标准；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（2）提供本企业制造的货物、承担的工程或者服务，或者提供其他小企业制造的货物。如果提供的货物为大中型企业注册商标的货物，视同大中型企业。</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二、监狱和戒毒企业的价格扣除</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 xml:space="preserve"> 对监狱和戒毒企业（简称监狱企业）视同小型、微型企业提供的最终服务报价给予</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%的价格扣除，用扣除后的价格参与评审。</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 监狱企业需提供由省级以上监狱管理局、戒毒管理局（含新疆生产建设兵团）出具的属于监狱企业的证明文件。</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 监狱企业标准请参照《关于政府采购支持监狱企业发展有关问题的通知》（财库[2014]68号）。</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三、残疾人福利性单位的价格扣除</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 xml:space="preserve"> 对残疾人福利性单位视同小型、微型企业提供的最终服务报价给予</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%的价格扣除，用扣除后的价格参与评审。</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 残疾人福利单位需按照招标文件的要求提供《残疾人福利性单位声明函》。</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 残疾人福利单位标准请参照《关于促进残疾人就业政府采购政策的通知》（财库〔2017〕141号）。</w:t>
      </w:r>
    </w:p>
    <w:p>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四、</w:t>
      </w:r>
      <w:r>
        <w:rPr>
          <w:rFonts w:hint="eastAsia" w:ascii="宋体" w:hAnsi="宋体" w:eastAsia="宋体" w:cs="宋体"/>
          <w:color w:val="auto"/>
          <w:szCs w:val="21"/>
          <w:highlight w:val="none"/>
          <w:lang w:val="zh-CN"/>
        </w:rPr>
        <w:t>监狱企业、残疾人福利单位属于小型、微型企业的，不重复享受政策。</w:t>
      </w:r>
    </w:p>
    <w:p>
      <w:pPr>
        <w:widowControl/>
        <w:spacing w:line="360" w:lineRule="auto"/>
        <w:jc w:val="left"/>
        <w:rPr>
          <w:rFonts w:hint="eastAsia" w:ascii="宋体" w:hAnsi="宋体" w:eastAsia="宋体" w:cs="宋体"/>
          <w:b/>
          <w:color w:val="auto"/>
          <w:highlight w:val="none"/>
        </w:rPr>
      </w:pPr>
      <w:r>
        <w:rPr>
          <w:rFonts w:hint="eastAsia" w:ascii="宋体" w:hAnsi="宋体" w:eastAsia="宋体" w:cs="宋体"/>
          <w:color w:val="auto"/>
          <w:highlight w:val="none"/>
        </w:rPr>
        <w:t>五、所有认证、证明和业绩均以有效的证明文件的扫描件为依据。</w:t>
      </w:r>
    </w:p>
    <w:p>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br w:type="page"/>
      </w:r>
      <w:r>
        <w:rPr>
          <w:rFonts w:hint="eastAsia" w:ascii="宋体" w:hAnsi="宋体" w:eastAsia="宋体" w:cs="宋体"/>
          <w:color w:val="auto"/>
          <w:sz w:val="36"/>
          <w:szCs w:val="36"/>
          <w:highlight w:val="none"/>
          <w:lang w:val="zh-CN"/>
        </w:rPr>
        <w:t xml:space="preserve">第四章  </w:t>
      </w:r>
      <w:bookmarkStart w:id="2" w:name="_Toc150538845"/>
      <w:r>
        <w:rPr>
          <w:rFonts w:hint="eastAsia" w:ascii="宋体" w:hAnsi="宋体" w:eastAsia="宋体" w:cs="宋体"/>
          <w:color w:val="auto"/>
          <w:sz w:val="36"/>
          <w:szCs w:val="36"/>
          <w:highlight w:val="none"/>
          <w:lang w:val="zh-CN"/>
        </w:rPr>
        <w:t>采购需求</w:t>
      </w:r>
      <w:bookmarkEnd w:id="2"/>
    </w:p>
    <w:p>
      <w:pPr>
        <w:ind w:firstLine="632" w:firstLineChars="300"/>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 w:val="24"/>
          <w:highlight w:val="none"/>
        </w:rPr>
        <w:t>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eastAsia="zh-CN"/>
        </w:rPr>
        <w:t>为了系统推进学校食材配送各环节规范化、标准化建设，健全食品安全、着力改善学校食堂膳食质量、供餐服务，</w:t>
      </w:r>
      <w:r>
        <w:rPr>
          <w:rFonts w:hint="eastAsia" w:ascii="宋体" w:hAnsi="宋体" w:cs="宋体"/>
          <w:color w:val="auto"/>
          <w:kern w:val="0"/>
          <w:sz w:val="24"/>
          <w:szCs w:val="24"/>
          <w:highlight w:val="none"/>
          <w:lang w:val="en-US" w:eastAsia="zh-CN"/>
        </w:rPr>
        <w:t>保障南京市雨花台区公办中小学、幼儿园食材供应，</w:t>
      </w:r>
      <w:r>
        <w:rPr>
          <w:rFonts w:hint="eastAsia" w:ascii="宋体" w:hAnsi="宋体" w:eastAsia="宋体" w:cs="宋体"/>
          <w:color w:val="auto"/>
          <w:kern w:val="0"/>
          <w:sz w:val="24"/>
          <w:szCs w:val="24"/>
          <w:highlight w:val="none"/>
          <w:lang w:eastAsia="zh-CN"/>
        </w:rPr>
        <w:t>按（宁教办【2015】4号）文件中第六条“采购招标”之第三点：“区教育局负责统一实施本区学校食堂大宗食材和送餐企业采购工作”的要求，经研究决定，通过本次</w:t>
      </w:r>
      <w:r>
        <w:rPr>
          <w:rFonts w:hint="eastAsia" w:ascii="宋体" w:hAnsi="宋体" w:cs="宋体"/>
          <w:color w:val="auto"/>
          <w:kern w:val="0"/>
          <w:sz w:val="24"/>
          <w:szCs w:val="24"/>
          <w:highlight w:val="none"/>
          <w:lang w:val="en-US" w:eastAsia="zh-CN"/>
        </w:rPr>
        <w:t>公开招标方式择优选择</w:t>
      </w:r>
      <w:r>
        <w:rPr>
          <w:rFonts w:hint="eastAsia" w:ascii="宋体" w:hAnsi="宋体" w:eastAsia="宋体" w:cs="宋体"/>
          <w:color w:val="auto"/>
          <w:kern w:val="0"/>
          <w:sz w:val="24"/>
          <w:szCs w:val="24"/>
          <w:highlight w:val="none"/>
          <w:u w:val="single"/>
          <w:lang w:eastAsia="zh-CN"/>
        </w:rPr>
        <w:t>南京市雨花台区2024-2025年中小学、幼儿园大宗食材供应及配送服务</w:t>
      </w:r>
      <w:r>
        <w:rPr>
          <w:rFonts w:hint="eastAsia" w:ascii="宋体" w:hAnsi="宋体" w:eastAsia="宋体" w:cs="宋体"/>
          <w:color w:val="auto"/>
          <w:kern w:val="0"/>
          <w:sz w:val="24"/>
          <w:szCs w:val="24"/>
          <w:highlight w:val="none"/>
          <w:lang w:eastAsia="zh-CN"/>
        </w:rPr>
        <w:t>（民办中小学、幼儿园可参照执行）。</w:t>
      </w:r>
    </w:p>
    <w:p>
      <w:pPr>
        <w:spacing w:line="360" w:lineRule="auto"/>
        <w:ind w:firstLine="482" w:firstLineChars="200"/>
        <w:rPr>
          <w:rFonts w:asciiTheme="minorEastAsia" w:hAnsiTheme="minorEastAsia" w:eastAsiaTheme="minorEastAsia"/>
          <w:color w:val="auto"/>
          <w:kern w:val="0"/>
          <w:sz w:val="24"/>
          <w:szCs w:val="24"/>
          <w:highlight w:val="none"/>
        </w:rPr>
      </w:pPr>
      <w:bookmarkStart w:id="3" w:name="_Toc513799378"/>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w:t>
      </w:r>
      <w:bookmarkEnd w:id="3"/>
      <w:r>
        <w:rPr>
          <w:rFonts w:hint="eastAsia" w:asciiTheme="minorEastAsia" w:hAnsiTheme="minorEastAsia" w:eastAsiaTheme="minorEastAsia"/>
          <w:b/>
          <w:bCs/>
          <w:color w:val="auto"/>
          <w:kern w:val="0"/>
          <w:sz w:val="24"/>
          <w:szCs w:val="24"/>
          <w:highlight w:val="none"/>
        </w:rPr>
        <w:t>质量标准规范要求：</w:t>
      </w:r>
      <w:r>
        <w:rPr>
          <w:rFonts w:hint="eastAsia" w:asciiTheme="minorEastAsia" w:hAnsiTheme="minorEastAsia" w:eastAsiaTheme="minorEastAsia"/>
          <w:color w:val="auto"/>
          <w:kern w:val="0"/>
          <w:sz w:val="24"/>
          <w:szCs w:val="24"/>
          <w:highlight w:val="none"/>
        </w:rPr>
        <w:t>所投产品必须符合国家标准、行业标准、地方标准或者其他标准、规范。</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本项目涉及的国家食品安全、卫生生产标准均按照最新标准执行，如在合同履行过程中出台了更新的标准，则按照最新标准执行。</w:t>
      </w:r>
    </w:p>
    <w:p>
      <w:pPr>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、产品质量要求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为保证学生身体健康成长，本次大宗食材采购禁止使用转基因原材料、产品，参与粮、食用油、豆制品供应商须承诺入围后所供食材均为非转基因产品（提供承诺书）。</w:t>
      </w:r>
      <w:r>
        <w:rPr>
          <w:rFonts w:hint="eastAsia" w:ascii="宋体" w:hAnsi="宋体" w:eastAsia="宋体" w:cs="宋体"/>
          <w:color w:val="auto"/>
          <w:sz w:val="24"/>
          <w:highlight w:val="none"/>
        </w:rPr>
        <w:t>所有产品的质量要求为同类产品中综合质量优良产品。入选单位应严格遵守《食品安全法》和《动物检疫法》等相关规定，严格保证食品质量符合国家相关产品质量标准，符合国家各级强制性规范的要求。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蔬菜、水果、水产每日提供第三方农残药残定性检测报告；畜肉类、禽肉类、冷畜禽肉及制品具有当天卫生监督部门发放的“动物检疫合格证明”；鲜肉类制品每日提供动物检疫部门开具的《肉品品质检验合格证》、《分销合格证明》、《生猪定点屠宰企业非洲猪瘟检测合格证明》，每日提供第三方机构的快检报告，定期提供第三方具有检验检测资质认证机构出具的法检报告；蛋类应提供同批次检测合格证明、每日提供第三方机构的快检报告、一个月须提供一次第三方具有检验检测资质认证机构出具的法检报告；其他副食品提供以供应商名义送检的食材第三方合法检测机构出具的检测报告，第三方专业检测机构必须含有中国合格评定国家认可委员会（CNAS）或中国计量认证（CMA）标识的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入选后如出现因食用其提供的食品导致食物中毒的事故发生，入选人应对此承担一切法律责任。一经发现供应以下食品，除全部退货外，将立即取消供货资格，没收全部履约保证金，入选单位并承担由此造成的经济责任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1．腐败变质、油脂酸败、霉变、生虫、污秽不洁、混有异物或者其他感官性状异常，对人体健康有害的；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2．含有毒、有害物质或者被有害物质污染，对人体健康有害的；含有严重超出标准限量的农药残留、兽药残留、重金属、污染物质以及其他危害人体健康的；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3．含有致病性寄生虫、微生物或者微生物含量超过国家限定标准的；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4．未经动物检疫部门检疫、检验或者检疫、检验不合格的肉类及其制品；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5．病死、毒死或者死因不明的禽、蓄、兽、水产动物等及其制品；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6．掺假、掺杂、伪造，影响营养、卫生的；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7．用非食品原料加工的，加入非食品用化学物质或者将非食品当作食品的；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8．超过保质期限的。</w:t>
      </w:r>
    </w:p>
    <w:p>
      <w:pPr>
        <w:numPr>
          <w:ilvl w:val="0"/>
          <w:numId w:val="0"/>
        </w:numPr>
        <w:spacing w:line="560" w:lineRule="exact"/>
        <w:ind w:firstLine="482" w:firstLineChars="200"/>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四、具体要求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81"/>
        <w:gridCol w:w="2211"/>
        <w:gridCol w:w="2980"/>
        <w:gridCol w:w="1465"/>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pPr>
              <w:widowControl/>
              <w:spacing w:line="360" w:lineRule="auto"/>
              <w:jc w:val="left"/>
              <w:textAlignment w:val="bottom"/>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包1：粮、油（入围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821"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148"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1547"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基本要求</w:t>
            </w:r>
          </w:p>
        </w:tc>
        <w:tc>
          <w:tcPr>
            <w:tcW w:w="76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310"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1" w:type="pct"/>
            <w:noWrap/>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一级大米</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GB/T 1354-2018</w:t>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restar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颗粒整齐饱满，含水量等于低于规定标准，无杂质、杂米，用手触摸要干爽、无任何结块现象，在保质期内</w:t>
            </w:r>
            <w:r>
              <w:rPr>
                <w:rFonts w:hint="eastAsia" w:ascii="宋体" w:hAnsi="宋体" w:eastAsia="宋体" w:cs="宋体"/>
                <w:bCs/>
                <w:color w:val="auto"/>
                <w:kern w:val="0"/>
                <w:sz w:val="21"/>
                <w:szCs w:val="21"/>
                <w:highlight w:val="none"/>
              </w:rPr>
              <w:t>，并拥有标注“SC”食品生产许可证编号,所有食品来源均有书面依据，必须可追溯。按用户要求规格供货。</w:t>
            </w:r>
          </w:p>
        </w:tc>
        <w:tc>
          <w:tcPr>
            <w:tcW w:w="760" w:type="pct"/>
            <w:vMerge w:val="restart"/>
            <w:noWrap/>
            <w:vAlign w:val="center"/>
          </w:tcPr>
          <w:p>
            <w:pPr>
              <w:widowControl/>
              <w:spacing w:line="360" w:lineRule="auto"/>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一个报价单、</w:t>
            </w:r>
            <w:r>
              <w:rPr>
                <w:rFonts w:hint="eastAsia" w:ascii="宋体" w:hAnsi="宋体" w:cs="宋体"/>
                <w:bCs/>
                <w:strike w:val="0"/>
                <w:dstrike w:val="0"/>
                <w:color w:val="auto"/>
                <w:kern w:val="0"/>
                <w:szCs w:val="21"/>
                <w:highlight w:val="none"/>
              </w:rPr>
              <w:t>每个品种限</w:t>
            </w:r>
            <w:r>
              <w:rPr>
                <w:rFonts w:hint="eastAsia" w:ascii="宋体" w:hAnsi="宋体" w:cs="宋体"/>
                <w:bCs/>
                <w:strike w:val="0"/>
                <w:dstrike w:val="0"/>
                <w:color w:val="auto"/>
                <w:kern w:val="0"/>
                <w:szCs w:val="21"/>
                <w:highlight w:val="none"/>
                <w:lang w:val="en-US" w:eastAsia="zh-CN"/>
              </w:rPr>
              <w:t>2</w:t>
            </w:r>
            <w:r>
              <w:rPr>
                <w:rFonts w:hint="eastAsia" w:ascii="宋体" w:hAnsi="宋体" w:cs="宋体"/>
                <w:bCs/>
                <w:strike w:val="0"/>
                <w:dstrike w:val="0"/>
                <w:color w:val="auto"/>
                <w:kern w:val="0"/>
                <w:szCs w:val="21"/>
                <w:highlight w:val="none"/>
              </w:rPr>
              <w:t>个</w:t>
            </w:r>
            <w:r>
              <w:rPr>
                <w:rFonts w:hint="eastAsia" w:ascii="宋体" w:hAnsi="宋体" w:cs="宋体"/>
                <w:bCs/>
                <w:strike w:val="0"/>
                <w:dstrike w:val="0"/>
                <w:color w:val="auto"/>
                <w:kern w:val="0"/>
                <w:szCs w:val="21"/>
                <w:highlight w:val="none"/>
                <w:lang w:val="en-US" w:eastAsia="zh-CN"/>
              </w:rPr>
              <w:t>同等级</w:t>
            </w:r>
            <w:r>
              <w:rPr>
                <w:rFonts w:hint="eastAsia" w:ascii="宋体" w:hAnsi="宋体" w:cs="宋体"/>
                <w:bCs/>
                <w:strike w:val="0"/>
                <w:dstrike w:val="0"/>
                <w:color w:val="auto"/>
                <w:kern w:val="0"/>
                <w:szCs w:val="21"/>
                <w:highlight w:val="none"/>
              </w:rPr>
              <w:t>品牌</w:t>
            </w:r>
            <w:r>
              <w:rPr>
                <w:rFonts w:hint="eastAsia" w:ascii="宋体" w:hAnsi="宋体" w:eastAsia="宋体" w:cs="宋体"/>
                <w:bCs/>
                <w:color w:val="auto"/>
                <w:kern w:val="0"/>
                <w:sz w:val="21"/>
                <w:szCs w:val="21"/>
                <w:highlight w:val="none"/>
              </w:rPr>
              <w:t>。</w:t>
            </w:r>
          </w:p>
          <w:p>
            <w:pPr>
              <w:widowControl/>
              <w:spacing w:line="360" w:lineRule="auto"/>
              <w:jc w:val="left"/>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2、供应商提供的粮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油</w:t>
            </w:r>
            <w:r>
              <w:rPr>
                <w:rFonts w:hint="eastAsia" w:ascii="宋体" w:hAnsi="宋体" w:eastAsia="宋体" w:cs="宋体"/>
                <w:color w:val="auto"/>
                <w:kern w:val="0"/>
                <w:sz w:val="21"/>
                <w:szCs w:val="21"/>
                <w:highlight w:val="none"/>
              </w:rPr>
              <w:t>品牌需在南京市大型超市中有同品名、同质量标准的产品销售</w:t>
            </w:r>
            <w:r>
              <w:rPr>
                <w:rFonts w:hint="eastAsia" w:ascii="宋体" w:hAnsi="宋体" w:cs="宋体"/>
                <w:color w:val="auto"/>
                <w:kern w:val="0"/>
                <w:sz w:val="21"/>
                <w:szCs w:val="21"/>
                <w:highlight w:val="none"/>
                <w:lang w:eastAsia="zh-CN"/>
              </w:rPr>
              <w:t>。</w:t>
            </w:r>
          </w:p>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21" w:type="pct"/>
            <w:noWrap/>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优质一级大米</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GB/T 1354-2018</w:t>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821" w:type="pct"/>
            <w:noWrap/>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糯米</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GB/T 1354-2018</w:t>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黑豆</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1352-2009</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或GB 19300-2014</w:t>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燕麦</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19640-2016</w:t>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黑米</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GB/T 1354-2018</w:t>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紫米</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黄豆</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1352-2009</w:t>
            </w:r>
            <w:r>
              <w:rPr>
                <w:rFonts w:hint="eastAsia" w:ascii="宋体" w:hAnsi="宋体" w:eastAsia="宋体" w:cs="宋体"/>
                <w:color w:val="auto"/>
                <w:kern w:val="0"/>
                <w:sz w:val="21"/>
                <w:szCs w:val="21"/>
                <w:highlight w:val="none"/>
              </w:rPr>
              <w:fldChar w:fldCharType="end"/>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红豆</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1352-2009</w:t>
            </w:r>
            <w:r>
              <w:rPr>
                <w:rFonts w:hint="eastAsia" w:ascii="宋体" w:hAnsi="宋体" w:eastAsia="宋体" w:cs="宋体"/>
                <w:color w:val="auto"/>
                <w:kern w:val="0"/>
                <w:sz w:val="21"/>
                <w:szCs w:val="21"/>
                <w:highlight w:val="none"/>
              </w:rPr>
              <w:fldChar w:fldCharType="end"/>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面粉</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1355-2021</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或</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8607-1988</w:t>
            </w:r>
            <w:r>
              <w:rPr>
                <w:rFonts w:hint="eastAsia" w:ascii="宋体" w:hAnsi="宋体" w:eastAsia="宋体" w:cs="宋体"/>
                <w:color w:val="auto"/>
                <w:kern w:val="0"/>
                <w:sz w:val="21"/>
                <w:szCs w:val="21"/>
                <w:highlight w:val="none"/>
              </w:rPr>
              <w:fldChar w:fldCharType="end"/>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小米</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11766-2008</w:t>
            </w:r>
            <w:r>
              <w:rPr>
                <w:rFonts w:hint="eastAsia" w:ascii="宋体" w:hAnsi="宋体" w:eastAsia="宋体" w:cs="宋体"/>
                <w:color w:val="auto"/>
                <w:kern w:val="0"/>
                <w:sz w:val="21"/>
                <w:szCs w:val="21"/>
                <w:highlight w:val="none"/>
              </w:rPr>
              <w:fldChar w:fldCharType="end"/>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821" w:type="pct"/>
            <w:noWrap/>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糯米</w:t>
            </w:r>
          </w:p>
        </w:tc>
        <w:tc>
          <w:tcPr>
            <w:tcW w:w="1148"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1354-2018</w:t>
            </w:r>
            <w:r>
              <w:rPr>
                <w:rFonts w:hint="eastAsia" w:ascii="宋体" w:hAnsi="宋体" w:eastAsia="宋体" w:cs="宋体"/>
                <w:color w:val="auto"/>
                <w:kern w:val="0"/>
                <w:sz w:val="21"/>
                <w:szCs w:val="21"/>
                <w:highlight w:val="none"/>
              </w:rPr>
              <w:fldChar w:fldCharType="end"/>
            </w:r>
          </w:p>
        </w:tc>
        <w:tc>
          <w:tcPr>
            <w:tcW w:w="1547"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血糯米</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1354-2018</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14</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藜麦</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15</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黑糯米</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1354-2018</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花生米</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1532-2008</w:t>
            </w:r>
            <w:r>
              <w:rPr>
                <w:rFonts w:hint="eastAsia" w:ascii="宋体" w:hAnsi="宋体" w:eastAsia="宋体" w:cs="宋体"/>
                <w:color w:val="auto"/>
                <w:kern w:val="0"/>
                <w:sz w:val="21"/>
                <w:szCs w:val="21"/>
                <w:highlight w:val="none"/>
              </w:rPr>
              <w:fldChar w:fldCharType="end"/>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玉米渣</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1353-2018</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熟白芝麻</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11761-2021</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19</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绿豆</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1352-2009</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红芸豆</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1352-2009</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21</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芸豆</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1352-2009</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22</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熟黑芝麻</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11761-2021</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23</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糯米面粉</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1355-2021</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或</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8607-1988</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24</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青稞</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GB/T 11760-2021</w:t>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25</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荞麦仁</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10458-2008</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26</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高粱米</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2715-2016或</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GB/T 8231-2007</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27</w:t>
            </w:r>
          </w:p>
        </w:tc>
        <w:tc>
          <w:tcPr>
            <w:tcW w:w="821" w:type="pct"/>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玉米片</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GB 1353-2018</w:t>
            </w:r>
            <w:r>
              <w:rPr>
                <w:rFonts w:hint="eastAsia" w:ascii="宋体" w:hAnsi="宋体" w:eastAsia="宋体" w:cs="宋体"/>
                <w:color w:val="auto"/>
                <w:kern w:val="0"/>
                <w:sz w:val="21"/>
                <w:szCs w:val="21"/>
                <w:highlight w:val="none"/>
              </w:rPr>
              <w:fldChar w:fldCharType="end"/>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28</w:t>
            </w:r>
          </w:p>
        </w:tc>
        <w:tc>
          <w:tcPr>
            <w:tcW w:w="821" w:type="pct"/>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西米</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29</w:t>
            </w:r>
          </w:p>
        </w:tc>
        <w:tc>
          <w:tcPr>
            <w:tcW w:w="821" w:type="pct"/>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薏仁米</w:t>
            </w:r>
          </w:p>
        </w:tc>
        <w:tc>
          <w:tcPr>
            <w:tcW w:w="114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30</w:t>
            </w:r>
          </w:p>
        </w:tc>
        <w:tc>
          <w:tcPr>
            <w:tcW w:w="821" w:type="pct"/>
            <w:vAlign w:val="center"/>
          </w:tcPr>
          <w:p>
            <w:pPr>
              <w:widowControl/>
              <w:spacing w:line="36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猫牙米</w:t>
            </w:r>
          </w:p>
        </w:tc>
        <w:tc>
          <w:tcPr>
            <w:tcW w:w="1148" w:type="pct"/>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2715-2016</w:t>
            </w:r>
          </w:p>
        </w:tc>
        <w:tc>
          <w:tcPr>
            <w:tcW w:w="1547"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31</w:t>
            </w:r>
          </w:p>
        </w:tc>
        <w:tc>
          <w:tcPr>
            <w:tcW w:w="821"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非转基因大豆油</w:t>
            </w:r>
          </w:p>
        </w:tc>
        <w:tc>
          <w:tcPr>
            <w:tcW w:w="1148"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2716-2018</w:t>
            </w:r>
          </w:p>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GB/T 1535-2017</w:t>
            </w:r>
          </w:p>
        </w:tc>
        <w:tc>
          <w:tcPr>
            <w:tcW w:w="154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澄清透明；气味、口感较好；溶剂残留不得检出；酸值小于0.2%；过氧化值小于5；商标整齐，喷码正确，文字清晰。密封良好，无渗漏</w:t>
            </w: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32</w:t>
            </w:r>
          </w:p>
        </w:tc>
        <w:tc>
          <w:tcPr>
            <w:tcW w:w="821"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非转基因玉米油</w:t>
            </w:r>
          </w:p>
        </w:tc>
        <w:tc>
          <w:tcPr>
            <w:tcW w:w="1148"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GB2716-2018</w:t>
            </w:r>
          </w:p>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GB/T 19111-2017</w:t>
            </w:r>
          </w:p>
        </w:tc>
        <w:tc>
          <w:tcPr>
            <w:tcW w:w="1547"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33</w:t>
            </w:r>
          </w:p>
        </w:tc>
        <w:tc>
          <w:tcPr>
            <w:tcW w:w="821"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非转基因葵籽油</w:t>
            </w:r>
          </w:p>
        </w:tc>
        <w:tc>
          <w:tcPr>
            <w:tcW w:w="1148"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2716-2018</w:t>
            </w:r>
          </w:p>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GB/T 10464-2017</w:t>
            </w:r>
          </w:p>
        </w:tc>
        <w:tc>
          <w:tcPr>
            <w:tcW w:w="15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澄澄清透明；无异味、口感好；溶剂残留不得检出；酸价≤0.5；过氧化值≤5；商标整齐，喷码正确，文字清晰。密封良好，无渗漏</w:t>
            </w: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34</w:t>
            </w:r>
          </w:p>
        </w:tc>
        <w:tc>
          <w:tcPr>
            <w:tcW w:w="821"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非转基因菜籽油</w:t>
            </w:r>
          </w:p>
        </w:tc>
        <w:tc>
          <w:tcPr>
            <w:tcW w:w="1148"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2716-2018</w:t>
            </w:r>
          </w:p>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GB/T 1536-2021</w:t>
            </w:r>
          </w:p>
        </w:tc>
        <w:tc>
          <w:tcPr>
            <w:tcW w:w="15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澄清透明；气味、口感较好；溶剂残留不得检出；酸价≤1.5；过氧化值≤0.125；商标整齐，喷码正确，文字清晰。密封良好，无渗漏</w:t>
            </w: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widowControl/>
              <w:spacing w:line="360" w:lineRule="auto"/>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35</w:t>
            </w:r>
          </w:p>
        </w:tc>
        <w:tc>
          <w:tcPr>
            <w:tcW w:w="821"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非转基因花生油</w:t>
            </w:r>
          </w:p>
        </w:tc>
        <w:tc>
          <w:tcPr>
            <w:tcW w:w="1148"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2716-2018</w:t>
            </w:r>
          </w:p>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GB/T 1534-2017</w:t>
            </w:r>
          </w:p>
        </w:tc>
        <w:tc>
          <w:tcPr>
            <w:tcW w:w="15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澄清透明；气味、口感较好；溶剂残留不得检出；酸价≤1.5；过氧化值≤6；商标整齐，喷码正确，文字清晰。密封良好，无渗漏</w:t>
            </w:r>
          </w:p>
        </w:tc>
        <w:tc>
          <w:tcPr>
            <w:tcW w:w="760"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0"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bl>
    <w:p>
      <w:pPr>
        <w:rPr>
          <w:color w:val="auto"/>
          <w:highlight w:val="none"/>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814"/>
        <w:gridCol w:w="2315"/>
        <w:gridCol w:w="2140"/>
        <w:gridCol w:w="147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ign w:val="center"/>
          </w:tcPr>
          <w:p>
            <w:pPr>
              <w:widowControl/>
              <w:spacing w:line="360" w:lineRule="auto"/>
              <w:jc w:val="left"/>
              <w:textAlignment w:val="bottom"/>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包</w:t>
            </w:r>
            <w:r>
              <w:rPr>
                <w:rFonts w:hint="eastAsia" w:ascii="宋体"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干货调味品</w:t>
            </w:r>
            <w:r>
              <w:rPr>
                <w:rFonts w:hint="eastAsia" w:ascii="宋体" w:hAnsi="宋体" w:eastAsia="宋体" w:cs="宋体"/>
                <w:b/>
                <w:bCs/>
                <w:color w:val="auto"/>
                <w:kern w:val="0"/>
                <w:sz w:val="21"/>
                <w:szCs w:val="21"/>
                <w:highlight w:val="none"/>
                <w:lang w:val="en-US" w:eastAsia="zh-CN"/>
              </w:rPr>
              <w:t>（入围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942"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202"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1111"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基本要求</w:t>
            </w:r>
          </w:p>
        </w:tc>
        <w:tc>
          <w:tcPr>
            <w:tcW w:w="768"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572"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942" w:type="pc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生抽</w:t>
            </w:r>
          </w:p>
        </w:tc>
        <w:tc>
          <w:tcPr>
            <w:tcW w:w="1202" w:type="pct"/>
            <w:noWra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18186-2000</w:t>
            </w:r>
          </w:p>
        </w:tc>
        <w:tc>
          <w:tcPr>
            <w:tcW w:w="1111" w:type="pct"/>
            <w:vMerge w:val="restart"/>
            <w:noWrap/>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所供产品须为定量原包装产品，符合国家卫生标准，外包装必须标明产品名称、配料表（单一制品可以免除）、净含量、制造者及经营者的名称和地址、生产（或分装、包装）日期、保质期或保存期、产品标准号，按用户要求规格供货。</w:t>
            </w:r>
          </w:p>
        </w:tc>
        <w:tc>
          <w:tcPr>
            <w:tcW w:w="768" w:type="pct"/>
            <w:vMerge w:val="restart"/>
            <w:noWrap/>
            <w:vAlign w:val="center"/>
          </w:tcPr>
          <w:p>
            <w:pPr>
              <w:widowControl/>
              <w:spacing w:line="360" w:lineRule="auto"/>
              <w:jc w:val="left"/>
              <w:textAlignment w:val="bottom"/>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1、一个报价单、</w:t>
            </w:r>
            <w:r>
              <w:rPr>
                <w:rFonts w:hint="eastAsia" w:ascii="宋体" w:hAnsi="宋体" w:cs="宋体"/>
                <w:bCs/>
                <w:color w:val="auto"/>
                <w:kern w:val="0"/>
                <w:sz w:val="21"/>
                <w:szCs w:val="21"/>
                <w:highlight w:val="none"/>
                <w:lang w:eastAsia="zh-CN"/>
              </w:rPr>
              <w:t>每个品种限2个同等级品牌</w:t>
            </w:r>
            <w:r>
              <w:rPr>
                <w:rFonts w:hint="eastAsia" w:ascii="宋体" w:hAnsi="宋体" w:eastAsia="宋体" w:cs="宋体"/>
                <w:bCs/>
                <w:color w:val="auto"/>
                <w:kern w:val="0"/>
                <w:sz w:val="21"/>
                <w:szCs w:val="21"/>
                <w:highlight w:val="none"/>
              </w:rPr>
              <w:t>。</w:t>
            </w:r>
          </w:p>
          <w:p>
            <w:pPr>
              <w:widowControl/>
              <w:spacing w:line="360" w:lineRule="auto"/>
              <w:jc w:val="left"/>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2、供应商提供的干货调味品品牌需在南京市大型超市中有同品名、同质量标准的产品销售</w:t>
            </w:r>
            <w:r>
              <w:rPr>
                <w:rFonts w:hint="eastAsia" w:ascii="宋体" w:hAnsi="宋体" w:cs="宋体"/>
                <w:color w:val="auto"/>
                <w:kern w:val="0"/>
                <w:sz w:val="21"/>
                <w:szCs w:val="21"/>
                <w:highlight w:val="none"/>
                <w:lang w:eastAsia="zh-CN"/>
              </w:rPr>
              <w:t>。</w:t>
            </w:r>
          </w:p>
        </w:tc>
        <w:tc>
          <w:tcPr>
            <w:tcW w:w="572" w:type="pct"/>
            <w:vMerge w:val="restar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入选产品厂家无招标文件规格，按同比例测算采购报价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食盐</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5461-2016或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GB 2721-2015</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醋</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GB/T18623或GB/T 18187-2000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或GB 2719-2018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鸡精</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SB/T 10371-2003或SB/T 10415-2007</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绵白糖</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13104-2014或GB/T 317-2018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白砂糖</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13104-2014或GB/T 317-2018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942" w:type="pct"/>
            <w:vAlign w:val="center"/>
          </w:tcPr>
          <w:p>
            <w:pPr>
              <w:jc w:val="center"/>
              <w:rPr>
                <w:rFonts w:hint="eastAsia" w:ascii="宋体" w:hAnsi="宋体" w:eastAsia="宋体" w:cs="宋体"/>
                <w:color w:val="auto"/>
                <w:sz w:val="21"/>
                <w:szCs w:val="21"/>
                <w:highlight w:val="none"/>
              </w:rPr>
            </w:pPr>
            <w:r>
              <w:rPr>
                <w:rFonts w:hint="eastAsia"/>
                <w:color w:val="auto"/>
                <w:sz w:val="21"/>
                <w:szCs w:val="21"/>
                <w:highlight w:val="none"/>
                <w:lang w:val="en-US" w:eastAsia="zh-CN"/>
              </w:rPr>
              <w:t>红糖（一级）</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13104-2014或GB/T 317-2018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冰糖</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35883-2018</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或GB13104-2014</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料酒</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SB/T 10416-2007或T/CBJ 8101-2019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老抽</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18186-2000</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香油</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8233-2018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蚝油</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21999-2008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麻油</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8233-2018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14</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花椒油</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20293-2006</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15</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蒸鱼豉油</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18186-2000</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十三香</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17</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白胡椒粉</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黑胡椒粉</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19</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孜然粉</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20</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五香粉</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21</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奥尔良腌料</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22</w:t>
            </w:r>
          </w:p>
        </w:tc>
        <w:tc>
          <w:tcPr>
            <w:tcW w:w="942" w:type="pct"/>
            <w:vAlign w:val="center"/>
          </w:tcPr>
          <w:p>
            <w:pPr>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 w:val="21"/>
                <w:szCs w:val="21"/>
                <w:highlight w:val="none"/>
                <w:lang w:val="en-US" w:eastAsia="zh-CN"/>
              </w:rPr>
              <w:t>酸菜鱼调料</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23</w:t>
            </w:r>
          </w:p>
        </w:tc>
        <w:tc>
          <w:tcPr>
            <w:tcW w:w="942" w:type="pct"/>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麻婆豆腐调味料</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24</w:t>
            </w:r>
          </w:p>
        </w:tc>
        <w:tc>
          <w:tcPr>
            <w:tcW w:w="942" w:type="pct"/>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粉蒸肉调料</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25</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火锅底料</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31644-2018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26</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香辣酱</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31644-2018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27</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蒜蓉酱</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31644-2018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28</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叉烧酱</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31644-2018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29</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芝麻酱</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31644-2018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30</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黄豆酱</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Style w:val="73"/>
                <w:rFonts w:hint="eastAsia" w:ascii="宋体" w:hAnsi="宋体" w:eastAsia="宋体" w:cs="宋体"/>
                <w:color w:val="auto"/>
                <w:sz w:val="21"/>
                <w:szCs w:val="21"/>
                <w:highlight w:val="none"/>
              </w:rPr>
              <w:t>GB/T 24399-2009</w:t>
            </w:r>
            <w:r>
              <w:rPr>
                <w:rStyle w:val="73"/>
                <w:rFonts w:hint="eastAsia" w:ascii="宋体" w:hAnsi="宋体" w:eastAsia="宋体" w:cs="宋体"/>
                <w:color w:val="auto"/>
                <w:sz w:val="21"/>
                <w:szCs w:val="21"/>
                <w:highlight w:val="none"/>
              </w:rPr>
              <w:fldChar w:fldCharType="end"/>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31</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辣椒酱</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31644-2018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32</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豆瓣酱</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20560-2006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或GB/T 24399-2009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33</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番茄沙司</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SB/T 10459-2008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34</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蜂蜜</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14963-2011</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35</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风味豆豉</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"javascript:void(0)" </w:instrText>
            </w:r>
            <w:r>
              <w:rPr>
                <w:rFonts w:hint="eastAsia" w:ascii="宋体" w:hAnsi="宋体" w:eastAsia="宋体" w:cs="宋体"/>
                <w:color w:val="auto"/>
                <w:sz w:val="21"/>
                <w:szCs w:val="21"/>
                <w:highlight w:val="none"/>
              </w:rPr>
              <w:fldChar w:fldCharType="separate"/>
            </w:r>
            <w:r>
              <w:rPr>
                <w:rStyle w:val="73"/>
                <w:rFonts w:hint="eastAsia" w:ascii="宋体" w:hAnsi="宋体" w:eastAsia="宋体" w:cs="宋体"/>
                <w:color w:val="auto"/>
                <w:sz w:val="21"/>
                <w:szCs w:val="21"/>
                <w:highlight w:val="none"/>
              </w:rPr>
              <w:t>GB/T 20293-2006或GB 31644-2018</w:t>
            </w:r>
            <w:r>
              <w:rPr>
                <w:rStyle w:val="73"/>
                <w:rFonts w:hint="eastAsia" w:ascii="宋体" w:hAnsi="宋体" w:eastAsia="宋体" w:cs="宋体"/>
                <w:color w:val="auto"/>
                <w:sz w:val="21"/>
                <w:szCs w:val="21"/>
                <w:highlight w:val="none"/>
              </w:rPr>
              <w:fldChar w:fldCharType="end"/>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36</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7652-2016</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37</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桂皮</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38</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香叶</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39</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红花椒</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15691-2008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40</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干辣椒</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6192-2019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41</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野山椒</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2714-2015</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42</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c>
          <w:tcPr>
            <w:tcW w:w="1202" w:type="pct"/>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T/CACM 1021.99-2018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43</w:t>
            </w:r>
          </w:p>
        </w:tc>
        <w:tc>
          <w:tcPr>
            <w:tcW w:w="942" w:type="pct"/>
            <w:vAlign w:val="center"/>
          </w:tcPr>
          <w:p>
            <w:pPr>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 w:val="21"/>
                <w:szCs w:val="21"/>
                <w:highlight w:val="none"/>
                <w:lang w:val="en-US" w:eastAsia="zh-CN"/>
              </w:rPr>
              <w:t>枸杞</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6192-2019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44</w:t>
            </w:r>
          </w:p>
        </w:tc>
        <w:tc>
          <w:tcPr>
            <w:tcW w:w="942" w:type="pct"/>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干银耳</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6192-2019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45</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干木耳</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6192-2019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46</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干香菇</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7096-2014</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47</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干腐竹</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2712-2014或GB/T 22106-2008</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48</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干皮肚</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49</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紫菜（干坛）</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23597-2022</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50</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生粉</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8885-2017</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51</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玉米淀粉</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8885-2017</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52</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山芋粉丝</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23587-2009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龙口粉丝</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23587-2009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p>
        </w:tc>
        <w:tc>
          <w:tcPr>
            <w:tcW w:w="94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虾皮</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SC/T 3205-2016</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w:t>
            </w:r>
          </w:p>
        </w:tc>
        <w:tc>
          <w:tcPr>
            <w:tcW w:w="942" w:type="pct"/>
            <w:vAlign w:val="center"/>
          </w:tcPr>
          <w:p>
            <w:pPr>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 w:val="21"/>
                <w:szCs w:val="21"/>
                <w:highlight w:val="none"/>
                <w:lang w:val="en-US" w:eastAsia="zh-CN"/>
              </w:rPr>
              <w:t>吊干红枣</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6192-2019</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pPr>
              <w:widowControl/>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942" w:type="pct"/>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干海带</w:t>
            </w:r>
          </w:p>
        </w:tc>
        <w:tc>
          <w:tcPr>
            <w:tcW w:w="1202" w:type="pct"/>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23597-2022</w:t>
            </w:r>
          </w:p>
        </w:tc>
        <w:tc>
          <w:tcPr>
            <w:tcW w:w="1111" w:type="pct"/>
            <w:vMerge w:val="continue"/>
          </w:tcPr>
          <w:p>
            <w:pPr>
              <w:spacing w:line="300" w:lineRule="auto"/>
              <w:jc w:val="center"/>
              <w:rPr>
                <w:rFonts w:hint="eastAsia" w:ascii="宋体" w:hAnsi="宋体" w:eastAsia="宋体" w:cs="宋体"/>
                <w:color w:val="auto"/>
                <w:kern w:val="0"/>
                <w:sz w:val="21"/>
                <w:szCs w:val="21"/>
                <w:highlight w:val="none"/>
              </w:rPr>
            </w:pPr>
          </w:p>
        </w:tc>
        <w:tc>
          <w:tcPr>
            <w:tcW w:w="768"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72"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r>
    </w:tbl>
    <w:p>
      <w:pPr>
        <w:spacing w:line="560" w:lineRule="exact"/>
        <w:outlineLvl w:val="1"/>
        <w:rPr>
          <w:rFonts w:hint="eastAsia" w:ascii="宋体" w:hAnsi="宋体" w:eastAsia="宋体" w:cs="宋体"/>
          <w:b/>
          <w:color w:val="auto"/>
          <w:sz w:val="21"/>
          <w:szCs w:val="21"/>
          <w:highlight w:val="none"/>
        </w:rPr>
      </w:pPr>
    </w:p>
    <w:tbl>
      <w:tblPr>
        <w:tblStyle w:val="62"/>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27"/>
        <w:gridCol w:w="2446"/>
        <w:gridCol w:w="2509"/>
        <w:gridCol w:w="164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6"/>
            <w:noWrap/>
            <w:vAlign w:val="center"/>
          </w:tcPr>
          <w:p>
            <w:pPr>
              <w:widowControl/>
              <w:spacing w:line="360" w:lineRule="auto"/>
              <w:jc w:val="left"/>
              <w:textAlignment w:val="bottom"/>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包</w:t>
            </w:r>
            <w:r>
              <w:rPr>
                <w:rFonts w:hint="eastAsia" w:ascii="宋体" w:hAnsi="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en-US" w:eastAsia="zh-CN"/>
              </w:rPr>
              <w:t>：面点</w:t>
            </w:r>
            <w:r>
              <w:rPr>
                <w:rFonts w:hint="eastAsia" w:ascii="宋体" w:hAnsi="宋体" w:cs="宋体"/>
                <w:b/>
                <w:bCs/>
                <w:color w:val="auto"/>
                <w:kern w:val="0"/>
                <w:sz w:val="21"/>
                <w:szCs w:val="21"/>
                <w:highlight w:val="none"/>
                <w:lang w:val="en-US" w:eastAsia="zh-CN"/>
              </w:rPr>
              <w:t>、乳制品</w:t>
            </w:r>
            <w:r>
              <w:rPr>
                <w:rFonts w:hint="eastAsia" w:ascii="宋体" w:hAnsi="宋体" w:eastAsia="宋体" w:cs="宋体"/>
                <w:b/>
                <w:bCs/>
                <w:color w:val="auto"/>
                <w:kern w:val="0"/>
                <w:sz w:val="21"/>
                <w:szCs w:val="21"/>
                <w:highlight w:val="none"/>
                <w:lang w:val="en-US" w:eastAsia="zh-CN"/>
              </w:rPr>
              <w:t>（入围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7"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742"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273"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1306"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基本要求</w:t>
            </w:r>
          </w:p>
        </w:tc>
        <w:tc>
          <w:tcPr>
            <w:tcW w:w="854"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535"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7" w:type="pct"/>
            <w:noWrap/>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742" w:type="pct"/>
            <w:noWrap/>
            <w:vAlign w:val="center"/>
          </w:tcPr>
          <w:p>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白糯小圆子</w:t>
            </w:r>
          </w:p>
        </w:tc>
        <w:tc>
          <w:tcPr>
            <w:tcW w:w="1273"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QB/T5729-2022</w:t>
            </w:r>
          </w:p>
        </w:tc>
        <w:tc>
          <w:tcPr>
            <w:tcW w:w="1306"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c>
          <w:tcPr>
            <w:tcW w:w="854" w:type="pct"/>
            <w:vMerge w:val="restart"/>
            <w:noWrap/>
            <w:vAlign w:val="center"/>
          </w:tcPr>
          <w:p>
            <w:pPr>
              <w:widowControl/>
              <w:spacing w:line="360" w:lineRule="auto"/>
              <w:jc w:val="left"/>
              <w:textAlignment w:val="bottom"/>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1、一个报价单、</w:t>
            </w:r>
            <w:r>
              <w:rPr>
                <w:rFonts w:hint="eastAsia" w:ascii="宋体" w:hAnsi="宋体" w:cs="宋体"/>
                <w:bCs/>
                <w:color w:val="auto"/>
                <w:kern w:val="0"/>
                <w:sz w:val="21"/>
                <w:szCs w:val="21"/>
                <w:highlight w:val="none"/>
                <w:lang w:eastAsia="zh-CN"/>
              </w:rPr>
              <w:t>每个品种限2个同等级品牌</w:t>
            </w:r>
            <w:r>
              <w:rPr>
                <w:rFonts w:hint="eastAsia" w:ascii="宋体" w:hAnsi="宋体" w:eastAsia="宋体" w:cs="宋体"/>
                <w:bCs/>
                <w:color w:val="auto"/>
                <w:kern w:val="0"/>
                <w:sz w:val="21"/>
                <w:szCs w:val="21"/>
                <w:highlight w:val="none"/>
              </w:rPr>
              <w:t>。</w:t>
            </w:r>
          </w:p>
          <w:p>
            <w:pPr>
              <w:widowControl/>
              <w:spacing w:line="360" w:lineRule="auto"/>
              <w:jc w:val="center"/>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2、供应商提供的</w:t>
            </w:r>
            <w:r>
              <w:rPr>
                <w:rFonts w:hint="eastAsia" w:ascii="宋体" w:hAnsi="宋体" w:cs="宋体"/>
                <w:color w:val="auto"/>
                <w:kern w:val="0"/>
                <w:sz w:val="21"/>
                <w:szCs w:val="21"/>
                <w:highlight w:val="none"/>
                <w:lang w:val="en-US" w:eastAsia="zh-CN"/>
              </w:rPr>
              <w:t>面点、乳制品</w:t>
            </w:r>
            <w:r>
              <w:rPr>
                <w:rFonts w:hint="eastAsia" w:ascii="宋体" w:hAnsi="宋体" w:eastAsia="宋体" w:cs="宋体"/>
                <w:color w:val="auto"/>
                <w:kern w:val="0"/>
                <w:sz w:val="21"/>
                <w:szCs w:val="21"/>
                <w:highlight w:val="none"/>
              </w:rPr>
              <w:t>品牌需在南京市大型超市中有同品名、同质量标准的产品销售</w:t>
            </w:r>
            <w:r>
              <w:rPr>
                <w:rFonts w:hint="eastAsia" w:ascii="宋体" w:hAnsi="宋体" w:cs="宋体"/>
                <w:color w:val="auto"/>
                <w:kern w:val="0"/>
                <w:sz w:val="21"/>
                <w:szCs w:val="21"/>
                <w:highlight w:val="none"/>
                <w:lang w:eastAsia="zh-CN"/>
              </w:rPr>
              <w:t>。</w:t>
            </w:r>
          </w:p>
        </w:tc>
        <w:tc>
          <w:tcPr>
            <w:tcW w:w="535"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7" w:type="pct"/>
            <w:noWrap/>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杂粮蔬菜面疙瘩</w:t>
            </w:r>
          </w:p>
        </w:tc>
        <w:tc>
          <w:tcPr>
            <w:tcW w:w="1273"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306"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c>
          <w:tcPr>
            <w:tcW w:w="854" w:type="pct"/>
            <w:vMerge w:val="continue"/>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c>
          <w:tcPr>
            <w:tcW w:w="535"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7" w:type="pct"/>
            <w:noWrap/>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切片年糕</w:t>
            </w:r>
          </w:p>
        </w:tc>
        <w:tc>
          <w:tcPr>
            <w:tcW w:w="1273"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306"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c>
          <w:tcPr>
            <w:tcW w:w="854" w:type="pct"/>
            <w:vMerge w:val="continue"/>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c>
          <w:tcPr>
            <w:tcW w:w="535"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肉</w:t>
            </w:r>
            <w:r>
              <w:rPr>
                <w:rFonts w:hint="eastAsia" w:ascii="宋体" w:hAnsi="宋体" w:eastAsia="宋体" w:cs="宋体"/>
                <w:color w:val="auto"/>
                <w:kern w:val="0"/>
                <w:sz w:val="21"/>
                <w:szCs w:val="21"/>
                <w:highlight w:val="none"/>
              </w:rPr>
              <w:t>包子</w:t>
            </w:r>
          </w:p>
        </w:tc>
        <w:tc>
          <w:tcPr>
            <w:tcW w:w="1273"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306" w:type="pct"/>
            <w:vMerge w:val="restar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具有面食应有的色泽、滋味、气味，无酸败，无异味。具有正常的组织状态，无霉变，有韧性，无正常视力可见外来异物。</w:t>
            </w:r>
          </w:p>
        </w:tc>
        <w:tc>
          <w:tcPr>
            <w:tcW w:w="854"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菜包子</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742" w:type="pct"/>
            <w:vAlign w:val="center"/>
          </w:tcPr>
          <w:p>
            <w:pPr>
              <w:spacing w:line="30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烧麦</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广式叉烧大包</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7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豆沙包</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奶黄包</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猪猪包</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红糖馒头</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汤包</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742" w:type="pct"/>
            <w:vAlign w:val="center"/>
          </w:tcPr>
          <w:p>
            <w:pPr>
              <w:spacing w:line="30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馒头</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742" w:type="pct"/>
            <w:vAlign w:val="center"/>
          </w:tcPr>
          <w:p>
            <w:pPr>
              <w:spacing w:line="30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花卷</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742" w:type="pct"/>
            <w:vAlign w:val="center"/>
          </w:tcPr>
          <w:p>
            <w:pPr>
              <w:spacing w:line="30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手抓饼</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742" w:type="pct"/>
            <w:vAlign w:val="center"/>
          </w:tcPr>
          <w:p>
            <w:pPr>
              <w:spacing w:line="300" w:lineRule="auto"/>
              <w:jc w:val="center"/>
              <w:rPr>
                <w:rFonts w:hint="eastAsia" w:ascii="宋体" w:hAnsi="宋体" w:cs="宋体"/>
                <w:color w:val="auto"/>
                <w:kern w:val="0"/>
                <w:sz w:val="21"/>
                <w:szCs w:val="21"/>
                <w:highlight w:val="none"/>
                <w:lang w:val="en-US" w:eastAsia="zh-CN"/>
              </w:rPr>
            </w:pPr>
            <w:r>
              <w:rPr>
                <w:rFonts w:hint="eastAsia" w:cs="宋体" w:asciiTheme="minorEastAsia" w:hAnsiTheme="minorEastAsia"/>
                <w:color w:val="auto"/>
                <w:sz w:val="21"/>
                <w:szCs w:val="21"/>
                <w:highlight w:val="none"/>
                <w:lang w:val="en-US" w:eastAsia="zh-CN"/>
              </w:rPr>
              <w:t>馄饨</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742" w:type="pct"/>
            <w:vAlign w:val="center"/>
          </w:tcPr>
          <w:p>
            <w:pPr>
              <w:spacing w:line="30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鲜面</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742" w:type="pct"/>
            <w:vAlign w:val="center"/>
          </w:tcPr>
          <w:p>
            <w:pPr>
              <w:spacing w:line="300" w:lineRule="auto"/>
              <w:jc w:val="center"/>
              <w:rPr>
                <w:rFonts w:hint="eastAsia" w:eastAsia="宋体" w:cs="宋体" w:asciiTheme="minorEastAsia" w:hAnsi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val="en-US" w:eastAsia="zh-CN"/>
              </w:rPr>
              <w:t>鸡蛋挂面</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742" w:type="pct"/>
            <w:vAlign w:val="center"/>
          </w:tcPr>
          <w:p>
            <w:pPr>
              <w:spacing w:line="300" w:lineRule="auto"/>
              <w:jc w:val="center"/>
              <w:rPr>
                <w:rFonts w:hint="eastAsia" w:eastAsia="宋体" w:cs="宋体" w:asciiTheme="minorEastAsia" w:hAnsi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val="en-US" w:eastAsia="zh-CN"/>
              </w:rPr>
              <w:t>刀削面</w:t>
            </w:r>
          </w:p>
        </w:tc>
        <w:tc>
          <w:tcPr>
            <w:tcW w:w="1273"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水饺</w:t>
            </w:r>
          </w:p>
        </w:tc>
        <w:tc>
          <w:tcPr>
            <w:tcW w:w="1273"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21</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油条</w:t>
            </w:r>
          </w:p>
        </w:tc>
        <w:tc>
          <w:tcPr>
            <w:tcW w:w="1273"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22</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麻团</w:t>
            </w:r>
          </w:p>
        </w:tc>
        <w:tc>
          <w:tcPr>
            <w:tcW w:w="1273"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23</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发糕</w:t>
            </w:r>
          </w:p>
        </w:tc>
        <w:tc>
          <w:tcPr>
            <w:tcW w:w="1273"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24</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绿豆糕</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restar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具有产品应有的正常色泽、气味和滋味，无异味、无霉变、无生虫及其他正常视力可见的外来异物。</w:t>
            </w: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25</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桂花糕</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26</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粽子</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27</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月饼</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28</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吐司</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29</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餐包</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30</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菠萝包</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31</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红豆包</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7"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毛毛虫面包</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甜甜圈</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桃酥</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麻花</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法式小面包</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瑞士卷</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铜锣烧</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w:t>
            </w:r>
          </w:p>
        </w:tc>
        <w:tc>
          <w:tcPr>
            <w:tcW w:w="742" w:type="pct"/>
            <w:vAlign w:val="center"/>
          </w:tcPr>
          <w:p>
            <w:pPr>
              <w:widowControl/>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雪饼</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restar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具有产品应有的色泽、香味，无异味，口感酥松或松脆。</w:t>
            </w: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742" w:type="pct"/>
            <w:vAlign w:val="center"/>
          </w:tcPr>
          <w:p>
            <w:pPr>
              <w:spacing w:line="300" w:lineRule="auto"/>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沙琪玛</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41</w:t>
            </w:r>
          </w:p>
        </w:tc>
        <w:tc>
          <w:tcPr>
            <w:tcW w:w="742" w:type="pct"/>
            <w:vAlign w:val="center"/>
          </w:tcPr>
          <w:p>
            <w:pPr>
              <w:spacing w:line="300" w:lineRule="auto"/>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肉松面包</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GB7099-2015</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42</w:t>
            </w:r>
          </w:p>
        </w:tc>
        <w:tc>
          <w:tcPr>
            <w:tcW w:w="742" w:type="pct"/>
            <w:vAlign w:val="center"/>
          </w:tcPr>
          <w:p>
            <w:pPr>
              <w:spacing w:line="300" w:lineRule="auto"/>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趣多多</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43</w:t>
            </w:r>
          </w:p>
        </w:tc>
        <w:tc>
          <w:tcPr>
            <w:tcW w:w="742" w:type="pct"/>
            <w:vAlign w:val="center"/>
          </w:tcPr>
          <w:p>
            <w:pPr>
              <w:spacing w:line="300" w:lineRule="auto"/>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丹夫华夫饼</w:t>
            </w:r>
          </w:p>
        </w:tc>
        <w:tc>
          <w:tcPr>
            <w:tcW w:w="1273" w:type="pct"/>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44</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骨钙饼干</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肉松饼</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日式小圆饼</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威化饼干</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苏打饼干</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20980-2021</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豆奶粉</w:t>
            </w:r>
          </w:p>
        </w:tc>
        <w:tc>
          <w:tcPr>
            <w:tcW w:w="1273"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29602-2013</w:t>
            </w:r>
          </w:p>
        </w:tc>
        <w:tc>
          <w:tcPr>
            <w:tcW w:w="1306" w:type="pct"/>
            <w:vMerge w:val="restart"/>
            <w:vAlign w:val="center"/>
          </w:tcPr>
          <w:p>
            <w:pPr>
              <w:widowControl/>
              <w:spacing w:line="360" w:lineRule="auto"/>
              <w:jc w:val="center"/>
              <w:textAlignment w:val="bottom"/>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eastAsia="zh-CN"/>
              </w:rPr>
              <w:t>符合正常的色泽、气味，无异味、无酸败味、无霉变、无可见异物。包装无破损、涨袋。</w:t>
            </w: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w:t>
            </w:r>
          </w:p>
        </w:tc>
        <w:tc>
          <w:tcPr>
            <w:tcW w:w="742" w:type="pct"/>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豆浆粉</w:t>
            </w:r>
          </w:p>
        </w:tc>
        <w:tc>
          <w:tcPr>
            <w:tcW w:w="1273"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29602-2013</w:t>
            </w: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高钙牛奶</w:t>
            </w:r>
          </w:p>
        </w:tc>
        <w:tc>
          <w:tcPr>
            <w:tcW w:w="1273" w:type="pct"/>
            <w:vMerge w:val="restart"/>
            <w:vAlign w:val="center"/>
          </w:tcPr>
          <w:p>
            <w:pPr>
              <w:widowControl/>
              <w:spacing w:line="360" w:lineRule="auto"/>
              <w:jc w:val="center"/>
              <w:textAlignment w:val="bottom"/>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eastAsia="zh-CN"/>
              </w:rPr>
              <w:t>符合《GB19301-2010》标准</w:t>
            </w:r>
          </w:p>
        </w:tc>
        <w:tc>
          <w:tcPr>
            <w:tcW w:w="1306"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lang w:val="en-US" w:eastAsia="zh-CN" w:bidi="ar-SA"/>
              </w:rPr>
            </w:pPr>
          </w:p>
        </w:tc>
        <w:tc>
          <w:tcPr>
            <w:tcW w:w="854"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纯牛奶</w:t>
            </w:r>
          </w:p>
        </w:tc>
        <w:tc>
          <w:tcPr>
            <w:tcW w:w="1273"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复原乳（125ml/盒）</w:t>
            </w:r>
          </w:p>
        </w:tc>
        <w:tc>
          <w:tcPr>
            <w:tcW w:w="1273"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酸奶</w:t>
            </w:r>
          </w:p>
        </w:tc>
        <w:tc>
          <w:tcPr>
            <w:tcW w:w="1273"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87" w:type="pct"/>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w:t>
            </w:r>
          </w:p>
        </w:tc>
        <w:tc>
          <w:tcPr>
            <w:tcW w:w="742"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奶酪棒</w:t>
            </w:r>
          </w:p>
        </w:tc>
        <w:tc>
          <w:tcPr>
            <w:tcW w:w="1273"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306"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854"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535"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bl>
    <w:p>
      <w:pPr>
        <w:pStyle w:val="2"/>
        <w:rPr>
          <w:rFonts w:hint="eastAsia" w:ascii="宋体" w:hAnsi="宋体" w:eastAsia="宋体" w:cs="宋体"/>
          <w:color w:val="auto"/>
          <w:sz w:val="21"/>
          <w:szCs w:val="21"/>
          <w:highlight w:val="none"/>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46"/>
        <w:gridCol w:w="1752"/>
        <w:gridCol w:w="2259"/>
        <w:gridCol w:w="3767"/>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ign w:val="center"/>
          </w:tcPr>
          <w:p>
            <w:pPr>
              <w:widowControl/>
              <w:spacing w:line="360" w:lineRule="auto"/>
              <w:jc w:val="left"/>
              <w:textAlignment w:val="bottom"/>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包</w:t>
            </w: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en-US" w:eastAsia="zh-CN"/>
              </w:rPr>
              <w:t>：水产类</w:t>
            </w:r>
            <w:r>
              <w:rPr>
                <w:rFonts w:hint="eastAsia" w:ascii="宋体" w:hAnsi="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rPr>
              <w:t>（入围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439"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91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1173"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基本要求</w:t>
            </w:r>
          </w:p>
        </w:tc>
        <w:tc>
          <w:tcPr>
            <w:tcW w:w="1956"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验货标准</w:t>
            </w:r>
          </w:p>
        </w:tc>
        <w:tc>
          <w:tcPr>
            <w:tcW w:w="231"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88" w:type="pct"/>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pacing w:val="-4"/>
                <w:sz w:val="21"/>
                <w:szCs w:val="21"/>
                <w:highlight w:val="none"/>
              </w:rPr>
              <w:t>鲫鱼</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restart"/>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鲜活类：在水中游动自如,反应敏捷; 无伤残、无畸形、无病害；</w:t>
            </w:r>
          </w:p>
          <w:p>
            <w:pPr>
              <w:widowControl/>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鳞片完整无损，无皮下出血现象及红色鱼鳞。</w:t>
            </w:r>
            <w:r>
              <w:rPr>
                <w:rFonts w:hint="eastAsia" w:ascii="宋体" w:hAnsi="宋体" w:eastAsia="宋体" w:cs="宋体"/>
                <w:color w:val="auto"/>
                <w:sz w:val="21"/>
                <w:szCs w:val="21"/>
                <w:highlight w:val="none"/>
              </w:rPr>
              <w:t>水产配送工具必须符合卫生要求，不得与其它货物混装，防止水产二次污染。</w:t>
            </w:r>
          </w:p>
          <w:p>
            <w:pPr>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水产品粗加工（包括但不限于宰杀）由供应商负责，根据招标人具体要求进行制作，招标人对此不额外支付费用。</w:t>
            </w:r>
          </w:p>
          <w:p>
            <w:pPr>
              <w:pStyle w:val="2"/>
              <w:ind w:left="0" w:leftChars="0" w:firstLine="0" w:firstLineChars="0"/>
              <w:rPr>
                <w:rFonts w:hint="eastAsia" w:ascii="宋体" w:hAnsi="宋体" w:eastAsia="宋体" w:cs="宋体"/>
                <w:color w:val="auto"/>
                <w:kern w:val="0"/>
                <w:sz w:val="21"/>
                <w:szCs w:val="21"/>
                <w:highlight w:val="none"/>
                <w:lang w:val="en-US" w:eastAsia="zh-CN" w:bidi="ar-SA"/>
              </w:rPr>
            </w:pPr>
          </w:p>
          <w:p>
            <w:pPr>
              <w:pStyle w:val="2"/>
              <w:ind w:left="0" w:leftChars="0" w:firstLine="0" w:firstLineChars="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制品类：包装完整、批号清晰，低温冷链保存，外包装的必须标明产品名称、配料表、净含量、制造者及经营者的名称和地址、生产（或分装、包装）日期、保质期或保存期、产品标准号。按用户要求规格供货。</w:t>
            </w:r>
          </w:p>
          <w:p>
            <w:pPr>
              <w:spacing w:line="300" w:lineRule="auto"/>
              <w:jc w:val="center"/>
              <w:rPr>
                <w:rFonts w:hint="eastAsia" w:ascii="宋体" w:hAnsi="宋体" w:eastAsia="宋体" w:cs="宋体"/>
                <w:color w:val="auto"/>
                <w:kern w:val="0"/>
                <w:sz w:val="21"/>
                <w:szCs w:val="21"/>
                <w:highlight w:val="none"/>
              </w:rPr>
            </w:pPr>
          </w:p>
        </w:tc>
        <w:tc>
          <w:tcPr>
            <w:tcW w:w="1956"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鱼眼饱满、晶莹透明，无残羽，无血水血污，无残骨，伤斑，溃烂，炎症，允许有少量红斑，无多余脂肪呈白色带有玫瑰色或红色，鳞片排列紧密，清晰明亮。</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鳊鱼</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Merge w:val="continue"/>
            <w:vAlign w:val="center"/>
          </w:tcPr>
          <w:p>
            <w:pPr>
              <w:widowControl/>
              <w:spacing w:line="360" w:lineRule="auto"/>
              <w:jc w:val="center"/>
              <w:textAlignment w:val="bottom"/>
              <w:rPr>
                <w:rFonts w:hint="eastAsia" w:ascii="宋体" w:hAnsi="宋体" w:eastAsia="宋体" w:cs="宋体"/>
                <w:bCs/>
                <w:color w:val="auto"/>
                <w:kern w:val="0"/>
                <w:sz w:val="21"/>
                <w:szCs w:val="21"/>
                <w:highlight w:val="none"/>
              </w:rPr>
            </w:pP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草鱼</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肉质白色或淡红色，块形完整、无残缺、异色、异味。无肉眼可见的外来杂质。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花鲢</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背部青黑色，体侧深褐带有黑色或黄色花斑，腹部灰白。肉质白色或淡红色，块形完整、无残缺、异色、异味。无肉眼可见的外来杂质。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白鲢</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肉质白色或淡红色，块形完整、无残缺、异色、异味。无肉眼可见的外来杂质。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黑鱼</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鱼眼饱满、晶莹透明，无残羽，无血水血污，无残骨，伤斑，溃烂，炎症，鳞片排列紧密，清晰明亮。</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鲈鱼</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鱼眼饱满、晶莹透明，无残羽，无血水血污，无残骨，伤斑，溃烂，炎症，鳞片排列紧密，清晰明亮。</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昂刺鱼</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鱼眼饱满、晶莹透明，无血水血污，无残骨，伤斑，溃烂，炎症</w:t>
            </w:r>
            <w:r>
              <w:rPr>
                <w:rFonts w:hint="eastAsia" w:ascii="宋体" w:hAnsi="宋体" w:eastAsia="宋体" w:cs="宋体"/>
                <w:color w:val="auto"/>
                <w:sz w:val="21"/>
                <w:szCs w:val="21"/>
                <w:highlight w:val="none"/>
                <w:lang w:eastAsia="zh-CN"/>
              </w:rPr>
              <w:t>。</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沙虾</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虾体完整，呈自然色泽。组织紧密、肌肉有弹性，具有虾固有气味、无异味。无肉眼可见的外来杂质。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黄鳝</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体色正常，体态完整，水中姿态平稳，头部朝上，捞离水后挣扎有力，鲜活生猛，粘度较多。</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罗氏虾</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虾体完整，呈自然色泽。组织紧密、肌肉有弹性，具有虾固有气味、无异味。无肉眼可见的外来杂质。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439" w:type="pct"/>
            <w:vAlign w:val="center"/>
          </w:tcPr>
          <w:p>
            <w:pPr>
              <w:widowControl/>
              <w:jc w:val="center"/>
              <w:textAlignment w:val="center"/>
              <w:rPr>
                <w:rFonts w:hint="eastAsia" w:ascii="宋体" w:hAnsi="宋体" w:cs="宋体" w:eastAsiaTheme="minorEastAsia"/>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对虾</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虾体完整，呈自然色泽。组织紧密、肌肉有弹性，具有虾固有气味、无异味。无肉眼可见的外来杂质。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439" w:type="pct"/>
            <w:vAlign w:val="center"/>
          </w:tcPr>
          <w:p>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花甲</w:t>
            </w:r>
          </w:p>
        </w:tc>
        <w:tc>
          <w:tcPr>
            <w:tcW w:w="91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外壳有光泽、色泽正，无腥臭味。</w:t>
            </w:r>
            <w:r>
              <w:rPr>
                <w:rFonts w:hint="eastAsia" w:ascii="宋体" w:hAnsi="宋体" w:eastAsia="宋体" w:cs="宋体"/>
                <w:color w:val="auto"/>
                <w:sz w:val="21"/>
                <w:szCs w:val="21"/>
                <w:highlight w:val="none"/>
              </w:rPr>
              <w:t>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黄鳝丝</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无软烂现象。具有</w:t>
            </w:r>
            <w:r>
              <w:rPr>
                <w:rFonts w:hint="eastAsia" w:ascii="宋体" w:hAnsi="宋体" w:cs="宋体"/>
                <w:color w:val="auto"/>
                <w:sz w:val="21"/>
                <w:szCs w:val="21"/>
                <w:highlight w:val="none"/>
                <w:lang w:val="en-US" w:eastAsia="zh-CN"/>
              </w:rPr>
              <w:t>黄鳝</w:t>
            </w:r>
            <w:r>
              <w:rPr>
                <w:rFonts w:hint="eastAsia" w:ascii="宋体" w:hAnsi="宋体" w:eastAsia="宋体" w:cs="宋体"/>
                <w:color w:val="auto"/>
                <w:sz w:val="21"/>
                <w:szCs w:val="21"/>
                <w:highlight w:val="none"/>
              </w:rPr>
              <w:t>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黄鳝片/段</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无软烂现象。具有</w:t>
            </w:r>
            <w:r>
              <w:rPr>
                <w:rFonts w:hint="eastAsia" w:ascii="宋体" w:hAnsi="宋体" w:cs="宋体"/>
                <w:color w:val="auto"/>
                <w:sz w:val="21"/>
                <w:szCs w:val="21"/>
                <w:highlight w:val="none"/>
                <w:lang w:val="en-US" w:eastAsia="zh-CN"/>
              </w:rPr>
              <w:t>黄鳝</w:t>
            </w:r>
            <w:r>
              <w:rPr>
                <w:rFonts w:hint="eastAsia" w:ascii="宋体" w:hAnsi="宋体" w:eastAsia="宋体" w:cs="宋体"/>
                <w:color w:val="auto"/>
                <w:sz w:val="21"/>
                <w:szCs w:val="21"/>
                <w:highlight w:val="none"/>
              </w:rPr>
              <w:t>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439" w:type="pct"/>
            <w:vAlign w:val="center"/>
          </w:tcPr>
          <w:p>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银鱼</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体表有光泽，肌肉有弹性，个体完整、无软烂现象。具有银鱼固有气味、无异味。无肉眼可见外来杂质。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17</w:t>
            </w:r>
          </w:p>
        </w:tc>
        <w:tc>
          <w:tcPr>
            <w:tcW w:w="439" w:type="pct"/>
            <w:vAlign w:val="center"/>
          </w:tcPr>
          <w:p>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马鲛鱼</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体表有光泽，肌肉有弹性，个体完整、无软烂现象。具有马鲛鱼固有气味、无异味。无肉眼可见外来杂质。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18</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巴沙鱼</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色泽洁白或呈均匀的淡红色，无破损、残缺及软烂现象。具有巴沙鱼固有气味、无异味。无肉眼可见的外来杂质。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19</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桂鱼</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无破损、残缺及软烂现象。具有</w:t>
            </w:r>
            <w:r>
              <w:rPr>
                <w:rFonts w:hint="eastAsia" w:ascii="宋体" w:hAnsi="宋体" w:cs="宋体"/>
                <w:color w:val="auto"/>
                <w:sz w:val="21"/>
                <w:szCs w:val="21"/>
                <w:highlight w:val="none"/>
                <w:lang w:val="en-US" w:eastAsia="zh-CN"/>
              </w:rPr>
              <w:t>桂鱼</w:t>
            </w:r>
            <w:r>
              <w:rPr>
                <w:rFonts w:hint="eastAsia" w:ascii="宋体" w:hAnsi="宋体" w:eastAsia="宋体" w:cs="宋体"/>
                <w:color w:val="auto"/>
                <w:sz w:val="21"/>
                <w:szCs w:val="21"/>
                <w:highlight w:val="none"/>
              </w:rPr>
              <w:t>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净多宝鱼</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无破损、残缺及软烂现象。具有</w:t>
            </w:r>
            <w:r>
              <w:rPr>
                <w:rFonts w:hint="eastAsia" w:ascii="宋体" w:hAnsi="宋体" w:cs="宋体"/>
                <w:color w:val="auto"/>
                <w:sz w:val="21"/>
                <w:szCs w:val="21"/>
                <w:highlight w:val="none"/>
                <w:lang w:val="en-US" w:eastAsia="zh-CN"/>
              </w:rPr>
              <w:t>多宝鱼</w:t>
            </w:r>
            <w:r>
              <w:rPr>
                <w:rFonts w:hint="eastAsia" w:ascii="宋体" w:hAnsi="宋体" w:eastAsia="宋体" w:cs="宋体"/>
                <w:color w:val="auto"/>
                <w:sz w:val="21"/>
                <w:szCs w:val="21"/>
                <w:highlight w:val="none"/>
              </w:rPr>
              <w:t>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黑鱼片</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2733，GB 10136</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色泽洁白或呈均匀的淡红色，无软烂现象。具有</w:t>
            </w:r>
            <w:r>
              <w:rPr>
                <w:rFonts w:hint="eastAsia" w:ascii="宋体" w:hAnsi="宋体" w:eastAsia="宋体" w:cs="宋体"/>
                <w:color w:val="auto"/>
                <w:sz w:val="21"/>
                <w:szCs w:val="21"/>
                <w:highlight w:val="none"/>
                <w:lang w:val="en-US" w:eastAsia="zh-CN"/>
              </w:rPr>
              <w:t>黑</w:t>
            </w:r>
            <w:r>
              <w:rPr>
                <w:rFonts w:hint="eastAsia" w:ascii="宋体" w:hAnsi="宋体" w:eastAsia="宋体" w:cs="宋体"/>
                <w:color w:val="auto"/>
                <w:sz w:val="21"/>
                <w:szCs w:val="21"/>
                <w:highlight w:val="none"/>
              </w:rPr>
              <w:t>鱼固有气味、无异味。无肉眼可见的外来杂质。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22</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带鱼段（中）</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体表有光泽，肌肉有弹性，个体完整、无软烂现象。具有带鱼固有气味、无异味。无肉眼可见外来杂质。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23</w:t>
            </w:r>
          </w:p>
        </w:tc>
        <w:tc>
          <w:tcPr>
            <w:tcW w:w="439" w:type="pct"/>
            <w:vAlign w:val="center"/>
          </w:tcPr>
          <w:p>
            <w:pPr>
              <w:jc w:val="center"/>
              <w:rPr>
                <w:rFonts w:hint="eastAsia" w:ascii="Times New Roman" w:hAnsi="Times New Roman" w:cs="Times New Roman" w:eastAsiaTheme="minorEastAsia"/>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鳕鱼中段</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体表有光泽，肌肉有弹性，个体完整、无软烂现象。具有鳕鱼固有气味、无异味。无肉眼可见外来杂质。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24</w:t>
            </w:r>
          </w:p>
        </w:tc>
        <w:tc>
          <w:tcPr>
            <w:tcW w:w="439" w:type="pct"/>
            <w:vAlign w:val="center"/>
          </w:tcPr>
          <w:p>
            <w:pPr>
              <w:jc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sz w:val="21"/>
                <w:szCs w:val="21"/>
                <w:highlight w:val="none"/>
                <w:lang w:val="en-US" w:eastAsia="zh-CN"/>
              </w:rPr>
              <w:t>鸦片鱼身</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体表有光泽，肌肉有弹性，个体完整、无软烂现象。具有鸦片鱼固有气味、无异味。无肉眼可见外来杂质。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鱿鱼须</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肌肉有弹性，个体完整、无软烂现象。具有鱿鱼固有气味、无异味。无肉眼可见外来杂质。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26</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鱿鱼</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肌肉有弹性，个体完整、无软烂现象。具有鱿鱼固有气味、无异味。无肉眼可见外来杂质。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27</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小黄鱼（10条/斤）</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肌肉有弹性，个体完整、无软烂现象。具有小黄鱼固有气味、无异味。无肉眼可见外来杂质。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28</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无刺鮰鱼块</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肌肉有弹性，个体完整、无软烂现象。具有</w:t>
            </w:r>
            <w:r>
              <w:rPr>
                <w:rFonts w:hint="eastAsia" w:ascii="宋体" w:hAnsi="宋体" w:eastAsia="宋体" w:cs="宋体"/>
                <w:color w:val="auto"/>
                <w:sz w:val="21"/>
                <w:szCs w:val="21"/>
                <w:highlight w:val="none"/>
              </w:rPr>
              <w:t>鮰鱼</w:t>
            </w:r>
            <w:r>
              <w:rPr>
                <w:rFonts w:hint="eastAsia" w:ascii="宋体" w:hAnsi="宋体" w:cs="宋体"/>
                <w:color w:val="auto"/>
                <w:sz w:val="21"/>
                <w:szCs w:val="21"/>
                <w:highlight w:val="none"/>
                <w:lang w:val="en-US" w:eastAsia="zh-CN"/>
              </w:rPr>
              <w:t>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29</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虾仁（31-40）</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40963-2021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肌肉有弹性，个体完整、无软烂现象。具有虾仁固有气味、无异味。无肉眼可见外来杂质。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30</w:t>
            </w:r>
          </w:p>
        </w:tc>
        <w:tc>
          <w:tcPr>
            <w:tcW w:w="439" w:type="pct"/>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龙利鱼</w:t>
            </w:r>
          </w:p>
        </w:tc>
        <w:tc>
          <w:tcPr>
            <w:tcW w:w="910"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2733-2015、GB/T 18109-2011</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肌肉有弹性，个体完整、无软烂现象。具有龙利鱼固有气味、无异味。无肉眼可见外来杂质。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31</w:t>
            </w:r>
          </w:p>
        </w:tc>
        <w:tc>
          <w:tcPr>
            <w:tcW w:w="439" w:type="pct"/>
            <w:vAlign w:val="center"/>
          </w:tcPr>
          <w:p>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蟹肉棒</w:t>
            </w:r>
          </w:p>
        </w:tc>
        <w:tc>
          <w:tcPr>
            <w:tcW w:w="910" w:type="pc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符合GB10145－1988</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色泽正，无腥臭味，</w:t>
            </w:r>
            <w:r>
              <w:rPr>
                <w:rFonts w:hint="eastAsia" w:ascii="宋体" w:hAnsi="宋体" w:eastAsia="宋体" w:cs="宋体"/>
                <w:color w:val="auto"/>
                <w:sz w:val="21"/>
                <w:szCs w:val="21"/>
                <w:highlight w:val="none"/>
              </w:rPr>
              <w:t>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32</w:t>
            </w:r>
          </w:p>
        </w:tc>
        <w:tc>
          <w:tcPr>
            <w:tcW w:w="439" w:type="pct"/>
            <w:vAlign w:val="center"/>
          </w:tcPr>
          <w:p>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鱼圆</w:t>
            </w:r>
          </w:p>
        </w:tc>
        <w:tc>
          <w:tcPr>
            <w:tcW w:w="910" w:type="pc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符合GB10145－1988</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色泽正，无腥臭味，</w:t>
            </w:r>
            <w:r>
              <w:rPr>
                <w:rFonts w:hint="eastAsia" w:ascii="宋体" w:hAnsi="宋体" w:eastAsia="宋体" w:cs="宋体"/>
                <w:color w:val="auto"/>
                <w:sz w:val="21"/>
                <w:szCs w:val="21"/>
                <w:highlight w:val="none"/>
              </w:rPr>
              <w:t>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88" w:type="pct"/>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33</w:t>
            </w:r>
          </w:p>
        </w:tc>
        <w:tc>
          <w:tcPr>
            <w:tcW w:w="439" w:type="pct"/>
            <w:vAlign w:val="center"/>
          </w:tcPr>
          <w:p>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鱼籽福袋</w:t>
            </w:r>
          </w:p>
        </w:tc>
        <w:tc>
          <w:tcPr>
            <w:tcW w:w="910" w:type="pct"/>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符合</w:t>
            </w:r>
            <w:r>
              <w:rPr>
                <w:rFonts w:hint="eastAsia" w:ascii="宋体" w:hAnsi="宋体" w:eastAsia="宋体" w:cs="宋体"/>
                <w:color w:val="auto"/>
                <w:kern w:val="0"/>
                <w:sz w:val="21"/>
                <w:szCs w:val="21"/>
                <w:highlight w:val="none"/>
              </w:rPr>
              <w:t>GB/T13022</w:t>
            </w:r>
          </w:p>
        </w:tc>
        <w:tc>
          <w:tcPr>
            <w:tcW w:w="1173" w:type="pct"/>
            <w:vMerge w:val="continue"/>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p>
        </w:tc>
        <w:tc>
          <w:tcPr>
            <w:tcW w:w="195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色泽正，无腥臭味，</w:t>
            </w:r>
            <w:r>
              <w:rPr>
                <w:rFonts w:hint="eastAsia" w:ascii="宋体" w:hAnsi="宋体" w:eastAsia="宋体" w:cs="宋体"/>
                <w:color w:val="auto"/>
                <w:sz w:val="21"/>
                <w:szCs w:val="21"/>
                <w:highlight w:val="none"/>
              </w:rPr>
              <w:t>无肉眼可见的外来杂质。</w:t>
            </w:r>
          </w:p>
        </w:tc>
        <w:tc>
          <w:tcPr>
            <w:tcW w:w="23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bl>
    <w:p>
      <w:pPr>
        <w:rPr>
          <w:rFonts w:hint="eastAsia" w:ascii="宋体" w:hAnsi="宋体" w:eastAsia="宋体" w:cs="宋体"/>
          <w:color w:val="auto"/>
          <w:sz w:val="21"/>
          <w:szCs w:val="21"/>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50"/>
        <w:gridCol w:w="2035"/>
        <w:gridCol w:w="2343"/>
        <w:gridCol w:w="1507"/>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ign w:val="center"/>
          </w:tcPr>
          <w:p>
            <w:pPr>
              <w:widowControl/>
              <w:spacing w:line="360" w:lineRule="auto"/>
              <w:jc w:val="left"/>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包</w:t>
            </w: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val="en-US" w:eastAsia="zh-CN"/>
              </w:rPr>
              <w:t>：</w:t>
            </w:r>
            <w:r>
              <w:rPr>
                <w:rFonts w:hint="eastAsia"/>
                <w:b/>
                <w:bCs/>
                <w:color w:val="auto"/>
                <w:highlight w:val="none"/>
                <w:u w:val="none"/>
                <w:lang w:val="en-US" w:eastAsia="zh-CN"/>
              </w:rPr>
              <w:t>冷鲜肉</w:t>
            </w:r>
            <w:r>
              <w:rPr>
                <w:rFonts w:hint="eastAsia" w:ascii="宋体" w:hAnsi="宋体" w:eastAsia="宋体" w:cs="宋体"/>
                <w:b/>
                <w:bCs/>
                <w:color w:val="auto"/>
                <w:kern w:val="0"/>
                <w:sz w:val="21"/>
                <w:szCs w:val="21"/>
                <w:highlight w:val="none"/>
                <w:lang w:val="en-US" w:eastAsia="zh-CN"/>
              </w:rPr>
              <w:t>（入围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753"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056"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1216"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基本要求</w:t>
            </w:r>
          </w:p>
        </w:tc>
        <w:tc>
          <w:tcPr>
            <w:tcW w:w="782"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848"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753"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去骨猪腿肉</w:t>
            </w:r>
          </w:p>
        </w:tc>
        <w:tc>
          <w:tcPr>
            <w:tcW w:w="1056" w:type="pct"/>
            <w:noWrap/>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noWrap/>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色泽正常，无肥膘，无异味，无注水</w:t>
            </w:r>
          </w:p>
        </w:tc>
        <w:tc>
          <w:tcPr>
            <w:tcW w:w="782" w:type="pct"/>
            <w:vMerge w:val="restar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kern w:val="0"/>
                <w:sz w:val="21"/>
                <w:szCs w:val="21"/>
                <w:highlight w:val="none"/>
              </w:rPr>
              <w:t>猪、牛、羊肉</w:t>
            </w:r>
            <w:r>
              <w:rPr>
                <w:rFonts w:hint="eastAsia" w:ascii="宋体" w:hAnsi="宋体" w:cs="宋体"/>
                <w:bCs/>
                <w:strike w:val="0"/>
                <w:dstrike w:val="0"/>
                <w:color w:val="auto"/>
                <w:kern w:val="0"/>
                <w:szCs w:val="21"/>
                <w:highlight w:val="none"/>
                <w:lang w:val="en-US" w:eastAsia="zh-CN"/>
              </w:rPr>
              <w:t>各</w:t>
            </w:r>
            <w:r>
              <w:rPr>
                <w:rFonts w:hint="eastAsia" w:ascii="宋体" w:hAnsi="宋体" w:cs="宋体"/>
                <w:bCs/>
                <w:strike w:val="0"/>
                <w:dstrike w:val="0"/>
                <w:color w:val="auto"/>
                <w:kern w:val="0"/>
                <w:szCs w:val="21"/>
                <w:highlight w:val="none"/>
              </w:rPr>
              <w:t>限</w:t>
            </w:r>
            <w:r>
              <w:rPr>
                <w:rFonts w:hint="eastAsia" w:ascii="宋体" w:hAnsi="宋体" w:cs="宋体"/>
                <w:bCs/>
                <w:strike w:val="0"/>
                <w:dstrike w:val="0"/>
                <w:color w:val="auto"/>
                <w:kern w:val="0"/>
                <w:szCs w:val="21"/>
                <w:highlight w:val="none"/>
                <w:lang w:val="en-US" w:eastAsia="zh-CN"/>
              </w:rPr>
              <w:t>2</w:t>
            </w:r>
            <w:r>
              <w:rPr>
                <w:rFonts w:hint="eastAsia" w:ascii="宋体" w:hAnsi="宋体" w:cs="宋体"/>
                <w:bCs/>
                <w:strike w:val="0"/>
                <w:dstrike w:val="0"/>
                <w:color w:val="auto"/>
                <w:kern w:val="0"/>
                <w:szCs w:val="21"/>
                <w:highlight w:val="none"/>
              </w:rPr>
              <w:t>个</w:t>
            </w:r>
            <w:r>
              <w:rPr>
                <w:rFonts w:hint="eastAsia" w:ascii="宋体" w:hAnsi="宋体" w:cs="宋体"/>
                <w:bCs/>
                <w:strike w:val="0"/>
                <w:dstrike w:val="0"/>
                <w:color w:val="auto"/>
                <w:kern w:val="0"/>
                <w:szCs w:val="21"/>
                <w:highlight w:val="none"/>
                <w:lang w:val="en-US" w:eastAsia="zh-CN"/>
              </w:rPr>
              <w:t>同等级</w:t>
            </w:r>
            <w:r>
              <w:rPr>
                <w:rFonts w:hint="eastAsia" w:ascii="宋体" w:hAnsi="宋体" w:cs="宋体"/>
                <w:bCs/>
                <w:strike w:val="0"/>
                <w:dstrike w:val="0"/>
                <w:color w:val="auto"/>
                <w:kern w:val="0"/>
                <w:szCs w:val="21"/>
                <w:highlight w:val="none"/>
              </w:rPr>
              <w:t>品牌</w:t>
            </w:r>
            <w:r>
              <w:rPr>
                <w:rFonts w:hint="eastAsia" w:ascii="宋体" w:hAnsi="宋体" w:cs="宋体"/>
                <w:bCs/>
                <w:color w:val="auto"/>
                <w:kern w:val="0"/>
                <w:sz w:val="21"/>
                <w:szCs w:val="21"/>
                <w:highlight w:val="none"/>
                <w:lang w:eastAsia="zh-CN"/>
              </w:rPr>
              <w:t>。</w:t>
            </w:r>
          </w:p>
        </w:tc>
        <w:tc>
          <w:tcPr>
            <w:tcW w:w="848" w:type="pct"/>
            <w:vMerge w:val="restart"/>
            <w:noWrap/>
            <w:vAlign w:val="center"/>
          </w:tcPr>
          <w:p>
            <w:pPr>
              <w:widowControl/>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配送所需的生肉应由规模养殖场提供经农业部门检测、检疫合格的鲜活健康猪牛羊，经定点屠宰厂屠宰加工并检验合格；配送工具必须符合卫生要求，不得与其它货物混装，防止肉品二次污染。</w:t>
            </w:r>
          </w:p>
          <w:p>
            <w:pPr>
              <w:widowControl/>
              <w:spacing w:line="36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冷鲜肉</w:t>
            </w:r>
            <w:r>
              <w:rPr>
                <w:rFonts w:hint="eastAsia" w:ascii="宋体" w:hAnsi="宋体" w:eastAsia="宋体" w:cs="宋体"/>
                <w:b/>
                <w:bCs/>
                <w:color w:val="auto"/>
                <w:sz w:val="21"/>
                <w:szCs w:val="21"/>
                <w:highlight w:val="none"/>
              </w:rPr>
              <w:t>粗加工由供应商负责，</w:t>
            </w:r>
          </w:p>
          <w:p>
            <w:pPr>
              <w:widowControl/>
              <w:spacing w:line="36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根据学校具体要求进行制作，</w:t>
            </w:r>
          </w:p>
          <w:p>
            <w:pPr>
              <w:widowControl/>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采购人及学校对此不额外支付费用。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753" w:type="pct"/>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五花肉（肋条）</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753" w:type="pct"/>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猪肋排</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色泽正常，无肥膘，无异味，无注水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753" w:type="pct"/>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精瘦肉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色泽正常，无肥膘，无异味，无注水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753" w:type="pct"/>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牛肉（牛腩）</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753" w:type="pct"/>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牛肉（腱子肉）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753" w:type="pct"/>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羊肉（带骨）</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猪梅条肉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色泽正常，无肥膘，无异味，无注水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猪里脊肉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猪夹心肉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猪前腿夹心肉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去皮猪前腿肉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去皮猪后腿肉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去皮猪五花肉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带皮猪前腿肉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表皮洁净，色泽正常，无异味、规格按发标方使用规格提供</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带皮猪后腿肉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表皮洁净，色泽正常，无异味、规格按发标方使用规格提供</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带皮猪五花肉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鲜猪大排</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色泽正常，无异味，规格按发标方使用规格提供</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鲜猪小排</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色泽正常，无异味，无颈骨</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仔排</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色泽正常，无肥膘，无异味，无注水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2:8肉末（猪肉）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3:7肉末（猪肉）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4:6肉末（猪肉）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筒子骨</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蹄髈</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色泽正常，无异味，规格按发标方使用规格提供</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带筋猪蹄</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表皮洁净，色泽正常，有筋，无异味，无注水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27</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猪耳朵</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28</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猪尾巴</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29</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猪尾骨</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猪舌</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猪肝</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生猪肚</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33</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猪心</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34</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猪腰（去内筋）</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猪腰（整）</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36</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猪板油</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色泽正常，无异味，无颈骨</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37</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生猪油网油</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38</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肥膘</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GB 2707-2016</w:t>
            </w:r>
          </w:p>
        </w:tc>
        <w:tc>
          <w:tcPr>
            <w:tcW w:w="1216" w:type="pct"/>
            <w:vAlign w:val="center"/>
          </w:tcPr>
          <w:p>
            <w:pPr>
              <w:widowControl/>
              <w:jc w:val="center"/>
              <w:textAlignment w:val="center"/>
              <w:rPr>
                <w:rFonts w:hint="eastAsia" w:ascii="宋体" w:hAnsi="宋体" w:eastAsia="宋体" w:cs="宋体"/>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39</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牛腿肉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40</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牛里脊</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41</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牛柳</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牛肉末</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43</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牛骨头</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44</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牛尾骨</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45</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牛百叶（白）</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46</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牛百叶（黑）</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2707-2016、GB/T 17238-2022</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47</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羊肉（去骨）</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48</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带皮羊腿</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49</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带皮羊肉</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表皮洁净，色泽正常，无异味、无毛、无注水，肉质紧密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羊小排</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色泽正常，无异味，无颈骨</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51</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羊仔排</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色泽正常，无异味，无颈骨</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战斧羊排</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色泽正常，无异味、无注水，肉质紧密</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53</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羊棒骨</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羊蝎子</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55</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生羊肚</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56</w:t>
            </w:r>
          </w:p>
        </w:tc>
        <w:tc>
          <w:tcPr>
            <w:tcW w:w="753" w:type="pct"/>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羊尾油</w:t>
            </w:r>
          </w:p>
        </w:tc>
        <w:tc>
          <w:tcPr>
            <w:tcW w:w="1056" w:type="pct"/>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r>
              <w:rPr>
                <w:rStyle w:val="406"/>
                <w:rFonts w:hint="eastAsia" w:ascii="宋体" w:hAnsi="宋体" w:eastAsia="宋体" w:cs="宋体"/>
                <w:color w:val="auto"/>
                <w:sz w:val="21"/>
                <w:szCs w:val="21"/>
                <w:highlight w:val="none"/>
              </w:rPr>
              <w:t>GB/T 9961-2008</w:t>
            </w:r>
          </w:p>
        </w:tc>
        <w:tc>
          <w:tcPr>
            <w:tcW w:w="1216" w:type="pct"/>
            <w:vAlign w:val="center"/>
          </w:tcPr>
          <w:p>
            <w:pPr>
              <w:widowControl/>
              <w:jc w:val="center"/>
              <w:textAlignment w:val="center"/>
              <w:rPr>
                <w:rFonts w:hint="eastAsia" w:ascii="宋体" w:hAnsi="宋体" w:eastAsia="宋体" w:cs="宋体"/>
                <w:bCs/>
                <w:color w:val="auto"/>
                <w:kern w:val="0"/>
                <w:sz w:val="21"/>
                <w:szCs w:val="21"/>
                <w:highlight w:val="none"/>
              </w:rPr>
            </w:pPr>
            <w:r>
              <w:rPr>
                <w:rStyle w:val="406"/>
                <w:rFonts w:hint="eastAsia" w:ascii="宋体" w:hAnsi="宋体" w:eastAsia="宋体" w:cs="宋体"/>
                <w:color w:val="auto"/>
                <w:sz w:val="21"/>
                <w:szCs w:val="21"/>
                <w:highlight w:val="none"/>
              </w:rPr>
              <w:t>色泽正常，无异味</w:t>
            </w:r>
          </w:p>
        </w:tc>
        <w:tc>
          <w:tcPr>
            <w:tcW w:w="78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848"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bl>
    <w:p>
      <w:pPr>
        <w:rPr>
          <w:rFonts w:hint="eastAsia" w:ascii="宋体" w:hAnsi="宋体" w:eastAsia="宋体" w:cs="宋体"/>
          <w:color w:val="auto"/>
          <w:sz w:val="21"/>
          <w:szCs w:val="21"/>
          <w:highlight w:val="none"/>
        </w:rPr>
      </w:pP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47"/>
        <w:gridCol w:w="2299"/>
        <w:gridCol w:w="2432"/>
        <w:gridCol w:w="155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ign w:val="center"/>
          </w:tcPr>
          <w:p>
            <w:pPr>
              <w:widowControl/>
              <w:spacing w:line="360" w:lineRule="auto"/>
              <w:jc w:val="left"/>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包</w:t>
            </w: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冷冻</w:t>
            </w:r>
            <w:r>
              <w:rPr>
                <w:rFonts w:hint="eastAsia" w:ascii="宋体" w:hAnsi="宋体" w:cs="宋体"/>
                <w:b/>
                <w:bCs/>
                <w:color w:val="auto"/>
                <w:kern w:val="0"/>
                <w:sz w:val="21"/>
                <w:szCs w:val="21"/>
                <w:highlight w:val="none"/>
                <w:lang w:val="en-US" w:eastAsia="zh-CN"/>
              </w:rPr>
              <w:t>制品及冷冻家禽</w:t>
            </w:r>
            <w:r>
              <w:rPr>
                <w:rFonts w:hint="eastAsia" w:ascii="宋体" w:hAnsi="宋体" w:eastAsia="宋体" w:cs="宋体"/>
                <w:b/>
                <w:bCs/>
                <w:color w:val="auto"/>
                <w:kern w:val="0"/>
                <w:sz w:val="21"/>
                <w:szCs w:val="21"/>
                <w:highlight w:val="none"/>
                <w:lang w:val="en-US" w:eastAsia="zh-CN"/>
              </w:rPr>
              <w:t>（入围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959"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194"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1263"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基本要求</w:t>
            </w:r>
          </w:p>
        </w:tc>
        <w:tc>
          <w:tcPr>
            <w:tcW w:w="805"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380"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59" w:type="pc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鸡柳</w:t>
            </w:r>
          </w:p>
        </w:tc>
        <w:tc>
          <w:tcPr>
            <w:tcW w:w="1194" w:type="pct"/>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GB16869-2005</w:t>
            </w:r>
          </w:p>
        </w:tc>
        <w:tc>
          <w:tcPr>
            <w:tcW w:w="1263" w:type="pct"/>
            <w:vMerge w:val="restart"/>
            <w:noWrap/>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包装完整、批号清晰，低温冷链保存，外包装的必须标明产品名称、配料表、净含量、制造者及经营者的名称和地址、生产（或分装、包装）日期、保质期或保存期、产品标准号。按用户要求规格供货。</w:t>
            </w:r>
          </w:p>
        </w:tc>
        <w:tc>
          <w:tcPr>
            <w:tcW w:w="805" w:type="pct"/>
            <w:vMerge w:val="restart"/>
            <w:noWrap/>
            <w:vAlign w:val="center"/>
          </w:tcPr>
          <w:p>
            <w:pPr>
              <w:widowControl/>
              <w:numPr>
                <w:ilvl w:val="0"/>
                <w:numId w:val="6"/>
              </w:numPr>
              <w:spacing w:line="360" w:lineRule="auto"/>
              <w:jc w:val="center"/>
              <w:textAlignment w:val="bottom"/>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一个报价单、</w:t>
            </w:r>
            <w:r>
              <w:rPr>
                <w:rFonts w:hint="eastAsia" w:ascii="宋体" w:hAnsi="宋体" w:cs="宋体"/>
                <w:bCs/>
                <w:color w:val="auto"/>
                <w:kern w:val="0"/>
                <w:sz w:val="21"/>
                <w:szCs w:val="21"/>
                <w:highlight w:val="none"/>
                <w:lang w:eastAsia="zh-CN"/>
              </w:rPr>
              <w:t>每个品种限2个同等级品牌</w:t>
            </w:r>
            <w:r>
              <w:rPr>
                <w:rFonts w:hint="eastAsia" w:ascii="宋体" w:hAnsi="宋体" w:eastAsia="宋体" w:cs="宋体"/>
                <w:bCs/>
                <w:color w:val="auto"/>
                <w:kern w:val="0"/>
                <w:sz w:val="21"/>
                <w:szCs w:val="21"/>
                <w:highlight w:val="none"/>
              </w:rPr>
              <w:t>。</w:t>
            </w:r>
          </w:p>
          <w:p>
            <w:pPr>
              <w:widowControl/>
              <w:numPr>
                <w:ilvl w:val="0"/>
                <w:numId w:val="0"/>
              </w:numPr>
              <w:spacing w:line="360" w:lineRule="auto"/>
              <w:jc w:val="both"/>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2、供应商提供的</w:t>
            </w:r>
            <w:r>
              <w:rPr>
                <w:rFonts w:hint="eastAsia" w:ascii="宋体" w:hAnsi="宋体" w:cs="宋体"/>
                <w:color w:val="auto"/>
                <w:kern w:val="0"/>
                <w:sz w:val="21"/>
                <w:szCs w:val="21"/>
                <w:highlight w:val="none"/>
                <w:lang w:val="en-US" w:eastAsia="zh-CN"/>
              </w:rPr>
              <w:t>冷冻制品及冷冻家禽</w:t>
            </w:r>
            <w:r>
              <w:rPr>
                <w:rFonts w:hint="eastAsia" w:ascii="宋体" w:hAnsi="宋体" w:eastAsia="宋体" w:cs="宋体"/>
                <w:color w:val="auto"/>
                <w:kern w:val="0"/>
                <w:sz w:val="21"/>
                <w:szCs w:val="21"/>
                <w:highlight w:val="none"/>
              </w:rPr>
              <w:t>品牌需在南京市大型超市中有同品名、同质量标准的产品销售</w:t>
            </w:r>
            <w:r>
              <w:rPr>
                <w:rFonts w:hint="eastAsia" w:ascii="宋体" w:hAnsi="宋体" w:cs="宋体"/>
                <w:color w:val="auto"/>
                <w:kern w:val="0"/>
                <w:sz w:val="21"/>
                <w:szCs w:val="21"/>
                <w:highlight w:val="none"/>
                <w:lang w:eastAsia="zh-CN"/>
              </w:rPr>
              <w:t>。</w:t>
            </w:r>
          </w:p>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59"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牛柳</w:t>
            </w:r>
          </w:p>
        </w:tc>
        <w:tc>
          <w:tcPr>
            <w:tcW w:w="1194"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GB16869-2005</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59"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肥牛卷</w:t>
            </w:r>
          </w:p>
        </w:tc>
        <w:tc>
          <w:tcPr>
            <w:tcW w:w="1194"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GB16869-2005</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鱼排（调理）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掌中宝（调理）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培根（调理）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面筋塞肉（调理）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玉米饼（调理）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鱼饼（调理）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牛肉饼（调理）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百叶卷肉（调理）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蛋饺（调理）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里脊肉（调理）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鸡中翅（调理）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骨肉相连（调理）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豌豆粒（调理）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玉米粒（调理）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锅包肉（调理）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狮子头（调理）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鸡丁（调理）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耗油肉片（调理）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鱼丸（调理）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肉丝（调理）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肉片（调理）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肉丁（调理）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藤椒鸡排（调理）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米香大排（调理）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香辣翅根（调理）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耦合（调理）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黑椒鸡块（调理）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上校鸡块（调理）</w:t>
            </w:r>
          </w:p>
        </w:tc>
        <w:tc>
          <w:tcPr>
            <w:tcW w:w="1194"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SB/T10379-2012</w:t>
            </w:r>
          </w:p>
        </w:tc>
        <w:tc>
          <w:tcPr>
            <w:tcW w:w="1263" w:type="pct"/>
            <w:vMerge w:val="continue"/>
          </w:tcPr>
          <w:p>
            <w:pPr>
              <w:spacing w:line="300" w:lineRule="auto"/>
              <w:jc w:val="center"/>
              <w:rPr>
                <w:rFonts w:hint="eastAsia" w:ascii="宋体" w:hAnsi="宋体" w:eastAsia="宋体" w:cs="宋体"/>
                <w:color w:val="auto"/>
                <w:kern w:val="0"/>
                <w:sz w:val="21"/>
                <w:szCs w:val="21"/>
                <w:highlight w:val="none"/>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光鸡（肉鸡）</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2707-2016</w:t>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 16869-2005</w:t>
            </w:r>
          </w:p>
        </w:tc>
        <w:tc>
          <w:tcPr>
            <w:tcW w:w="1263"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干冻，无注水，全净膛，表皮完整洁净</w:t>
            </w: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光鸡（三黄鸡）</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鸡脯肉</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干冻，无注水，表皮完整洁净</w:t>
            </w: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鸡边腿</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琵琶腿（60头）</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琵琶腿（70头）</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琵琶腿（80头）</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琵琶腿（90头）</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鸡大腿</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鸡翅根</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鸡中翅</w:t>
            </w:r>
          </w:p>
        </w:tc>
        <w:tc>
          <w:tcPr>
            <w:tcW w:w="1194"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鸡心</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干冻，无注水</w:t>
            </w: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鸡杂</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鸡胗</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鸡爪</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光鸭（鸭肉）</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干冻，无注水，全净膛，表皮完整洁净</w:t>
            </w: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鸭腿（M号）</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干冻，无注水，表皮完整洁净</w:t>
            </w: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鸭腿（L号）</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鸭边腿</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鸭翅根</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鸭翅</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鸭二节翅</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鸭心</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干冻，无注水</w:t>
            </w: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鸭肝</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鸭肫</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57</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鸭肠</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397" w:type="pct"/>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58</w:t>
            </w:r>
          </w:p>
        </w:tc>
        <w:tc>
          <w:tcPr>
            <w:tcW w:w="959"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鸭爪</w:t>
            </w:r>
          </w:p>
        </w:tc>
        <w:tc>
          <w:tcPr>
            <w:tcW w:w="1194" w:type="pc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同上</w:t>
            </w:r>
          </w:p>
        </w:tc>
        <w:tc>
          <w:tcPr>
            <w:tcW w:w="126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1"/>
                <w:szCs w:val="21"/>
                <w:highlight w:val="none"/>
                <w:lang w:val="en-US" w:eastAsia="zh-CN" w:bidi="ar-SA"/>
              </w:rPr>
            </w:pPr>
          </w:p>
        </w:tc>
        <w:tc>
          <w:tcPr>
            <w:tcW w:w="805" w:type="pct"/>
            <w:vMerge w:val="continue"/>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80" w:type="pct"/>
          </w:tcPr>
          <w:p>
            <w:pPr>
              <w:widowControl/>
              <w:spacing w:line="360" w:lineRule="auto"/>
              <w:jc w:val="center"/>
              <w:textAlignment w:val="bottom"/>
              <w:rPr>
                <w:rFonts w:hint="eastAsia" w:ascii="宋体" w:hAnsi="宋体" w:eastAsia="宋体" w:cs="宋体"/>
                <w:color w:val="auto"/>
                <w:kern w:val="0"/>
                <w:sz w:val="21"/>
                <w:szCs w:val="21"/>
                <w:highlight w:val="none"/>
              </w:rPr>
            </w:pPr>
          </w:p>
        </w:tc>
      </w:tr>
    </w:tbl>
    <w:p>
      <w:pPr>
        <w:pStyle w:val="2"/>
        <w:rPr>
          <w:rFonts w:hint="eastAsia" w:ascii="宋体" w:hAnsi="宋体" w:eastAsia="宋体" w:cs="宋体"/>
          <w:color w:val="auto"/>
          <w:sz w:val="21"/>
          <w:szCs w:val="21"/>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2032"/>
        <w:gridCol w:w="1686"/>
        <w:gridCol w:w="406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vAlign w:val="center"/>
          </w:tcPr>
          <w:p>
            <w:pPr>
              <w:widowControl/>
              <w:spacing w:line="360" w:lineRule="auto"/>
              <w:jc w:val="left"/>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包</w:t>
            </w:r>
            <w:r>
              <w:rPr>
                <w:rFonts w:hint="eastAsia" w:ascii="宋体" w:hAnsi="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蔬菜</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蛋、豆制品</w:t>
            </w:r>
            <w:r>
              <w:rPr>
                <w:rFonts w:hint="eastAsia" w:ascii="宋体" w:hAnsi="宋体" w:eastAsia="宋体" w:cs="宋体"/>
                <w:b/>
                <w:bCs/>
                <w:color w:val="auto"/>
                <w:kern w:val="0"/>
                <w:sz w:val="21"/>
                <w:szCs w:val="21"/>
                <w:highlight w:val="none"/>
                <w:lang w:val="en-US" w:eastAsia="zh-CN"/>
              </w:rPr>
              <w:t>（入围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360" w:lineRule="auto"/>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2032" w:type="dxa"/>
            <w:vAlign w:val="center"/>
          </w:tcPr>
          <w:p>
            <w:pPr>
              <w:widowControl/>
              <w:spacing w:line="360" w:lineRule="auto"/>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品名</w:t>
            </w:r>
          </w:p>
        </w:tc>
        <w:tc>
          <w:tcPr>
            <w:tcW w:w="1686" w:type="dxa"/>
            <w:vAlign w:val="center"/>
          </w:tcPr>
          <w:p>
            <w:pPr>
              <w:widowControl/>
              <w:spacing w:line="360" w:lineRule="auto"/>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质量标准</w:t>
            </w:r>
          </w:p>
        </w:tc>
        <w:tc>
          <w:tcPr>
            <w:tcW w:w="4067" w:type="dxa"/>
            <w:vAlign w:val="center"/>
          </w:tcPr>
          <w:p>
            <w:pPr>
              <w:widowControl/>
              <w:spacing w:line="360" w:lineRule="auto"/>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基本要求</w:t>
            </w:r>
          </w:p>
        </w:tc>
        <w:tc>
          <w:tcPr>
            <w:tcW w:w="0" w:type="auto"/>
            <w:vAlign w:val="center"/>
          </w:tcPr>
          <w:p>
            <w:pPr>
              <w:widowControl/>
              <w:spacing w:line="360" w:lineRule="auto"/>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青菜</w:t>
            </w:r>
          </w:p>
        </w:tc>
        <w:tc>
          <w:tcPr>
            <w:tcW w:w="1686" w:type="dxa"/>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符合GB 2762、GB 2763要求</w:t>
            </w:r>
          </w:p>
        </w:tc>
        <w:tc>
          <w:tcPr>
            <w:tcW w:w="4067"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根菜类：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表面光滑、条直匀称，粗壮、硬实，肉质甜脆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表皮无争缩、刀伤、开裂、体软、褐斑、发糠、泥土</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cr/>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白菜类：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叶新鲜光泽，棵株大完整，包心坚实紧密，根部断面洁白完整无空心、乱心、压伤、冻伤、虫蛀、雨淋、水浸、裂缝、老帮黄叶、外叶萎蔫、包心松、泥土，无苔</w:t>
            </w:r>
            <w:r>
              <w:rPr>
                <w:rFonts w:hint="eastAsia" w:ascii="宋体" w:hAnsi="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绿叶蔬菜：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颜色鲜艳，淡绿，叶子水分充足、脆嫩薄，棵株挺直，叶子无褪色边或褐斑、发黄、干软、卷曲、脱叶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cr/>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葱蒜类：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鳞片肥厚完整无损，抱合紧密，球茎干度适中，有一定硬度。叶肥挺，根株均匀。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无腐烂、干枯、过软、裂开、发芽、发乌、泥土</w:t>
            </w:r>
            <w:r>
              <w:rPr>
                <w:rFonts w:hint="eastAsia" w:ascii="宋体" w:hAnsi="宋体" w:cs="宋体"/>
                <w:b w:val="0"/>
                <w:bCs w:val="0"/>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茄果类：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色正，有光泽，表面光滑，饱满有一定硬度及弹性，无腐烂、干尖、皱纹、断裂、干软、泥土</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cr/>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瓜类</w:t>
            </w:r>
            <w:r>
              <w:rPr>
                <w:rFonts w:hint="eastAsia" w:ascii="宋体" w:hAnsi="宋体" w:eastAsia="宋体" w:cs="宋体"/>
                <w:b w:val="0"/>
                <w:bCs w:val="0"/>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颜色淡绿色，有光泽，有一定硬度无弹性，皮薄肉洁白鲜嫩，瓜形周正，无断裂、划伤、软烂、干皱、畸形</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cr/>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豆类：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颜色青绿、豆荚饱满，剥开后豆粒呈淡绿色，完整有清香，无受潮、虫洞、软烂、发黄、发黑、豆粒瘪而小有异味</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cr/>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薯芋类：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色正，个大形正，大小整齐，表面无伤，体硬不软、饱满无腐烂、破皮、坑眼多、畸形、泥多发软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cr/>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水生蔬菜类：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水份充足，饱满，肉洁白脆嫩，无无腐烂、干枯、泥多发软</w:t>
            </w:r>
            <w:r>
              <w:rPr>
                <w:rFonts w:hint="eastAsia" w:ascii="宋体" w:hAnsi="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多年生蔬菜类：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完整清洁，壳肉紧贴、饱满、肉质洁白较嫩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无冰冻、霉烂、风干、刀伤、壳皮卷曲、离肉、有黑斑、根大、肉老</w:t>
            </w:r>
            <w:r>
              <w:rPr>
                <w:rFonts w:hint="eastAsia" w:ascii="宋体" w:hAnsi="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食用菌类：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rPr>
              <w:t>菌身完整、大小均匀，菌盖与柄、菌环相连未展开，根短，无发霉、潮湿、粘手、水浸、杂质、菌盖边缘裂开、盖柄脱离、色黄、黄斑</w:t>
            </w:r>
            <w:r>
              <w:rPr>
                <w:rFonts w:hint="eastAsia" w:ascii="宋体" w:hAnsi="宋体" w:cs="宋体"/>
                <w:b w:val="0"/>
                <w:bCs w:val="0"/>
                <w:color w:val="auto"/>
                <w:sz w:val="21"/>
                <w:szCs w:val="21"/>
                <w:highlight w:val="none"/>
                <w:lang w:eastAsia="zh-CN"/>
              </w:rPr>
              <w:t>。</w:t>
            </w:r>
          </w:p>
        </w:tc>
        <w:tc>
          <w:tcPr>
            <w:tcW w:w="0" w:type="auto"/>
            <w:vMerge w:val="restart"/>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白萝卜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3</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大白菜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4</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小白菜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5</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西红柿</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6</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土豆</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7</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黄瓜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8</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青椒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9</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茄子</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10</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芹菜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11</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包菜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12</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洋葱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13</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冬瓜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14</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花菜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15</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山药</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16</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胡萝卜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17</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生菜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18</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西兰花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19</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生瓜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20</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莴笋</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21</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藕</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22</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黄豆芽</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23</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韭菜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24</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Style w:val="407"/>
                <w:rFonts w:hint="eastAsia" w:ascii="宋体" w:hAnsi="宋体" w:eastAsia="宋体" w:cs="宋体"/>
                <w:b w:val="0"/>
                <w:bCs w:val="0"/>
                <w:color w:val="auto"/>
                <w:sz w:val="21"/>
                <w:szCs w:val="21"/>
                <w:highlight w:val="none"/>
              </w:rPr>
              <w:t>红辣椒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25</w:t>
            </w:r>
          </w:p>
        </w:tc>
        <w:tc>
          <w:tcPr>
            <w:tcW w:w="2032" w:type="dxa"/>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上海青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26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矮脚黄青菜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27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白梗青菜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28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鸡毛菜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29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菜秧</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广东菜心</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油菜心</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青菜苔</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油麦菜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杭白菜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台湾小白菜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娃娃菜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空心菜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黑体" w:hAnsi="黑体" w:eastAsia="黑体" w:cs="Tahoma"/>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rPr>
              <w:t>38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菠菜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39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苋菜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青苋菜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红苋菜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芥菜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荠菜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新土豆</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粉西红柿</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水果黄瓜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苦瓜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丝瓜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49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笋瓜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佛手瓜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圆茄</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瓠子</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茭白</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薄皮青椒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圆椒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美人椒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保鲜花椒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彩椒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59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红椒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红甜椒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杭椒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黄甜椒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螺丝椒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青甜椒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小米椒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线椒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白芹</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香芹</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69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侉芹</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西芹</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水芹</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本芹</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牛心包菜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紫包菜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抱子甘蓝</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球生菜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小包莱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小胡萝卜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79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杨花萝卜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水果萝卜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红萝卜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青萝卜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壳豌豆</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茼蒿</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芦蒿</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蒜黄</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蒜苗</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韭黄</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89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韭菜苔</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劲葱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大葱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香葱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蒜头</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大蒜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青蒜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蒜米</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生姜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香菜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99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水果洋葱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春笋</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冬笋</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芦笋</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百合</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芥兰</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荸荠</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枸杞头</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橄榄包</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木耳菜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109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马兰头</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菊叶</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苦菊</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溜溜菜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番薯叶</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豌豆苗</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豌豆米</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毛豆角</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毛豆米</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绿豆芽</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119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黑豆芽</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甜玉米</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糯玉米</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板栗</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南瓜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贝贝南瓜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板栗南瓜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小南瓜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茨菇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山芋</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129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芋头</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荔浦芋头</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紫薯</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香薯</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蜜薯</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香芋</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地瓜</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铁棍山药</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香菇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138</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金针菇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139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平菇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蘑菇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杏鲍菇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鸡腿菇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新鲜虫草花</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白玉菇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145</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海鲜菇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146</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冬菇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147</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草菇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149</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草头</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150</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茶树菇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151</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鸡枞菇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152</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松茸菇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153</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蟹味菇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rPr>
              <w:t>154</w:t>
            </w:r>
          </w:p>
        </w:tc>
        <w:tc>
          <w:tcPr>
            <w:tcW w:w="2032" w:type="dxa"/>
            <w:vAlign w:val="center"/>
          </w:tcPr>
          <w:p>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秀珍菇</w:t>
            </w:r>
          </w:p>
        </w:tc>
        <w:tc>
          <w:tcPr>
            <w:tcW w:w="1686" w:type="dxa"/>
            <w:vAlign w:val="center"/>
          </w:tcPr>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0" w:type="auto"/>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156</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净西芹（去叶，切段）</w:t>
            </w:r>
          </w:p>
        </w:tc>
        <w:tc>
          <w:tcPr>
            <w:tcW w:w="1686" w:type="dxa"/>
            <w:vMerge w:val="restar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2762、GB 2763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GB 18406.1要求；</w:t>
            </w:r>
          </w:p>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硝酸盐含量符合GB／T 5009.33的要求；</w:t>
            </w:r>
          </w:p>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有机磷农药含量符合GB／T5009.20—1996和GB／ </w:t>
            </w:r>
          </w:p>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一1998的要求；</w:t>
            </w:r>
          </w:p>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微生物指标 </w:t>
            </w:r>
          </w:p>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4789.23要求；</w:t>
            </w:r>
          </w:p>
          <w:p>
            <w:pPr>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rPr>
              <w:t>净含量符合按国家技术监督局第75号令的要求；净菜的标签标识应标明产品名称、生产日期或包装日期、保存期、净含量、执行标准、生产单位或经销单位。符合DB3301/T 046与GB 7718要求。</w:t>
            </w:r>
          </w:p>
        </w:tc>
        <w:tc>
          <w:tcPr>
            <w:tcW w:w="4067" w:type="dxa"/>
            <w:vMerge w:val="restart"/>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瓜类：形状、色泽一致，瓜条均匀，无疤点，无断裂，不带泥土，无畸形瓜、病虫害瓜，烂瓜、无明显机械伤</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豆类：形态完整，成熟度适中，无病虫害斑。食荚类：豆荚新鲜幼嫩，均匀。食豆仁类：籽粒饱满较均匀，无发芽。不带泥土、杂质</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根茎菜类：皮细光滑，色泽良好，大小均匀，肉质脆嫩致密。新鲜，无畸形、，不带茎叶、须根</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茄果类：色鲜，果实圆整、光洁，成熟度适中，整齐，无烂果、异味、病虫和明显机械损伤</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结球叶菜类：肉质鲜嫩，形态好，色泽正常；结球紧实；茎基部削平，无抽薹</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花菜类：形状正常，肉质致密、新鲜，不带叶柄，茎基部削平，可带主茎，花椰菜的花球颜色白色或乳白色，青花菜的花球青绿色、无紫花、无枯蕾何毛花现象</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绿叶菜类：肉质鲜嫩，形态好，色泽正常；茎基部削平，无抽薹（菜心除外）；菠菜和本地芹菜可带根</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水生蔬菜类：肉质嫩，成熟度适中，无杂质、机械伤，新鲜，茭白无灰茭</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食用菌类：应具有食用菌正常的商品外形及固有的色泽、香味，无外来杂质，新鲜、坚挺</w:t>
            </w:r>
            <w:r>
              <w:rPr>
                <w:rFonts w:hint="eastAsia" w:ascii="宋体" w:hAnsi="宋体" w:eastAsia="宋体" w:cs="宋体"/>
                <w:color w:val="auto"/>
                <w:kern w:val="0"/>
                <w:sz w:val="21"/>
                <w:szCs w:val="21"/>
                <w:highlight w:val="none"/>
                <w:lang w:eastAsia="zh-CN"/>
              </w:rPr>
              <w:t>。</w:t>
            </w:r>
          </w:p>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多年生蔬菜类：幼嫩，无病虫害斑，无明显机械伤</w:t>
            </w:r>
          </w:p>
        </w:tc>
        <w:tc>
          <w:tcPr>
            <w:tcW w:w="638" w:type="dxa"/>
            <w:vMerge w:val="restart"/>
            <w:vAlign w:val="center"/>
          </w:tcPr>
          <w:p>
            <w:pPr>
              <w:widowControl/>
              <w:spacing w:line="36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根据学校具体要求进行制作，</w:t>
            </w:r>
          </w:p>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采购人及学校对此不额外支付费用。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157</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净冬瓜（去皮，切片）</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158</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净垮芹（去叶，切段）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159</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白萝卜（去皮，切段/片/丝）</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160</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净菊叶</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161</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土豆（去皮，切丁/片/丝）</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162</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净菠菜</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163</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有机花菜（去根，切块）</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164</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绿豆芽</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165</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黄豆芽</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166</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香芹（去根，去老叶，切段）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167</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净莴笋(切片/丝/丁）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168</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净包菜(切片/丝/丁）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169</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净丝瓜(切片/丝/丁）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170</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胡萝卜（去根，切片/丝/丁）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171</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净莴苣（去根，去皮，切片/丝/丁）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172</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净山药（去皮，切片/丝/丁/段）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173</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南瓜(去皮，切片/丝/丁）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174</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西兰花（去根切块）</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175</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青豆</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176</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藕（去皮，去节，切片/丝/丁/段））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177</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净瓠子（去皮，切片/丝/段）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178</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净韭菜</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179</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青甜椒（切片/丝/段）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180</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净糯玉米</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181</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净百合</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182</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净荔浦芋头（去皮，切片/丝/丁）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183</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净荠菜</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184</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净茼蒿</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185</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净苋菜</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186</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净紫薯（去皮，切片/丝/丁）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187</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海鲜菇</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188</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金针菇</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189</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茶树菇</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190</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虫草花</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191</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竹荪</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192</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净菜秧</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193</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净茭白（去皮，切片/丝/段）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194</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净白菜</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195</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净娃娃菜</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196</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净茄子（切片/丝/段）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197</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净洋葱（切片/丝/段）</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198</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净空心菜</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199</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净毛豆米</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200</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净马兰头</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201</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净韭黄</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202</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净蒜黄</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203</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净茨菇</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204</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净荸荠（去皮，切片/丝/丁）</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205</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荷兰豆</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206</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净山芋</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207</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净芦笋</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208</w:t>
            </w:r>
          </w:p>
        </w:tc>
        <w:tc>
          <w:tcPr>
            <w:tcW w:w="2032" w:type="dxa"/>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净板栗</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209</w:t>
            </w:r>
          </w:p>
        </w:tc>
        <w:tc>
          <w:tcPr>
            <w:tcW w:w="203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保洁鸡蛋</w:t>
            </w:r>
          </w:p>
        </w:tc>
        <w:tc>
          <w:tcPr>
            <w:tcW w:w="16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符合GB 2749-2015、GB 2762-2017、GB 2763-2016、GB/T 21316-2007鲜蛋卫生标准</w:t>
            </w:r>
            <w:r>
              <w:rPr>
                <w:rFonts w:hint="eastAsia" w:ascii="宋体" w:hAnsi="宋体" w:eastAsia="宋体" w:cs="宋体"/>
                <w:color w:val="auto"/>
                <w:kern w:val="0"/>
                <w:sz w:val="21"/>
                <w:szCs w:val="21"/>
                <w:highlight w:val="none"/>
                <w:lang w:eastAsia="zh-CN"/>
              </w:rPr>
              <w:t>。</w:t>
            </w:r>
          </w:p>
        </w:tc>
        <w:tc>
          <w:tcPr>
            <w:tcW w:w="4067"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蛋壳上无残留的羽毛、粪便等有害物体，无禽流感病菌、沙门氏菌、大肠杆菌等致病菌；蛋壳清洁完整，色泽鲜明，大小均匀、无破损、裂纹，无霉斑，灯光透视时，整个蛋呈桔黄色至橙红色，蛋黄不见或略见阴影，没有霉味、酸味，臭味等不良气味，打开后蛋黄凸起、完整、有韧性，蛋白澄清、透明、稀稠分明，无异味，禁用红毛鸡蛋等不合格蛋类。按用户要求规格供货。</w:t>
            </w:r>
          </w:p>
        </w:tc>
        <w:tc>
          <w:tcPr>
            <w:tcW w:w="638" w:type="dxa"/>
            <w:vMerge w:val="restart"/>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一个报价单、</w:t>
            </w:r>
            <w:r>
              <w:rPr>
                <w:rFonts w:hint="eastAsia" w:ascii="宋体" w:hAnsi="宋体" w:cs="宋体"/>
                <w:bCs/>
                <w:color w:val="auto"/>
                <w:kern w:val="0"/>
                <w:sz w:val="21"/>
                <w:szCs w:val="21"/>
                <w:highlight w:val="none"/>
                <w:lang w:eastAsia="zh-CN"/>
              </w:rPr>
              <w:t>每个品种限2个同等级品牌</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2、供应商提供的</w:t>
            </w:r>
            <w:r>
              <w:rPr>
                <w:rFonts w:hint="eastAsia" w:ascii="宋体" w:hAnsi="宋体" w:cs="宋体"/>
                <w:color w:val="auto"/>
                <w:kern w:val="0"/>
                <w:sz w:val="21"/>
                <w:szCs w:val="21"/>
                <w:highlight w:val="none"/>
                <w:lang w:val="en-US" w:eastAsia="zh-CN"/>
              </w:rPr>
              <w:t>蛋类、豆制品</w:t>
            </w:r>
            <w:r>
              <w:rPr>
                <w:rFonts w:hint="eastAsia" w:ascii="宋体" w:hAnsi="宋体" w:eastAsia="宋体" w:cs="宋体"/>
                <w:color w:val="auto"/>
                <w:kern w:val="0"/>
                <w:sz w:val="21"/>
                <w:szCs w:val="21"/>
                <w:highlight w:val="none"/>
              </w:rPr>
              <w:t>品牌需在南京市大型超市中有同品名、同质量标准的产品销售</w:t>
            </w:r>
            <w:r>
              <w:rPr>
                <w:rFonts w:hint="eastAsia" w:ascii="宋体" w:hAnsi="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210</w:t>
            </w:r>
          </w:p>
        </w:tc>
        <w:tc>
          <w:tcPr>
            <w:tcW w:w="203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保洁鸭蛋</w:t>
            </w:r>
          </w:p>
        </w:tc>
        <w:tc>
          <w:tcPr>
            <w:tcW w:w="16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4067"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211</w:t>
            </w:r>
          </w:p>
        </w:tc>
        <w:tc>
          <w:tcPr>
            <w:tcW w:w="203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无菌蛋</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212</w:t>
            </w:r>
          </w:p>
        </w:tc>
        <w:tc>
          <w:tcPr>
            <w:tcW w:w="203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鹌鹑蛋</w:t>
            </w:r>
          </w:p>
        </w:tc>
        <w:tc>
          <w:tcPr>
            <w:tcW w:w="1686" w:type="dxa"/>
            <w:vAlign w:val="center"/>
          </w:tcPr>
          <w:p>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GB2748-81</w:t>
            </w:r>
            <w:r>
              <w:rPr>
                <w:rFonts w:hint="eastAsia" w:ascii="宋体" w:hAnsi="宋体" w:cs="宋体"/>
                <w:color w:val="auto"/>
                <w:kern w:val="0"/>
                <w:sz w:val="21"/>
                <w:szCs w:val="21"/>
                <w:highlight w:val="none"/>
                <w:lang w:eastAsia="zh-CN"/>
              </w:rPr>
              <w:t>。</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213</w:t>
            </w:r>
          </w:p>
        </w:tc>
        <w:tc>
          <w:tcPr>
            <w:tcW w:w="2032" w:type="dxa"/>
            <w:vAlign w:val="center"/>
          </w:tcPr>
          <w:p>
            <w:pPr>
              <w:widowControl/>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咸鸭蛋</w:t>
            </w:r>
          </w:p>
        </w:tc>
        <w:tc>
          <w:tcPr>
            <w:tcW w:w="16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GB2762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 2749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SB/T 10651-2012</w:t>
            </w:r>
          </w:p>
        </w:tc>
        <w:tc>
          <w:tcPr>
            <w:tcW w:w="40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外壳干净，光滑圆润，无裂缝，无斑点。</w:t>
            </w: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214</w:t>
            </w:r>
          </w:p>
        </w:tc>
        <w:tc>
          <w:tcPr>
            <w:tcW w:w="203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皮蛋</w:t>
            </w:r>
          </w:p>
        </w:tc>
        <w:tc>
          <w:tcPr>
            <w:tcW w:w="1686" w:type="dxa"/>
            <w:vMerge w:val="continue"/>
            <w:vAlign w:val="center"/>
          </w:tcPr>
          <w:p>
            <w:pPr>
              <w:spacing w:line="300" w:lineRule="auto"/>
              <w:jc w:val="center"/>
              <w:rPr>
                <w:rFonts w:hint="eastAsia" w:ascii="宋体" w:hAnsi="宋体" w:eastAsia="宋体" w:cs="宋体"/>
                <w:b w:val="0"/>
                <w:bCs w:val="0"/>
                <w:color w:val="auto"/>
                <w:kern w:val="0"/>
                <w:sz w:val="21"/>
                <w:szCs w:val="21"/>
                <w:highlight w:val="none"/>
              </w:rPr>
            </w:pPr>
          </w:p>
        </w:tc>
        <w:tc>
          <w:tcPr>
            <w:tcW w:w="406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蛋体完整，有光泽，松花明显，不粘壳或不粘手。</w:t>
            </w: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215</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高钙豆腐</w:t>
            </w:r>
          </w:p>
        </w:tc>
        <w:tc>
          <w:tcPr>
            <w:tcW w:w="168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2712-2014或</w:t>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GB/T 22106-2008</w:t>
            </w:r>
          </w:p>
        </w:tc>
        <w:tc>
          <w:tcPr>
            <w:tcW w:w="4067" w:type="dxa"/>
            <w:vMerge w:val="restart"/>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新鲜，保证当天货品，干净、无灰尘、异味，外形完整、无破损，饱满、结实、颜色正常，如有包装，应整洁、份量足。</w:t>
            </w: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216</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板豆腐</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217</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千层干</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218</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白干</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219</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香干皮</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220</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香干</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221</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千张结</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222</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素鸡</w:t>
            </w:r>
          </w:p>
        </w:tc>
        <w:tc>
          <w:tcPr>
            <w:tcW w:w="168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223</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千叶豆腐</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224</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干丝</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225</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豆皮</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226</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老豆腐</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227</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年糕</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228</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鲜腐竹</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229</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鱼豆腐</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230</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内酯豆腐</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231</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兰花干</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232</w:t>
            </w:r>
          </w:p>
        </w:tc>
        <w:tc>
          <w:tcPr>
            <w:tcW w:w="2032" w:type="dxa"/>
            <w:vAlign w:val="center"/>
          </w:tcPr>
          <w:p>
            <w:pPr>
              <w:widowControl/>
              <w:spacing w:before="100" w:beforeAutospacing="1" w:after="100" w:afterAutospacing="1"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油果</w:t>
            </w:r>
          </w:p>
        </w:tc>
        <w:tc>
          <w:tcPr>
            <w:tcW w:w="168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 2712-2014</w:t>
            </w:r>
          </w:p>
          <w:p>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GB 2711-2014</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233</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油面筋</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234</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水面筋</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235</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面筋球</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widowControl/>
              <w:jc w:val="center"/>
              <w:textAlignment w:val="center"/>
              <w:rPr>
                <w:rFonts w:hint="eastAsia" w:ascii="宋体" w:hAnsi="宋体" w:cs="宋体" w:eastAsiaTheme="minorEastAsia"/>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236</w:t>
            </w:r>
          </w:p>
        </w:tc>
        <w:tc>
          <w:tcPr>
            <w:tcW w:w="2032" w:type="dxa"/>
            <w:vAlign w:val="center"/>
          </w:tcPr>
          <w:p>
            <w:pPr>
              <w:spacing w:line="312"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油三角</w:t>
            </w:r>
          </w:p>
        </w:tc>
        <w:tc>
          <w:tcPr>
            <w:tcW w:w="1686" w:type="dxa"/>
            <w:vAlign w:val="center"/>
          </w:tcPr>
          <w:p>
            <w:pPr>
              <w:widowControl/>
              <w:spacing w:line="360" w:lineRule="auto"/>
              <w:jc w:val="center"/>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同上</w:t>
            </w:r>
          </w:p>
        </w:tc>
        <w:tc>
          <w:tcPr>
            <w:tcW w:w="4067" w:type="dxa"/>
            <w:vMerge w:val="continue"/>
          </w:tcPr>
          <w:p>
            <w:pPr>
              <w:spacing w:line="360" w:lineRule="auto"/>
              <w:jc w:val="center"/>
              <w:rPr>
                <w:rFonts w:hint="eastAsia" w:ascii="宋体" w:hAnsi="宋体" w:eastAsia="宋体" w:cs="宋体"/>
                <w:b w:val="0"/>
                <w:bCs w:val="0"/>
                <w:color w:val="auto"/>
                <w:sz w:val="21"/>
                <w:szCs w:val="21"/>
                <w:highlight w:val="none"/>
              </w:rPr>
            </w:pPr>
          </w:p>
        </w:tc>
        <w:tc>
          <w:tcPr>
            <w:tcW w:w="638" w:type="dxa"/>
            <w:vMerge w:val="continue"/>
            <w:vAlign w:val="center"/>
          </w:tcPr>
          <w:p>
            <w:pPr>
              <w:spacing w:line="360" w:lineRule="auto"/>
              <w:jc w:val="center"/>
              <w:rPr>
                <w:rFonts w:hint="eastAsia" w:ascii="宋体" w:hAnsi="宋体" w:eastAsia="宋体" w:cs="宋体"/>
                <w:b w:val="0"/>
                <w:bCs w:val="0"/>
                <w:color w:val="auto"/>
                <w:sz w:val="21"/>
                <w:szCs w:val="21"/>
                <w:highlight w:val="none"/>
              </w:rPr>
            </w:pPr>
          </w:p>
        </w:tc>
      </w:tr>
    </w:tbl>
    <w:p>
      <w:pPr>
        <w:rPr>
          <w:rFonts w:hint="eastAsia" w:ascii="宋体" w:hAnsi="宋体" w:eastAsia="宋体" w:cs="宋体"/>
          <w:color w:val="auto"/>
          <w:sz w:val="21"/>
          <w:szCs w:val="21"/>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18"/>
        <w:gridCol w:w="1967"/>
        <w:gridCol w:w="3014"/>
        <w:gridCol w:w="1450"/>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ign w:val="center"/>
          </w:tcPr>
          <w:p>
            <w:pPr>
              <w:widowControl/>
              <w:spacing w:line="360" w:lineRule="auto"/>
              <w:jc w:val="both"/>
              <w:textAlignment w:val="bottom"/>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包</w:t>
            </w:r>
            <w:r>
              <w:rPr>
                <w:rFonts w:hint="eastAsia" w:ascii="宋体" w:hAnsi="宋体" w:cs="宋体"/>
                <w:b/>
                <w:bCs/>
                <w:color w:val="auto"/>
                <w:kern w:val="0"/>
                <w:sz w:val="21"/>
                <w:szCs w:val="21"/>
                <w:highlight w:val="none"/>
                <w:lang w:val="en-US" w:eastAsia="zh-CN"/>
              </w:rPr>
              <w:t>八</w:t>
            </w:r>
            <w:r>
              <w:rPr>
                <w:rFonts w:hint="eastAsia" w:ascii="宋体" w:hAnsi="宋体" w:eastAsia="宋体" w:cs="宋体"/>
                <w:b/>
                <w:bCs/>
                <w:color w:val="auto"/>
                <w:kern w:val="0"/>
                <w:sz w:val="21"/>
                <w:szCs w:val="21"/>
                <w:highlight w:val="none"/>
                <w:lang w:val="en-US" w:eastAsia="zh-CN"/>
              </w:rPr>
              <w:t>：水果（入围</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944"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021"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1565"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基本要求</w:t>
            </w:r>
          </w:p>
        </w:tc>
        <w:tc>
          <w:tcPr>
            <w:tcW w:w="752"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311" w:type="pct"/>
            <w:noWrap/>
            <w:vAlign w:val="center"/>
          </w:tcPr>
          <w:p>
            <w:pPr>
              <w:widowControl/>
              <w:spacing w:line="360" w:lineRule="auto"/>
              <w:jc w:val="center"/>
              <w:textAlignment w:val="bottom"/>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rPr>
              <w:t>1</w:t>
            </w:r>
          </w:p>
        </w:tc>
        <w:tc>
          <w:tcPr>
            <w:tcW w:w="944" w:type="pct"/>
            <w:noWrap/>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红富士苹果</w:t>
            </w:r>
          </w:p>
        </w:tc>
        <w:tc>
          <w:tcPr>
            <w:tcW w:w="1021" w:type="pct"/>
            <w:noWrap/>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符合GB -T10651、要求</w:t>
            </w:r>
          </w:p>
        </w:tc>
        <w:tc>
          <w:tcPr>
            <w:tcW w:w="1565" w:type="pct"/>
            <w:vMerge w:val="restart"/>
            <w:noWrap/>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果类：</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果皮光滑有光泽，中厚而韧，光滑，蜡质中多。成熟果实果面底色淡黄，着暗红或鲜红色霞或条霞。果点圆形，较明显，中大，较密，阳面果点黄白色，阴面果点黄色。</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柑橘类：体形健壮、具有该品种成熟期固有的色泽，果蒂完整、蒂根截齐。果面清洁无破损和病斑。</w:t>
            </w:r>
          </w:p>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蕉类：果实新鲜，果形</w:t>
            </w:r>
            <w:r>
              <w:rPr>
                <w:rFonts w:hint="eastAsia" w:ascii="宋体" w:hAnsi="宋体" w:eastAsia="宋体" w:cs="宋体"/>
                <w:color w:val="auto"/>
                <w:kern w:val="0"/>
                <w:sz w:val="21"/>
                <w:szCs w:val="21"/>
                <w:highlight w:val="none"/>
                <w:lang w:val="en-US" w:eastAsia="zh-CN"/>
              </w:rPr>
              <w:t>正常</w:t>
            </w:r>
            <w:r>
              <w:rPr>
                <w:rFonts w:hint="eastAsia" w:ascii="宋体" w:hAnsi="宋体" w:eastAsia="宋体" w:cs="宋体"/>
                <w:color w:val="auto"/>
                <w:kern w:val="0"/>
                <w:sz w:val="21"/>
                <w:szCs w:val="21"/>
                <w:highlight w:val="none"/>
              </w:rPr>
              <w:t>常。表面没有引起腐烂及影响美观的一切损伤且蕉柄不宜脱。</w:t>
            </w:r>
          </w:p>
        </w:tc>
        <w:tc>
          <w:tcPr>
            <w:tcW w:w="752" w:type="pct"/>
            <w:vMerge w:val="restart"/>
            <w:noWrap/>
            <w:vAlign w:val="center"/>
          </w:tcPr>
          <w:p>
            <w:pPr>
              <w:widowControl/>
              <w:numPr>
                <w:ilvl w:val="0"/>
                <w:numId w:val="7"/>
              </w:numPr>
              <w:spacing w:line="360" w:lineRule="auto"/>
              <w:jc w:val="center"/>
              <w:textAlignment w:val="bottom"/>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一个报价单、</w:t>
            </w:r>
            <w:r>
              <w:rPr>
                <w:rFonts w:hint="eastAsia" w:ascii="宋体" w:hAnsi="宋体" w:cs="宋体"/>
                <w:bCs/>
                <w:color w:val="auto"/>
                <w:kern w:val="0"/>
                <w:sz w:val="21"/>
                <w:szCs w:val="21"/>
                <w:highlight w:val="none"/>
                <w:lang w:eastAsia="zh-CN"/>
              </w:rPr>
              <w:t>每个品种限2个同等级品牌</w:t>
            </w:r>
            <w:r>
              <w:rPr>
                <w:rFonts w:hint="eastAsia" w:ascii="宋体" w:hAnsi="宋体" w:eastAsia="宋体" w:cs="宋体"/>
                <w:bCs/>
                <w:color w:val="auto"/>
                <w:kern w:val="0"/>
                <w:sz w:val="21"/>
                <w:szCs w:val="21"/>
                <w:highlight w:val="none"/>
              </w:rPr>
              <w:t>。</w:t>
            </w:r>
          </w:p>
          <w:p>
            <w:pPr>
              <w:widowControl/>
              <w:numPr>
                <w:ilvl w:val="0"/>
                <w:numId w:val="0"/>
              </w:numPr>
              <w:spacing w:line="360" w:lineRule="auto"/>
              <w:jc w:val="both"/>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2、供应商提供的</w:t>
            </w:r>
            <w:r>
              <w:rPr>
                <w:rFonts w:hint="eastAsia" w:ascii="宋体" w:hAnsi="宋体" w:cs="宋体"/>
                <w:color w:val="auto"/>
                <w:kern w:val="0"/>
                <w:sz w:val="21"/>
                <w:szCs w:val="21"/>
                <w:highlight w:val="none"/>
                <w:lang w:val="en-US" w:eastAsia="zh-CN"/>
              </w:rPr>
              <w:t>水果</w:t>
            </w:r>
            <w:r>
              <w:rPr>
                <w:rFonts w:hint="eastAsia" w:ascii="宋体" w:hAnsi="宋体" w:eastAsia="宋体" w:cs="宋体"/>
                <w:color w:val="auto"/>
                <w:kern w:val="0"/>
                <w:sz w:val="21"/>
                <w:szCs w:val="21"/>
                <w:highlight w:val="none"/>
              </w:rPr>
              <w:t>品牌需在南京市大型超市中有同品名、同质量标准的产品销售</w:t>
            </w:r>
            <w:r>
              <w:rPr>
                <w:rFonts w:hint="eastAsia" w:ascii="宋体" w:hAnsi="宋体" w:cs="宋体"/>
                <w:color w:val="auto"/>
                <w:kern w:val="0"/>
                <w:sz w:val="21"/>
                <w:szCs w:val="21"/>
                <w:highlight w:val="none"/>
                <w:lang w:eastAsia="zh-CN"/>
              </w:rPr>
              <w:t>。</w:t>
            </w:r>
          </w:p>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w:t>
            </w:r>
          </w:p>
        </w:tc>
        <w:tc>
          <w:tcPr>
            <w:tcW w:w="944" w:type="pct"/>
            <w:noWrap/>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苹果</w:t>
            </w:r>
          </w:p>
        </w:tc>
        <w:tc>
          <w:tcPr>
            <w:tcW w:w="1021" w:type="pct"/>
            <w:noWrap/>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noWrap/>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noWrap/>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梨</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4</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香梨</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5</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贡梨</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6</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脆桃</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7</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油桃</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8</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color w:val="auto"/>
                <w:kern w:val="0"/>
                <w:sz w:val="21"/>
                <w:szCs w:val="21"/>
                <w:highlight w:val="none"/>
                <w:lang w:val="en-US" w:eastAsia="zh-CN"/>
              </w:rPr>
              <w:t>水蜜桃</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9</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脐橙</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10</w:t>
            </w:r>
          </w:p>
        </w:tc>
        <w:tc>
          <w:tcPr>
            <w:tcW w:w="944" w:type="pct"/>
            <w:vAlign w:val="center"/>
          </w:tcPr>
          <w:p>
            <w:pPr>
              <w:spacing w:line="30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蜜桔</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11</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粑粑柑</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12</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葡萄</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13</w:t>
            </w:r>
          </w:p>
        </w:tc>
        <w:tc>
          <w:tcPr>
            <w:tcW w:w="944" w:type="pct"/>
            <w:vAlign w:val="center"/>
          </w:tcPr>
          <w:p>
            <w:pPr>
              <w:spacing w:line="30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无籽红提</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14</w:t>
            </w:r>
          </w:p>
        </w:tc>
        <w:tc>
          <w:tcPr>
            <w:tcW w:w="944" w:type="pct"/>
            <w:vAlign w:val="center"/>
          </w:tcPr>
          <w:p>
            <w:pPr>
              <w:spacing w:line="30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阳光玫瑰</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Theme="minorEastAsia" w:cstheme="minorBidi"/>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15</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香蕉</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16</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哈密瓜</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17</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西瓜</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18</w:t>
            </w:r>
          </w:p>
        </w:tc>
        <w:tc>
          <w:tcPr>
            <w:tcW w:w="944"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圣女果</w:t>
            </w:r>
          </w:p>
        </w:tc>
        <w:tc>
          <w:tcPr>
            <w:tcW w:w="1021" w:type="pct"/>
            <w:vAlign w:val="center"/>
          </w:tcPr>
          <w:p>
            <w:pPr>
              <w:spacing w:line="30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19</w:t>
            </w:r>
          </w:p>
        </w:tc>
        <w:tc>
          <w:tcPr>
            <w:tcW w:w="944" w:type="pct"/>
            <w:vAlign w:val="center"/>
          </w:tcPr>
          <w:p>
            <w:pPr>
              <w:spacing w:line="30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千禧</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20</w:t>
            </w:r>
          </w:p>
        </w:tc>
        <w:tc>
          <w:tcPr>
            <w:tcW w:w="944" w:type="pct"/>
            <w:vAlign w:val="center"/>
          </w:tcPr>
          <w:p>
            <w:pPr>
              <w:spacing w:line="30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水果黄瓜</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21</w:t>
            </w:r>
          </w:p>
        </w:tc>
        <w:tc>
          <w:tcPr>
            <w:tcW w:w="944" w:type="pct"/>
            <w:vAlign w:val="center"/>
          </w:tcPr>
          <w:p>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羊角蜜</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22</w:t>
            </w:r>
          </w:p>
        </w:tc>
        <w:tc>
          <w:tcPr>
            <w:tcW w:w="944" w:type="pct"/>
            <w:vAlign w:val="center"/>
          </w:tcPr>
          <w:p>
            <w:pPr>
              <w:spacing w:line="300" w:lineRule="auto"/>
              <w:jc w:val="center"/>
              <w:rPr>
                <w:rFonts w:hint="eastAsia" w:ascii="宋体" w:hAnsi="宋体" w:cs="Times New Roman" w:eastAsiaTheme="minorEastAsia"/>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菠萝</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23</w:t>
            </w:r>
          </w:p>
        </w:tc>
        <w:tc>
          <w:tcPr>
            <w:tcW w:w="944" w:type="pct"/>
            <w:vAlign w:val="center"/>
          </w:tcPr>
          <w:p>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荔枝</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24</w:t>
            </w:r>
          </w:p>
        </w:tc>
        <w:tc>
          <w:tcPr>
            <w:tcW w:w="944" w:type="pct"/>
            <w:vAlign w:val="center"/>
          </w:tcPr>
          <w:p>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龙眼</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25</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猕猴桃（翠香）</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26</w:t>
            </w:r>
          </w:p>
        </w:tc>
        <w:tc>
          <w:tcPr>
            <w:tcW w:w="944" w:type="pct"/>
            <w:vAlign w:val="center"/>
          </w:tcPr>
          <w:p>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枇杷</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27</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火龙果</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28</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红心火龙果</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29</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砂糖橘</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30</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蓝莓</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31</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草莓</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32</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冬枣</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33</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菠萝蜜</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34</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爱媛橙</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35</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奇异果</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36</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车厘子JJ</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37</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车厘子JJJ</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38</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人参果</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39</w:t>
            </w:r>
          </w:p>
        </w:tc>
        <w:tc>
          <w:tcPr>
            <w:tcW w:w="94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 w:val="21"/>
                <w:szCs w:val="21"/>
                <w:highlight w:val="none"/>
                <w:lang w:val="en-US" w:eastAsia="zh-CN"/>
              </w:rPr>
              <w:t>柠檬</w:t>
            </w:r>
          </w:p>
        </w:tc>
        <w:tc>
          <w:tcPr>
            <w:tcW w:w="1021" w:type="pct"/>
            <w:vAlign w:val="center"/>
          </w:tcPr>
          <w:p>
            <w:pPr>
              <w:spacing w:line="30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同上</w:t>
            </w:r>
          </w:p>
        </w:tc>
        <w:tc>
          <w:tcPr>
            <w:tcW w:w="1565" w:type="pct"/>
            <w:vMerge w:val="continue"/>
            <w:vAlign w:val="center"/>
          </w:tcPr>
          <w:p>
            <w:pPr>
              <w:spacing w:line="300" w:lineRule="auto"/>
              <w:jc w:val="center"/>
              <w:rPr>
                <w:rFonts w:hint="eastAsia" w:ascii="宋体" w:hAnsi="宋体" w:eastAsia="宋体" w:cs="宋体"/>
                <w:color w:val="auto"/>
                <w:kern w:val="0"/>
                <w:sz w:val="21"/>
                <w:szCs w:val="21"/>
                <w:highlight w:val="none"/>
              </w:rPr>
            </w:pPr>
          </w:p>
        </w:tc>
        <w:tc>
          <w:tcPr>
            <w:tcW w:w="752" w:type="pct"/>
            <w:vMerge w:val="continue"/>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c>
          <w:tcPr>
            <w:tcW w:w="311" w:type="pct"/>
            <w:vAlign w:val="center"/>
          </w:tcPr>
          <w:p>
            <w:pPr>
              <w:widowControl/>
              <w:spacing w:line="360" w:lineRule="auto"/>
              <w:jc w:val="center"/>
              <w:textAlignment w:val="bottom"/>
              <w:rPr>
                <w:rFonts w:hint="eastAsia" w:ascii="宋体" w:hAnsi="宋体" w:eastAsia="宋体" w:cs="宋体"/>
                <w:color w:val="auto"/>
                <w:kern w:val="0"/>
                <w:sz w:val="21"/>
                <w:szCs w:val="21"/>
                <w:highlight w:val="none"/>
              </w:rPr>
            </w:pPr>
          </w:p>
        </w:tc>
      </w:tr>
    </w:tbl>
    <w:p>
      <w:pPr>
        <w:rPr>
          <w:rFonts w:hint="eastAsia" w:ascii="宋体" w:hAnsi="宋体" w:eastAsia="宋体" w:cs="宋体"/>
          <w:color w:val="auto"/>
          <w:highlight w:val="none"/>
        </w:rPr>
      </w:pPr>
    </w:p>
    <w:p>
      <w:pPr>
        <w:spacing w:line="360" w:lineRule="auto"/>
        <w:rPr>
          <w:rFonts w:asciiTheme="minorEastAsia" w:hAnsiTheme="minorEastAsia" w:eastAsiaTheme="minorEastAsia"/>
          <w:b/>
          <w:color w:val="auto"/>
          <w:kern w:val="0"/>
          <w:sz w:val="24"/>
          <w:szCs w:val="24"/>
          <w:highlight w:val="none"/>
        </w:rPr>
      </w:pPr>
      <w:bookmarkStart w:id="4" w:name="_Toc4783"/>
      <w:bookmarkStart w:id="5" w:name="_Toc16421"/>
      <w:bookmarkStart w:id="6" w:name="_Toc10364"/>
      <w:bookmarkStart w:id="7" w:name="_Toc16675"/>
      <w:bookmarkStart w:id="8" w:name="_Toc21759"/>
      <w:bookmarkStart w:id="9" w:name="_Toc21598"/>
      <w:bookmarkStart w:id="10" w:name="_Toc253"/>
      <w:bookmarkStart w:id="11" w:name="_Toc13993"/>
      <w:bookmarkStart w:id="12" w:name="_Toc3790"/>
      <w:bookmarkStart w:id="13" w:name="_Toc16280"/>
      <w:bookmarkStart w:id="14" w:name="_Toc2864"/>
      <w:bookmarkStart w:id="15" w:name="_Toc5138"/>
      <w:bookmarkStart w:id="16" w:name="_Toc32685"/>
      <w:bookmarkStart w:id="17" w:name="_Toc9978"/>
      <w:bookmarkStart w:id="18" w:name="_Toc5999"/>
      <w:bookmarkStart w:id="19" w:name="_Toc15056"/>
      <w:bookmarkStart w:id="20" w:name="_Toc9595"/>
      <w:bookmarkStart w:id="21" w:name="_Toc24853"/>
      <w:r>
        <w:rPr>
          <w:rFonts w:hint="eastAsia" w:asciiTheme="minorEastAsia" w:hAnsiTheme="minorEastAsia" w:eastAsiaTheme="minorEastAsia"/>
          <w:b/>
          <w:color w:val="auto"/>
          <w:kern w:val="0"/>
          <w:sz w:val="24"/>
          <w:szCs w:val="24"/>
          <w:highlight w:val="none"/>
        </w:rPr>
        <w:t>备注：报价要求须知</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1、供应商应根据采购文件提供的折扣率计算参考价，综合考虑全年的订货量，考虑全年的一个市场价格变动和公司具体情况给出一个全年不变的供货价格(</w:t>
      </w:r>
      <w:r>
        <w:rPr>
          <w:rFonts w:hint="eastAsia" w:asciiTheme="minorEastAsia" w:hAnsiTheme="minorEastAsia" w:eastAsiaTheme="minorEastAsia"/>
          <w:color w:val="auto"/>
          <w:kern w:val="0"/>
          <w:sz w:val="24"/>
          <w:szCs w:val="24"/>
          <w:highlight w:val="none"/>
          <w:lang w:val="en-US" w:eastAsia="zh-CN"/>
        </w:rPr>
        <w:t>冷鲜肉</w:t>
      </w:r>
      <w:r>
        <w:rPr>
          <w:rFonts w:hint="eastAsia" w:asciiTheme="minorEastAsia" w:hAnsiTheme="minorEastAsia" w:eastAsiaTheme="minorEastAsia"/>
          <w:color w:val="auto"/>
          <w:kern w:val="0"/>
          <w:sz w:val="24"/>
          <w:szCs w:val="24"/>
          <w:highlight w:val="none"/>
        </w:rPr>
        <w:t>品目1-7项</w:t>
      </w:r>
      <w:r>
        <w:rPr>
          <w:rFonts w:hint="eastAsia" w:asciiTheme="minorEastAsia" w:hAnsiTheme="minorEastAsia" w:eastAsiaTheme="minorEastAsia"/>
          <w:color w:val="auto"/>
          <w:kern w:val="0"/>
          <w:sz w:val="24"/>
          <w:szCs w:val="24"/>
          <w:highlight w:val="none"/>
          <w:lang w:val="en-US" w:eastAsia="zh-CN"/>
        </w:rPr>
        <w:t>及</w:t>
      </w:r>
      <w:r>
        <w:rPr>
          <w:rFonts w:hint="eastAsia" w:asciiTheme="minorEastAsia" w:hAnsiTheme="minorEastAsia" w:eastAsiaTheme="minorEastAsia"/>
          <w:color w:val="auto"/>
          <w:kern w:val="0"/>
          <w:sz w:val="24"/>
          <w:szCs w:val="24"/>
          <w:highlight w:val="none"/>
        </w:rPr>
        <w:t>蔬菜</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lang w:val="en-US" w:eastAsia="zh-CN"/>
        </w:rPr>
        <w:t>蛋、豆制品</w:t>
      </w:r>
      <w:r>
        <w:rPr>
          <w:rFonts w:hint="eastAsia" w:asciiTheme="minorEastAsia" w:hAnsiTheme="minorEastAsia" w:eastAsiaTheme="minorEastAsia"/>
          <w:color w:val="auto"/>
          <w:kern w:val="0"/>
          <w:sz w:val="24"/>
          <w:szCs w:val="24"/>
          <w:highlight w:val="none"/>
        </w:rPr>
        <w:t>品目1-24项</w:t>
      </w:r>
      <w:r>
        <w:rPr>
          <w:rFonts w:hint="eastAsia" w:asciiTheme="minorEastAsia" w:hAnsiTheme="minorEastAsia" w:eastAsiaTheme="minorEastAsia"/>
          <w:color w:val="auto"/>
          <w:kern w:val="0"/>
          <w:sz w:val="24"/>
          <w:szCs w:val="24"/>
          <w:highlight w:val="none"/>
          <w:lang w:val="en-US" w:eastAsia="zh-CN"/>
        </w:rPr>
        <w:t>除外</w:t>
      </w:r>
      <w:r>
        <w:rPr>
          <w:rFonts w:hint="eastAsia" w:asciiTheme="minorEastAsia" w:hAnsiTheme="minorEastAsia" w:eastAsiaTheme="minorEastAsia"/>
          <w:color w:val="auto"/>
          <w:kern w:val="0"/>
          <w:sz w:val="24"/>
          <w:szCs w:val="24"/>
          <w:highlight w:val="none"/>
        </w:rPr>
        <w:t>)，供应商须根据采购文件提供的折扣率计算参考价为基准，结合所投产品供货价格计算折扣率（折扣率=1-供货价格/折扣率计算参考价），并给出所投品目平均折扣率。</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文件提供的折扣率计算参考价是根据2023年07月03日初至2023年07月07日南京市商务局（网址：http://swj.nanjing.gov.cn/njsswj/?id=386）/时点菜价（9个农贸市场），南京市改革和发展委员会（网址：</w:t>
      </w:r>
      <w:r>
        <w:rPr>
          <w:color w:val="auto"/>
          <w:highlight w:val="none"/>
        </w:rPr>
        <w:fldChar w:fldCharType="begin"/>
      </w:r>
      <w:r>
        <w:rPr>
          <w:color w:val="auto"/>
          <w:highlight w:val="none"/>
        </w:rPr>
        <w:instrText xml:space="preserve"> HYPERLINK "http://fgw.nanjing.gov.cn/njsfzhggwyh/?id=jggk）/价格/" </w:instrText>
      </w:r>
      <w:r>
        <w:rPr>
          <w:color w:val="auto"/>
          <w:highlight w:val="none"/>
        </w:rPr>
        <w:fldChar w:fldCharType="separate"/>
      </w:r>
      <w:r>
        <w:rPr>
          <w:rStyle w:val="73"/>
          <w:rFonts w:hint="eastAsia" w:ascii="宋体" w:hAnsi="宋体" w:cs="宋体"/>
          <w:color w:val="auto"/>
          <w:kern w:val="0"/>
          <w:sz w:val="24"/>
          <w:szCs w:val="24"/>
          <w:highlight w:val="none"/>
        </w:rPr>
        <w:t>http://fgw.nanjing.gov.cn/njsfzhggwyh/?id=jggk）/价格/</w:t>
      </w:r>
      <w:r>
        <w:rPr>
          <w:rStyle w:val="73"/>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部分集贸市场主副食品价格监测表</w:t>
      </w:r>
      <w:r>
        <w:rPr>
          <w:rFonts w:hint="eastAsia" w:ascii="宋体" w:hAnsi="宋体"/>
          <w:color w:val="auto"/>
          <w:sz w:val="24"/>
          <w:highlight w:val="none"/>
          <w:lang w:eastAsia="zh-CN"/>
        </w:rPr>
        <w:t>、</w:t>
      </w:r>
      <w:r>
        <w:rPr>
          <w:rFonts w:hint="eastAsia" w:ascii="宋体" w:hAnsi="宋体" w:cs="宋体"/>
          <w:color w:val="auto"/>
          <w:kern w:val="0"/>
          <w:sz w:val="24"/>
          <w:szCs w:val="24"/>
          <w:highlight w:val="none"/>
        </w:rPr>
        <w:t>华润苏果等同类同质商品价格综合平均所得，网上未公布的食材价格，采取市场询价取得。</w:t>
      </w:r>
    </w:p>
    <w:p>
      <w:pPr>
        <w:spacing w:line="360" w:lineRule="auto"/>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3、供应商不得供应上述表单中未列出的品目，经发现取消其供货资格。</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4、</w:t>
      </w:r>
      <w:r>
        <w:rPr>
          <w:rFonts w:hint="eastAsia" w:asciiTheme="minorEastAsia" w:hAnsiTheme="minorEastAsia" w:eastAsiaTheme="minorEastAsia"/>
          <w:color w:val="auto"/>
          <w:kern w:val="0"/>
          <w:sz w:val="24"/>
          <w:szCs w:val="24"/>
          <w:highlight w:val="none"/>
          <w:lang w:val="en-US" w:eastAsia="zh-CN"/>
        </w:rPr>
        <w:t>粮、油</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干货调味品</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面点、乳制品</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水产；冷鲜肉（品目8—5</w:t>
      </w:r>
      <w:r>
        <w:rPr>
          <w:rFonts w:hint="eastAsia" w:asciiTheme="minorEastAsia" w:hAnsiTheme="minorEastAsia" w:eastAsiaTheme="minorEastAsia"/>
          <w:color w:val="auto"/>
          <w:kern w:val="0"/>
          <w:sz w:val="24"/>
          <w:szCs w:val="24"/>
          <w:highlight w:val="none"/>
        </w:rPr>
        <w:t>6项）；</w:t>
      </w:r>
      <w:r>
        <w:rPr>
          <w:rFonts w:hint="eastAsia" w:asciiTheme="minorEastAsia" w:hAnsiTheme="minorEastAsia" w:eastAsiaTheme="minorEastAsia"/>
          <w:color w:val="auto"/>
          <w:kern w:val="0"/>
          <w:sz w:val="24"/>
          <w:szCs w:val="24"/>
          <w:highlight w:val="none"/>
          <w:lang w:val="en-US" w:eastAsia="zh-CN"/>
        </w:rPr>
        <w:t>冷冻制品及冷冻家禽</w:t>
      </w:r>
      <w:r>
        <w:rPr>
          <w:rFonts w:hint="eastAsia" w:asciiTheme="minorEastAsia" w:hAnsiTheme="minorEastAsia" w:eastAsiaTheme="minorEastAsia"/>
          <w:color w:val="auto"/>
          <w:kern w:val="0"/>
          <w:sz w:val="24"/>
          <w:szCs w:val="24"/>
          <w:highlight w:val="none"/>
        </w:rPr>
        <w:t>；蔬菜</w:t>
      </w:r>
      <w:r>
        <w:rPr>
          <w:rFonts w:hint="eastAsia" w:asciiTheme="minorEastAsia" w:hAnsiTheme="minorEastAsia" w:eastAsiaTheme="minorEastAsia"/>
          <w:color w:val="auto"/>
          <w:kern w:val="0"/>
          <w:sz w:val="24"/>
          <w:szCs w:val="24"/>
          <w:highlight w:val="none"/>
          <w:lang w:val="en-US" w:eastAsia="zh-CN"/>
        </w:rPr>
        <w:t>、蛋、豆制品</w:t>
      </w:r>
      <w:r>
        <w:rPr>
          <w:rFonts w:hint="eastAsia" w:asciiTheme="minorEastAsia" w:hAnsiTheme="minorEastAsia" w:eastAsiaTheme="minorEastAsia"/>
          <w:color w:val="auto"/>
          <w:kern w:val="0"/>
          <w:sz w:val="24"/>
          <w:szCs w:val="24"/>
          <w:highlight w:val="none"/>
        </w:rPr>
        <w:t>（品目25—</w:t>
      </w:r>
      <w:r>
        <w:rPr>
          <w:rFonts w:hint="eastAsia" w:asciiTheme="minorEastAsia" w:hAnsiTheme="minorEastAsia" w:eastAsiaTheme="minorEastAsia"/>
          <w:color w:val="auto"/>
          <w:kern w:val="0"/>
          <w:sz w:val="24"/>
          <w:szCs w:val="24"/>
          <w:highlight w:val="none"/>
          <w:lang w:val="en-US" w:eastAsia="zh-CN"/>
        </w:rPr>
        <w:t>236</w:t>
      </w:r>
      <w:r>
        <w:rPr>
          <w:rFonts w:hint="eastAsia" w:asciiTheme="minorEastAsia" w:hAnsiTheme="minorEastAsia" w:eastAsiaTheme="minorEastAsia"/>
          <w:color w:val="auto"/>
          <w:kern w:val="0"/>
          <w:sz w:val="24"/>
          <w:szCs w:val="24"/>
          <w:highlight w:val="none"/>
        </w:rPr>
        <w:t>项）；</w:t>
      </w:r>
      <w:r>
        <w:rPr>
          <w:rFonts w:hint="eastAsia" w:asciiTheme="minorEastAsia" w:hAnsiTheme="minorEastAsia" w:eastAsiaTheme="minorEastAsia"/>
          <w:color w:val="auto"/>
          <w:kern w:val="0"/>
          <w:sz w:val="24"/>
          <w:szCs w:val="24"/>
          <w:highlight w:val="none"/>
          <w:lang w:val="en-US" w:eastAsia="zh-CN"/>
        </w:rPr>
        <w:t>水果；</w:t>
      </w:r>
      <w:r>
        <w:rPr>
          <w:rFonts w:hint="eastAsia" w:asciiTheme="minorEastAsia" w:hAnsiTheme="minorEastAsia" w:eastAsiaTheme="minorEastAsia"/>
          <w:color w:val="auto"/>
          <w:kern w:val="0"/>
          <w:sz w:val="24"/>
          <w:szCs w:val="24"/>
          <w:highlight w:val="none"/>
        </w:rPr>
        <w:t>所有的入围供应商在全年服务期限内，根据采购文件提供的折扣率计算参考价*（1-所投品目平均折扣率），若计算价格低于所投报价，则以“折扣率计算参考价*（1-所投品目平均折扣率）”的价格为执行价；若计算价格高于等于所投报价，则以所投报价的价格为执行价。无论市场如何变动，供应价格按招标文件要求保持不变。</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冷鲜肉</w:t>
      </w:r>
      <w:r>
        <w:rPr>
          <w:rFonts w:hint="eastAsia" w:asciiTheme="minorEastAsia" w:hAnsiTheme="minorEastAsia" w:eastAsiaTheme="minorEastAsia"/>
          <w:color w:val="auto"/>
          <w:kern w:val="0"/>
          <w:sz w:val="24"/>
          <w:szCs w:val="24"/>
          <w:highlight w:val="none"/>
        </w:rPr>
        <w:t>品目1-7项</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蔬菜</w:t>
      </w:r>
      <w:r>
        <w:rPr>
          <w:rFonts w:hint="eastAsia" w:asciiTheme="minorEastAsia" w:hAnsiTheme="minorEastAsia" w:eastAsiaTheme="minorEastAsia"/>
          <w:color w:val="auto"/>
          <w:kern w:val="0"/>
          <w:sz w:val="24"/>
          <w:szCs w:val="24"/>
          <w:highlight w:val="none"/>
          <w:lang w:val="en-US" w:eastAsia="zh-CN"/>
        </w:rPr>
        <w:t>、蛋、豆制品</w:t>
      </w:r>
      <w:r>
        <w:rPr>
          <w:rFonts w:hint="eastAsia" w:asciiTheme="minorEastAsia" w:hAnsiTheme="minorEastAsia" w:eastAsiaTheme="minorEastAsia"/>
          <w:color w:val="auto"/>
          <w:kern w:val="0"/>
          <w:sz w:val="24"/>
          <w:szCs w:val="24"/>
          <w:highlight w:val="none"/>
        </w:rPr>
        <w:t>品目1-24项</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在一定周期内（月），以南京市发改委网站公布的月平均价格乘以所报（1-蔬菜</w:t>
      </w:r>
      <w:r>
        <w:rPr>
          <w:rFonts w:hint="eastAsia" w:asciiTheme="minorEastAsia" w:hAnsiTheme="minorEastAsia" w:eastAsiaTheme="minorEastAsia"/>
          <w:color w:val="auto"/>
          <w:kern w:val="0"/>
          <w:sz w:val="24"/>
          <w:szCs w:val="24"/>
          <w:highlight w:val="none"/>
          <w:lang w:val="en-US" w:eastAsia="zh-CN"/>
        </w:rPr>
        <w:t>、蛋、豆制品</w:t>
      </w:r>
      <w:r>
        <w:rPr>
          <w:rFonts w:hint="eastAsia" w:asciiTheme="minorEastAsia" w:hAnsiTheme="minorEastAsia" w:eastAsiaTheme="minorEastAsia"/>
          <w:color w:val="auto"/>
          <w:kern w:val="0"/>
          <w:sz w:val="24"/>
          <w:szCs w:val="24"/>
          <w:highlight w:val="none"/>
        </w:rPr>
        <w:t>品目1-24项或</w:t>
      </w:r>
      <w:r>
        <w:rPr>
          <w:rFonts w:hint="eastAsia" w:asciiTheme="minorEastAsia" w:hAnsiTheme="minorEastAsia" w:eastAsiaTheme="minorEastAsia"/>
          <w:color w:val="auto"/>
          <w:kern w:val="0"/>
          <w:sz w:val="24"/>
          <w:szCs w:val="24"/>
          <w:highlight w:val="none"/>
          <w:lang w:val="en-US" w:eastAsia="zh-CN"/>
        </w:rPr>
        <w:t>冷鲜肉</w:t>
      </w:r>
      <w:r>
        <w:rPr>
          <w:rFonts w:hint="eastAsia" w:asciiTheme="minorEastAsia" w:hAnsiTheme="minorEastAsia" w:eastAsiaTheme="minorEastAsia"/>
          <w:color w:val="auto"/>
          <w:kern w:val="0"/>
          <w:sz w:val="24"/>
          <w:szCs w:val="24"/>
          <w:highlight w:val="none"/>
        </w:rPr>
        <w:t>品目1-7项所投品目平均折扣率）作为结算价，若结算价格高于南京市发改委网站公布的月平均价格*（1-所投品目折扣率）的价格，则按照南京市发改委网站公布的月平均价格*（1-所投品目折扣率）作为结算价。</w:t>
      </w:r>
    </w:p>
    <w:p>
      <w:pPr>
        <w:spacing w:line="360" w:lineRule="auto"/>
        <w:ind w:firstLine="482" w:firstLineChars="200"/>
        <w:rPr>
          <w:rFonts w:asciiTheme="minorEastAsia" w:hAnsiTheme="minorEastAsia" w:eastAsiaTheme="minorEastAsia"/>
          <w:color w:val="auto"/>
          <w:kern w:val="0"/>
          <w:sz w:val="24"/>
          <w:szCs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、配送、验收、服务</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 交货方式为每周定时供货，供应商必须在与学校约定的具体时间内把指定货物送至指定学校。交付地为各需求学校食堂。</w:t>
      </w:r>
    </w:p>
    <w:p>
      <w:pPr>
        <w:spacing w:line="360" w:lineRule="auto"/>
        <w:ind w:firstLine="480" w:firstLineChars="200"/>
        <w:rPr>
          <w:rFonts w:hint="default" w:asciiTheme="minorEastAsia" w:hAnsiTheme="minorEastAsia" w:eastAsiaTheme="minorEastAsia"/>
          <w:b/>
          <w:color w:val="auto"/>
          <w:kern w:val="0"/>
          <w:sz w:val="24"/>
          <w:szCs w:val="24"/>
          <w:highlight w:val="none"/>
          <w:lang w:val="en-US"/>
        </w:rPr>
      </w:pPr>
      <w:r>
        <w:rPr>
          <w:rFonts w:hint="eastAsia" w:asciiTheme="minorEastAsia" w:hAnsiTheme="minorEastAsia" w:eastAsiaTheme="minorEastAsia"/>
          <w:color w:val="auto"/>
          <w:kern w:val="0"/>
          <w:sz w:val="24"/>
          <w:szCs w:val="24"/>
          <w:highlight w:val="none"/>
        </w:rPr>
        <w:t xml:space="preserve">2. </w:t>
      </w:r>
      <w:r>
        <w:rPr>
          <w:rFonts w:hint="eastAsia" w:asciiTheme="minorEastAsia" w:hAnsiTheme="minorEastAsia" w:eastAsiaTheme="minorEastAsia"/>
          <w:b/>
          <w:color w:val="auto"/>
          <w:kern w:val="0"/>
          <w:sz w:val="24"/>
          <w:szCs w:val="24"/>
          <w:highlight w:val="none"/>
        </w:rPr>
        <w:t>供应商应能按校方要求及时补货。若收到学校反映供应商不能及时补货或拒绝已投标文件中所投报价进行供货的，收到一次投诉进行通报，二次严重警告，三次除名，三年不得参与</w:t>
      </w:r>
      <w:r>
        <w:rPr>
          <w:rFonts w:hint="eastAsia" w:asciiTheme="minorEastAsia" w:hAnsiTheme="minorEastAsia" w:eastAsiaTheme="minorEastAsia"/>
          <w:b/>
          <w:color w:val="auto"/>
          <w:kern w:val="0"/>
          <w:sz w:val="24"/>
          <w:szCs w:val="24"/>
          <w:highlight w:val="none"/>
          <w:lang w:eastAsia="zh-CN"/>
        </w:rPr>
        <w:t>南京市雨花台区2024-2025年中小学、幼儿园大宗食材供应及配送服务</w:t>
      </w:r>
      <w:r>
        <w:rPr>
          <w:rFonts w:hint="eastAsia" w:asciiTheme="minorEastAsia" w:hAnsiTheme="minorEastAsia" w:eastAsiaTheme="minorEastAsia"/>
          <w:b/>
          <w:color w:val="auto"/>
          <w:kern w:val="0"/>
          <w:sz w:val="24"/>
          <w:szCs w:val="24"/>
          <w:highlight w:val="none"/>
          <w:lang w:val="en-US" w:eastAsia="zh-CN"/>
        </w:rPr>
        <w:t>采购活动。</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3．供应商推迟送货，需求学校有权拒绝验收签单。</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4. 每批次提供的原料，必须经食堂仓管员或食堂相关的人员验收签单后才能视为有效，否则均视为无效供货。</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 供应商必须对每日及每批次提供的食品提供其相关单位的检验检疫证等相关证明，否则需求学校有权拒绝验收签单。</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6. 包装的产品交付时，必须原包装完好无损，否则学校有权拒收。</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 运输工具进入学校，必须接受学校统一管理，发生任何人员与设施损伤，均由供应商承担责任。</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8．入选单位配送期间，不得中途转包及单方面终止承包，否则采购方有权没收全部保证金。</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9.</w:t>
      </w:r>
      <w:r>
        <w:rPr>
          <w:rFonts w:hint="eastAsia" w:asciiTheme="minorEastAsia" w:hAnsiTheme="minorEastAsia" w:eastAsia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供应商须在省市相关食堂信息化管理平台中按要求进行注册、信息上报等相关工作。</w:t>
      </w:r>
    </w:p>
    <w:p>
      <w:pPr>
        <w:spacing w:line="360" w:lineRule="auto"/>
        <w:ind w:firstLine="480" w:firstLineChars="200"/>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eastAsiaTheme="minorEastAsia"/>
          <w:color w:val="auto"/>
          <w:kern w:val="0"/>
          <w:sz w:val="24"/>
          <w:szCs w:val="24"/>
          <w:highlight w:val="none"/>
        </w:rPr>
        <w:t>10.</w:t>
      </w:r>
      <w:r>
        <w:rPr>
          <w:rFonts w:hint="eastAsia" w:asciiTheme="minorEastAsia" w:hAnsiTheme="minorEastAsia" w:eastAsiaTheme="minorEastAsia"/>
          <w:color w:val="auto"/>
          <w:kern w:val="0"/>
          <w:sz w:val="24"/>
          <w:szCs w:val="24"/>
          <w:highlight w:val="none"/>
          <w:lang w:val="en-US" w:eastAsia="zh-CN"/>
        </w:rPr>
        <w:t xml:space="preserve"> </w:t>
      </w:r>
      <w:r>
        <w:rPr>
          <w:rFonts w:hint="eastAsia" w:asciiTheme="minorEastAsia" w:hAnsiTheme="minorEastAsia" w:eastAsiaTheme="minorEastAsia"/>
          <w:b/>
          <w:color w:val="auto"/>
          <w:kern w:val="0"/>
          <w:sz w:val="24"/>
          <w:szCs w:val="24"/>
          <w:highlight w:val="none"/>
        </w:rPr>
        <w:t>供应商需承诺对本次项目在全年服务期限内，执行价依据供应商的投标文件中所投报价执行（提供承诺书）</w:t>
      </w:r>
      <w:r>
        <w:rPr>
          <w:rFonts w:hint="eastAsia" w:asciiTheme="minorEastAsia" w:hAnsiTheme="minorEastAsia" w:eastAsiaTheme="minorEastAsia"/>
          <w:b/>
          <w:color w:val="auto"/>
          <w:kern w:val="0"/>
          <w:sz w:val="24"/>
          <w:szCs w:val="24"/>
          <w:highlight w:val="none"/>
          <w:lang w:eastAsia="zh-CN"/>
        </w:rPr>
        <w: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、其他商务要求：</w:t>
      </w:r>
    </w:p>
    <w:p>
      <w:pPr>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Theme="minorEastAsia" w:hAnsiTheme="minorEastAsia" w:eastAsiaTheme="minorEastAsia"/>
          <w:color w:val="auto"/>
          <w:kern w:val="0"/>
          <w:sz w:val="24"/>
          <w:szCs w:val="24"/>
          <w:highlight w:val="none"/>
        </w:rPr>
        <w:t>1.</w:t>
      </w:r>
      <w:r>
        <w:rPr>
          <w:rFonts w:hint="eastAsia" w:asciiTheme="minorEastAsia" w:hAnsiTheme="minorEastAsia" w:eastAsiaTheme="minorEastAsia"/>
          <w:color w:val="auto"/>
          <w:kern w:val="0"/>
          <w:sz w:val="24"/>
          <w:szCs w:val="24"/>
          <w:highlight w:val="none"/>
          <w:lang w:val="en-US" w:eastAsia="zh-CN"/>
        </w:rPr>
        <w:t xml:space="preserve"> 供应商入围后，需服从雨花台区教育局二次选择安排</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二次选择由雨花台区教育局安排中小学一组、幼儿园一组分别随机取得排序号进行选择供应商。每包每家供应商被选择的中小学数量≤4所，每包每家供应商被选择的幼儿园数量≤4所。供应商应知晓被中小学、幼儿园选中的概率随机，雨花台区教育局对于供应商的成交中小学、幼儿园不做任何承诺。</w:t>
      </w:r>
    </w:p>
    <w:p>
      <w:pPr>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 经过二次选择后签订合同前，供应商自动选择退出本次采购任务的，须经雨花台区教育局批准，由雨花台区教育局综合考虑各方权益后，统筹安排。</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3</w:t>
      </w:r>
      <w:r>
        <w:rPr>
          <w:rFonts w:hint="eastAsia" w:asciiTheme="minorEastAsia" w:hAnsiTheme="minorEastAsia" w:eastAsiaTheme="minorEastAsia"/>
          <w:color w:val="auto"/>
          <w:kern w:val="0"/>
          <w:sz w:val="24"/>
          <w:szCs w:val="24"/>
          <w:highlight w:val="none"/>
        </w:rPr>
        <w:t>. 供应商须承诺入围后，所提供货物与</w:t>
      </w:r>
      <w:r>
        <w:rPr>
          <w:rFonts w:hint="eastAsia" w:asciiTheme="minorEastAsia" w:hAnsiTheme="minorEastAsia" w:eastAsiaTheme="minorEastAsia"/>
          <w:color w:val="auto"/>
          <w:kern w:val="0"/>
          <w:sz w:val="24"/>
          <w:szCs w:val="24"/>
          <w:highlight w:val="none"/>
          <w:lang w:val="en-US" w:eastAsia="zh-CN"/>
        </w:rPr>
        <w:t>招标</w:t>
      </w:r>
      <w:r>
        <w:rPr>
          <w:rFonts w:hint="eastAsia" w:asciiTheme="minorEastAsia" w:hAnsiTheme="minorEastAsia" w:eastAsiaTheme="minorEastAsia"/>
          <w:color w:val="auto"/>
          <w:kern w:val="0"/>
          <w:sz w:val="24"/>
          <w:szCs w:val="24"/>
          <w:highlight w:val="none"/>
        </w:rPr>
        <w:t>文件要求一致。</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4</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遵循学校各项规章制度，送货地点为学校指定位置，同时在现场服从学校安排。</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5</w:t>
      </w:r>
      <w:r>
        <w:rPr>
          <w:rFonts w:hint="eastAsia" w:asciiTheme="minorEastAsia" w:hAnsiTheme="minorEastAsia" w:eastAsiaTheme="minorEastAsia"/>
          <w:color w:val="auto"/>
          <w:kern w:val="0"/>
          <w:sz w:val="24"/>
          <w:szCs w:val="24"/>
          <w:highlight w:val="none"/>
        </w:rPr>
        <w:t>. 7*24小时的售后支持服务，响应时间不超过2小时。</w:t>
      </w:r>
    </w:p>
    <w:p>
      <w:pPr>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6</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选方需要与用户签订“反商业贿赂协议”，（见附件）该协议为商业合同签订的前置重要条件。</w:t>
      </w:r>
    </w:p>
    <w:p>
      <w:pPr>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7.</w:t>
      </w:r>
      <w:r>
        <w:rPr>
          <w:rFonts w:hint="eastAsia" w:asciiTheme="minorEastAsia" w:hAnsiTheme="minorEastAsia" w:eastAsiaTheme="minorEastAsia"/>
          <w:color w:val="auto"/>
          <w:kern w:val="0"/>
          <w:sz w:val="24"/>
          <w:szCs w:val="24"/>
          <w:highlight w:val="none"/>
        </w:rPr>
        <w:t>入围供应商必须投保食品安全责任险。</w:t>
      </w:r>
    </w:p>
    <w:p>
      <w:pPr>
        <w:pStyle w:val="2"/>
        <w:rPr>
          <w:rFonts w:hint="default" w:eastAsiaTheme="minorEastAsia"/>
          <w:color w:val="auto"/>
          <w:highlight w:val="none"/>
          <w:lang w:val="en-US" w:eastAsia="zh-CN"/>
        </w:rPr>
      </w:pPr>
    </w:p>
    <w:p>
      <w:pPr>
        <w:spacing w:line="480" w:lineRule="exact"/>
        <w:ind w:firstLine="480" w:firstLineChars="200"/>
        <w:rPr>
          <w:rFonts w:hint="eastAsia" w:ascii="宋体" w:hAnsi="宋体" w:eastAsia="宋体" w:cs="宋体"/>
          <w:color w:val="auto"/>
          <w:sz w:val="24"/>
          <w:highlight w:val="none"/>
        </w:rPr>
      </w:pPr>
    </w:p>
    <w:p>
      <w:pP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第五章  合同条款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val="0"/>
          <w:color w:val="auto"/>
          <w:sz w:val="36"/>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6"/>
          <w:szCs w:val="40"/>
          <w:highlight w:val="none"/>
          <w:lang w:eastAsia="zh-CN"/>
        </w:rPr>
      </w:pPr>
      <w:r>
        <w:rPr>
          <w:rFonts w:hint="eastAsia" w:ascii="宋体" w:hAnsi="宋体" w:cs="宋体"/>
          <w:b/>
          <w:snapToGrid w:val="0"/>
          <w:color w:val="auto"/>
          <w:sz w:val="36"/>
          <w:szCs w:val="40"/>
          <w:highlight w:val="none"/>
          <w:lang w:eastAsia="zh-CN"/>
        </w:rPr>
        <w:t>南京市雨花台区2024-2025年中小学、幼儿园大宗食材供应及配送服务</w:t>
      </w:r>
    </w:p>
    <w:p>
      <w:pPr>
        <w:spacing w:line="360" w:lineRule="auto"/>
        <w:jc w:val="center"/>
        <w:rPr>
          <w:rFonts w:ascii="宋体" w:hAnsi="宋体" w:eastAsia="宋体" w:cs="宋体"/>
          <w:b/>
          <w:snapToGrid w:val="0"/>
          <w:color w:val="auto"/>
          <w:sz w:val="52"/>
          <w:szCs w:val="52"/>
          <w:highlight w:val="none"/>
          <w:u w:val="single"/>
        </w:rPr>
      </w:pPr>
    </w:p>
    <w:p>
      <w:pPr>
        <w:spacing w:line="360" w:lineRule="auto"/>
        <w:jc w:val="center"/>
        <w:rPr>
          <w:rFonts w:ascii="宋体" w:hAnsi="宋体" w:eastAsia="宋体" w:cs="宋体"/>
          <w:b/>
          <w:snapToGrid w:val="0"/>
          <w:color w:val="auto"/>
          <w:sz w:val="44"/>
          <w:szCs w:val="52"/>
          <w:highlight w:val="none"/>
        </w:rPr>
      </w:pPr>
      <w:r>
        <w:rPr>
          <w:rFonts w:hint="eastAsia" w:ascii="宋体" w:hAnsi="宋体" w:eastAsia="宋体" w:cs="宋体"/>
          <w:b/>
          <w:snapToGrid w:val="0"/>
          <w:color w:val="auto"/>
          <w:sz w:val="52"/>
          <w:szCs w:val="52"/>
          <w:highlight w:val="none"/>
        </w:rPr>
        <w:t>采</w:t>
      </w:r>
    </w:p>
    <w:p>
      <w:pPr>
        <w:spacing w:line="360" w:lineRule="auto"/>
        <w:jc w:val="center"/>
        <w:rPr>
          <w:rFonts w:ascii="宋体" w:hAnsi="宋体" w:eastAsia="宋体" w:cs="宋体"/>
          <w:b/>
          <w:snapToGrid w:val="0"/>
          <w:color w:val="auto"/>
          <w:sz w:val="52"/>
          <w:szCs w:val="52"/>
          <w:highlight w:val="none"/>
        </w:rPr>
      </w:pPr>
      <w:r>
        <w:rPr>
          <w:rFonts w:hint="eastAsia" w:ascii="宋体" w:hAnsi="宋体" w:eastAsia="宋体" w:cs="宋体"/>
          <w:b/>
          <w:snapToGrid w:val="0"/>
          <w:color w:val="auto"/>
          <w:sz w:val="52"/>
          <w:szCs w:val="52"/>
          <w:highlight w:val="none"/>
        </w:rPr>
        <w:t>购</w:t>
      </w:r>
    </w:p>
    <w:p>
      <w:pPr>
        <w:spacing w:line="360" w:lineRule="auto"/>
        <w:jc w:val="center"/>
        <w:rPr>
          <w:rFonts w:ascii="宋体" w:hAnsi="宋体" w:eastAsia="宋体" w:cs="宋体"/>
          <w:b/>
          <w:snapToGrid w:val="0"/>
          <w:color w:val="auto"/>
          <w:sz w:val="52"/>
          <w:szCs w:val="52"/>
          <w:highlight w:val="none"/>
        </w:rPr>
      </w:pPr>
      <w:r>
        <w:rPr>
          <w:rFonts w:hint="eastAsia" w:ascii="宋体" w:hAnsi="宋体" w:eastAsia="宋体" w:cs="宋体"/>
          <w:b/>
          <w:snapToGrid w:val="0"/>
          <w:color w:val="auto"/>
          <w:sz w:val="52"/>
          <w:szCs w:val="52"/>
          <w:highlight w:val="none"/>
        </w:rPr>
        <w:t>合</w:t>
      </w:r>
    </w:p>
    <w:p>
      <w:pPr>
        <w:spacing w:line="360" w:lineRule="auto"/>
        <w:jc w:val="center"/>
        <w:rPr>
          <w:rFonts w:ascii="宋体" w:hAnsi="宋体" w:eastAsia="宋体" w:cs="宋体"/>
          <w:b/>
          <w:snapToGrid w:val="0"/>
          <w:color w:val="auto"/>
          <w:sz w:val="52"/>
          <w:szCs w:val="52"/>
          <w:highlight w:val="none"/>
        </w:rPr>
      </w:pPr>
      <w:r>
        <w:rPr>
          <w:rFonts w:hint="eastAsia" w:ascii="宋体" w:hAnsi="宋体" w:eastAsia="宋体" w:cs="宋体"/>
          <w:b/>
          <w:snapToGrid w:val="0"/>
          <w:color w:val="auto"/>
          <w:sz w:val="52"/>
          <w:szCs w:val="52"/>
          <w:highlight w:val="none"/>
        </w:rPr>
        <w:t>同</w:t>
      </w:r>
    </w:p>
    <w:p>
      <w:pPr>
        <w:spacing w:line="360" w:lineRule="auto"/>
        <w:rPr>
          <w:rFonts w:ascii="宋体" w:hAnsi="宋体" w:eastAsia="宋体" w:cs="宋体"/>
          <w:color w:val="auto"/>
          <w:sz w:val="36"/>
          <w:szCs w:val="36"/>
          <w:highlight w:val="none"/>
        </w:rPr>
      </w:pPr>
    </w:p>
    <w:p>
      <w:pPr>
        <w:spacing w:line="360" w:lineRule="auto"/>
        <w:rPr>
          <w:rFonts w:ascii="宋体" w:hAnsi="宋体" w:eastAsia="宋体" w:cs="宋体"/>
          <w:color w:val="auto"/>
          <w:sz w:val="36"/>
          <w:szCs w:val="36"/>
          <w:highlight w:val="none"/>
        </w:rPr>
      </w:pPr>
    </w:p>
    <w:p>
      <w:pPr>
        <w:spacing w:line="360" w:lineRule="auto"/>
        <w:rPr>
          <w:rFonts w:ascii="宋体" w:hAnsi="宋体" w:eastAsia="宋体" w:cs="宋体"/>
          <w:b/>
          <w:color w:val="auto"/>
          <w:sz w:val="32"/>
          <w:szCs w:val="36"/>
          <w:highlight w:val="none"/>
        </w:rPr>
      </w:pPr>
    </w:p>
    <w:p>
      <w:pPr>
        <w:spacing w:line="360" w:lineRule="auto"/>
        <w:rPr>
          <w:rFonts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采购方（甲方）：</w:t>
      </w:r>
      <w:r>
        <w:rPr>
          <w:rFonts w:hint="eastAsia" w:ascii="宋体" w:hAnsi="宋体" w:eastAsia="宋体" w:cs="宋体"/>
          <w:b/>
          <w:color w:val="auto"/>
          <w:sz w:val="36"/>
          <w:szCs w:val="36"/>
          <w:highlight w:val="none"/>
          <w:u w:val="single"/>
        </w:rPr>
        <w:t xml:space="preserve">                     </w:t>
      </w:r>
    </w:p>
    <w:p>
      <w:pPr>
        <w:pStyle w:val="408"/>
        <w:rPr>
          <w:color w:val="auto"/>
          <w:sz w:val="36"/>
          <w:szCs w:val="36"/>
          <w:highlight w:val="none"/>
          <w:lang w:val="en-US"/>
        </w:rPr>
      </w:pPr>
    </w:p>
    <w:p>
      <w:pPr>
        <w:spacing w:line="360" w:lineRule="auto"/>
        <w:rPr>
          <w:rFonts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供货方（乙方）：</w:t>
      </w:r>
      <w:r>
        <w:rPr>
          <w:rFonts w:hint="eastAsia" w:ascii="宋体" w:hAnsi="宋体" w:eastAsia="宋体" w:cs="宋体"/>
          <w:b/>
          <w:color w:val="auto"/>
          <w:sz w:val="36"/>
          <w:szCs w:val="36"/>
          <w:highlight w:val="none"/>
          <w:u w:val="single"/>
        </w:rPr>
        <w:t xml:space="preserve">                     </w:t>
      </w:r>
    </w:p>
    <w:p>
      <w:pPr>
        <w:pStyle w:val="408"/>
        <w:rPr>
          <w:color w:val="auto"/>
          <w:sz w:val="36"/>
          <w:szCs w:val="36"/>
          <w:highlight w:val="none"/>
          <w:lang w:val="en-US"/>
        </w:rPr>
      </w:pPr>
    </w:p>
    <w:p>
      <w:pPr>
        <w:spacing w:line="360" w:lineRule="auto"/>
        <w:rPr>
          <w:rFonts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鉴证方（丙方）：</w:t>
      </w:r>
      <w:r>
        <w:rPr>
          <w:rFonts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rPr>
        <w:t>雨花台区教育局校管科</w:t>
      </w:r>
      <w:r>
        <w:rPr>
          <w:rFonts w:ascii="宋体" w:hAnsi="宋体" w:eastAsia="宋体" w:cs="宋体"/>
          <w:b/>
          <w:color w:val="auto"/>
          <w:sz w:val="36"/>
          <w:szCs w:val="36"/>
          <w:highlight w:val="none"/>
          <w:u w:val="single"/>
        </w:rPr>
        <w:t xml:space="preserve"> </w:t>
      </w:r>
    </w:p>
    <w:p>
      <w:pPr>
        <w:pStyle w:val="408"/>
        <w:rPr>
          <w:color w:val="auto"/>
          <w:sz w:val="36"/>
          <w:szCs w:val="36"/>
          <w:highlight w:val="none"/>
          <w:lang w:val="en-US"/>
        </w:rPr>
      </w:pPr>
    </w:p>
    <w:p>
      <w:pP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签订日期：</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月</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日</w:t>
      </w:r>
    </w:p>
    <w:p>
      <w:pPr>
        <w:rPr>
          <w:rFonts w:ascii="宋体" w:hAnsi="宋体" w:eastAsia="宋体" w:cs="宋体"/>
          <w:color w:val="auto"/>
          <w:sz w:val="36"/>
          <w:szCs w:val="36"/>
          <w:highlight w:val="none"/>
        </w:rPr>
        <w:sectPr>
          <w:footerReference r:id="rId3" w:type="default"/>
          <w:pgSz w:w="11906" w:h="16838"/>
          <w:pgMar w:top="1440" w:right="1247" w:bottom="1440" w:left="1247" w:header="851" w:footer="992" w:gutter="0"/>
          <w:pgNumType w:fmt="decimal"/>
          <w:cols w:space="425" w:num="1"/>
          <w:docGrid w:type="lines" w:linePitch="312" w:charSpace="0"/>
        </w:sectPr>
      </w:pPr>
    </w:p>
    <w:p>
      <w:pPr>
        <w:autoSpaceDE w:val="0"/>
        <w:autoSpaceDN w:val="0"/>
        <w:adjustRightInd w:val="0"/>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采购单位：（以下简称甲方）</w:t>
      </w:r>
      <w:r>
        <w:rPr>
          <w:rFonts w:hint="eastAsia" w:ascii="宋体" w:hAnsi="宋体" w:cs="宋体"/>
          <w:color w:val="auto"/>
          <w:kern w:val="0"/>
          <w:sz w:val="24"/>
          <w:szCs w:val="24"/>
          <w:highlight w:val="none"/>
          <w:u w:val="single"/>
        </w:rPr>
        <w:t xml:space="preserve">                         </w:t>
      </w:r>
    </w:p>
    <w:p>
      <w:pPr>
        <w:autoSpaceDE w:val="0"/>
        <w:autoSpaceDN w:val="0"/>
        <w:adjustRightInd w:val="0"/>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住所地：</w:t>
      </w:r>
      <w:r>
        <w:rPr>
          <w:rFonts w:hint="eastAsia" w:ascii="宋体" w:hAnsi="宋体" w:cs="宋体"/>
          <w:color w:val="auto"/>
          <w:kern w:val="0"/>
          <w:sz w:val="24"/>
          <w:szCs w:val="24"/>
          <w:highlight w:val="none"/>
          <w:u w:val="single"/>
        </w:rPr>
        <w:t xml:space="preserve">                                           </w:t>
      </w:r>
    </w:p>
    <w:p>
      <w:pPr>
        <w:autoSpaceDE w:val="0"/>
        <w:autoSpaceDN w:val="0"/>
        <w:adjustRightInd w:val="0"/>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供货单位：（以下简称乙方）</w:t>
      </w:r>
      <w:r>
        <w:rPr>
          <w:rFonts w:hint="eastAsia" w:ascii="宋体" w:hAnsi="宋体" w:cs="宋体"/>
          <w:color w:val="auto"/>
          <w:kern w:val="0"/>
          <w:sz w:val="24"/>
          <w:szCs w:val="24"/>
          <w:highlight w:val="none"/>
          <w:u w:val="single"/>
        </w:rPr>
        <w:t xml:space="preserve">                         </w:t>
      </w:r>
    </w:p>
    <w:p>
      <w:pPr>
        <w:autoSpaceDE w:val="0"/>
        <w:autoSpaceDN w:val="0"/>
        <w:adjustRightInd w:val="0"/>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住所地：</w:t>
      </w:r>
      <w:r>
        <w:rPr>
          <w:rFonts w:hint="eastAsia" w:ascii="宋体" w:hAnsi="宋体" w:cs="宋体"/>
          <w:color w:val="auto"/>
          <w:kern w:val="0"/>
          <w:sz w:val="24"/>
          <w:szCs w:val="24"/>
          <w:highlight w:val="none"/>
          <w:u w:val="single"/>
        </w:rPr>
        <w:t xml:space="preserve">                                           </w:t>
      </w:r>
    </w:p>
    <w:p>
      <w:pPr>
        <w:autoSpaceDE w:val="0"/>
        <w:autoSpaceDN w:val="0"/>
        <w:adjustRightInd w:val="0"/>
        <w:spacing w:line="360" w:lineRule="auto"/>
        <w:jc w:val="left"/>
        <w:rPr>
          <w:rFonts w:ascii="宋体" w:hAnsi="宋体" w:cs="宋体"/>
          <w:color w:val="auto"/>
          <w:kern w:val="0"/>
          <w:sz w:val="24"/>
          <w:szCs w:val="24"/>
          <w:highlight w:val="none"/>
          <w:u w:val="single"/>
        </w:rPr>
      </w:pPr>
      <w:bookmarkStart w:id="22" w:name="_Hlk143948325"/>
      <w:r>
        <w:rPr>
          <w:rFonts w:hint="eastAsia" w:ascii="宋体" w:hAnsi="宋体" w:cs="宋体"/>
          <w:color w:val="auto"/>
          <w:kern w:val="0"/>
          <w:sz w:val="24"/>
          <w:szCs w:val="24"/>
          <w:highlight w:val="none"/>
        </w:rPr>
        <w:t>鉴证单位：（以下简称丙方）</w:t>
      </w:r>
      <w:r>
        <w:rPr>
          <w:rFonts w:hint="eastAsia" w:ascii="宋体" w:hAnsi="宋体" w:cs="宋体"/>
          <w:color w:val="auto"/>
          <w:kern w:val="0"/>
          <w:sz w:val="24"/>
          <w:szCs w:val="24"/>
          <w:highlight w:val="none"/>
          <w:u w:val="single"/>
        </w:rPr>
        <w:t>雨花台区教育局校管科</w:t>
      </w:r>
    </w:p>
    <w:p>
      <w:pPr>
        <w:autoSpaceDE w:val="0"/>
        <w:autoSpaceDN w:val="0"/>
        <w:adjustRightInd w:val="0"/>
        <w:spacing w:line="360" w:lineRule="auto"/>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住所地：</w:t>
      </w:r>
      <w:r>
        <w:rPr>
          <w:rFonts w:hint="eastAsia" w:ascii="宋体" w:hAnsi="宋体" w:cs="宋体"/>
          <w:color w:val="auto"/>
          <w:kern w:val="0"/>
          <w:sz w:val="24"/>
          <w:szCs w:val="24"/>
          <w:highlight w:val="none"/>
          <w:u w:val="single"/>
        </w:rPr>
        <w:t>南京市雨花台区雨花南路2号北楼5</w:t>
      </w:r>
      <w:r>
        <w:rPr>
          <w:rFonts w:ascii="宋体" w:hAnsi="宋体" w:cs="宋体"/>
          <w:color w:val="auto"/>
          <w:kern w:val="0"/>
          <w:sz w:val="24"/>
          <w:szCs w:val="24"/>
          <w:highlight w:val="none"/>
          <w:u w:val="single"/>
        </w:rPr>
        <w:t>14</w:t>
      </w:r>
      <w:r>
        <w:rPr>
          <w:rFonts w:hint="eastAsia" w:ascii="宋体" w:hAnsi="宋体" w:cs="宋体"/>
          <w:color w:val="auto"/>
          <w:kern w:val="0"/>
          <w:sz w:val="24"/>
          <w:szCs w:val="24"/>
          <w:highlight w:val="none"/>
          <w:u w:val="single"/>
        </w:rPr>
        <w:t xml:space="preserve">   </w:t>
      </w:r>
    </w:p>
    <w:bookmarkEnd w:id="22"/>
    <w:p>
      <w:pPr>
        <w:autoSpaceDE w:val="0"/>
        <w:autoSpaceDN w:val="0"/>
        <w:adjustRightInd w:val="0"/>
        <w:spacing w:line="360" w:lineRule="auto"/>
        <w:ind w:left="1205" w:hanging="1205" w:hangingChars="500"/>
        <w:jc w:val="left"/>
        <w:rPr>
          <w:rFonts w:ascii="宋体" w:hAnsi="宋体" w:cs="宋体"/>
          <w:color w:val="auto"/>
          <w:kern w:val="0"/>
          <w:sz w:val="24"/>
          <w:szCs w:val="24"/>
          <w:highlight w:val="none"/>
        </w:rPr>
      </w:pPr>
      <w:r>
        <w:rPr>
          <w:rFonts w:ascii="宋体" w:hAnsi="宋体" w:cs="宋体"/>
          <w:b/>
          <w:color w:val="auto"/>
          <w:kern w:val="0"/>
          <w:sz w:val="24"/>
          <w:szCs w:val="24"/>
          <w:highlight w:val="none"/>
        </w:rPr>
        <w:t>入围分包</w:t>
      </w:r>
      <w:r>
        <w:rPr>
          <w:rFonts w:hint="eastAsia" w:ascii="宋体" w:hAnsi="宋体" w:cs="宋体"/>
          <w:b/>
          <w:color w:val="auto"/>
          <w:kern w:val="0"/>
          <w:sz w:val="24"/>
          <w:szCs w:val="24"/>
          <w:highlight w:val="none"/>
        </w:rPr>
        <w:t>：</w:t>
      </w:r>
      <w:r>
        <w:rPr>
          <w:rFonts w:hint="eastAsia" w:ascii="宋体" w:hAnsi="宋体"/>
          <w:b/>
          <w:color w:val="auto"/>
          <w:kern w:val="0"/>
          <w:sz w:val="24"/>
          <w:szCs w:val="24"/>
          <w:highlight w:val="none"/>
          <w:lang w:val="en-US" w:eastAsia="zh-CN"/>
        </w:rPr>
        <w:t>粮、油□；干货调味品□；面点、乳制品□；水产□；冷鲜肉□；冷冻制品及冷冻家禽□ ；蔬菜、蛋、豆制品□；水果□</w:t>
      </w:r>
      <w:r>
        <w:rPr>
          <w:rFonts w:hint="eastAsia" w:ascii="宋体" w:hAnsi="宋体"/>
          <w:b/>
          <w:color w:val="auto"/>
          <w:kern w:val="0"/>
          <w:sz w:val="24"/>
          <w:szCs w:val="24"/>
          <w:highlight w:val="none"/>
        </w:rPr>
        <w:t>（对应勾选，涂改无效）</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w:t>
      </w:r>
      <w:r>
        <w:rPr>
          <w:rFonts w:hint="eastAsia" w:ascii="宋体" w:hAnsi="宋体" w:cs="宋体"/>
          <w:color w:val="auto"/>
          <w:kern w:val="0"/>
          <w:sz w:val="24"/>
          <w:szCs w:val="24"/>
          <w:highlight w:val="none"/>
          <w:lang w:val="en-US" w:eastAsia="zh-CN"/>
        </w:rPr>
        <w:t>政府采购</w:t>
      </w:r>
      <w:r>
        <w:rPr>
          <w:rFonts w:hint="eastAsia" w:ascii="宋体" w:hAnsi="宋体" w:cs="宋体"/>
          <w:color w:val="auto"/>
          <w:kern w:val="0"/>
          <w:sz w:val="24"/>
          <w:szCs w:val="24"/>
          <w:highlight w:val="none"/>
        </w:rPr>
        <w:t>法》、《中华人民共和国民法典》等法律法规的规定，</w:t>
      </w:r>
      <w:r>
        <w:rPr>
          <w:rFonts w:hint="eastAsia" w:ascii="宋体" w:hAnsi="宋体" w:eastAsia="宋体" w:cs="宋体"/>
          <w:color w:val="auto"/>
          <w:kern w:val="0"/>
          <w:sz w:val="24"/>
          <w:szCs w:val="24"/>
          <w:highlight w:val="none"/>
        </w:rPr>
        <w:t>甲乙双方按照“</w:t>
      </w:r>
      <w:r>
        <w:rPr>
          <w:rFonts w:hint="eastAsia" w:ascii="宋体" w:hAnsi="宋体" w:cs="宋体"/>
          <w:bCs/>
          <w:color w:val="auto"/>
          <w:kern w:val="0"/>
          <w:sz w:val="24"/>
          <w:szCs w:val="24"/>
          <w:highlight w:val="none"/>
          <w:lang w:eastAsia="zh-CN"/>
        </w:rPr>
        <w:t>南京市雨花台区2024-2025年中小学、幼儿园大宗食材供应及配送服务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结果，签订本合同。</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第一条 组成本合同的有关文件：下列关于“</w:t>
      </w:r>
      <w:r>
        <w:rPr>
          <w:rFonts w:hint="eastAsia" w:ascii="宋体" w:hAnsi="宋体"/>
          <w:color w:val="auto"/>
          <w:kern w:val="0"/>
          <w:sz w:val="24"/>
          <w:szCs w:val="24"/>
          <w:highlight w:val="none"/>
          <w:lang w:eastAsia="zh-CN"/>
        </w:rPr>
        <w:t>南京市雨花台区2024-2025年中小学、幼儿园大宗食材供应及配送服务</w:t>
      </w: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lang w:val="en-US" w:eastAsia="zh-CN"/>
        </w:rPr>
        <w:t>项目</w:t>
      </w:r>
      <w:r>
        <w:rPr>
          <w:rFonts w:hint="eastAsia" w:ascii="宋体" w:hAnsi="宋体"/>
          <w:color w:val="auto"/>
          <w:kern w:val="0"/>
          <w:sz w:val="24"/>
          <w:szCs w:val="24"/>
          <w:highlight w:val="none"/>
        </w:rPr>
        <w:t>编号</w:t>
      </w:r>
      <w:r>
        <w:rPr>
          <w:rFonts w:hint="eastAsia" w:ascii="宋体" w:hAnsi="宋体"/>
          <w:color w:val="auto"/>
          <w:kern w:val="0"/>
          <w:sz w:val="24"/>
          <w:szCs w:val="24"/>
          <w:highlight w:val="none"/>
          <w:lang w:eastAsia="zh-CN"/>
        </w:rPr>
        <w:t>：YSFHZB202302010）招投标文件或与本次采购活动方式相适应的文件及有关附件是本合同不可分割的组成部分，与</w:t>
      </w:r>
      <w:r>
        <w:rPr>
          <w:rFonts w:hint="eastAsia" w:ascii="宋体" w:hAnsi="宋体" w:cs="宋体"/>
          <w:color w:val="auto"/>
          <w:kern w:val="0"/>
          <w:sz w:val="24"/>
          <w:szCs w:val="24"/>
          <w:highlight w:val="none"/>
        </w:rPr>
        <w:t>本合同具有同等法律效力，这些文件包括但不限于：</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 甲方</w:t>
      </w:r>
      <w:r>
        <w:rPr>
          <w:rFonts w:hint="eastAsia" w:ascii="宋体" w:hAnsi="宋体"/>
          <w:color w:val="auto"/>
          <w:kern w:val="0"/>
          <w:sz w:val="24"/>
          <w:szCs w:val="24"/>
          <w:highlight w:val="none"/>
          <w:lang w:val="en-US" w:eastAsia="zh-CN"/>
        </w:rPr>
        <w:t>招标</w:t>
      </w:r>
      <w:r>
        <w:rPr>
          <w:rFonts w:hint="eastAsia" w:ascii="宋体" w:hAnsi="宋体"/>
          <w:color w:val="auto"/>
          <w:kern w:val="0"/>
          <w:sz w:val="24"/>
          <w:szCs w:val="24"/>
          <w:highlight w:val="none"/>
        </w:rPr>
        <w:t>文件；</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 乙方</w:t>
      </w:r>
      <w:r>
        <w:rPr>
          <w:rFonts w:hint="eastAsia" w:ascii="宋体" w:hAnsi="宋体"/>
          <w:color w:val="auto"/>
          <w:kern w:val="0"/>
          <w:sz w:val="24"/>
          <w:szCs w:val="24"/>
          <w:highlight w:val="none"/>
          <w:lang w:eastAsia="zh-CN"/>
        </w:rPr>
        <w:t>投标文件</w:t>
      </w: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3. 中标（入围入选）通知书；</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4. 甲方、乙方商定的其它必要文件。</w:t>
      </w:r>
    </w:p>
    <w:p>
      <w:pPr>
        <w:spacing w:line="360" w:lineRule="auto"/>
        <w:ind w:firstLine="480" w:firstLineChars="200"/>
        <w:rPr>
          <w:rFonts w:hint="eastAsia" w:ascii="宋体" w:hAnsi="宋体" w:eastAsiaTheme="minorEastAsia"/>
          <w:color w:val="auto"/>
          <w:kern w:val="0"/>
          <w:sz w:val="24"/>
          <w:szCs w:val="24"/>
          <w:highlight w:val="none"/>
          <w:lang w:eastAsia="zh-CN"/>
        </w:rPr>
      </w:pPr>
      <w:r>
        <w:rPr>
          <w:rFonts w:hint="eastAsia" w:ascii="宋体" w:hAnsi="宋体"/>
          <w:color w:val="auto"/>
          <w:kern w:val="0"/>
          <w:sz w:val="24"/>
          <w:szCs w:val="24"/>
          <w:highlight w:val="none"/>
        </w:rPr>
        <w:t>第二条 合同期限：</w:t>
      </w:r>
      <w:r>
        <w:rPr>
          <w:rFonts w:hint="eastAsia" w:ascii="宋体" w:hAnsi="宋体"/>
          <w:b/>
          <w:color w:val="auto"/>
          <w:kern w:val="0"/>
          <w:sz w:val="24"/>
          <w:szCs w:val="24"/>
          <w:highlight w:val="none"/>
          <w:lang w:val="en-US" w:eastAsia="zh-CN"/>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第三条 货物及数量：本合同所提供的货物详见乙方</w:t>
      </w:r>
      <w:r>
        <w:rPr>
          <w:rFonts w:hint="eastAsia" w:ascii="宋体" w:hAnsi="宋体"/>
          <w:color w:val="auto"/>
          <w:kern w:val="0"/>
          <w:sz w:val="24"/>
          <w:szCs w:val="24"/>
          <w:highlight w:val="none"/>
          <w:lang w:eastAsia="zh-CN"/>
        </w:rPr>
        <w:t>投标文件</w:t>
      </w:r>
      <w:r>
        <w:rPr>
          <w:rFonts w:hint="eastAsia" w:ascii="宋体" w:hAnsi="宋体"/>
          <w:color w:val="auto"/>
          <w:kern w:val="0"/>
          <w:sz w:val="24"/>
          <w:szCs w:val="24"/>
          <w:highlight w:val="none"/>
        </w:rPr>
        <w:t>。</w:t>
      </w:r>
    </w:p>
    <w:p>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第四条 价格核定</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粮、油</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干货调味品</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面点、乳制品</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水产；冷鲜肉（品目8—5</w:t>
      </w:r>
      <w:r>
        <w:rPr>
          <w:rFonts w:hint="eastAsia" w:asciiTheme="minorEastAsia" w:hAnsiTheme="minorEastAsia" w:eastAsiaTheme="minorEastAsia"/>
          <w:color w:val="auto"/>
          <w:kern w:val="0"/>
          <w:sz w:val="24"/>
          <w:szCs w:val="24"/>
          <w:highlight w:val="none"/>
        </w:rPr>
        <w:t>6项）；</w:t>
      </w:r>
      <w:r>
        <w:rPr>
          <w:rFonts w:hint="eastAsia" w:asciiTheme="minorEastAsia" w:hAnsiTheme="minorEastAsia" w:eastAsiaTheme="minorEastAsia"/>
          <w:color w:val="auto"/>
          <w:kern w:val="0"/>
          <w:sz w:val="24"/>
          <w:szCs w:val="24"/>
          <w:highlight w:val="none"/>
          <w:lang w:val="en-US" w:eastAsia="zh-CN"/>
        </w:rPr>
        <w:t>冷冻制品及冷冻家禽</w:t>
      </w:r>
      <w:r>
        <w:rPr>
          <w:rFonts w:hint="eastAsia" w:asciiTheme="minorEastAsia" w:hAnsiTheme="minorEastAsia" w:eastAsiaTheme="minorEastAsia"/>
          <w:color w:val="auto"/>
          <w:kern w:val="0"/>
          <w:sz w:val="24"/>
          <w:szCs w:val="24"/>
          <w:highlight w:val="none"/>
        </w:rPr>
        <w:t>；蔬菜</w:t>
      </w:r>
      <w:r>
        <w:rPr>
          <w:rFonts w:hint="eastAsia" w:asciiTheme="minorEastAsia" w:hAnsiTheme="minorEastAsia" w:eastAsiaTheme="minorEastAsia"/>
          <w:color w:val="auto"/>
          <w:kern w:val="0"/>
          <w:sz w:val="24"/>
          <w:szCs w:val="24"/>
          <w:highlight w:val="none"/>
          <w:lang w:val="en-US" w:eastAsia="zh-CN"/>
        </w:rPr>
        <w:t>、蛋、豆制品</w:t>
      </w:r>
      <w:r>
        <w:rPr>
          <w:rFonts w:hint="eastAsia" w:asciiTheme="minorEastAsia" w:hAnsiTheme="minorEastAsia" w:eastAsiaTheme="minorEastAsia"/>
          <w:color w:val="auto"/>
          <w:kern w:val="0"/>
          <w:sz w:val="24"/>
          <w:szCs w:val="24"/>
          <w:highlight w:val="none"/>
        </w:rPr>
        <w:t>（品目25—</w:t>
      </w:r>
      <w:r>
        <w:rPr>
          <w:rFonts w:hint="eastAsia" w:asciiTheme="minorEastAsia" w:hAnsiTheme="minorEastAsia" w:eastAsiaTheme="minorEastAsia"/>
          <w:color w:val="auto"/>
          <w:kern w:val="0"/>
          <w:sz w:val="24"/>
          <w:szCs w:val="24"/>
          <w:highlight w:val="none"/>
          <w:lang w:val="en-US" w:eastAsia="zh-CN"/>
        </w:rPr>
        <w:t>236</w:t>
      </w:r>
      <w:r>
        <w:rPr>
          <w:rFonts w:hint="eastAsia" w:asciiTheme="minorEastAsia" w:hAnsiTheme="minorEastAsia" w:eastAsiaTheme="minorEastAsia"/>
          <w:color w:val="auto"/>
          <w:kern w:val="0"/>
          <w:sz w:val="24"/>
          <w:szCs w:val="24"/>
          <w:highlight w:val="none"/>
        </w:rPr>
        <w:t>项）；</w:t>
      </w:r>
      <w:r>
        <w:rPr>
          <w:rFonts w:hint="eastAsia" w:asciiTheme="minorEastAsia" w:hAnsiTheme="minorEastAsia" w:eastAsiaTheme="minorEastAsia"/>
          <w:color w:val="auto"/>
          <w:kern w:val="0"/>
          <w:sz w:val="24"/>
          <w:szCs w:val="24"/>
          <w:highlight w:val="none"/>
          <w:lang w:val="en-US" w:eastAsia="zh-CN"/>
        </w:rPr>
        <w:t>水果；</w:t>
      </w:r>
      <w:r>
        <w:rPr>
          <w:rFonts w:hint="eastAsia" w:asciiTheme="minorEastAsia" w:hAnsiTheme="minorEastAsia" w:eastAsiaTheme="minorEastAsia"/>
          <w:color w:val="auto"/>
          <w:kern w:val="0"/>
          <w:sz w:val="24"/>
          <w:szCs w:val="24"/>
          <w:highlight w:val="none"/>
        </w:rPr>
        <w:t>所有的入围供应商在全年服务期限内，根据采购文件提供的折扣率计算参考价*（1-所投品目平均折扣率），若计算价格低于所投报价，则以“折扣率计算参考价*（1-所投品目平均折扣率）”的价格为执行价；若计算价格高于等于所投报价，则以所投报价的价格为执行价。无论市场如何变动，供应价格按招标文件要求保持不变。</w:t>
      </w:r>
    </w:p>
    <w:p>
      <w:pPr>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val="en-US" w:eastAsia="zh-CN"/>
        </w:rPr>
        <w:t>冷鲜肉</w:t>
      </w:r>
      <w:r>
        <w:rPr>
          <w:rFonts w:hint="eastAsia" w:asciiTheme="minorEastAsia" w:hAnsiTheme="minorEastAsia" w:eastAsiaTheme="minorEastAsia"/>
          <w:color w:val="auto"/>
          <w:kern w:val="0"/>
          <w:sz w:val="24"/>
          <w:szCs w:val="24"/>
          <w:highlight w:val="none"/>
        </w:rPr>
        <w:t>品目1-7项</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蔬菜</w:t>
      </w:r>
      <w:r>
        <w:rPr>
          <w:rFonts w:hint="eastAsia" w:asciiTheme="minorEastAsia" w:hAnsiTheme="minorEastAsia" w:eastAsiaTheme="minorEastAsia"/>
          <w:color w:val="auto"/>
          <w:kern w:val="0"/>
          <w:sz w:val="24"/>
          <w:szCs w:val="24"/>
          <w:highlight w:val="none"/>
          <w:lang w:val="en-US" w:eastAsia="zh-CN"/>
        </w:rPr>
        <w:t>、蛋、豆制品</w:t>
      </w:r>
      <w:r>
        <w:rPr>
          <w:rFonts w:hint="eastAsia" w:asciiTheme="minorEastAsia" w:hAnsiTheme="minorEastAsia" w:eastAsiaTheme="minorEastAsia"/>
          <w:color w:val="auto"/>
          <w:kern w:val="0"/>
          <w:sz w:val="24"/>
          <w:szCs w:val="24"/>
          <w:highlight w:val="none"/>
        </w:rPr>
        <w:t>品目1-24项</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在一定周期内（月），以南京市发改委网站公布的月平均价格乘以所报（1-蔬菜</w:t>
      </w:r>
      <w:r>
        <w:rPr>
          <w:rFonts w:hint="eastAsia" w:asciiTheme="minorEastAsia" w:hAnsiTheme="minorEastAsia" w:eastAsiaTheme="minorEastAsia"/>
          <w:color w:val="auto"/>
          <w:kern w:val="0"/>
          <w:sz w:val="24"/>
          <w:szCs w:val="24"/>
          <w:highlight w:val="none"/>
          <w:lang w:val="en-US" w:eastAsia="zh-CN"/>
        </w:rPr>
        <w:t>、蛋、豆制品</w:t>
      </w:r>
      <w:r>
        <w:rPr>
          <w:rFonts w:hint="eastAsia" w:asciiTheme="minorEastAsia" w:hAnsiTheme="minorEastAsia" w:eastAsiaTheme="minorEastAsia"/>
          <w:color w:val="auto"/>
          <w:kern w:val="0"/>
          <w:sz w:val="24"/>
          <w:szCs w:val="24"/>
          <w:highlight w:val="none"/>
        </w:rPr>
        <w:t>品目1-24项或</w:t>
      </w:r>
      <w:r>
        <w:rPr>
          <w:rFonts w:hint="eastAsia" w:asciiTheme="minorEastAsia" w:hAnsiTheme="minorEastAsia" w:eastAsiaTheme="minorEastAsia"/>
          <w:color w:val="auto"/>
          <w:kern w:val="0"/>
          <w:sz w:val="24"/>
          <w:szCs w:val="24"/>
          <w:highlight w:val="none"/>
          <w:lang w:val="en-US" w:eastAsia="zh-CN"/>
        </w:rPr>
        <w:t>冷鲜肉</w:t>
      </w:r>
      <w:r>
        <w:rPr>
          <w:rFonts w:hint="eastAsia" w:asciiTheme="minorEastAsia" w:hAnsiTheme="minorEastAsia" w:eastAsiaTheme="minorEastAsia"/>
          <w:color w:val="auto"/>
          <w:kern w:val="0"/>
          <w:sz w:val="24"/>
          <w:szCs w:val="24"/>
          <w:highlight w:val="none"/>
        </w:rPr>
        <w:t>品目1-7项所投品目平均折扣率）作为结算价，若结算价格高于南京市发改委网站公布的月平均价格*（1-所投品目折扣率）的价格，则按照南京市发改委网站公布的月平均价格*（1-所投品目折扣率）作为结算价。</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第五条 付款条件：</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 本合同货物在规定的时间内供应、配送并经学校验收合格后，由乙方向甲方提交完备有效单据和合法合规票据后，由甲方按约定的付款条件付款。</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 货款结算方式为月结，乙方需于次月</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日前向甲方提供正式发票及结算清单，甲方需于次月</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日前向乙方支付上月货款。若发票户名、开户行、账号与供货单位不一致，甲方不予付款。</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第六条 交货时间和地点</w:t>
      </w:r>
      <w:r>
        <w:rPr>
          <w:rFonts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 本合同货物的交付周期为（□月供货、□周供货，□日供货）同时，乙方应能按甲方要求及时补货。具体交货时间以乙方与甲方约定为准。</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 交货地点为：</w:t>
      </w:r>
      <w:r>
        <w:rPr>
          <w:rFonts w:ascii="宋体" w:hAnsi="宋体"/>
          <w:color w:val="auto"/>
          <w:kern w:val="0"/>
          <w:sz w:val="24"/>
          <w:szCs w:val="24"/>
          <w:highlight w:val="none"/>
          <w:u w:val="single"/>
        </w:rPr>
        <w:t>            </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甲方食堂指定地点，并按要求摆放整齐。配送费用由乙方承担。乙方运输工具进入学校，必须接受甲方统一管理，发生任何人员与设施损伤，均由乙方承担责任。</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第七条 质量保证</w:t>
      </w:r>
      <w:r>
        <w:rPr>
          <w:rFonts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 乙方应严格遵守《食品安全法》和《动物检疫法》等相关规定，严格保证所提供货物符合国家相关产品质量标准，符合国家各级强制性规范的要求。拥有“</w:t>
      </w:r>
      <w:r>
        <w:rPr>
          <w:rFonts w:ascii="宋体" w:hAnsi="宋体"/>
          <w:color w:val="auto"/>
          <w:kern w:val="0"/>
          <w:sz w:val="24"/>
          <w:szCs w:val="24"/>
          <w:highlight w:val="none"/>
        </w:rPr>
        <w:t>QS</w:t>
      </w:r>
      <w:r>
        <w:rPr>
          <w:rFonts w:hint="eastAsia" w:ascii="宋体" w:hAnsi="宋体"/>
          <w:color w:val="auto"/>
          <w:kern w:val="0"/>
          <w:sz w:val="24"/>
          <w:szCs w:val="24"/>
          <w:highlight w:val="none"/>
        </w:rPr>
        <w:t>”食品质量安全认证，具有动物检验检疫证明，提供残留农药检测达标报告。货物必须卫生新鲜、质量达标、品种规格准确、数量保证。</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 甲方对乙方所提供货物的质量具有检测权，检测费用由乙方承担；上级质监部门如对乙方所提供的货物进行检测，检测费也由乙方承担，费用从乙方结算货款中扣除。一旦发现乙方所提供的货物不符合以上约定，乙方无条件接受甲方降价、减重、退货（视具体情况定）处理，并及时送达质量合格的相同品种货物，确保甲方正常计划使用需求。乙方所供货物有质量问题，乙方未能及时采取补救措施，给甲方造成的一切损失由乙方承担。如出现因食用其提供的食品导致食源性疾病的事故发生，乙方应对此承担一切法律责任。</w:t>
      </w:r>
    </w:p>
    <w:p>
      <w:pPr>
        <w:numPr>
          <w:ilvl w:val="0"/>
          <w:numId w:val="8"/>
        </w:numPr>
        <w:spacing w:line="360" w:lineRule="auto"/>
        <w:ind w:firstLine="480" w:firstLineChars="20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rPr>
        <w:t>服务</w:t>
      </w:r>
      <w:r>
        <w:rPr>
          <w:rFonts w:hint="eastAsia" w:ascii="宋体" w:hAnsi="宋体"/>
          <w:color w:val="auto"/>
          <w:kern w:val="0"/>
          <w:sz w:val="24"/>
          <w:szCs w:val="24"/>
          <w:highlight w:val="none"/>
          <w:lang w:val="en-US" w:eastAsia="zh-CN"/>
        </w:rPr>
        <w:t>及运输车辆管理：</w:t>
      </w:r>
    </w:p>
    <w:p>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rPr>
        <w:t>乙方需免费指导甲方正确使用其产品。</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2.乙方需将符合相关食品安全规定的运输车辆车牌号录入学校进出场车辆管理系统，未录入管理系统的车辆禁止配送，若发生车辆更换情形需至甲方报备，否则乙方承担由此所带来的一切损失。</w:t>
      </w:r>
    </w:p>
    <w:p>
      <w:pPr>
        <w:spacing w:line="360" w:lineRule="auto"/>
        <w:ind w:firstLine="480" w:firstLineChars="20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rPr>
        <w:t xml:space="preserve">第九条 </w:t>
      </w:r>
      <w:r>
        <w:rPr>
          <w:rFonts w:hint="eastAsia" w:ascii="宋体" w:hAnsi="宋体"/>
          <w:color w:val="auto"/>
          <w:kern w:val="0"/>
          <w:sz w:val="24"/>
          <w:szCs w:val="24"/>
          <w:highlight w:val="none"/>
          <w:lang w:val="en-US" w:eastAsia="zh-CN"/>
        </w:rPr>
        <w:t>履约保证金：</w:t>
      </w:r>
    </w:p>
    <w:p>
      <w:pPr>
        <w:spacing w:line="360" w:lineRule="auto"/>
        <w:ind w:firstLine="480" w:firstLineChars="200"/>
        <w:rPr>
          <w:rFonts w:hint="eastAsia" w:ascii="宋体" w:hAnsi="宋体"/>
          <w:b/>
          <w:color w:val="auto"/>
          <w:kern w:val="0"/>
          <w:sz w:val="24"/>
          <w:szCs w:val="24"/>
          <w:highlight w:val="none"/>
        </w:rPr>
      </w:pPr>
      <w:r>
        <w:rPr>
          <w:rFonts w:ascii="宋体" w:hAnsi="宋体"/>
          <w:color w:val="auto"/>
          <w:kern w:val="0"/>
          <w:sz w:val="24"/>
          <w:szCs w:val="24"/>
          <w:highlight w:val="none"/>
        </w:rPr>
        <w:t>1</w:t>
      </w:r>
      <w:r>
        <w:rPr>
          <w:rFonts w:hint="eastAsia" w:ascii="宋体" w:hAnsi="宋体"/>
          <w:color w:val="auto"/>
          <w:kern w:val="0"/>
          <w:sz w:val="24"/>
          <w:szCs w:val="24"/>
          <w:highlight w:val="none"/>
        </w:rPr>
        <w:t>．</w:t>
      </w:r>
      <w:r>
        <w:rPr>
          <w:rFonts w:hint="eastAsia" w:ascii="宋体" w:hAnsi="宋体"/>
          <w:b/>
          <w:color w:val="auto"/>
          <w:kern w:val="0"/>
          <w:sz w:val="24"/>
          <w:szCs w:val="24"/>
          <w:highlight w:val="none"/>
        </w:rPr>
        <w:t>履约保函请于</w:t>
      </w:r>
      <w:r>
        <w:rPr>
          <w:rFonts w:hint="eastAsia" w:ascii="宋体" w:hAnsi="宋体"/>
          <w:b/>
          <w:color w:val="auto"/>
          <w:kern w:val="0"/>
          <w:sz w:val="24"/>
          <w:szCs w:val="24"/>
          <w:highlight w:val="none"/>
          <w:u w:val="single"/>
          <w:lang w:val="en-US" w:eastAsia="zh-CN"/>
        </w:rPr>
        <w:t xml:space="preserve">   </w:t>
      </w:r>
      <w:r>
        <w:rPr>
          <w:rFonts w:hint="eastAsia" w:ascii="宋体" w:hAnsi="宋体"/>
          <w:b/>
          <w:color w:val="auto"/>
          <w:kern w:val="0"/>
          <w:sz w:val="24"/>
          <w:szCs w:val="24"/>
          <w:highlight w:val="none"/>
        </w:rPr>
        <w:t>年</w:t>
      </w:r>
      <w:r>
        <w:rPr>
          <w:rFonts w:hint="eastAsia" w:ascii="宋体" w:hAnsi="宋体"/>
          <w:b/>
          <w:color w:val="auto"/>
          <w:kern w:val="0"/>
          <w:sz w:val="24"/>
          <w:szCs w:val="24"/>
          <w:highlight w:val="none"/>
          <w:u w:val="single"/>
          <w:lang w:val="en-US" w:eastAsia="zh-CN"/>
        </w:rPr>
        <w:t xml:space="preserve">  </w:t>
      </w:r>
      <w:r>
        <w:rPr>
          <w:rFonts w:hint="eastAsia" w:ascii="宋体" w:hAnsi="宋体"/>
          <w:b/>
          <w:color w:val="auto"/>
          <w:kern w:val="0"/>
          <w:sz w:val="24"/>
          <w:szCs w:val="24"/>
          <w:highlight w:val="none"/>
        </w:rPr>
        <w:t>月</w:t>
      </w:r>
      <w:r>
        <w:rPr>
          <w:rFonts w:hint="eastAsia" w:ascii="宋体" w:hAnsi="宋体"/>
          <w:b/>
          <w:color w:val="auto"/>
          <w:kern w:val="0"/>
          <w:sz w:val="24"/>
          <w:szCs w:val="24"/>
          <w:highlight w:val="none"/>
          <w:u w:val="single"/>
          <w:lang w:val="en-US" w:eastAsia="zh-CN"/>
        </w:rPr>
        <w:t xml:space="preserve">  </w:t>
      </w:r>
      <w:r>
        <w:rPr>
          <w:rFonts w:hint="eastAsia" w:ascii="宋体" w:hAnsi="宋体"/>
          <w:b/>
          <w:color w:val="auto"/>
          <w:kern w:val="0"/>
          <w:sz w:val="24"/>
          <w:szCs w:val="24"/>
          <w:highlight w:val="none"/>
        </w:rPr>
        <w:t>日前送达雨花台区教育局校管科。</w:t>
      </w:r>
    </w:p>
    <w:p>
      <w:pPr>
        <w:spacing w:line="360" w:lineRule="auto"/>
        <w:ind w:firstLine="480" w:firstLineChars="20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2.本合同执行过程中乙方无本合同约定的违约责任，且合同到期后10天内退还履约保证金（不计利息）。</w:t>
      </w:r>
    </w:p>
    <w:p>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 xml:space="preserve">第十条 </w:t>
      </w:r>
      <w:r>
        <w:rPr>
          <w:rFonts w:hint="eastAsia" w:ascii="宋体" w:hAnsi="宋体"/>
          <w:color w:val="auto"/>
          <w:kern w:val="0"/>
          <w:sz w:val="24"/>
          <w:szCs w:val="24"/>
          <w:highlight w:val="none"/>
        </w:rPr>
        <w:t>违约责任：</w:t>
      </w:r>
    </w:p>
    <w:p>
      <w:pPr>
        <w:spacing w:line="360" w:lineRule="auto"/>
        <w:ind w:firstLine="480" w:firstLineChars="200"/>
        <w:rPr>
          <w:rFonts w:ascii="宋体" w:hAnsi="宋体"/>
          <w:b/>
          <w:color w:val="auto"/>
          <w:kern w:val="0"/>
          <w:sz w:val="24"/>
          <w:szCs w:val="24"/>
          <w:highlight w:val="none"/>
        </w:rPr>
      </w:pP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rPr>
        <w:t>因乙方配送不及时导致甲方伙食供应延误的，合同立即终止。并扣除全部履约保证金。</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．因乙方配送不及时导致甲方伙食供应延时且经乙方采取补救措施未造成甲方不良影响的，第一次扣除履约保证金的</w:t>
      </w:r>
      <w:r>
        <w:rPr>
          <w:rFonts w:ascii="宋体" w:hAnsi="宋体"/>
          <w:color w:val="auto"/>
          <w:kern w:val="0"/>
          <w:sz w:val="24"/>
          <w:szCs w:val="24"/>
          <w:highlight w:val="none"/>
        </w:rPr>
        <w:t>10%</w:t>
      </w:r>
      <w:r>
        <w:rPr>
          <w:rFonts w:hint="eastAsia" w:ascii="宋体" w:hAnsi="宋体"/>
          <w:color w:val="auto"/>
          <w:kern w:val="0"/>
          <w:sz w:val="24"/>
          <w:szCs w:val="24"/>
          <w:highlight w:val="none"/>
        </w:rPr>
        <w:t>，第二次扣除履约保证金的</w:t>
      </w:r>
      <w:r>
        <w:rPr>
          <w:rFonts w:ascii="宋体" w:hAnsi="宋体"/>
          <w:color w:val="auto"/>
          <w:kern w:val="0"/>
          <w:sz w:val="24"/>
          <w:szCs w:val="24"/>
          <w:highlight w:val="none"/>
        </w:rPr>
        <w:t>30%</w:t>
      </w:r>
      <w:r>
        <w:rPr>
          <w:rFonts w:hint="eastAsia" w:ascii="宋体" w:hAnsi="宋体"/>
          <w:color w:val="auto"/>
          <w:kern w:val="0"/>
          <w:sz w:val="24"/>
          <w:szCs w:val="24"/>
          <w:highlight w:val="none"/>
        </w:rPr>
        <w:t>，第三次扣除履约保证金的</w:t>
      </w:r>
      <w:r>
        <w:rPr>
          <w:rFonts w:ascii="宋体" w:hAnsi="宋体"/>
          <w:color w:val="auto"/>
          <w:kern w:val="0"/>
          <w:sz w:val="24"/>
          <w:szCs w:val="24"/>
          <w:highlight w:val="none"/>
        </w:rPr>
        <w:t>60%</w:t>
      </w:r>
      <w:r>
        <w:rPr>
          <w:rFonts w:hint="eastAsia" w:ascii="宋体" w:hAnsi="宋体"/>
          <w:color w:val="auto"/>
          <w:kern w:val="0"/>
          <w:sz w:val="24"/>
          <w:szCs w:val="24"/>
          <w:highlight w:val="none"/>
        </w:rPr>
        <w:t>且终止合同。</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3</w:t>
      </w:r>
      <w:r>
        <w:rPr>
          <w:rFonts w:hint="eastAsia" w:ascii="宋体" w:hAnsi="宋体"/>
          <w:color w:val="auto"/>
          <w:kern w:val="0"/>
          <w:sz w:val="24"/>
          <w:szCs w:val="24"/>
          <w:highlight w:val="none"/>
        </w:rPr>
        <w:t>．甲方临时增加用餐人员</w:t>
      </w:r>
      <w:r>
        <w:rPr>
          <w:rFonts w:ascii="宋体" w:hAnsi="宋体"/>
          <w:color w:val="auto"/>
          <w:kern w:val="0"/>
          <w:sz w:val="24"/>
          <w:szCs w:val="24"/>
          <w:highlight w:val="none"/>
        </w:rPr>
        <w:t>,</w:t>
      </w:r>
      <w:r>
        <w:rPr>
          <w:rFonts w:hint="eastAsia" w:ascii="宋体" w:hAnsi="宋体"/>
          <w:color w:val="auto"/>
          <w:kern w:val="0"/>
          <w:sz w:val="24"/>
          <w:szCs w:val="24"/>
          <w:highlight w:val="none"/>
        </w:rPr>
        <w:t>需临时补充原料的</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乙方应在约定时间内无条件把指定的原料送至指定的地点</w:t>
      </w:r>
      <w:r>
        <w:rPr>
          <w:rFonts w:ascii="宋体" w:hAnsi="宋体"/>
          <w:color w:val="auto"/>
          <w:kern w:val="0"/>
          <w:sz w:val="24"/>
          <w:szCs w:val="24"/>
          <w:highlight w:val="none"/>
        </w:rPr>
        <w:t>,</w:t>
      </w:r>
      <w:r>
        <w:rPr>
          <w:rFonts w:hint="eastAsia" w:ascii="宋体" w:hAnsi="宋体"/>
          <w:color w:val="auto"/>
          <w:kern w:val="0"/>
          <w:sz w:val="24"/>
          <w:szCs w:val="24"/>
          <w:highlight w:val="none"/>
        </w:rPr>
        <w:t>否则，按第</w:t>
      </w:r>
      <w:r>
        <w:rPr>
          <w:rFonts w:ascii="宋体" w:hAnsi="宋体"/>
          <w:color w:val="auto"/>
          <w:kern w:val="0"/>
          <w:sz w:val="24"/>
          <w:szCs w:val="24"/>
          <w:highlight w:val="none"/>
        </w:rPr>
        <w:t>2</w:t>
      </w:r>
      <w:r>
        <w:rPr>
          <w:rFonts w:hint="eastAsia" w:ascii="宋体" w:hAnsi="宋体"/>
          <w:color w:val="auto"/>
          <w:kern w:val="0"/>
          <w:sz w:val="24"/>
          <w:szCs w:val="24"/>
          <w:highlight w:val="none"/>
        </w:rPr>
        <w:t>条处理。</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4</w:t>
      </w:r>
      <w:r>
        <w:rPr>
          <w:rFonts w:hint="eastAsia" w:ascii="宋体" w:hAnsi="宋体"/>
          <w:color w:val="auto"/>
          <w:kern w:val="0"/>
          <w:sz w:val="24"/>
          <w:szCs w:val="24"/>
          <w:highlight w:val="none"/>
        </w:rPr>
        <w:t>．凡经相关部门认定，如因乙方所提供的原料原因造成甲方出现食源性疾病等卫生事故的，乙方除必须承担全部的法律责任外，还要全额承担因食源性疾病发生造成后果的一切费用。甲方立即停止乙方供货，并暂扣当月所有供应原料的货款作为乙方的赔偿预付款。</w:t>
      </w:r>
      <w:r>
        <w:rPr>
          <w:rFonts w:hint="eastAsia" w:ascii="宋体" w:hAnsi="宋体" w:eastAsia="宋体" w:cs="宋体"/>
          <w:color w:val="auto"/>
          <w:kern w:val="0"/>
          <w:sz w:val="24"/>
          <w:szCs w:val="24"/>
          <w:highlight w:val="none"/>
        </w:rPr>
        <w:t>并扣除全部履约保证金。</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5</w:t>
      </w:r>
      <w:r>
        <w:rPr>
          <w:rFonts w:hint="eastAsia" w:ascii="宋体" w:hAnsi="宋体"/>
          <w:color w:val="auto"/>
          <w:kern w:val="0"/>
          <w:sz w:val="24"/>
          <w:szCs w:val="24"/>
          <w:highlight w:val="none"/>
        </w:rPr>
        <w:t>．凡乙方向甲方提供的产品发生质量问题，影响食用，乙方须启动应急方案，让甲方能准时安全的用餐，因此产生的一切费用由乙方全额承担。情节较轻，未造成人生伤害的，扣除履约保证金的50%；情节严重，造成人生伤害的，按照本条款第4条处理。</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w:t>
      </w:r>
      <w:r>
        <w:rPr>
          <w:rFonts w:hint="eastAsia" w:asciiTheme="minorEastAsia" w:hAnsiTheme="minorEastAsia"/>
          <w:color w:val="auto"/>
          <w:kern w:val="0"/>
          <w:sz w:val="24"/>
          <w:szCs w:val="24"/>
          <w:highlight w:val="none"/>
        </w:rPr>
        <w:t>丙方</w:t>
      </w:r>
      <w:bookmarkStart w:id="23" w:name="_Hlk143946837"/>
      <w:r>
        <w:rPr>
          <w:rFonts w:asciiTheme="minorEastAsia" w:hAnsiTheme="minorEastAsia"/>
          <w:color w:val="auto"/>
          <w:kern w:val="0"/>
          <w:sz w:val="24"/>
          <w:szCs w:val="24"/>
          <w:highlight w:val="none"/>
        </w:rPr>
        <w:t>将不定期地组织专人对</w:t>
      </w:r>
      <w:r>
        <w:rPr>
          <w:rFonts w:hint="eastAsia" w:asciiTheme="minorEastAsia" w:hAnsiTheme="minorEastAsia"/>
          <w:color w:val="auto"/>
          <w:kern w:val="0"/>
          <w:sz w:val="24"/>
          <w:szCs w:val="24"/>
          <w:highlight w:val="none"/>
        </w:rPr>
        <w:t>乙方</w:t>
      </w:r>
      <w:r>
        <w:rPr>
          <w:rFonts w:asciiTheme="minorEastAsia" w:hAnsiTheme="minorEastAsia"/>
          <w:color w:val="auto"/>
          <w:kern w:val="0"/>
          <w:sz w:val="24"/>
          <w:szCs w:val="24"/>
          <w:highlight w:val="none"/>
        </w:rPr>
        <w:t>进行考察</w:t>
      </w:r>
      <w:r>
        <w:rPr>
          <w:rFonts w:hint="eastAsia" w:asciiTheme="minorEastAsia" w:hAnsiTheme="minorEastAsia"/>
          <w:color w:val="auto"/>
          <w:kern w:val="0"/>
          <w:sz w:val="24"/>
          <w:szCs w:val="24"/>
          <w:highlight w:val="none"/>
        </w:rPr>
        <w:t>，</w:t>
      </w:r>
      <w:r>
        <w:rPr>
          <w:rFonts w:asciiTheme="minorEastAsia" w:hAnsiTheme="minorEastAsia"/>
          <w:color w:val="auto"/>
          <w:kern w:val="0"/>
          <w:sz w:val="24"/>
          <w:szCs w:val="24"/>
          <w:highlight w:val="none"/>
        </w:rPr>
        <w:t>考察中若对所供原材料有质疑</w:t>
      </w:r>
      <w:r>
        <w:rPr>
          <w:rFonts w:hint="eastAsia" w:asciiTheme="minorEastAsia" w:hAnsiTheme="minorEastAsia"/>
          <w:color w:val="auto"/>
          <w:kern w:val="0"/>
          <w:sz w:val="24"/>
          <w:szCs w:val="24"/>
          <w:highlight w:val="none"/>
        </w:rPr>
        <w:t>，</w:t>
      </w:r>
      <w:r>
        <w:rPr>
          <w:rFonts w:asciiTheme="minorEastAsia" w:hAnsiTheme="minorEastAsia"/>
          <w:color w:val="auto"/>
          <w:kern w:val="0"/>
          <w:sz w:val="24"/>
          <w:szCs w:val="24"/>
          <w:highlight w:val="none"/>
        </w:rPr>
        <w:t>可要求</w:t>
      </w:r>
      <w:r>
        <w:rPr>
          <w:rFonts w:hint="eastAsia" w:asciiTheme="minorEastAsia" w:hAnsiTheme="minorEastAsia"/>
          <w:color w:val="auto"/>
          <w:kern w:val="0"/>
          <w:sz w:val="24"/>
          <w:szCs w:val="24"/>
          <w:highlight w:val="none"/>
        </w:rPr>
        <w:t>乙方</w:t>
      </w:r>
      <w:r>
        <w:rPr>
          <w:rFonts w:asciiTheme="minorEastAsia" w:hAnsiTheme="minorEastAsia"/>
          <w:color w:val="auto"/>
          <w:kern w:val="0"/>
          <w:sz w:val="24"/>
          <w:szCs w:val="24"/>
          <w:highlight w:val="none"/>
        </w:rPr>
        <w:t>抽样质检</w:t>
      </w:r>
      <w:r>
        <w:rPr>
          <w:rFonts w:hint="eastAsia" w:asciiTheme="minorEastAsia" w:hAnsiTheme="minorEastAsia"/>
          <w:color w:val="auto"/>
          <w:kern w:val="0"/>
          <w:sz w:val="24"/>
          <w:szCs w:val="24"/>
          <w:highlight w:val="none"/>
        </w:rPr>
        <w:t>，</w:t>
      </w:r>
      <w:r>
        <w:rPr>
          <w:rFonts w:asciiTheme="minorEastAsia" w:hAnsiTheme="minorEastAsia"/>
          <w:color w:val="auto"/>
          <w:kern w:val="0"/>
          <w:sz w:val="24"/>
          <w:szCs w:val="24"/>
          <w:highlight w:val="none"/>
        </w:rPr>
        <w:t>并出具相关权威部门的质检报告</w:t>
      </w:r>
      <w:r>
        <w:rPr>
          <w:rFonts w:hint="eastAsia" w:ascii="宋体" w:hAnsi="宋体"/>
          <w:color w:val="auto"/>
          <w:kern w:val="0"/>
          <w:sz w:val="24"/>
          <w:szCs w:val="24"/>
          <w:highlight w:val="none"/>
        </w:rPr>
        <w:t>，若发现货物质量检测结果与集中采购文件质量标准不符，丙方有权要求甲方酌情对乙方予以罚款、没收履约保证金、解除合同等处罚。</w:t>
      </w:r>
    </w:p>
    <w:bookmarkEnd w:id="23"/>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7</w:t>
      </w:r>
      <w:r>
        <w:rPr>
          <w:rFonts w:hint="eastAsia" w:ascii="宋体" w:hAnsi="宋体"/>
          <w:color w:val="auto"/>
          <w:kern w:val="0"/>
          <w:sz w:val="24"/>
          <w:szCs w:val="24"/>
          <w:highlight w:val="none"/>
        </w:rPr>
        <w:t>．凡定量包装货品应符合相关规定，足量供应。如有供应货物串规、短斤少两的，一经查实，乙方均需按当月总釆购量的</w:t>
      </w:r>
      <w:r>
        <w:rPr>
          <w:rFonts w:ascii="宋体" w:hAnsi="宋体"/>
          <w:color w:val="auto"/>
          <w:kern w:val="0"/>
          <w:sz w:val="24"/>
          <w:szCs w:val="24"/>
          <w:highlight w:val="none"/>
        </w:rPr>
        <w:t>3</w:t>
      </w:r>
      <w:r>
        <w:rPr>
          <w:rFonts w:hint="eastAsia" w:ascii="宋体" w:hAnsi="宋体"/>
          <w:color w:val="auto"/>
          <w:kern w:val="0"/>
          <w:sz w:val="24"/>
          <w:szCs w:val="24"/>
          <w:highlight w:val="none"/>
        </w:rPr>
        <w:t>倍误差值作为向甲方支付的违约金。</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8</w:t>
      </w:r>
      <w:r>
        <w:rPr>
          <w:rFonts w:hint="eastAsia" w:ascii="宋体" w:hAnsi="宋体"/>
          <w:color w:val="auto"/>
          <w:kern w:val="0"/>
          <w:sz w:val="24"/>
          <w:szCs w:val="24"/>
          <w:highlight w:val="none"/>
        </w:rPr>
        <w:t>．乙方配送期间，不得中途转包及单方面终止承包，否则甲方有权没收全部履约保证金。</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第十</w:t>
      </w:r>
      <w:r>
        <w:rPr>
          <w:rFonts w:hint="eastAsia" w:ascii="宋体" w:hAnsi="宋体"/>
          <w:color w:val="auto"/>
          <w:kern w:val="0"/>
          <w:sz w:val="24"/>
          <w:szCs w:val="24"/>
          <w:highlight w:val="none"/>
          <w:lang w:val="en-US" w:eastAsia="zh-CN"/>
        </w:rPr>
        <w:t>一</w:t>
      </w:r>
      <w:r>
        <w:rPr>
          <w:rFonts w:hint="eastAsia" w:ascii="宋体" w:hAnsi="宋体"/>
          <w:color w:val="auto"/>
          <w:kern w:val="0"/>
          <w:sz w:val="24"/>
          <w:szCs w:val="24"/>
          <w:highlight w:val="none"/>
        </w:rPr>
        <w:t>条 争议的解决：</w:t>
      </w:r>
    </w:p>
    <w:p>
      <w:pPr>
        <w:spacing w:line="360" w:lineRule="auto"/>
        <w:ind w:firstLine="480" w:firstLineChars="200"/>
        <w:rPr>
          <w:rFonts w:ascii="宋体" w:hAnsi="宋体"/>
          <w:color w:val="auto"/>
          <w:kern w:val="0"/>
          <w:sz w:val="24"/>
          <w:szCs w:val="24"/>
          <w:highlight w:val="none"/>
        </w:rPr>
      </w:pPr>
      <w:bookmarkStart w:id="24" w:name="_Hlk143947342"/>
      <w:r>
        <w:rPr>
          <w:rFonts w:ascii="宋体" w:hAnsi="宋体"/>
          <w:color w:val="auto"/>
          <w:kern w:val="0"/>
          <w:sz w:val="24"/>
          <w:szCs w:val="24"/>
          <w:highlight w:val="none"/>
        </w:rPr>
        <w:t>1</w:t>
      </w:r>
      <w:r>
        <w:rPr>
          <w:rFonts w:hint="eastAsia" w:ascii="宋体" w:hAnsi="宋体"/>
          <w:color w:val="auto"/>
          <w:kern w:val="0"/>
          <w:sz w:val="24"/>
          <w:szCs w:val="24"/>
          <w:highlight w:val="none"/>
        </w:rPr>
        <w:t>．因货物的质量问题发生争议的，应当邀请国家认可的质量检测机构对货物质量进行鉴定。货物符合标准的，鉴定费由甲方承担；货物不符合质量标准的，鉴定费由乙方承担；</w:t>
      </w:r>
    </w:p>
    <w:p>
      <w:pPr>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．因履行本合同引起的或与本合同有关的争议，甲、乙双方应首先通过友好协商解决，如果协商不能解决争议，则采取以下方式解决争议：（</w:t>
      </w:r>
      <w:r>
        <w:rPr>
          <w:rFonts w:ascii="宋体" w:hAnsi="宋体"/>
          <w:color w:val="auto"/>
          <w:kern w:val="0"/>
          <w:sz w:val="24"/>
          <w:szCs w:val="24"/>
          <w:highlight w:val="none"/>
        </w:rPr>
        <w:t>1</w:t>
      </w:r>
      <w:r>
        <w:rPr>
          <w:rFonts w:hint="eastAsia" w:ascii="宋体" w:hAnsi="宋体"/>
          <w:color w:val="auto"/>
          <w:kern w:val="0"/>
          <w:sz w:val="24"/>
          <w:szCs w:val="24"/>
          <w:highlight w:val="none"/>
        </w:rPr>
        <w:t>）向甲方所在地有管辖权的人民法院提起诉讼；（</w:t>
      </w:r>
      <w:r>
        <w:rPr>
          <w:rFonts w:ascii="宋体" w:hAnsi="宋体"/>
          <w:color w:val="auto"/>
          <w:kern w:val="0"/>
          <w:sz w:val="24"/>
          <w:szCs w:val="24"/>
          <w:highlight w:val="none"/>
        </w:rPr>
        <w:t>2</w:t>
      </w:r>
      <w:r>
        <w:rPr>
          <w:rFonts w:hint="eastAsia" w:ascii="宋体" w:hAnsi="宋体"/>
          <w:color w:val="auto"/>
          <w:kern w:val="0"/>
          <w:sz w:val="24"/>
          <w:szCs w:val="24"/>
          <w:highlight w:val="none"/>
        </w:rPr>
        <w:t>）向南京仲裁委员会按其仲裁规则申请仲裁。</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3.在仲裁期间，本合同应继续履行。</w:t>
      </w:r>
    </w:p>
    <w:p>
      <w:pPr>
        <w:spacing w:line="360" w:lineRule="auto"/>
        <w:ind w:firstLine="480" w:firstLineChars="200"/>
        <w:rPr>
          <w:rFonts w:ascii="宋体" w:hAnsi="宋体"/>
          <w:color w:val="auto"/>
          <w:kern w:val="0"/>
          <w:highlight w:val="none"/>
        </w:rPr>
      </w:pPr>
      <w:r>
        <w:rPr>
          <w:rFonts w:hint="eastAsia" w:ascii="宋体" w:hAnsi="宋体"/>
          <w:color w:val="auto"/>
          <w:kern w:val="0"/>
          <w:sz w:val="24"/>
          <w:szCs w:val="24"/>
          <w:highlight w:val="none"/>
        </w:rPr>
        <w:t>第十</w:t>
      </w:r>
      <w:r>
        <w:rPr>
          <w:rFonts w:hint="eastAsia" w:ascii="宋体" w:hAnsi="宋体"/>
          <w:color w:val="auto"/>
          <w:kern w:val="0"/>
          <w:sz w:val="24"/>
          <w:szCs w:val="24"/>
          <w:highlight w:val="none"/>
          <w:lang w:val="en-US" w:eastAsia="zh-CN"/>
        </w:rPr>
        <w:t>二</w:t>
      </w:r>
      <w:r>
        <w:rPr>
          <w:rFonts w:hint="eastAsia" w:ascii="宋体" w:hAnsi="宋体"/>
          <w:color w:val="auto"/>
          <w:kern w:val="0"/>
          <w:sz w:val="24"/>
          <w:szCs w:val="24"/>
          <w:highlight w:val="none"/>
        </w:rPr>
        <w:t>条 合同生效及其他</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本合同经甲方、乙方授权代表签字盖章</w:t>
      </w:r>
      <w:r>
        <w:rPr>
          <w:rFonts w:hint="eastAsia" w:ascii="宋体" w:hAnsi="宋体"/>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丙方收到由乙方</w:t>
      </w:r>
      <w:r>
        <w:rPr>
          <w:rFonts w:hint="eastAsia" w:asciiTheme="minorEastAsia" w:hAnsiTheme="minorEastAsia"/>
          <w:color w:val="auto"/>
          <w:kern w:val="0"/>
          <w:sz w:val="24"/>
          <w:szCs w:val="24"/>
          <w:highlight w:val="none"/>
        </w:rPr>
        <w:t>以银行保函的形式向南京市</w:t>
      </w:r>
      <w:r>
        <w:rPr>
          <w:rFonts w:hint="eastAsia" w:asciiTheme="minorEastAsia" w:hAnsiTheme="minorEastAsia"/>
          <w:color w:val="auto"/>
          <w:kern w:val="0"/>
          <w:sz w:val="24"/>
          <w:szCs w:val="24"/>
          <w:highlight w:val="none"/>
          <w:lang w:val="en-US" w:eastAsia="zh-CN"/>
        </w:rPr>
        <w:t>雨花台区</w:t>
      </w:r>
      <w:r>
        <w:rPr>
          <w:rFonts w:hint="eastAsia" w:asciiTheme="minorEastAsia" w:hAnsiTheme="minorEastAsia"/>
          <w:color w:val="auto"/>
          <w:kern w:val="0"/>
          <w:sz w:val="24"/>
          <w:szCs w:val="24"/>
          <w:highlight w:val="none"/>
        </w:rPr>
        <w:t>教育局缴纳履约保证金</w:t>
      </w:r>
      <w:r>
        <w:rPr>
          <w:rFonts w:hint="eastAsia" w:asciiTheme="minorEastAsia" w:hAnsiTheme="minorEastAsia"/>
          <w:b/>
          <w:bCs/>
          <w:i/>
          <w:color w:val="auto"/>
          <w:kern w:val="0"/>
          <w:sz w:val="24"/>
          <w:szCs w:val="24"/>
          <w:highlight w:val="none"/>
          <w:u w:val="single"/>
        </w:rPr>
        <w:t>伍万元</w:t>
      </w:r>
      <w:r>
        <w:rPr>
          <w:rFonts w:hint="eastAsia" w:asciiTheme="minorEastAsia" w:hAnsiTheme="minorEastAsia"/>
          <w:bCs/>
          <w:color w:val="auto"/>
          <w:kern w:val="0"/>
          <w:sz w:val="24"/>
          <w:szCs w:val="24"/>
          <w:highlight w:val="none"/>
        </w:rPr>
        <w:t>及乙方所</w:t>
      </w:r>
      <w:r>
        <w:rPr>
          <w:rFonts w:hint="eastAsia" w:asciiTheme="minorEastAsia" w:hAnsiTheme="minorEastAsia" w:eastAsiaTheme="minorEastAsia"/>
          <w:color w:val="auto"/>
          <w:kern w:val="0"/>
          <w:sz w:val="24"/>
          <w:szCs w:val="24"/>
          <w:highlight w:val="none"/>
        </w:rPr>
        <w:t>投保食品安全责任险保单复印件（加盖公章）后，由丙方鉴证盖章生效</w:t>
      </w:r>
      <w:r>
        <w:rPr>
          <w:rFonts w:hint="eastAsia" w:ascii="宋体" w:hAnsi="宋体"/>
          <w:color w:val="auto"/>
          <w:kern w:val="0"/>
          <w:sz w:val="24"/>
          <w:szCs w:val="24"/>
          <w:highlight w:val="none"/>
        </w:rPr>
        <w:t>。如有变动，必须经三方协商一致后，方可更改。本合同一式叁份，甲、乙、丙方各持壹份。</w:t>
      </w:r>
    </w:p>
    <w:bookmarkEnd w:id="24"/>
    <w:p>
      <w:pPr>
        <w:widowControl/>
        <w:spacing w:before="100" w:beforeAutospacing="1" w:after="100" w:afterAutospacing="1"/>
        <w:jc w:val="left"/>
        <w:rPr>
          <w:rFonts w:hint="eastAsia" w:ascii="宋体" w:hAnsi="宋体" w:cs="宋体"/>
          <w:bCs/>
          <w:color w:val="auto"/>
          <w:kern w:val="0"/>
          <w:szCs w:val="21"/>
          <w:highlight w:val="none"/>
        </w:rPr>
      </w:pPr>
    </w:p>
    <w:p>
      <w:pPr>
        <w:widowControl/>
        <w:spacing w:before="100" w:beforeAutospacing="1" w:after="100" w:afterAutospacing="1" w:line="360" w:lineRule="auto"/>
        <w:jc w:val="left"/>
        <w:rPr>
          <w:rFonts w:ascii="宋体" w:hAnsi="宋体" w:cs="宋体"/>
          <w:bCs/>
          <w:color w:val="auto"/>
          <w:kern w:val="0"/>
          <w:sz w:val="22"/>
          <w:szCs w:val="21"/>
          <w:highlight w:val="none"/>
        </w:rPr>
      </w:pPr>
      <w:r>
        <w:rPr>
          <w:rFonts w:hint="eastAsia" w:ascii="宋体" w:hAnsi="宋体" w:eastAsia="宋体" w:cs="宋体"/>
          <w:bCs/>
          <w:color w:val="auto"/>
          <w:kern w:val="0"/>
          <w:sz w:val="22"/>
          <w:szCs w:val="21"/>
          <w:highlight w:val="none"/>
        </w:rPr>
        <w:t>甲方盖章（采购方）：      乙方盖章（供货方）：    丙方盖章（鉴证方）：</w:t>
      </w:r>
    </w:p>
    <w:p>
      <w:pPr>
        <w:widowControl/>
        <w:spacing w:before="100" w:beforeAutospacing="1" w:after="100" w:afterAutospacing="1" w:line="360" w:lineRule="auto"/>
        <w:ind w:left="110" w:hanging="110" w:hangingChars="50"/>
        <w:jc w:val="left"/>
        <w:rPr>
          <w:rFonts w:ascii="宋体" w:hAnsi="宋体" w:cs="宋体"/>
          <w:bCs/>
          <w:color w:val="auto"/>
          <w:kern w:val="0"/>
          <w:sz w:val="22"/>
          <w:szCs w:val="21"/>
          <w:highlight w:val="none"/>
        </w:rPr>
      </w:pPr>
      <w:r>
        <w:rPr>
          <w:rFonts w:hint="eastAsia" w:ascii="宋体" w:hAnsi="宋体" w:cs="宋体"/>
          <w:bCs/>
          <w:color w:val="auto"/>
          <w:kern w:val="0"/>
          <w:sz w:val="22"/>
          <w:szCs w:val="21"/>
          <w:highlight w:val="none"/>
        </w:rPr>
        <w:t>校长（园长）签字：</w:t>
      </w:r>
      <w:r>
        <w:rPr>
          <w:rFonts w:ascii="宋体" w:hAnsi="宋体" w:cs="宋体"/>
          <w:bCs/>
          <w:color w:val="auto"/>
          <w:kern w:val="0"/>
          <w:sz w:val="22"/>
          <w:szCs w:val="21"/>
          <w:highlight w:val="none"/>
        </w:rPr>
        <w:t>       </w:t>
      </w:r>
      <w:r>
        <w:rPr>
          <w:rFonts w:hint="eastAsia" w:ascii="宋体" w:hAnsi="宋体" w:cs="宋体"/>
          <w:bCs/>
          <w:color w:val="auto"/>
          <w:kern w:val="0"/>
          <w:sz w:val="22"/>
          <w:szCs w:val="21"/>
          <w:highlight w:val="none"/>
        </w:rPr>
        <w:t>代表签字：</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代表签字：</w:t>
      </w:r>
    </w:p>
    <w:p>
      <w:pPr>
        <w:widowControl/>
        <w:tabs>
          <w:tab w:val="left" w:pos="95"/>
        </w:tabs>
        <w:spacing w:before="100" w:beforeAutospacing="1" w:after="100" w:afterAutospacing="1" w:line="360" w:lineRule="auto"/>
        <w:jc w:val="left"/>
        <w:rPr>
          <w:rFonts w:ascii="宋体" w:hAnsi="宋体" w:cs="宋体"/>
          <w:bCs/>
          <w:color w:val="auto"/>
          <w:kern w:val="0"/>
          <w:sz w:val="22"/>
          <w:szCs w:val="21"/>
          <w:highlight w:val="none"/>
        </w:rPr>
      </w:pPr>
      <w:r>
        <w:rPr>
          <w:rFonts w:hint="eastAsia" w:ascii="宋体" w:hAnsi="宋体" w:cs="宋体"/>
          <w:bCs/>
          <w:color w:val="auto"/>
          <w:kern w:val="0"/>
          <w:sz w:val="22"/>
          <w:szCs w:val="21"/>
          <w:highlight w:val="none"/>
        </w:rPr>
        <w:t>年</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月</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日</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年</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月</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日</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年</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月</w:t>
      </w:r>
      <w:r>
        <w:rPr>
          <w:rFonts w:ascii="宋体" w:hAnsi="宋体" w:cs="宋体"/>
          <w:bCs/>
          <w:color w:val="auto"/>
          <w:kern w:val="0"/>
          <w:sz w:val="22"/>
          <w:szCs w:val="21"/>
          <w:highlight w:val="none"/>
        </w:rPr>
        <w:t xml:space="preserve">  </w:t>
      </w:r>
      <w:r>
        <w:rPr>
          <w:rFonts w:hint="eastAsia" w:ascii="宋体" w:hAnsi="宋体" w:cs="宋体"/>
          <w:bCs/>
          <w:color w:val="auto"/>
          <w:kern w:val="0"/>
          <w:sz w:val="22"/>
          <w:szCs w:val="21"/>
          <w:highlight w:val="none"/>
        </w:rPr>
        <w:t>日</w:t>
      </w:r>
    </w:p>
    <w:p>
      <w:pPr>
        <w:rPr>
          <w:color w:val="auto"/>
          <w:highlight w:val="none"/>
        </w:rPr>
      </w:pPr>
    </w:p>
    <w:p>
      <w:pPr>
        <w:pStyle w:val="408"/>
        <w:rPr>
          <w:color w:val="auto"/>
          <w:highlight w:val="none"/>
          <w:lang w:val="en-US"/>
        </w:rPr>
      </w:pPr>
    </w:p>
    <w:p>
      <w:pPr>
        <w:rPr>
          <w:rFonts w:hint="eastAsia" w:ascii="宋体" w:hAnsi="宋体" w:cs="宋体"/>
          <w:b/>
          <w:bCs/>
          <w:color w:val="auto"/>
          <w:kern w:val="0"/>
          <w:sz w:val="24"/>
          <w:szCs w:val="30"/>
          <w:highlight w:val="none"/>
          <w:lang w:eastAsia="zh-CN"/>
        </w:rPr>
      </w:pPr>
      <w:r>
        <w:rPr>
          <w:rFonts w:hint="eastAsia" w:ascii="宋体" w:hAnsi="宋体" w:cs="宋体"/>
          <w:b/>
          <w:bCs/>
          <w:color w:val="auto"/>
          <w:kern w:val="0"/>
          <w:sz w:val="24"/>
          <w:szCs w:val="30"/>
          <w:highlight w:val="none"/>
          <w:lang w:eastAsia="zh-CN"/>
        </w:rPr>
        <w:br w:type="page"/>
      </w:r>
    </w:p>
    <w:p>
      <w:pPr>
        <w:widowControl/>
        <w:spacing w:before="100" w:beforeAutospacing="1" w:after="100" w:afterAutospacing="1"/>
        <w:jc w:val="center"/>
        <w:rPr>
          <w:rFonts w:ascii="宋体" w:hAnsi="宋体" w:cs="宋体"/>
          <w:b/>
          <w:bCs/>
          <w:color w:val="auto"/>
          <w:kern w:val="0"/>
          <w:sz w:val="32"/>
          <w:szCs w:val="36"/>
          <w:highlight w:val="none"/>
        </w:rPr>
      </w:pPr>
      <w:r>
        <w:rPr>
          <w:rFonts w:hint="eastAsia" w:ascii="宋体" w:hAnsi="宋体" w:cs="宋体"/>
          <w:b/>
          <w:bCs/>
          <w:color w:val="auto"/>
          <w:kern w:val="0"/>
          <w:sz w:val="32"/>
          <w:szCs w:val="36"/>
          <w:highlight w:val="none"/>
          <w:lang w:eastAsia="zh-CN"/>
        </w:rPr>
        <w:t>南京市雨花台区2024-2025年中小学、幼儿园大宗食材供应及配送服务</w:t>
      </w:r>
      <w:r>
        <w:rPr>
          <w:rFonts w:hint="eastAsia" w:ascii="宋体" w:hAnsi="宋体" w:cs="宋体"/>
          <w:b/>
          <w:bCs/>
          <w:color w:val="auto"/>
          <w:kern w:val="0"/>
          <w:sz w:val="32"/>
          <w:szCs w:val="36"/>
          <w:highlight w:val="none"/>
        </w:rPr>
        <w:t>反商业贿赂条约</w:t>
      </w:r>
    </w:p>
    <w:p>
      <w:pPr>
        <w:spacing w:line="360" w:lineRule="auto"/>
        <w:rPr>
          <w:rFonts w:asciiTheme="minorEastAsia" w:hAnsiTheme="minorEastAsia"/>
          <w:color w:val="auto"/>
          <w:kern w:val="0"/>
          <w:sz w:val="6"/>
          <w:szCs w:val="24"/>
          <w:highlight w:val="none"/>
        </w:rPr>
      </w:pPr>
      <w:r>
        <w:rPr>
          <w:color w:val="auto"/>
          <w:kern w:val="0"/>
          <w:highlight w:val="none"/>
        </w:rPr>
        <w:t> </w:t>
      </w:r>
    </w:p>
    <w:p>
      <w:pPr>
        <w:spacing w:line="360" w:lineRule="auto"/>
        <w:rPr>
          <w:rFonts w:asciiTheme="minorEastAsia" w:hAnsiTheme="minorEastAsia"/>
          <w:color w:val="auto"/>
          <w:kern w:val="0"/>
          <w:sz w:val="24"/>
          <w:szCs w:val="24"/>
          <w:highlight w:val="none"/>
          <w:u w:val="single"/>
        </w:rPr>
      </w:pPr>
      <w:r>
        <w:rPr>
          <w:rFonts w:hint="eastAsia" w:asciiTheme="minorEastAsia" w:hAnsiTheme="minorEastAsia"/>
          <w:color w:val="auto"/>
          <w:kern w:val="0"/>
          <w:sz w:val="24"/>
          <w:szCs w:val="24"/>
          <w:highlight w:val="none"/>
        </w:rPr>
        <w:t>甲方（采购单位）：</w:t>
      </w:r>
      <w:r>
        <w:rPr>
          <w:rFonts w:hint="eastAsia" w:asciiTheme="minorEastAsia" w:hAnsiTheme="minorEastAsia"/>
          <w:color w:val="auto"/>
          <w:kern w:val="0"/>
          <w:sz w:val="24"/>
          <w:szCs w:val="24"/>
          <w:highlight w:val="none"/>
          <w:u w:val="single"/>
        </w:rPr>
        <w:t xml:space="preserve">                                 </w:t>
      </w:r>
    </w:p>
    <w:p>
      <w:pPr>
        <w:spacing w:line="360" w:lineRule="auto"/>
        <w:rPr>
          <w:rFonts w:asciiTheme="minorEastAsia" w:hAnsiTheme="minorEastAsia"/>
          <w:color w:val="auto"/>
          <w:kern w:val="0"/>
          <w:sz w:val="24"/>
          <w:szCs w:val="24"/>
          <w:highlight w:val="none"/>
          <w:u w:val="single"/>
        </w:rPr>
      </w:pPr>
      <w:r>
        <w:rPr>
          <w:rFonts w:hint="eastAsia" w:asciiTheme="minorEastAsia" w:hAnsiTheme="minorEastAsia"/>
          <w:color w:val="auto"/>
          <w:kern w:val="0"/>
          <w:sz w:val="24"/>
          <w:szCs w:val="24"/>
          <w:highlight w:val="none"/>
        </w:rPr>
        <w:t>乙方（供货单位）：</w:t>
      </w:r>
      <w:r>
        <w:rPr>
          <w:rFonts w:hint="eastAsia" w:asciiTheme="minorEastAsia" w:hAnsiTheme="minorEastAsia"/>
          <w:color w:val="auto"/>
          <w:kern w:val="0"/>
          <w:sz w:val="24"/>
          <w:szCs w:val="24"/>
          <w:highlight w:val="none"/>
          <w:u w:val="single"/>
        </w:rPr>
        <w:t xml:space="preserve">                                 </w:t>
      </w:r>
    </w:p>
    <w:p>
      <w:pPr>
        <w:pStyle w:val="408"/>
        <w:rPr>
          <w:color w:val="auto"/>
          <w:highlight w:val="none"/>
          <w:lang w:val="en-US"/>
        </w:rPr>
      </w:pPr>
      <w:r>
        <w:rPr>
          <w:rFonts w:hint="eastAsia"/>
          <w:color w:val="auto"/>
          <w:highlight w:val="none"/>
          <w:lang w:val="en-US"/>
        </w:rPr>
        <w:t>丙方（鉴证单位）：</w:t>
      </w:r>
      <w:r>
        <w:rPr>
          <w:rFonts w:hint="eastAsia" w:asciiTheme="minorEastAsia" w:hAnsiTheme="minorEastAsia"/>
          <w:color w:val="auto"/>
          <w:szCs w:val="24"/>
          <w:highlight w:val="none"/>
          <w:u w:val="single"/>
        </w:rPr>
        <w:t xml:space="preserve">     雨花台区教育局校管科        </w:t>
      </w:r>
    </w:p>
    <w:p>
      <w:pPr>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为认真贯彻党中央、国务院关于大抓源头治理，标本兼治的精神。推进廉政建设，预防和减少经济犯罪以及违纪、违法行为的发生，为保护双方利益与工作人员权益，落实反商业贿赂法，甲、乙双方在签订合同的同时，自愿签订本协议：</w:t>
      </w:r>
    </w:p>
    <w:p>
      <w:pPr>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一、乙方在经营过程中，严禁向甲方工作人员进行商业贿赂。凡以现金、礼金、礼券、纪念品等形式与甲方工作人员往来，皆视为商业贿赂行为。严禁乙方为甲方工作人员进行各类消费。一经查实任一违规现象，甲方除严肃处理甲方相关责任人外，将立即停止与乙方的供货合同、丙方也将取消其供货资质，通报、没收全部履约保证金，并由乙方承担给甲方造成的一切损失。</w:t>
      </w:r>
    </w:p>
    <w:p>
      <w:pPr>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二、对于甲方工作人员索要乙方礼品、礼金、有偿服务的，鼓励乙方向有关部门举报。一经查实，丙方将给予乙方相应金额的</w:t>
      </w:r>
      <w:r>
        <w:rPr>
          <w:rFonts w:asciiTheme="minorEastAsia" w:hAnsiTheme="minorEastAsia"/>
          <w:color w:val="auto"/>
          <w:kern w:val="0"/>
          <w:sz w:val="24"/>
          <w:szCs w:val="24"/>
          <w:highlight w:val="none"/>
        </w:rPr>
        <w:t>3</w:t>
      </w:r>
      <w:r>
        <w:rPr>
          <w:rFonts w:hint="eastAsia" w:asciiTheme="minorEastAsia" w:hAnsiTheme="minorEastAsia"/>
          <w:color w:val="auto"/>
          <w:kern w:val="0"/>
          <w:sz w:val="24"/>
          <w:szCs w:val="24"/>
          <w:highlight w:val="none"/>
        </w:rPr>
        <w:t>倍奖励，并作为下一期集中采购的优先单位。</w:t>
      </w:r>
    </w:p>
    <w:p>
      <w:pPr>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三、甲、乙双方应加强对所属工作人员的廉政和遵纪守法教育，鼓励做廉政、遵纪、守法的模范。与行贿受贿违纪违法行为作斗争，确保集中采购公开、公平、公正。</w:t>
      </w:r>
    </w:p>
    <w:p>
      <w:pPr>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四、此协议一式叁份，甲、乙、丙方各持壹份，以加强监督。</w:t>
      </w:r>
    </w:p>
    <w:p>
      <w:pPr>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五、本协议三方签字即生效。</w:t>
      </w:r>
    </w:p>
    <w:p>
      <w:pPr>
        <w:widowControl/>
        <w:spacing w:before="100" w:beforeAutospacing="1" w:after="100" w:afterAutospacing="1" w:line="360" w:lineRule="auto"/>
        <w:jc w:val="left"/>
        <w:rPr>
          <w:rFonts w:ascii="宋体" w:hAnsi="宋体" w:cs="宋体"/>
          <w:bCs/>
          <w:color w:val="auto"/>
          <w:kern w:val="0"/>
          <w:sz w:val="24"/>
          <w:szCs w:val="24"/>
          <w:highlight w:val="none"/>
        </w:rPr>
      </w:pPr>
    </w:p>
    <w:p>
      <w:pPr>
        <w:widowControl/>
        <w:spacing w:before="100" w:beforeAutospacing="1" w:after="100" w:afterAutospacing="1"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甲方盖章（采购方）：</w:t>
      </w:r>
      <w:r>
        <w:rPr>
          <w:rFonts w:ascii="宋体" w:hAnsi="宋体" w:cs="宋体"/>
          <w:bCs/>
          <w:color w:val="auto"/>
          <w:kern w:val="0"/>
          <w:sz w:val="24"/>
          <w:szCs w:val="24"/>
          <w:highlight w:val="none"/>
        </w:rPr>
        <w:t>    </w:t>
      </w:r>
      <w:r>
        <w:rPr>
          <w:rFonts w:hint="eastAsia" w:ascii="宋体" w:hAnsi="宋体" w:cs="宋体"/>
          <w:bCs/>
          <w:color w:val="auto"/>
          <w:kern w:val="0"/>
          <w:sz w:val="24"/>
          <w:szCs w:val="24"/>
          <w:highlight w:val="none"/>
        </w:rPr>
        <w:t>乙方盖章（供货方）：</w:t>
      </w:r>
      <w:r>
        <w:rPr>
          <w:rFonts w:ascii="宋体" w:hAnsi="宋体" w:cs="宋体"/>
          <w:bCs/>
          <w:color w:val="auto"/>
          <w:kern w:val="0"/>
          <w:sz w:val="24"/>
          <w:szCs w:val="24"/>
          <w:highlight w:val="none"/>
        </w:rPr>
        <w:t>   </w:t>
      </w:r>
      <w:r>
        <w:rPr>
          <w:rFonts w:hint="eastAsia" w:ascii="宋体" w:hAnsi="宋体" w:cs="宋体"/>
          <w:bCs/>
          <w:color w:val="auto"/>
          <w:kern w:val="0"/>
          <w:sz w:val="24"/>
          <w:szCs w:val="24"/>
          <w:highlight w:val="none"/>
        </w:rPr>
        <w:t>丙方盖章（鉴证方）：</w:t>
      </w:r>
    </w:p>
    <w:p>
      <w:pPr>
        <w:widowControl/>
        <w:spacing w:before="100" w:beforeAutospacing="1" w:after="100" w:afterAutospacing="1"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代表签字：</w:t>
      </w:r>
      <w:r>
        <w:rPr>
          <w:rFonts w:ascii="宋体" w:hAnsi="宋体" w:cs="宋体"/>
          <w:bCs/>
          <w:color w:val="auto"/>
          <w:kern w:val="0"/>
          <w:sz w:val="24"/>
          <w:szCs w:val="24"/>
          <w:highlight w:val="none"/>
        </w:rPr>
        <w:t>         </w:t>
      </w:r>
      <w:r>
        <w:rPr>
          <w:rFonts w:hint="eastAsia" w:ascii="宋体" w:hAnsi="宋体" w:cs="宋体"/>
          <w:bCs/>
          <w:color w:val="auto"/>
          <w:kern w:val="0"/>
          <w:sz w:val="24"/>
          <w:szCs w:val="24"/>
          <w:highlight w:val="none"/>
        </w:rPr>
        <w:t>代表签字：</w:t>
      </w:r>
      <w:r>
        <w:rPr>
          <w:rFonts w:ascii="宋体" w:hAnsi="宋体" w:cs="宋体"/>
          <w:bCs/>
          <w:color w:val="auto"/>
          <w:kern w:val="0"/>
          <w:sz w:val="24"/>
          <w:szCs w:val="24"/>
          <w:highlight w:val="none"/>
        </w:rPr>
        <w:t>        </w:t>
      </w:r>
      <w:r>
        <w:rPr>
          <w:rFonts w:hint="eastAsia" w:ascii="宋体" w:hAnsi="宋体" w:cs="宋体"/>
          <w:bCs/>
          <w:color w:val="auto"/>
          <w:kern w:val="0"/>
          <w:sz w:val="24"/>
          <w:szCs w:val="24"/>
          <w:highlight w:val="none"/>
        </w:rPr>
        <w:t xml:space="preserve"> 代表签字：</w:t>
      </w:r>
    </w:p>
    <w:p>
      <w:pPr>
        <w:autoSpaceDE w:val="0"/>
        <w:autoSpaceDN w:val="0"/>
        <w:adjustRightInd w:val="0"/>
        <w:spacing w:line="360" w:lineRule="auto"/>
        <w:jc w:val="left"/>
        <w:rPr>
          <w:rFonts w:hint="eastAsia" w:ascii="宋体" w:hAnsi="宋体" w:eastAsia="宋体" w:cs="宋体"/>
          <w:b/>
          <w:bCs/>
          <w:color w:val="auto"/>
          <w:sz w:val="36"/>
          <w:szCs w:val="36"/>
          <w:highlight w:val="none"/>
          <w:lang w:val="zh-CN"/>
        </w:rPr>
      </w:pPr>
      <w:r>
        <w:rPr>
          <w:rFonts w:hint="eastAsia" w:ascii="宋体" w:hAnsi="宋体" w:cs="宋体"/>
          <w:bCs/>
          <w:color w:val="auto"/>
          <w:kern w:val="0"/>
          <w:sz w:val="24"/>
          <w:szCs w:val="24"/>
          <w:highlight w:val="none"/>
        </w:rPr>
        <w:t>年</w:t>
      </w:r>
      <w:r>
        <w:rPr>
          <w:rFonts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rPr>
        <w:t>月</w:t>
      </w:r>
      <w:r>
        <w:rPr>
          <w:rFonts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rPr>
        <w:t>日</w:t>
      </w:r>
      <w:r>
        <w:rPr>
          <w:rFonts w:ascii="宋体" w:hAnsi="宋体" w:cs="宋体"/>
          <w:bCs/>
          <w:color w:val="auto"/>
          <w:kern w:val="0"/>
          <w:sz w:val="24"/>
          <w:szCs w:val="24"/>
          <w:highlight w:val="none"/>
        </w:rPr>
        <w:t>       </w:t>
      </w:r>
      <w:r>
        <w:rPr>
          <w:rFonts w:hint="eastAsia" w:ascii="宋体" w:hAnsi="宋体" w:cs="宋体"/>
          <w:bCs/>
          <w:color w:val="auto"/>
          <w:kern w:val="0"/>
          <w:sz w:val="24"/>
          <w:szCs w:val="24"/>
          <w:highlight w:val="none"/>
        </w:rPr>
        <w:t xml:space="preserve"> 年</w:t>
      </w:r>
      <w:r>
        <w:rPr>
          <w:rFonts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rPr>
        <w:t>月</w:t>
      </w:r>
      <w:r>
        <w:rPr>
          <w:rFonts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rPr>
        <w:t>日</w:t>
      </w:r>
      <w:r>
        <w:rPr>
          <w:rFonts w:ascii="宋体" w:hAnsi="宋体" w:cs="宋体"/>
          <w:bCs/>
          <w:color w:val="auto"/>
          <w:kern w:val="0"/>
          <w:sz w:val="24"/>
          <w:szCs w:val="24"/>
          <w:highlight w:val="none"/>
        </w:rPr>
        <w:t>     </w:t>
      </w:r>
      <w:r>
        <w:rPr>
          <w:rFonts w:hint="eastAsia" w:ascii="宋体" w:hAnsi="宋体" w:cs="宋体"/>
          <w:bCs/>
          <w:color w:val="auto"/>
          <w:kern w:val="0"/>
          <w:sz w:val="24"/>
          <w:szCs w:val="24"/>
          <w:highlight w:val="none"/>
        </w:rPr>
        <w:t xml:space="preserve"> 年</w:t>
      </w:r>
      <w:r>
        <w:rPr>
          <w:rFonts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rPr>
        <w:t>月</w:t>
      </w:r>
      <w:r>
        <w:rPr>
          <w:rFonts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rPr>
        <w:t>日</w:t>
      </w:r>
      <w:r>
        <w:rPr>
          <w:rFonts w:ascii="宋体" w:hAnsi="宋体" w:cs="宋体"/>
          <w:bCs/>
          <w:color w:val="auto"/>
          <w:kern w:val="0"/>
          <w:sz w:val="24"/>
          <w:szCs w:val="24"/>
          <w:highlight w:val="none"/>
        </w:rPr>
        <w:t> </w:t>
      </w:r>
    </w:p>
    <w:p>
      <w:pP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p>
    <w:p>
      <w:pPr>
        <w:autoSpaceDE w:val="0"/>
        <w:autoSpaceDN w:val="0"/>
        <w:adjustRightInd w:val="0"/>
        <w:spacing w:line="360" w:lineRule="auto"/>
        <w:ind w:left="560"/>
        <w:jc w:val="center"/>
        <w:outlineLvl w:val="0"/>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 xml:space="preserve">第六章 </w:t>
      </w:r>
      <w:r>
        <w:rPr>
          <w:rFonts w:hint="eastAsia" w:ascii="宋体" w:hAnsi="宋体" w:eastAsia="宋体" w:cs="宋体"/>
          <w:b/>
          <w:bCs/>
          <w:color w:val="auto"/>
          <w:sz w:val="36"/>
          <w:szCs w:val="36"/>
          <w:highlight w:val="none"/>
        </w:rPr>
        <w:t>投</w:t>
      </w:r>
      <w:r>
        <w:rPr>
          <w:rFonts w:hint="eastAsia" w:ascii="宋体" w:hAnsi="宋体" w:eastAsia="宋体" w:cs="宋体"/>
          <w:b/>
          <w:bCs/>
          <w:color w:val="auto"/>
          <w:sz w:val="36"/>
          <w:szCs w:val="36"/>
          <w:highlight w:val="none"/>
          <w:lang w:val="zh-CN"/>
        </w:rPr>
        <w:t>标文件格式及附件</w:t>
      </w:r>
    </w:p>
    <w:p>
      <w:pPr>
        <w:autoSpaceDE w:val="0"/>
        <w:autoSpaceDN w:val="0"/>
        <w:adjustRightInd w:val="0"/>
        <w:spacing w:line="360" w:lineRule="auto"/>
        <w:ind w:left="560"/>
        <w:jc w:val="center"/>
        <w:outlineLvl w:val="0"/>
        <w:rPr>
          <w:rFonts w:hint="eastAsia" w:ascii="宋体" w:hAnsi="宋体" w:eastAsia="宋体" w:cs="宋体"/>
          <w:b/>
          <w:bCs/>
          <w:color w:val="auto"/>
          <w:sz w:val="36"/>
          <w:szCs w:val="36"/>
          <w:highlight w:val="none"/>
          <w:lang w:val="zh-CN"/>
        </w:rPr>
      </w:pPr>
    </w:p>
    <w:p>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南京市雨花台区2024-2025年中小学、幼儿园大宗食材供应及配送服务</w:t>
      </w:r>
    </w:p>
    <w:p>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lang w:eastAsia="zh-CN"/>
        </w:rPr>
        <w:t>YSFHZB202302010</w:t>
      </w:r>
    </w:p>
    <w:p>
      <w:pPr>
        <w:spacing w:line="360" w:lineRule="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分包名称：</w:t>
      </w:r>
    </w:p>
    <w:p>
      <w:pPr>
        <w:spacing w:line="360" w:lineRule="auto"/>
        <w:rPr>
          <w:rFonts w:hint="eastAsia" w:ascii="宋体" w:hAnsi="宋体" w:eastAsia="宋体" w:cs="宋体"/>
          <w:color w:val="auto"/>
          <w:sz w:val="40"/>
          <w:szCs w:val="40"/>
          <w:highlight w:val="none"/>
        </w:rPr>
      </w:pPr>
    </w:p>
    <w:p>
      <w:pPr>
        <w:rPr>
          <w:rFonts w:hint="eastAsia" w:ascii="宋体" w:hAnsi="宋体" w:eastAsia="宋体" w:cs="宋体"/>
          <w:color w:val="auto"/>
          <w:sz w:val="44"/>
          <w:szCs w:val="44"/>
          <w:highlight w:val="none"/>
        </w:rPr>
      </w:pPr>
    </w:p>
    <w:p>
      <w:pPr>
        <w:jc w:val="center"/>
        <w:rPr>
          <w:rFonts w:hint="eastAsia" w:ascii="宋体" w:hAnsi="宋体" w:eastAsia="宋体" w:cs="宋体"/>
          <w:color w:val="auto"/>
          <w:sz w:val="44"/>
          <w:szCs w:val="44"/>
          <w:highlight w:val="none"/>
        </w:rPr>
      </w:pPr>
    </w:p>
    <w:p>
      <w:pPr>
        <w:jc w:val="center"/>
        <w:rPr>
          <w:rFonts w:hint="eastAsia" w:ascii="宋体" w:hAnsi="宋体" w:eastAsia="宋体" w:cs="宋体"/>
          <w:color w:val="auto"/>
          <w:sz w:val="44"/>
          <w:szCs w:val="44"/>
          <w:highlight w:val="none"/>
        </w:rPr>
      </w:pPr>
    </w:p>
    <w:p>
      <w:pPr>
        <w:jc w:val="center"/>
        <w:rPr>
          <w:rFonts w:hint="eastAsia" w:ascii="宋体" w:hAnsi="宋体" w:eastAsia="宋体" w:cs="宋体"/>
          <w:color w:val="auto"/>
          <w:sz w:val="44"/>
          <w:szCs w:val="44"/>
          <w:highlight w:val="none"/>
        </w:rPr>
      </w:pPr>
    </w:p>
    <w:p>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投</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件</w:t>
      </w:r>
    </w:p>
    <w:p>
      <w:pPr>
        <w:pStyle w:val="9"/>
        <w:rPr>
          <w:rFonts w:hint="eastAsia" w:ascii="宋体" w:hAnsi="宋体" w:eastAsia="宋体" w:cs="宋体"/>
          <w:color w:val="auto"/>
          <w:sz w:val="44"/>
          <w:szCs w:val="44"/>
          <w:highlight w:val="none"/>
        </w:rPr>
      </w:pPr>
    </w:p>
    <w:p>
      <w:pPr>
        <w:rPr>
          <w:rFonts w:hint="eastAsia" w:ascii="宋体" w:hAnsi="宋体" w:eastAsia="宋体" w:cs="宋体"/>
          <w:color w:val="auto"/>
          <w:sz w:val="44"/>
          <w:szCs w:val="44"/>
          <w:highlight w:val="none"/>
        </w:rPr>
      </w:pPr>
    </w:p>
    <w:p>
      <w:pPr>
        <w:pStyle w:val="9"/>
        <w:rPr>
          <w:rFonts w:hint="eastAsia" w:ascii="宋体" w:hAnsi="宋体" w:eastAsia="宋体" w:cs="宋体"/>
          <w:color w:val="auto"/>
          <w:sz w:val="44"/>
          <w:szCs w:val="44"/>
          <w:highlight w:val="none"/>
        </w:rPr>
      </w:pPr>
    </w:p>
    <w:p>
      <w:pPr>
        <w:rPr>
          <w:rFonts w:hint="eastAsia" w:ascii="宋体" w:hAnsi="宋体" w:eastAsia="宋体" w:cs="宋体"/>
          <w:color w:val="auto"/>
          <w:sz w:val="44"/>
          <w:szCs w:val="44"/>
          <w:highlight w:val="none"/>
        </w:rPr>
      </w:pPr>
    </w:p>
    <w:p>
      <w:pPr>
        <w:pStyle w:val="9"/>
        <w:rPr>
          <w:rFonts w:hint="eastAsia" w:ascii="宋体" w:hAnsi="宋体" w:eastAsia="宋体" w:cs="宋体"/>
          <w:color w:val="auto"/>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投标人名称：       （电子公章）</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日期：  年  月  日</w:t>
      </w:r>
    </w:p>
    <w:p>
      <w:pPr>
        <w:pStyle w:val="8"/>
        <w:ind w:firstLine="0"/>
        <w:rPr>
          <w:rFonts w:hint="eastAsia" w:ascii="宋体" w:hAnsi="宋体" w:eastAsia="宋体" w:cs="宋体"/>
          <w:color w:val="auto"/>
          <w:highlight w:val="none"/>
        </w:rPr>
      </w:pPr>
    </w:p>
    <w:p>
      <w:pPr>
        <w:pStyle w:val="8"/>
        <w:ind w:firstLine="0"/>
        <w:rPr>
          <w:rFonts w:hint="eastAsia" w:ascii="宋体" w:hAnsi="宋体" w:eastAsia="宋体" w:cs="宋体"/>
          <w:bCs/>
          <w:color w:val="auto"/>
          <w:sz w:val="44"/>
          <w:highlight w:val="none"/>
        </w:rPr>
      </w:pPr>
    </w:p>
    <w:p>
      <w:pPr>
        <w:rPr>
          <w:rFonts w:hint="eastAsia" w:ascii="宋体" w:hAnsi="宋体" w:eastAsia="宋体" w:cs="宋体"/>
          <w:color w:val="auto"/>
          <w:highlight w:val="none"/>
        </w:rPr>
      </w:pPr>
    </w:p>
    <w:tbl>
      <w:tblPr>
        <w:tblStyle w:val="62"/>
        <w:tblpPr w:leftFromText="180" w:rightFromText="180" w:vertAnchor="text" w:horzAnchor="page" w:tblpX="1658" w:tblpY="-27"/>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822"/>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0" w:type="dxa"/>
            <w:gridSpan w:val="3"/>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bookmarkStart w:id="25" w:name="_Toc489655320"/>
            <w:r>
              <w:rPr>
                <w:rFonts w:hint="eastAsia" w:ascii="宋体" w:hAnsi="宋体" w:eastAsia="宋体" w:cs="宋体"/>
                <w:b/>
                <w:bCs/>
                <w:color w:val="auto"/>
                <w:sz w:val="20"/>
                <w:szCs w:val="20"/>
                <w:highlight w:val="none"/>
              </w:rPr>
              <w:t>评审索引表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75"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评审内容</w:t>
            </w:r>
          </w:p>
        </w:tc>
        <w:tc>
          <w:tcPr>
            <w:tcW w:w="4822"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招标</w:t>
            </w:r>
            <w:r>
              <w:rPr>
                <w:rFonts w:hint="eastAsia" w:ascii="宋体" w:hAnsi="宋体" w:eastAsia="宋体" w:cs="宋体"/>
                <w:color w:val="auto"/>
                <w:sz w:val="20"/>
                <w:szCs w:val="20"/>
                <w:highlight w:val="none"/>
              </w:rPr>
              <w:t>文件要求</w:t>
            </w:r>
          </w:p>
        </w:tc>
        <w:tc>
          <w:tcPr>
            <w:tcW w:w="2603" w:type="dxa"/>
            <w:noWrap w:val="0"/>
            <w:vAlign w:val="top"/>
          </w:tcPr>
          <w:p>
            <w:pPr>
              <w:keepNext w:val="0"/>
              <w:keepLines w:val="0"/>
              <w:suppressLineNumbers w:val="0"/>
              <w:spacing w:before="0" w:beforeAutospacing="0" w:after="0" w:afterAutospacing="0" w:line="440" w:lineRule="exact"/>
              <w:ind w:left="0" w:right="0"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投标文件</w:t>
            </w:r>
            <w:r>
              <w:rPr>
                <w:rFonts w:hint="eastAsia" w:ascii="宋体" w:hAnsi="宋体" w:eastAsia="宋体" w:cs="宋体"/>
                <w:color w:val="auto"/>
                <w:sz w:val="20"/>
                <w:szCs w:val="20"/>
                <w:highlight w:val="none"/>
              </w:rPr>
              <w:t>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5"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资格审查</w:t>
            </w: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举例：P11-P15或无。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75" w:type="dxa"/>
            <w:vMerge w:val="continue"/>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5" w:type="dxa"/>
            <w:vMerge w:val="continue"/>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75" w:type="dxa"/>
            <w:vMerge w:val="continue"/>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75" w:type="dxa"/>
            <w:vMerge w:val="continue"/>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75" w:type="dxa"/>
            <w:vMerge w:val="continue"/>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75" w:type="dxa"/>
            <w:vMerge w:val="continue"/>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75" w:type="dxa"/>
            <w:vMerge w:val="continue"/>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评标办法</w:t>
            </w: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5"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5"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5"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5"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5"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482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p>
        </w:tc>
        <w:tc>
          <w:tcPr>
            <w:tcW w:w="2603"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500" w:type="dxa"/>
            <w:gridSpan w:val="3"/>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要求：</w:t>
            </w:r>
            <w:r>
              <w:rPr>
                <w:rFonts w:hint="eastAsia" w:ascii="宋体" w:hAnsi="宋体" w:eastAsia="宋体" w:cs="宋体"/>
                <w:color w:val="auto"/>
                <w:sz w:val="20"/>
                <w:szCs w:val="20"/>
                <w:highlight w:val="none"/>
                <w:lang w:val="en-US" w:eastAsia="zh-CN"/>
              </w:rPr>
              <w:t>投标人</w:t>
            </w:r>
            <w:r>
              <w:rPr>
                <w:rFonts w:hint="eastAsia" w:ascii="宋体" w:hAnsi="宋体" w:eastAsia="宋体" w:cs="宋体"/>
                <w:color w:val="auto"/>
                <w:sz w:val="20"/>
                <w:szCs w:val="20"/>
                <w:highlight w:val="none"/>
              </w:rPr>
              <w:t>必须根据其</w:t>
            </w:r>
            <w:r>
              <w:rPr>
                <w:rFonts w:hint="eastAsia" w:ascii="宋体" w:hAnsi="宋体" w:eastAsia="宋体" w:cs="宋体"/>
                <w:color w:val="auto"/>
                <w:sz w:val="20"/>
                <w:szCs w:val="20"/>
                <w:highlight w:val="none"/>
                <w:lang w:val="en-US" w:eastAsia="zh-CN"/>
              </w:rPr>
              <w:t>投标</w:t>
            </w:r>
            <w:r>
              <w:rPr>
                <w:rFonts w:hint="eastAsia" w:ascii="宋体" w:hAnsi="宋体" w:eastAsia="宋体" w:cs="宋体"/>
                <w:color w:val="auto"/>
                <w:sz w:val="20"/>
                <w:szCs w:val="20"/>
                <w:highlight w:val="none"/>
              </w:rPr>
              <w:t>文件内容提供此表。</w:t>
            </w:r>
          </w:p>
        </w:tc>
      </w:tr>
    </w:tbl>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招标文件主要目录</w:t>
      </w:r>
      <w:bookmarkEnd w:id="25"/>
      <w:r>
        <w:rPr>
          <w:rFonts w:hint="eastAsia" w:ascii="宋体" w:hAnsi="宋体" w:eastAsia="宋体" w:cs="宋体"/>
          <w:b/>
          <w:bCs/>
          <w:color w:val="auto"/>
          <w:sz w:val="32"/>
          <w:szCs w:val="32"/>
          <w:highlight w:val="none"/>
        </w:rPr>
        <w:t>及相关证明材料格式、附件</w:t>
      </w:r>
    </w:p>
    <w:p>
      <w:pPr>
        <w:spacing w:line="360" w:lineRule="auto"/>
        <w:rPr>
          <w:rFonts w:hint="eastAsia" w:ascii="宋体" w:hAnsi="宋体" w:eastAsia="宋体" w:cs="宋体"/>
          <w:color w:val="auto"/>
          <w:sz w:val="28"/>
          <w:szCs w:val="28"/>
          <w:highlight w:val="none"/>
        </w:rPr>
      </w:pPr>
    </w:p>
    <w:p>
      <w:pPr>
        <w:autoSpaceDE w:val="0"/>
        <w:autoSpaceDN w:val="0"/>
        <w:adjustRightInd w:val="0"/>
        <w:spacing w:line="360"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一、投标申请及声明</w:t>
      </w:r>
    </w:p>
    <w:p>
      <w:pPr>
        <w:autoSpaceDE w:val="0"/>
        <w:autoSpaceDN w:val="0"/>
        <w:adjustRightInd w:val="0"/>
        <w:spacing w:line="360"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二</w:t>
      </w:r>
      <w:r>
        <w:rPr>
          <w:rFonts w:hint="eastAsia" w:ascii="宋体" w:hAnsi="宋体" w:eastAsia="宋体" w:cs="宋体"/>
          <w:color w:val="auto"/>
          <w:kern w:val="0"/>
          <w:sz w:val="28"/>
          <w:szCs w:val="28"/>
          <w:highlight w:val="none"/>
          <w:lang w:val="zh-CN"/>
        </w:rPr>
        <w:t>、法定代表人身份证明、授权委托书</w:t>
      </w:r>
    </w:p>
    <w:p>
      <w:pPr>
        <w:autoSpaceDE w:val="0"/>
        <w:autoSpaceDN w:val="0"/>
        <w:adjustRightInd w:val="0"/>
        <w:spacing w:line="360"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三</w:t>
      </w:r>
      <w:r>
        <w:rPr>
          <w:rFonts w:hint="eastAsia" w:ascii="宋体" w:hAnsi="宋体" w:eastAsia="宋体" w:cs="宋体"/>
          <w:color w:val="auto"/>
          <w:kern w:val="0"/>
          <w:sz w:val="28"/>
          <w:szCs w:val="28"/>
          <w:highlight w:val="none"/>
          <w:lang w:val="zh-CN"/>
        </w:rPr>
        <w:t>、开标一览表</w:t>
      </w:r>
    </w:p>
    <w:p>
      <w:pPr>
        <w:autoSpaceDE w:val="0"/>
        <w:autoSpaceDN w:val="0"/>
        <w:adjustRightInd w:val="0"/>
        <w:spacing w:line="360"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四</w:t>
      </w:r>
      <w:r>
        <w:rPr>
          <w:rFonts w:hint="eastAsia" w:ascii="宋体" w:hAnsi="宋体" w:eastAsia="宋体" w:cs="宋体"/>
          <w:color w:val="auto"/>
          <w:kern w:val="0"/>
          <w:sz w:val="28"/>
          <w:szCs w:val="28"/>
          <w:highlight w:val="none"/>
          <w:lang w:val="zh-CN"/>
        </w:rPr>
        <w:t>、资格审查资料</w:t>
      </w:r>
    </w:p>
    <w:p>
      <w:pPr>
        <w:autoSpaceDE w:val="0"/>
        <w:autoSpaceDN w:val="0"/>
        <w:adjustRightInd w:val="0"/>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五</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投标承诺函</w:t>
      </w:r>
    </w:p>
    <w:p>
      <w:pPr>
        <w:autoSpaceDE w:val="0"/>
        <w:autoSpaceDN w:val="0"/>
        <w:adjustRightInd w:val="0"/>
        <w:spacing w:line="360"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六、</w:t>
      </w:r>
      <w:r>
        <w:rPr>
          <w:rFonts w:hint="eastAsia" w:ascii="宋体" w:hAnsi="宋体" w:eastAsia="宋体" w:cs="宋体"/>
          <w:color w:val="auto"/>
          <w:kern w:val="0"/>
          <w:sz w:val="28"/>
          <w:szCs w:val="28"/>
          <w:highlight w:val="none"/>
          <w:lang w:val="zh-CN"/>
        </w:rPr>
        <w:t>商务部分资料</w:t>
      </w:r>
    </w:p>
    <w:p>
      <w:pPr>
        <w:autoSpaceDE w:val="0"/>
        <w:autoSpaceDN w:val="0"/>
        <w:adjustRightInd w:val="0"/>
        <w:spacing w:line="360"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七</w:t>
      </w:r>
      <w:r>
        <w:rPr>
          <w:rFonts w:hint="eastAsia" w:ascii="宋体" w:hAnsi="宋体" w:eastAsia="宋体" w:cs="宋体"/>
          <w:color w:val="auto"/>
          <w:kern w:val="0"/>
          <w:sz w:val="28"/>
          <w:szCs w:val="28"/>
          <w:highlight w:val="none"/>
          <w:lang w:val="zh-CN"/>
        </w:rPr>
        <w:t>、技术部分资料</w:t>
      </w:r>
    </w:p>
    <w:p>
      <w:pPr>
        <w:autoSpaceDE w:val="0"/>
        <w:autoSpaceDN w:val="0"/>
        <w:adjustRightInd w:val="0"/>
        <w:spacing w:line="360" w:lineRule="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八</w:t>
      </w:r>
      <w:r>
        <w:rPr>
          <w:rFonts w:hint="eastAsia" w:ascii="宋体" w:hAnsi="宋体" w:eastAsia="宋体" w:cs="宋体"/>
          <w:color w:val="auto"/>
          <w:kern w:val="0"/>
          <w:sz w:val="28"/>
          <w:szCs w:val="28"/>
          <w:highlight w:val="none"/>
          <w:lang w:val="zh-CN"/>
        </w:rPr>
        <w:t>、其他相关资料</w:t>
      </w:r>
    </w:p>
    <w:p>
      <w:pPr>
        <w:spacing w:line="360" w:lineRule="auto"/>
        <w:ind w:left="1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 w:val="28"/>
          <w:szCs w:val="28"/>
          <w:highlight w:val="none"/>
        </w:rPr>
        <w:t xml:space="preserve">            </w:t>
      </w:r>
    </w:p>
    <w:p>
      <w:pPr>
        <w:autoSpaceDE w:val="0"/>
        <w:autoSpaceDN w:val="0"/>
        <w:adjustRightInd w:val="0"/>
        <w:spacing w:line="360" w:lineRule="auto"/>
        <w:rPr>
          <w:rFonts w:hint="eastAsia" w:ascii="宋体" w:hAnsi="宋体" w:eastAsia="宋体" w:cs="宋体"/>
          <w:b/>
          <w:color w:val="auto"/>
          <w:szCs w:val="21"/>
          <w:highlight w:val="none"/>
          <w:lang w:val="zh-CN"/>
        </w:rPr>
      </w:pPr>
    </w:p>
    <w:p>
      <w:pPr>
        <w:autoSpaceDE w:val="0"/>
        <w:autoSpaceDN w:val="0"/>
        <w:adjustRightInd w:val="0"/>
        <w:spacing w:line="360" w:lineRule="auto"/>
        <w:rPr>
          <w:rFonts w:hint="eastAsia" w:ascii="宋体" w:hAnsi="宋体" w:eastAsia="宋体" w:cs="宋体"/>
          <w:b/>
          <w:color w:val="auto"/>
          <w:szCs w:val="21"/>
          <w:highlight w:val="none"/>
          <w:lang w:val="zh-CN"/>
        </w:rPr>
      </w:pPr>
    </w:p>
    <w:p>
      <w:pPr>
        <w:autoSpaceDE w:val="0"/>
        <w:autoSpaceDN w:val="0"/>
        <w:adjustRightInd w:val="0"/>
        <w:spacing w:line="360" w:lineRule="auto"/>
        <w:rPr>
          <w:rFonts w:hint="eastAsia" w:ascii="宋体" w:hAnsi="宋体" w:eastAsia="宋体" w:cs="宋体"/>
          <w:b/>
          <w:color w:val="auto"/>
          <w:szCs w:val="21"/>
          <w:highlight w:val="none"/>
          <w:lang w:val="zh-CN"/>
        </w:rPr>
      </w:pPr>
    </w:p>
    <w:p>
      <w:pPr>
        <w:spacing w:line="360" w:lineRule="auto"/>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autoSpaceDE w:val="0"/>
        <w:autoSpaceDN w:val="0"/>
        <w:adjustRightInd w:val="0"/>
        <w:spacing w:line="360" w:lineRule="auto"/>
        <w:rPr>
          <w:rFonts w:hint="eastAsia" w:ascii="宋体" w:hAnsi="宋体" w:eastAsia="宋体" w:cs="宋体"/>
          <w:color w:val="auto"/>
          <w:szCs w:val="21"/>
          <w:highlight w:val="none"/>
          <w:lang w:val="zh-CN"/>
        </w:rPr>
      </w:pPr>
    </w:p>
    <w:p>
      <w:pPr>
        <w:pStyle w:val="5"/>
        <w:rPr>
          <w:rFonts w:hint="eastAsia" w:ascii="宋体" w:hAnsi="宋体" w:eastAsia="宋体" w:cs="宋体"/>
          <w:color w:val="auto"/>
          <w:highlight w:val="none"/>
          <w:lang w:val="zh-CN"/>
        </w:rPr>
      </w:pPr>
    </w:p>
    <w:p>
      <w:pPr>
        <w:pStyle w:val="6"/>
        <w:rPr>
          <w:rFonts w:hint="eastAsia" w:ascii="宋体" w:hAnsi="宋体" w:eastAsia="宋体" w:cs="宋体"/>
          <w:color w:val="auto"/>
          <w:highlight w:val="none"/>
          <w:lang w:val="zh-CN"/>
        </w:rPr>
      </w:pPr>
    </w:p>
    <w:p>
      <w:pPr>
        <w:autoSpaceDE w:val="0"/>
        <w:autoSpaceDN w:val="0"/>
        <w:adjustRightInd w:val="0"/>
        <w:spacing w:line="360" w:lineRule="auto"/>
        <w:ind w:left="560"/>
        <w:jc w:val="center"/>
        <w:outlineLvl w:val="0"/>
        <w:rPr>
          <w:rFonts w:hint="eastAsia" w:ascii="宋体" w:hAnsi="宋体" w:eastAsia="宋体" w:cs="宋体"/>
          <w:color w:val="auto"/>
          <w:highlight w:val="none"/>
        </w:rPr>
      </w:pPr>
    </w:p>
    <w:p>
      <w:pPr>
        <w:pStyle w:val="8"/>
        <w:ind w:firstLine="0"/>
        <w:rPr>
          <w:rFonts w:hint="eastAsia" w:ascii="宋体" w:hAnsi="宋体" w:eastAsia="宋体" w:cs="宋体"/>
          <w:color w:val="auto"/>
          <w:highlight w:val="none"/>
        </w:rPr>
      </w:pPr>
    </w:p>
    <w:p>
      <w:pPr>
        <w:pStyle w:val="8"/>
        <w:ind w:firstLine="0"/>
        <w:rPr>
          <w:rFonts w:hint="eastAsia" w:ascii="宋体" w:hAnsi="宋体" w:eastAsia="宋体" w:cs="宋体"/>
          <w:color w:val="auto"/>
          <w:highlight w:val="none"/>
        </w:rPr>
      </w:pPr>
    </w:p>
    <w:p>
      <w:pPr>
        <w:pStyle w:val="8"/>
        <w:ind w:firstLine="0"/>
        <w:rPr>
          <w:rFonts w:hint="eastAsia" w:ascii="宋体" w:hAnsi="宋体" w:eastAsia="宋体" w:cs="宋体"/>
          <w:color w:val="auto"/>
          <w:highlight w:val="none"/>
        </w:rPr>
      </w:pPr>
    </w:p>
    <w:p>
      <w:pPr>
        <w:pStyle w:val="8"/>
        <w:ind w:firstLine="0"/>
        <w:rPr>
          <w:rFonts w:hint="eastAsia" w:ascii="宋体" w:hAnsi="宋体" w:eastAsia="宋体" w:cs="宋体"/>
          <w:color w:val="auto"/>
          <w:highlight w:val="none"/>
        </w:rPr>
      </w:pPr>
    </w:p>
    <w:p>
      <w:pPr>
        <w:autoSpaceDE w:val="0"/>
        <w:autoSpaceDN w:val="0"/>
        <w:adjustRightInd w:val="0"/>
        <w:spacing w:line="240" w:lineRule="atLeas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br w:type="page"/>
      </w:r>
      <w:r>
        <w:rPr>
          <w:rFonts w:hint="eastAsia" w:ascii="宋体" w:hAnsi="宋体" w:eastAsia="宋体" w:cs="宋体"/>
          <w:color w:val="auto"/>
          <w:sz w:val="36"/>
          <w:szCs w:val="36"/>
          <w:highlight w:val="none"/>
          <w:lang w:val="en-US" w:eastAsia="zh-CN"/>
        </w:rPr>
        <w:t>一</w:t>
      </w:r>
      <w:r>
        <w:rPr>
          <w:rFonts w:hint="eastAsia" w:ascii="宋体" w:hAnsi="宋体" w:eastAsia="宋体" w:cs="宋体"/>
          <w:color w:val="auto"/>
          <w:sz w:val="36"/>
          <w:szCs w:val="36"/>
          <w:highlight w:val="none"/>
          <w:lang w:val="zh-CN"/>
        </w:rPr>
        <w:t>、投标申请及声明</w:t>
      </w:r>
    </w:p>
    <w:p>
      <w:pPr>
        <w:autoSpaceDE w:val="0"/>
        <w:autoSpaceDN w:val="0"/>
        <w:adjustRightInd w:val="0"/>
        <w:spacing w:line="360" w:lineRule="auto"/>
        <w:ind w:firstLine="480" w:firstLineChars="200"/>
        <w:outlineLvl w:val="0"/>
        <w:rPr>
          <w:rFonts w:hint="eastAsia" w:ascii="宋体" w:hAnsi="宋体" w:eastAsia="宋体" w:cs="宋体"/>
          <w:color w:val="auto"/>
          <w:sz w:val="24"/>
          <w:highlight w:val="none"/>
          <w:u w:val="single"/>
          <w:lang w:val="zh-CN"/>
        </w:rPr>
      </w:pPr>
      <w:bookmarkStart w:id="26" w:name="_Toc488329641"/>
      <w:bookmarkStart w:id="27" w:name="_Toc488329572"/>
      <w:r>
        <w:rPr>
          <w:rFonts w:hint="eastAsia" w:ascii="宋体" w:hAnsi="宋体" w:eastAsia="宋体" w:cs="宋体"/>
          <w:color w:val="auto"/>
          <w:sz w:val="24"/>
          <w:highlight w:val="none"/>
          <w:lang w:val="zh-CN"/>
        </w:rPr>
        <w:t>致：</w:t>
      </w: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u w:val="single"/>
          <w:lang w:val="zh-CN"/>
        </w:rPr>
        <w:t>）</w:t>
      </w:r>
      <w:bookmarkEnd w:id="26"/>
      <w:bookmarkEnd w:id="27"/>
    </w:p>
    <w:p>
      <w:pPr>
        <w:spacing w:line="360" w:lineRule="auto"/>
        <w:ind w:firstLine="480" w:firstLineChars="200"/>
        <w:rPr>
          <w:rFonts w:hint="eastAsia" w:ascii="宋体" w:hAnsi="宋体" w:eastAsia="宋体" w:cs="宋体"/>
          <w:color w:val="auto"/>
          <w:sz w:val="24"/>
          <w:highlight w:val="none"/>
        </w:rPr>
      </w:pPr>
      <w:bookmarkStart w:id="28" w:name="_Toc488329573"/>
      <w:bookmarkStart w:id="29" w:name="_Toc488329642"/>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ascii="宋体" w:hAnsi="宋体" w:cs="Arial"/>
          <w:sz w:val="24"/>
          <w:u w:val="single"/>
        </w:rPr>
        <w:t>（分包号、分包名称）</w:t>
      </w:r>
      <w:r>
        <w:rPr>
          <w:rFonts w:hint="eastAsia" w:ascii="宋体" w:hAnsi="宋体" w:eastAsia="宋体" w:cs="宋体"/>
          <w:color w:val="auto"/>
          <w:sz w:val="24"/>
          <w:highlight w:val="none"/>
        </w:rPr>
        <w:t>招标公告，正式授权下述签字或签章人</w:t>
      </w:r>
      <w:r>
        <w:rPr>
          <w:rFonts w:hint="eastAsia" w:ascii="宋体" w:hAnsi="宋体" w:eastAsia="宋体" w:cs="宋体"/>
          <w:color w:val="auto"/>
          <w:sz w:val="24"/>
          <w:highlight w:val="none"/>
          <w:u w:val="single"/>
        </w:rPr>
        <w:t xml:space="preserve">       (姓名和职务)</w:t>
      </w:r>
      <w:r>
        <w:rPr>
          <w:rFonts w:hint="eastAsia" w:ascii="宋体" w:hAnsi="宋体" w:eastAsia="宋体" w:cs="宋体"/>
          <w:color w:val="auto"/>
          <w:sz w:val="24"/>
          <w:highlight w:val="none"/>
        </w:rPr>
        <w:t>代表投标人</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，提交投标文件。</w:t>
      </w:r>
      <w:bookmarkEnd w:id="28"/>
      <w:bookmarkEnd w:id="29"/>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据此函，签字或签章人兹宣布声明和承诺如下：</w:t>
      </w:r>
    </w:p>
    <w:p>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w:t>
      </w:r>
      <w:r>
        <w:rPr>
          <w:rFonts w:hint="eastAsia" w:ascii="宋体" w:hAnsi="宋体" w:eastAsia="宋体" w:cs="宋体"/>
          <w:b/>
          <w:color w:val="auto"/>
          <w:sz w:val="24"/>
          <w:highlight w:val="none"/>
          <w:lang w:val="zh-CN"/>
        </w:rPr>
        <w:t>我们的资格条件完全符合政府采购法和本次招标要求</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我们</w:t>
      </w:r>
      <w:r>
        <w:rPr>
          <w:rFonts w:hint="eastAsia" w:ascii="宋体" w:hAnsi="宋体" w:eastAsia="宋体" w:cs="宋体"/>
          <w:color w:val="auto"/>
          <w:sz w:val="24"/>
          <w:highlight w:val="none"/>
          <w:lang w:val="zh-CN"/>
        </w:rPr>
        <w:t>同意并向贵方提供了与投标有关的所有证据和资料。</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我们已详细审核全部招标文件及其有效补充文件，我们放弃对招标文件任何误解的权利，提交投标文件后，</w:t>
      </w:r>
      <w:r>
        <w:rPr>
          <w:rFonts w:hint="eastAsia" w:ascii="宋体" w:hAnsi="宋体" w:eastAsia="宋体" w:cs="宋体"/>
          <w:b/>
          <w:color w:val="auto"/>
          <w:sz w:val="24"/>
          <w:highlight w:val="none"/>
          <w:lang w:val="zh-CN"/>
        </w:rPr>
        <w:t>不对招标文件本身提出质疑</w:t>
      </w:r>
      <w:r>
        <w:rPr>
          <w:rFonts w:hint="eastAsia" w:ascii="宋体" w:hAnsi="宋体" w:eastAsia="宋体" w:cs="宋体"/>
          <w:color w:val="auto"/>
          <w:sz w:val="24"/>
          <w:highlight w:val="none"/>
          <w:lang w:val="zh-CN"/>
        </w:rPr>
        <w:t>。否则，属于不诚信和故意扰乱政府采购活动行为，我们将无条件接受处罚。</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、我们同意从规定的开标日期起遵循本投标文件，并在规定的投标有效期期满之前均具有约束力。</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、一旦我方中标，我方将根据招标文件的规定严格履行合同，并保证于承诺的时间完成服务的启动/集成、调试等服务，交付采购人验收、使用。</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我方决不提供虚假材料谋取中标、决不采取不正当手段诋毁、排挤其他投标人、决不与采购人、其它投标人或者代理人恶意串通、决不向采购人、代理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rPr>
        <w:t>、与本投标有关的正式联系方式为：</w:t>
      </w:r>
    </w:p>
    <w:p>
      <w:pPr>
        <w:autoSpaceDE w:val="0"/>
        <w:autoSpaceDN w:val="0"/>
        <w:adjustRightIn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地址：</w:t>
      </w:r>
    </w:p>
    <w:p>
      <w:pPr>
        <w:autoSpaceDE w:val="0"/>
        <w:autoSpaceDN w:val="0"/>
        <w:adjustRightIn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投标人授权代表姓名（签字或签章）：</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投标人名称：（盖章）</w:t>
      </w:r>
    </w:p>
    <w:p>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pPr>
        <w:widowControl/>
        <w:adjustRightInd w:val="0"/>
        <w:spacing w:line="360" w:lineRule="auto"/>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br w:type="page"/>
      </w:r>
    </w:p>
    <w:p>
      <w:pPr>
        <w:autoSpaceDE w:val="0"/>
        <w:autoSpaceDN w:val="0"/>
        <w:adjustRightInd w:val="0"/>
        <w:spacing w:line="240" w:lineRule="atLeast"/>
        <w:jc w:val="center"/>
        <w:rPr>
          <w:rFonts w:hint="eastAsia" w:ascii="宋体" w:hAnsi="宋体" w:eastAsia="宋体" w:cs="宋体"/>
          <w:color w:val="auto"/>
          <w:sz w:val="36"/>
          <w:szCs w:val="36"/>
          <w:highlight w:val="none"/>
          <w:lang w:val="zh-CN"/>
        </w:rPr>
      </w:pPr>
      <w:bookmarkStart w:id="30" w:name="_Toc488329643"/>
      <w:bookmarkStart w:id="31" w:name="_Toc488329574"/>
      <w:r>
        <w:rPr>
          <w:rFonts w:hint="eastAsia" w:ascii="宋体" w:hAnsi="宋体" w:eastAsia="宋体" w:cs="宋体"/>
          <w:color w:val="auto"/>
          <w:sz w:val="36"/>
          <w:szCs w:val="36"/>
          <w:highlight w:val="none"/>
          <w:lang w:val="en-US" w:eastAsia="zh-CN"/>
        </w:rPr>
        <w:t>二</w:t>
      </w:r>
      <w:r>
        <w:rPr>
          <w:rFonts w:hint="eastAsia" w:ascii="宋体" w:hAnsi="宋体" w:eastAsia="宋体" w:cs="宋体"/>
          <w:color w:val="auto"/>
          <w:sz w:val="36"/>
          <w:szCs w:val="36"/>
          <w:highlight w:val="none"/>
          <w:lang w:val="zh-CN"/>
        </w:rPr>
        <w:t>、法定代表人身份证明、授权委托书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若为法人直接投标则只需提供“法定代表人身份证明”。若授权投标，则“法定代表人身份证明”和“授权委托书”均需提供。</w:t>
      </w:r>
    </w:p>
    <w:p>
      <w:pPr>
        <w:spacing w:after="156" w:afterLines="50" w:line="360" w:lineRule="auto"/>
        <w:ind w:firstLine="480" w:firstLineChars="200"/>
        <w:jc w:val="left"/>
        <w:rPr>
          <w:rFonts w:hint="eastAsia" w:ascii="宋体" w:hAnsi="宋体" w:eastAsia="宋体" w:cs="宋体"/>
          <w:color w:val="auto"/>
          <w:sz w:val="24"/>
          <w:szCs w:val="24"/>
          <w:highlight w:val="none"/>
        </w:rPr>
      </w:pPr>
    </w:p>
    <w:p>
      <w:pPr>
        <w:spacing w:after="156"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致：_______________公司</w:t>
      </w:r>
    </w:p>
    <w:p>
      <w:pPr>
        <w:spacing w:after="156" w:afterLines="50" w:line="360" w:lineRule="auto"/>
        <w:ind w:firstLine="480" w:firstLineChars="200"/>
        <w:jc w:val="left"/>
        <w:rPr>
          <w:rFonts w:hint="eastAsia" w:ascii="宋体" w:hAnsi="宋体" w:eastAsia="宋体" w:cs="宋体"/>
          <w:color w:val="auto"/>
          <w:sz w:val="24"/>
          <w:szCs w:val="24"/>
          <w:highlight w:val="none"/>
        </w:rPr>
      </w:pPr>
    </w:p>
    <w:p>
      <w:pPr>
        <w:spacing w:after="156"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兹有，____________同志，性别：_____，民族________,身份证号码____________________，在我单位担任_________职务，系我单位的法定代表人。</w:t>
      </w:r>
    </w:p>
    <w:p>
      <w:pPr>
        <w:spacing w:after="156" w:after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widowControl/>
        <w:spacing w:after="156" w:afterLines="50" w:line="360" w:lineRule="auto"/>
        <w:ind w:left="48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附：法定代表人身份证（正反面）</w:t>
      </w:r>
      <w:r>
        <w:rPr>
          <w:rFonts w:hint="eastAsia" w:ascii="宋体" w:hAnsi="宋体" w:eastAsia="宋体" w:cs="宋体"/>
          <w:bCs/>
          <w:color w:val="auto"/>
          <w:sz w:val="24"/>
          <w:szCs w:val="24"/>
          <w:highlight w:val="none"/>
        </w:rPr>
        <w:t>扫描件</w:t>
      </w:r>
    </w:p>
    <w:p>
      <w:pPr>
        <w:spacing w:after="156" w:afterLines="50" w:line="360" w:lineRule="auto"/>
        <w:jc w:val="left"/>
        <w:rPr>
          <w:rFonts w:hint="eastAsia" w:ascii="宋体" w:hAnsi="宋体" w:eastAsia="宋体" w:cs="宋体"/>
          <w:color w:val="auto"/>
          <w:sz w:val="24"/>
          <w:szCs w:val="24"/>
          <w:highlight w:val="none"/>
        </w:rPr>
      </w:pPr>
    </w:p>
    <w:p>
      <w:pPr>
        <w:spacing w:after="156"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投标人（盖章）：____________________</w:t>
      </w:r>
    </w:p>
    <w:p>
      <w:pPr>
        <w:spacing w:after="156" w:afterLines="50" w:line="360" w:lineRule="auto"/>
        <w:jc w:val="left"/>
        <w:rPr>
          <w:rFonts w:hint="eastAsia" w:ascii="宋体" w:hAnsi="宋体" w:eastAsia="宋体" w:cs="宋体"/>
          <w:color w:val="auto"/>
          <w:sz w:val="24"/>
          <w:szCs w:val="24"/>
          <w:highlight w:val="none"/>
        </w:rPr>
        <w:sectPr>
          <w:footerReference r:id="rId5" w:type="first"/>
          <w:footerReference r:id="rId4" w:type="even"/>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 xml:space="preserve">                                  ______年_______月______日</w:t>
      </w:r>
    </w:p>
    <w:p>
      <w:pPr>
        <w:pStyle w:val="5"/>
        <w:jc w:val="center"/>
        <w:rPr>
          <w:rFonts w:hint="eastAsia" w:ascii="宋体" w:hAnsi="宋体" w:eastAsia="宋体" w:cs="宋体"/>
          <w:b w:val="0"/>
          <w:color w:val="auto"/>
          <w:sz w:val="36"/>
          <w:szCs w:val="36"/>
          <w:highlight w:val="none"/>
          <w:lang w:val="zh-CN"/>
        </w:rPr>
      </w:pPr>
      <w:r>
        <w:rPr>
          <w:rFonts w:hint="eastAsia" w:ascii="宋体" w:hAnsi="宋体" w:eastAsia="宋体" w:cs="宋体"/>
          <w:b w:val="0"/>
          <w:color w:val="auto"/>
          <w:sz w:val="36"/>
          <w:szCs w:val="36"/>
          <w:highlight w:val="none"/>
          <w:lang w:val="zh-CN"/>
        </w:rPr>
        <w:t>授权委托书</w:t>
      </w:r>
    </w:p>
    <w:p>
      <w:pPr>
        <w:widowControl/>
        <w:spacing w:after="120" w:afterLines="50" w:line="48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本人________（姓名）系___________（投标人名称）的法定代表人（或负责人），现委托___________（身份证号：_____________）为我单位代理人。</w:t>
      </w:r>
    </w:p>
    <w:p>
      <w:pPr>
        <w:widowControl/>
        <w:spacing w:after="120" w:afterLines="50" w:line="48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代理人根据授权，以我单位名义参加</w:t>
      </w:r>
      <w:r>
        <w:rPr>
          <w:rFonts w:hint="eastAsia" w:ascii="宋体" w:hAnsi="宋体" w:eastAsia="宋体" w:cs="宋体"/>
          <w:color w:val="auto"/>
          <w:kern w:val="0"/>
          <w:sz w:val="24"/>
          <w:szCs w:val="24"/>
          <w:highlight w:val="none"/>
          <w:u w:val="single"/>
        </w:rPr>
        <w:t xml:space="preserve">      （项目名称）</w:t>
      </w:r>
      <w:r>
        <w:rPr>
          <w:rFonts w:ascii="宋体" w:hAnsi="宋体" w:cs="Arial"/>
          <w:sz w:val="24"/>
          <w:u w:val="single"/>
        </w:rPr>
        <w:t>（分包号、分包名称）</w:t>
      </w:r>
      <w:r>
        <w:rPr>
          <w:rFonts w:hint="eastAsia" w:ascii="宋体" w:hAnsi="宋体" w:eastAsia="宋体" w:cs="宋体"/>
          <w:color w:val="auto"/>
          <w:kern w:val="0"/>
          <w:sz w:val="24"/>
          <w:szCs w:val="24"/>
          <w:highlight w:val="none"/>
        </w:rPr>
        <w:t>投标活动。代理人进行的签署、澄清、说明、补正、递交、撤回、修改的投标文件，参与投标、开标、评标、合同谈判、签订合同和处理其他有关事宜，其法律后果由我单位承担。</w:t>
      </w:r>
    </w:p>
    <w:p>
      <w:pPr>
        <w:widowControl/>
        <w:spacing w:after="120" w:afterLines="50" w:line="48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委托期限：</w:t>
      </w:r>
      <w:r>
        <w:rPr>
          <w:rFonts w:hint="eastAsia" w:ascii="宋体" w:hAnsi="宋体" w:eastAsia="宋体" w:cs="宋体"/>
          <w:color w:val="auto"/>
          <w:kern w:val="0"/>
          <w:sz w:val="24"/>
          <w:szCs w:val="24"/>
          <w:highlight w:val="none"/>
          <w:u w:val="single"/>
        </w:rPr>
        <w:t>自本委托书签署之日起至合同签订结束</w:t>
      </w:r>
      <w:r>
        <w:rPr>
          <w:rFonts w:hint="eastAsia" w:ascii="宋体" w:hAnsi="宋体" w:eastAsia="宋体" w:cs="宋体"/>
          <w:color w:val="auto"/>
          <w:kern w:val="0"/>
          <w:sz w:val="24"/>
          <w:szCs w:val="24"/>
          <w:highlight w:val="none"/>
        </w:rPr>
        <w:t>。</w:t>
      </w:r>
    </w:p>
    <w:p>
      <w:pPr>
        <w:widowControl/>
        <w:spacing w:after="120" w:afterLines="50" w:line="48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pPr>
        <w:widowControl/>
        <w:spacing w:after="120" w:afterLines="50" w:line="48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附：代理人身份证（正反面）</w:t>
      </w:r>
      <w:r>
        <w:rPr>
          <w:rFonts w:hint="eastAsia" w:ascii="宋体" w:hAnsi="宋体" w:eastAsia="宋体" w:cs="宋体"/>
          <w:bCs/>
          <w:color w:val="auto"/>
          <w:sz w:val="24"/>
          <w:szCs w:val="24"/>
          <w:highlight w:val="none"/>
        </w:rPr>
        <w:t>扫描件</w:t>
      </w:r>
    </w:p>
    <w:p>
      <w:pPr>
        <w:widowControl/>
        <w:tabs>
          <w:tab w:val="left" w:pos="1440"/>
        </w:tabs>
        <w:adjustRightInd w:val="0"/>
        <w:spacing w:line="360" w:lineRule="auto"/>
        <w:jc w:val="left"/>
        <w:rPr>
          <w:rFonts w:hint="eastAsia" w:ascii="宋体" w:hAnsi="宋体" w:eastAsia="宋体" w:cs="宋体"/>
          <w:color w:val="auto"/>
          <w:kern w:val="0"/>
          <w:sz w:val="24"/>
          <w:szCs w:val="24"/>
          <w:highlight w:val="none"/>
          <w:lang w:val="zh-CN"/>
        </w:rPr>
      </w:pPr>
    </w:p>
    <w:p>
      <w:pPr>
        <w:spacing w:after="120" w:afterLines="50"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投标人（盖章）：____________________</w:t>
      </w:r>
    </w:p>
    <w:p>
      <w:pPr>
        <w:pStyle w:val="79"/>
        <w:ind w:firstLine="2640" w:firstLineChars="110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法定代表人（签字或签章）：</w:t>
      </w:r>
      <w:r>
        <w:rPr>
          <w:rFonts w:hint="eastAsia" w:ascii="宋体" w:hAnsi="宋体" w:eastAsia="宋体" w:cs="宋体"/>
          <w:color w:val="auto"/>
          <w:kern w:val="2"/>
          <w:sz w:val="24"/>
          <w:szCs w:val="24"/>
          <w:highlight w:val="none"/>
          <w:u w:val="single"/>
          <w:lang w:val="en-US" w:eastAsia="zh-CN" w:bidi="ar-SA"/>
        </w:rPr>
        <w:t xml:space="preserve">            </w:t>
      </w:r>
    </w:p>
    <w:p>
      <w:pPr>
        <w:pStyle w:val="79"/>
        <w:ind w:firstLine="2640" w:firstLineChars="1100"/>
        <w:rPr>
          <w:rFonts w:hint="eastAsia" w:ascii="宋体" w:hAnsi="宋体" w:eastAsia="宋体" w:cs="宋体"/>
          <w:color w:val="auto"/>
          <w:kern w:val="2"/>
          <w:sz w:val="24"/>
          <w:szCs w:val="24"/>
          <w:highlight w:val="none"/>
          <w:lang w:val="en-US" w:eastAsia="zh-CN" w:bidi="ar-SA"/>
        </w:rPr>
      </w:pPr>
    </w:p>
    <w:p>
      <w:pPr>
        <w:pStyle w:val="79"/>
        <w:ind w:firstLine="2640" w:firstLineChars="11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2"/>
          <w:sz w:val="24"/>
          <w:szCs w:val="24"/>
          <w:highlight w:val="none"/>
          <w:lang w:val="en-US" w:eastAsia="zh-CN" w:bidi="ar-SA"/>
        </w:rPr>
        <w:t>委托代理人（签字或签章）：</w:t>
      </w:r>
      <w:r>
        <w:rPr>
          <w:rFonts w:hint="eastAsia" w:ascii="宋体" w:hAnsi="宋体" w:eastAsia="宋体" w:cs="宋体"/>
          <w:color w:val="auto"/>
          <w:kern w:val="2"/>
          <w:sz w:val="24"/>
          <w:szCs w:val="24"/>
          <w:highlight w:val="none"/>
          <w:u w:val="single"/>
          <w:lang w:val="en-US" w:eastAsia="zh-CN" w:bidi="ar-SA"/>
        </w:rPr>
        <w:t xml:space="preserve">            </w:t>
      </w:r>
    </w:p>
    <w:p>
      <w:pPr>
        <w:widowControl/>
        <w:adjustRightInd w:val="0"/>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adjustRightInd w:val="0"/>
        <w:spacing w:line="240" w:lineRule="atLeast"/>
        <w:ind w:firstLine="3840" w:firstLineChars="16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 xml:space="preserve">  ______年_______月______日</w:t>
      </w:r>
      <w:bookmarkEnd w:id="30"/>
      <w:bookmarkEnd w:id="31"/>
    </w:p>
    <w:p>
      <w:pPr>
        <w:widowControl/>
        <w:adjustRightInd w:val="0"/>
        <w:spacing w:line="240" w:lineRule="atLeast"/>
        <w:jc w:val="left"/>
        <w:rPr>
          <w:rFonts w:hint="eastAsia" w:ascii="宋体" w:hAnsi="宋体" w:eastAsia="宋体" w:cs="宋体"/>
          <w:b/>
          <w:color w:val="auto"/>
          <w:kern w:val="0"/>
          <w:szCs w:val="21"/>
          <w:highlight w:val="none"/>
          <w:lang w:val="zh-CN"/>
        </w:rPr>
      </w:pPr>
    </w:p>
    <w:p>
      <w:pPr>
        <w:widowControl/>
        <w:adjustRightInd w:val="0"/>
        <w:spacing w:line="240" w:lineRule="atLeast"/>
        <w:jc w:val="left"/>
        <w:rPr>
          <w:rFonts w:hint="eastAsia" w:ascii="宋体" w:hAnsi="宋体" w:eastAsia="宋体" w:cs="宋体"/>
          <w:b/>
          <w:color w:val="auto"/>
          <w:kern w:val="0"/>
          <w:szCs w:val="21"/>
          <w:highlight w:val="none"/>
          <w:lang w:val="zh-CN"/>
        </w:rPr>
      </w:pPr>
    </w:p>
    <w:p>
      <w:pPr>
        <w:widowControl/>
        <w:adjustRightInd w:val="0"/>
        <w:spacing w:line="240" w:lineRule="atLeast"/>
        <w:jc w:val="left"/>
        <w:rPr>
          <w:rFonts w:hint="eastAsia" w:ascii="宋体" w:hAnsi="宋体" w:eastAsia="宋体" w:cs="宋体"/>
          <w:b/>
          <w:color w:val="auto"/>
          <w:kern w:val="0"/>
          <w:szCs w:val="21"/>
          <w:highlight w:val="none"/>
          <w:lang w:val="zh-CN"/>
        </w:rPr>
      </w:pPr>
    </w:p>
    <w:p>
      <w:pPr>
        <w:widowControl/>
        <w:adjustRightInd w:val="0"/>
        <w:spacing w:line="240" w:lineRule="atLeast"/>
        <w:jc w:val="left"/>
        <w:rPr>
          <w:rFonts w:hint="eastAsia" w:ascii="宋体" w:hAnsi="宋体" w:eastAsia="宋体" w:cs="宋体"/>
          <w:b/>
          <w:color w:val="auto"/>
          <w:kern w:val="0"/>
          <w:szCs w:val="21"/>
          <w:highlight w:val="none"/>
          <w:lang w:val="zh-CN"/>
        </w:rPr>
      </w:pPr>
    </w:p>
    <w:p>
      <w:pPr>
        <w:widowControl/>
        <w:adjustRightInd w:val="0"/>
        <w:spacing w:line="240" w:lineRule="atLeast"/>
        <w:jc w:val="center"/>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br w:type="page"/>
      </w:r>
      <w:r>
        <w:rPr>
          <w:rFonts w:hint="eastAsia" w:ascii="宋体" w:hAnsi="宋体" w:eastAsia="宋体" w:cs="宋体"/>
          <w:color w:val="auto"/>
          <w:sz w:val="36"/>
          <w:szCs w:val="36"/>
          <w:highlight w:val="none"/>
          <w:lang w:val="en-US" w:eastAsia="zh-CN"/>
        </w:rPr>
        <w:t>三</w:t>
      </w:r>
      <w:r>
        <w:rPr>
          <w:rFonts w:hint="eastAsia" w:ascii="宋体" w:hAnsi="宋体" w:eastAsia="宋体" w:cs="宋体"/>
          <w:color w:val="auto"/>
          <w:sz w:val="36"/>
          <w:szCs w:val="36"/>
          <w:highlight w:val="none"/>
          <w:lang w:val="zh-CN"/>
        </w:rPr>
        <w:t>、开标一览表</w:t>
      </w:r>
    </w:p>
    <w:p>
      <w:pPr>
        <w:spacing w:line="560" w:lineRule="exact"/>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开标一览表</w:t>
      </w:r>
    </w:p>
    <w:p>
      <w:pPr>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项目标段名称：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项目编号：</w:t>
      </w:r>
    </w:p>
    <w:p>
      <w:pPr>
        <w:spacing w:line="560" w:lineRule="exact"/>
        <w:jc w:val="left"/>
        <w:rPr>
          <w:rFonts w:hint="eastAsia" w:ascii="宋体" w:hAnsi="宋体" w:eastAsia="宋体" w:cs="宋体"/>
          <w:color w:val="auto"/>
          <w:sz w:val="24"/>
          <w:szCs w:val="24"/>
          <w:highlight w:val="none"/>
          <w:lang w:val="en-US" w:eastAsia="zh-CN"/>
        </w:rPr>
      </w:pPr>
      <w:r>
        <w:rPr>
          <w:rFonts w:ascii="宋体" w:hAnsi="宋体" w:cs="Arial"/>
          <w:sz w:val="24"/>
          <w:u w:val="none"/>
        </w:rPr>
        <w:t>分包号、分包名称</w:t>
      </w:r>
      <w:r>
        <w:rPr>
          <w:rFonts w:hint="eastAsia" w:ascii="宋体" w:hAnsi="宋体" w:cs="Arial"/>
          <w:sz w:val="24"/>
          <w:u w:val="none"/>
          <w:lang w:val="en-US" w:eastAsia="zh-CN"/>
        </w:rPr>
        <w:t>:</w:t>
      </w:r>
      <w:r>
        <w:rPr>
          <w:rFonts w:hint="eastAsia" w:ascii="宋体" w:hAnsi="宋体" w:eastAsia="宋体" w:cs="宋体"/>
          <w:color w:val="auto"/>
          <w:sz w:val="24"/>
          <w:szCs w:val="24"/>
          <w:highlight w:val="none"/>
          <w:lang w:val="en-US" w:eastAsia="zh-CN"/>
        </w:rPr>
        <w:t xml:space="preserve">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80"/>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3"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0"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070"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693"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0"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707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highlight w:val="none"/>
                <w:lang w:val="en-US" w:eastAsia="zh-CN"/>
              </w:rPr>
            </w:pPr>
            <w:r>
              <w:rPr>
                <w:rFonts w:hint="eastAsia"/>
                <w:color w:val="auto"/>
                <w:highlight w:val="none"/>
                <w:lang w:val="en-US" w:eastAsia="zh-CN"/>
              </w:rPr>
              <w:t>包一：</w:t>
            </w:r>
            <w:r>
              <w:rPr>
                <w:rFonts w:hint="eastAsia"/>
                <w:color w:val="auto"/>
                <w:highlight w:val="none"/>
                <w:u w:val="none"/>
                <w:lang w:val="en-US" w:eastAsia="zh-CN"/>
              </w:rPr>
              <w:t>粮、油</w:t>
            </w:r>
            <w:r>
              <w:rPr>
                <w:rFonts w:hint="eastAsia"/>
                <w:color w:val="auto"/>
                <w:highlight w:val="none"/>
                <w:lang w:val="en-US" w:eastAsia="zh-CN"/>
              </w:rPr>
              <w:t xml:space="preserve">  所投品目平均折扣率</w:t>
            </w:r>
            <w:r>
              <w:rPr>
                <w:rFonts w:hint="eastAsia"/>
                <w:color w:val="auto"/>
                <w:highlight w:val="none"/>
                <w:u w:val="single"/>
                <w:lang w:val="en-US" w:eastAsia="zh-CN"/>
              </w:rPr>
              <w:t xml:space="preserve">     </w:t>
            </w:r>
            <w:r>
              <w:rPr>
                <w:rFonts w:hint="eastAsia"/>
                <w:color w:val="auto"/>
                <w:highlight w:val="none"/>
                <w:lang w:val="en-US" w:eastAsia="zh-CN"/>
              </w:rPr>
              <w:t>（保留小数点后两位）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包</w:t>
            </w:r>
            <w:r>
              <w:rPr>
                <w:rFonts w:hint="eastAsia" w:ascii="Times New Roman" w:eastAsia="宋体" w:cs="Times New Roman"/>
                <w:color w:val="auto"/>
                <w:kern w:val="2"/>
                <w:sz w:val="21"/>
                <w:highlight w:val="none"/>
                <w:lang w:val="en-US" w:eastAsia="zh-CN" w:bidi="ar-SA"/>
              </w:rPr>
              <w:t>二</w:t>
            </w:r>
            <w:r>
              <w:rPr>
                <w:rFonts w:hint="eastAsia" w:ascii="Times New Roman" w:hAnsi="Times New Roman" w:eastAsia="宋体" w:cs="Times New Roman"/>
                <w:color w:val="auto"/>
                <w:kern w:val="2"/>
                <w:sz w:val="21"/>
                <w:highlight w:val="none"/>
                <w:lang w:val="en-US" w:eastAsia="zh-CN" w:bidi="ar-SA"/>
              </w:rPr>
              <w:t>：</w:t>
            </w:r>
            <w:r>
              <w:rPr>
                <w:rFonts w:hint="eastAsia" w:ascii="Times New Roman" w:hAnsi="Times New Roman" w:eastAsia="宋体" w:cs="Times New Roman"/>
                <w:color w:val="auto"/>
                <w:kern w:val="2"/>
                <w:sz w:val="21"/>
                <w:highlight w:val="none"/>
                <w:u w:val="none"/>
                <w:lang w:val="en-US" w:eastAsia="zh-CN" w:bidi="ar-SA"/>
              </w:rPr>
              <w:t xml:space="preserve">干货调味品 </w:t>
            </w:r>
            <w:r>
              <w:rPr>
                <w:rFonts w:hint="eastAsia" w:ascii="Times New Roman" w:hAnsi="Times New Roman" w:eastAsia="宋体" w:cs="Times New Roman"/>
                <w:color w:val="auto"/>
                <w:kern w:val="2"/>
                <w:sz w:val="21"/>
                <w:highlight w:val="none"/>
                <w:lang w:val="en-US" w:eastAsia="zh-CN" w:bidi="ar-SA"/>
              </w:rPr>
              <w:t xml:space="preserve"> 所投品目平均折扣率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（保留小数点后两位）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包</w:t>
            </w:r>
            <w:r>
              <w:rPr>
                <w:rFonts w:hint="eastAsia" w:ascii="Times New Roman" w:hAnsi="Times New Roman" w:eastAsia="宋体" w:cs="Times New Roman"/>
                <w:color w:val="auto"/>
                <w:kern w:val="2"/>
                <w:sz w:val="21"/>
                <w:highlight w:val="none"/>
                <w:u w:val="none"/>
                <w:lang w:val="en-US" w:eastAsia="zh-CN" w:bidi="ar-SA"/>
              </w:rPr>
              <w:t>三：面点、乳制品  所</w:t>
            </w:r>
            <w:r>
              <w:rPr>
                <w:rFonts w:hint="eastAsia" w:ascii="Times New Roman" w:hAnsi="Times New Roman" w:eastAsia="宋体" w:cs="Times New Roman"/>
                <w:color w:val="auto"/>
                <w:kern w:val="2"/>
                <w:sz w:val="21"/>
                <w:highlight w:val="none"/>
                <w:lang w:val="en-US" w:eastAsia="zh-CN" w:bidi="ar-SA"/>
              </w:rPr>
              <w:t>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（保留小数点后两位）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包</w:t>
            </w:r>
            <w:r>
              <w:rPr>
                <w:rFonts w:hint="eastAsia" w:ascii="Times New Roman" w:eastAsia="宋体" w:cs="Times New Roman"/>
                <w:color w:val="auto"/>
                <w:kern w:val="2"/>
                <w:sz w:val="21"/>
                <w:highlight w:val="none"/>
                <w:lang w:val="en-US" w:eastAsia="zh-CN" w:bidi="ar-SA"/>
              </w:rPr>
              <w:t>四</w:t>
            </w:r>
            <w:r>
              <w:rPr>
                <w:rFonts w:hint="eastAsia" w:ascii="Times New Roman" w:hAnsi="Times New Roman" w:eastAsia="宋体" w:cs="Times New Roman"/>
                <w:color w:val="auto"/>
                <w:kern w:val="2"/>
                <w:sz w:val="21"/>
                <w:highlight w:val="none"/>
                <w:u w:val="none"/>
                <w:lang w:val="en-US" w:eastAsia="zh-CN" w:bidi="ar-SA"/>
              </w:rPr>
              <w:t>：水产  所投品</w:t>
            </w:r>
            <w:r>
              <w:rPr>
                <w:rFonts w:hint="eastAsia" w:ascii="Times New Roman" w:hAnsi="Times New Roman" w:eastAsia="宋体" w:cs="Times New Roman"/>
                <w:color w:val="auto"/>
                <w:kern w:val="2"/>
                <w:sz w:val="21"/>
                <w:highlight w:val="none"/>
                <w:lang w:val="en-US" w:eastAsia="zh-CN" w:bidi="ar-SA"/>
              </w:rPr>
              <w:t>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（保留小数点后两位）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包</w:t>
            </w:r>
            <w:r>
              <w:rPr>
                <w:rFonts w:hint="eastAsia" w:ascii="Times New Roman" w:eastAsia="宋体" w:cs="Times New Roman"/>
                <w:color w:val="auto"/>
                <w:kern w:val="2"/>
                <w:sz w:val="21"/>
                <w:highlight w:val="none"/>
                <w:lang w:val="en-US" w:eastAsia="zh-CN" w:bidi="ar-SA"/>
              </w:rPr>
              <w:t>五</w:t>
            </w:r>
            <w:r>
              <w:rPr>
                <w:rFonts w:hint="eastAsia" w:ascii="Times New Roman" w:hAnsi="Times New Roman" w:eastAsia="宋体" w:cs="Times New Roman"/>
                <w:color w:val="auto"/>
                <w:kern w:val="2"/>
                <w:sz w:val="21"/>
                <w:highlight w:val="none"/>
                <w:lang w:val="en-US" w:eastAsia="zh-CN" w:bidi="ar-SA"/>
              </w:rPr>
              <w:t>：</w:t>
            </w:r>
            <w:r>
              <w:rPr>
                <w:rFonts w:hint="eastAsia" w:ascii="Times New Roman" w:eastAsia="宋体" w:cs="Times New Roman"/>
                <w:color w:val="auto"/>
                <w:kern w:val="2"/>
                <w:sz w:val="21"/>
                <w:highlight w:val="none"/>
                <w:lang w:val="en-US" w:eastAsia="zh-CN" w:bidi="ar-SA"/>
              </w:rPr>
              <w:t>冷鲜肉</w:t>
            </w:r>
            <w:r>
              <w:rPr>
                <w:rFonts w:hint="eastAsia" w:ascii="Times New Roman" w:hAnsi="Times New Roman" w:eastAsia="宋体" w:cs="Times New Roman"/>
                <w:color w:val="auto"/>
                <w:kern w:val="2"/>
                <w:sz w:val="21"/>
                <w:highlight w:val="none"/>
                <w:lang w:val="en-US" w:eastAsia="zh-CN" w:bidi="ar-SA"/>
              </w:rPr>
              <w:t xml:space="preserve">  </w:t>
            </w:r>
            <w:r>
              <w:rPr>
                <w:rFonts w:hint="eastAsia" w:ascii="Times New Roman" w:eastAsia="宋体" w:cs="Times New Roman"/>
                <w:color w:val="auto"/>
                <w:kern w:val="2"/>
                <w:sz w:val="21"/>
                <w:highlight w:val="none"/>
                <w:lang w:val="en-US" w:eastAsia="zh-CN" w:bidi="ar-SA"/>
              </w:rPr>
              <w:t>1-7项</w:t>
            </w:r>
            <w:r>
              <w:rPr>
                <w:rFonts w:hint="eastAsia" w:ascii="Times New Roman" w:hAnsi="Times New Roman" w:eastAsia="宋体" w:cs="Times New Roman"/>
                <w:color w:val="auto"/>
                <w:kern w:val="2"/>
                <w:sz w:val="21"/>
                <w:highlight w:val="none"/>
                <w:lang w:val="en-US" w:eastAsia="zh-CN" w:bidi="ar-SA"/>
              </w:rPr>
              <w:t>所投品目平均折扣率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eastAsia="宋体" w:cs="Times New Roman"/>
                <w:color w:val="auto"/>
                <w:kern w:val="2"/>
                <w:sz w:val="21"/>
                <w:highlight w:val="none"/>
                <w:lang w:val="en-US" w:eastAsia="zh-CN" w:bidi="ar-SA"/>
              </w:rPr>
              <w:t xml:space="preserve"> ；8-56项</w:t>
            </w:r>
            <w:r>
              <w:rPr>
                <w:rFonts w:hint="eastAsia" w:ascii="Times New Roman" w:hAnsi="Times New Roman" w:eastAsia="宋体" w:cs="Times New Roman"/>
                <w:color w:val="auto"/>
                <w:kern w:val="2"/>
                <w:sz w:val="21"/>
                <w:highlight w:val="none"/>
                <w:lang w:val="en-US" w:eastAsia="zh-CN" w:bidi="ar-SA"/>
              </w:rPr>
              <w:t>所投品目平均折扣率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（保留小数点后两位）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包</w:t>
            </w:r>
            <w:r>
              <w:rPr>
                <w:rFonts w:hint="eastAsia" w:ascii="Times New Roman" w:hAnsi="Times New Roman" w:eastAsia="宋体" w:cs="Times New Roman"/>
                <w:color w:val="auto"/>
                <w:kern w:val="2"/>
                <w:sz w:val="21"/>
                <w:highlight w:val="none"/>
                <w:u w:val="none"/>
                <w:lang w:val="en-US" w:eastAsia="zh-CN" w:bidi="ar-SA"/>
              </w:rPr>
              <w:t xml:space="preserve">六：冷冻制品及冷冻家禽  </w:t>
            </w:r>
            <w:r>
              <w:rPr>
                <w:rFonts w:hint="eastAsia" w:ascii="Times New Roman" w:hAnsi="Times New Roman" w:eastAsia="宋体" w:cs="Times New Roman"/>
                <w:color w:val="auto"/>
                <w:kern w:val="2"/>
                <w:sz w:val="21"/>
                <w:highlight w:val="none"/>
                <w:lang w:val="en-US" w:eastAsia="zh-CN" w:bidi="ar-SA"/>
              </w:rPr>
              <w:t>所投品目平均折扣率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（保留小数点后两位）</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包</w:t>
            </w:r>
            <w:r>
              <w:rPr>
                <w:rFonts w:hint="eastAsia" w:ascii="Times New Roman" w:eastAsia="宋体" w:cs="Times New Roman"/>
                <w:color w:val="auto"/>
                <w:kern w:val="2"/>
                <w:sz w:val="21"/>
                <w:highlight w:val="none"/>
                <w:lang w:val="en-US" w:eastAsia="zh-CN" w:bidi="ar-SA"/>
              </w:rPr>
              <w:t>七</w:t>
            </w:r>
            <w:r>
              <w:rPr>
                <w:rFonts w:hint="eastAsia" w:ascii="Times New Roman" w:hAnsi="Times New Roman" w:eastAsia="宋体" w:cs="Times New Roman"/>
                <w:color w:val="auto"/>
                <w:kern w:val="2"/>
                <w:sz w:val="21"/>
                <w:highlight w:val="none"/>
                <w:lang w:val="en-US" w:eastAsia="zh-CN" w:bidi="ar-SA"/>
              </w:rPr>
              <w:t xml:space="preserve">：蔬菜、蛋、豆制品  </w:t>
            </w:r>
            <w:r>
              <w:rPr>
                <w:rFonts w:hint="eastAsia" w:ascii="Times New Roman" w:eastAsia="宋体" w:cs="Times New Roman"/>
                <w:color w:val="auto"/>
                <w:kern w:val="2"/>
                <w:sz w:val="21"/>
                <w:highlight w:val="none"/>
                <w:lang w:val="en-US" w:eastAsia="zh-CN" w:bidi="ar-SA"/>
              </w:rPr>
              <w:t>1-24项</w:t>
            </w:r>
            <w:r>
              <w:rPr>
                <w:rFonts w:hint="eastAsia" w:ascii="Times New Roman" w:hAnsi="Times New Roman" w:eastAsia="宋体" w:cs="Times New Roman"/>
                <w:color w:val="auto"/>
                <w:kern w:val="2"/>
                <w:sz w:val="21"/>
                <w:highlight w:val="none"/>
                <w:lang w:val="en-US" w:eastAsia="zh-CN" w:bidi="ar-SA"/>
              </w:rPr>
              <w:t>所投品目平均折扣率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eastAsia="宋体" w:cs="Times New Roman"/>
                <w:color w:val="auto"/>
                <w:kern w:val="2"/>
                <w:sz w:val="21"/>
                <w:highlight w:val="none"/>
                <w:u w:val="none"/>
                <w:lang w:val="en-US" w:eastAsia="zh-CN" w:bidi="ar-SA"/>
              </w:rPr>
              <w:t>；</w:t>
            </w:r>
            <w:r>
              <w:rPr>
                <w:rFonts w:hint="eastAsia" w:ascii="Times New Roman" w:eastAsia="宋体" w:cs="Times New Roman"/>
                <w:color w:val="auto"/>
                <w:kern w:val="2"/>
                <w:sz w:val="21"/>
                <w:highlight w:val="none"/>
                <w:lang w:val="en-US" w:eastAsia="zh-CN" w:bidi="ar-SA"/>
              </w:rPr>
              <w:t>25-236项</w:t>
            </w:r>
            <w:r>
              <w:rPr>
                <w:rFonts w:hint="eastAsia" w:ascii="Times New Roman" w:hAnsi="Times New Roman" w:eastAsia="宋体" w:cs="Times New Roman"/>
                <w:color w:val="auto"/>
                <w:kern w:val="2"/>
                <w:sz w:val="21"/>
                <w:highlight w:val="none"/>
                <w:lang w:val="en-US" w:eastAsia="zh-CN" w:bidi="ar-SA"/>
              </w:rPr>
              <w:t>所投品目平均折扣率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（保留小数点后两位</w:t>
            </w:r>
            <w:r>
              <w:rPr>
                <w:rFonts w:hint="eastAsia" w:ascii="Times New Roman" w:eastAsia="宋体" w:cs="Times New Roman"/>
                <w:color w:val="auto"/>
                <w:kern w:val="2"/>
                <w:sz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Times New Roman" w:hAnsi="Times New Roman" w:eastAsia="宋体" w:cs="Times New Roman"/>
                <w:color w:val="auto"/>
                <w:kern w:val="2"/>
                <w:sz w:val="21"/>
                <w:highlight w:val="none"/>
                <w:lang w:val="en-US" w:eastAsia="zh-CN" w:bidi="ar-SA"/>
              </w:rPr>
              <w:t>包</w:t>
            </w:r>
            <w:r>
              <w:rPr>
                <w:rFonts w:hint="eastAsia" w:cs="Times New Roman"/>
                <w:color w:val="auto"/>
                <w:kern w:val="2"/>
                <w:sz w:val="21"/>
                <w:highlight w:val="none"/>
                <w:lang w:val="en-US" w:eastAsia="zh-CN" w:bidi="ar-SA"/>
              </w:rPr>
              <w:t>八</w:t>
            </w:r>
            <w:r>
              <w:rPr>
                <w:rFonts w:hint="eastAsia" w:ascii="Times New Roman" w:hAnsi="Times New Roman" w:eastAsia="宋体" w:cs="Times New Roman"/>
                <w:color w:val="auto"/>
                <w:kern w:val="2"/>
                <w:sz w:val="21"/>
                <w:highlight w:val="none"/>
                <w:lang w:val="en-US" w:eastAsia="zh-CN" w:bidi="ar-SA"/>
              </w:rPr>
              <w:t>：</w:t>
            </w:r>
            <w:r>
              <w:rPr>
                <w:rFonts w:hint="eastAsia" w:cs="Times New Roman"/>
                <w:color w:val="auto"/>
                <w:kern w:val="2"/>
                <w:sz w:val="21"/>
                <w:highlight w:val="none"/>
                <w:lang w:val="en-US" w:eastAsia="zh-CN" w:bidi="ar-SA"/>
              </w:rPr>
              <w:t>水果</w:t>
            </w:r>
            <w:r>
              <w:rPr>
                <w:rFonts w:hint="eastAsia" w:ascii="Times New Roman" w:hAnsi="Times New Roman" w:eastAsia="宋体" w:cs="Times New Roman"/>
                <w:color w:val="auto"/>
                <w:kern w:val="2"/>
                <w:sz w:val="21"/>
                <w:highlight w:val="none"/>
                <w:lang w:val="en-US" w:eastAsia="zh-CN" w:bidi="ar-SA"/>
              </w:rPr>
              <w:t xml:space="preserve">  所投品目平均折扣率</w:t>
            </w:r>
            <w:r>
              <w:rPr>
                <w:rFonts w:hint="eastAsia" w:ascii="Times New Roman" w:hAnsi="Times New Roman" w:eastAsia="宋体" w:cs="Times New Roman"/>
                <w:color w:val="auto"/>
                <w:kern w:val="2"/>
                <w:sz w:val="21"/>
                <w:highlight w:val="none"/>
                <w:u w:val="single"/>
                <w:lang w:val="en-US" w:eastAsia="zh-CN" w:bidi="ar-SA"/>
              </w:rPr>
              <w:t xml:space="preserve">     </w:t>
            </w:r>
            <w:r>
              <w:rPr>
                <w:rFonts w:hint="eastAsia" w:ascii="Times New Roman" w:hAnsi="Times New Roman" w:eastAsia="宋体" w:cs="Times New Roman"/>
                <w:color w:val="auto"/>
                <w:kern w:val="2"/>
                <w:sz w:val="21"/>
                <w:highlight w:val="none"/>
                <w:lang w:val="en-US" w:eastAsia="zh-CN" w:bidi="ar-SA"/>
              </w:rPr>
              <w:t>（保留小数点后两位</w:t>
            </w:r>
            <w:r>
              <w:rPr>
                <w:rFonts w:hint="eastAsia" w:cs="Times New Roman"/>
                <w:color w:val="auto"/>
                <w:kern w:val="2"/>
                <w:sz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3"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0"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70"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693" w:type="dxa"/>
            <w:noWrap w:val="0"/>
            <w:vAlign w:val="center"/>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0" w:type="dxa"/>
            <w:noWrap w:val="0"/>
            <w:vAlign w:val="center"/>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70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2023-2024年度第二学期开学至2024-2025年度第一学期寒假</w:t>
            </w:r>
            <w:r>
              <w:rPr>
                <w:rFonts w:hint="eastAsia" w:ascii="宋体" w:hAnsi="宋体" w:eastAsia="宋体" w:cs="宋体"/>
                <w:color w:val="auto"/>
                <w:szCs w:val="21"/>
                <w:highlight w:val="none"/>
                <w:lang w:eastAsia="zh-CN"/>
              </w:rPr>
              <w:t>。中标供应商若在履行合同期间出现违反法律、行政法规、地方性法规、有关食品行业管理的标准规定、采购文件及双方合同的约定或发生食品安全事故、人身伤亡事故和经济纠纷等影响社会和谐稳定事件的，采购人有权提前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3" w:type="dxa"/>
            <w:noWrap w:val="0"/>
            <w:vAlign w:val="top"/>
          </w:tcPr>
          <w:p>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是否属于小微型企业</w:t>
            </w:r>
          </w:p>
        </w:tc>
        <w:tc>
          <w:tcPr>
            <w:tcW w:w="7070" w:type="dxa"/>
            <w:noWrap w:val="0"/>
            <w:vAlign w:val="center"/>
          </w:tcPr>
          <w:p>
            <w:pPr>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       否</w:t>
            </w:r>
          </w:p>
        </w:tc>
      </w:tr>
    </w:tbl>
    <w:p>
      <w:pPr>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投标人名称</w:t>
      </w:r>
      <w:r>
        <w:rPr>
          <w:rFonts w:hint="eastAsia" w:ascii="宋体" w:hAnsi="宋体" w:eastAsia="宋体" w:cs="宋体"/>
          <w:color w:val="auto"/>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注：在“供应商是否属于小和微型企业”栏后“是”或“否”上打“√”。</w:t>
      </w:r>
      <w:r>
        <w:rPr>
          <w:rFonts w:hint="eastAsia" w:ascii="宋体" w:hAnsi="宋体" w:eastAsia="宋体" w:cs="宋体"/>
          <w:color w:val="auto"/>
          <w:sz w:val="21"/>
          <w:szCs w:val="21"/>
          <w:highlight w:val="none"/>
          <w:lang w:val="zh-CN"/>
        </w:rPr>
        <w:t>如未按要求提供、填写，或相关内容表述不清前后矛盾的，不享受价格扣除。</w:t>
      </w:r>
    </w:p>
    <w:p>
      <w:pPr>
        <w:numPr>
          <w:ilvl w:val="0"/>
          <w:numId w:val="9"/>
        </w:numPr>
        <w:jc w:val="center"/>
        <w:rPr>
          <w:rFonts w:hint="eastAsia" w:ascii="宋体" w:hAnsi="宋体" w:cs="宋体"/>
          <w:b/>
          <w:bCs/>
          <w:color w:val="auto"/>
          <w:sz w:val="28"/>
          <w:szCs w:val="28"/>
          <w:highlight w:val="none"/>
          <w:lang w:val="en-US" w:eastAsia="zh-CN"/>
        </w:rPr>
      </w:pPr>
      <w:r>
        <w:rPr>
          <w:rFonts w:hint="eastAsia" w:ascii="宋体" w:hAnsi="宋体" w:eastAsia="宋体" w:cs="宋体"/>
          <w:b w:val="0"/>
          <w:color w:val="auto"/>
          <w:kern w:val="2"/>
          <w:sz w:val="36"/>
          <w:szCs w:val="36"/>
          <w:highlight w:val="none"/>
          <w:lang w:val="en-US" w:eastAsia="zh-CN" w:bidi="ar-SA"/>
        </w:rPr>
        <w:br w:type="page"/>
      </w:r>
      <w:r>
        <w:rPr>
          <w:rFonts w:hint="eastAsia" w:ascii="宋体" w:hAnsi="宋体" w:cs="宋体"/>
          <w:b/>
          <w:bCs/>
          <w:color w:val="auto"/>
          <w:sz w:val="28"/>
          <w:szCs w:val="28"/>
          <w:highlight w:val="none"/>
          <w:lang w:val="en-US" w:eastAsia="zh-CN"/>
        </w:rPr>
        <w:t>分项报价表</w:t>
      </w:r>
    </w:p>
    <w:p>
      <w:pPr>
        <w:pStyle w:val="9"/>
        <w:numPr>
          <w:ilvl w:val="0"/>
          <w:numId w:val="0"/>
        </w:numPr>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 xml:space="preserve">  </w:t>
      </w:r>
    </w:p>
    <w:p>
      <w:pPr>
        <w:pStyle w:val="9"/>
        <w:numPr>
          <w:ilvl w:val="0"/>
          <w:numId w:val="0"/>
        </w:numPr>
        <w:jc w:val="left"/>
        <w:rPr>
          <w:rFonts w:hint="eastAsia" w:ascii="宋体" w:hAnsi="宋体" w:eastAsia="宋体" w:cs="宋体"/>
          <w:b w:val="0"/>
          <w:color w:val="auto"/>
          <w:kern w:val="2"/>
          <w:sz w:val="24"/>
          <w:szCs w:val="24"/>
          <w:highlight w:val="none"/>
          <w:lang w:val="en-US" w:eastAsia="zh-CN" w:bidi="ar-SA"/>
        </w:rPr>
      </w:pPr>
    </w:p>
    <w:p>
      <w:pPr>
        <w:pStyle w:val="9"/>
        <w:numPr>
          <w:ilvl w:val="0"/>
          <w:numId w:val="0"/>
        </w:numPr>
        <w:ind w:firstLine="2400" w:firstLineChars="1000"/>
        <w:jc w:val="left"/>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根据附件六  各包产品报价单进行报价。</w:t>
      </w:r>
    </w:p>
    <w:p>
      <w:pPr>
        <w:rPr>
          <w:rFonts w:hint="eastAsia"/>
          <w:lang w:val="en-US" w:eastAsia="zh-CN"/>
        </w:rPr>
      </w:pPr>
      <w:r>
        <w:rPr>
          <w:rFonts w:hint="eastAsia"/>
          <w:lang w:val="en-US" w:eastAsia="zh-CN"/>
        </w:rPr>
        <w:br w:type="page"/>
      </w:r>
    </w:p>
    <w:p>
      <w:pPr>
        <w:pStyle w:val="10"/>
        <w:rPr>
          <w:rFonts w:hint="eastAsia"/>
          <w:lang w:val="en-US" w:eastAsia="zh-CN"/>
        </w:rPr>
      </w:pPr>
    </w:p>
    <w:p>
      <w:pPr>
        <w:numPr>
          <w:ilvl w:val="0"/>
          <w:numId w:val="10"/>
        </w:numPr>
        <w:autoSpaceDE w:val="0"/>
        <w:autoSpaceDN w:val="0"/>
        <w:adjustRightInd w:val="0"/>
        <w:spacing w:line="240" w:lineRule="atLeast"/>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偏离表格式</w:t>
      </w:r>
    </w:p>
    <w:p>
      <w:pPr>
        <w:pStyle w:val="3"/>
        <w:numPr>
          <w:ilvl w:val="0"/>
          <w:numId w:val="0"/>
        </w:numPr>
        <w:rPr>
          <w:rFonts w:hint="eastAsia" w:ascii="宋体" w:hAnsi="宋体" w:eastAsia="宋体" w:cs="宋体"/>
          <w:color w:val="auto"/>
          <w:highlight w:val="none"/>
          <w:lang w:val="en-US" w:eastAsia="zh-CN"/>
        </w:rPr>
      </w:pPr>
    </w:p>
    <w:p>
      <w:pPr>
        <w:widowControl/>
        <w:adjustRightInd w:val="0"/>
        <w:spacing w:line="360" w:lineRule="auto"/>
        <w:ind w:left="420"/>
        <w:jc w:val="center"/>
        <w:outlineLvl w:val="0"/>
        <w:rPr>
          <w:rFonts w:hint="eastAsia" w:ascii="宋体" w:hAnsi="宋体" w:eastAsia="宋体" w:cs="宋体"/>
          <w:color w:val="auto"/>
          <w:kern w:val="0"/>
          <w:sz w:val="36"/>
          <w:szCs w:val="36"/>
          <w:highlight w:val="none"/>
          <w:lang w:val="zh-CN"/>
        </w:rPr>
      </w:pPr>
      <w:r>
        <w:rPr>
          <w:rFonts w:hint="eastAsia" w:ascii="宋体" w:hAnsi="宋体" w:eastAsia="宋体" w:cs="宋体"/>
          <w:b/>
          <w:bCs/>
          <w:color w:val="auto"/>
          <w:sz w:val="36"/>
          <w:szCs w:val="36"/>
          <w:highlight w:val="none"/>
          <w:lang w:val="en-US" w:eastAsia="zh-CN"/>
        </w:rPr>
        <w:t>技术</w:t>
      </w:r>
      <w:r>
        <w:rPr>
          <w:rFonts w:hint="eastAsia" w:ascii="宋体" w:hAnsi="宋体" w:eastAsia="宋体" w:cs="宋体"/>
          <w:b/>
          <w:bCs/>
          <w:color w:val="auto"/>
          <w:sz w:val="36"/>
          <w:szCs w:val="36"/>
          <w:highlight w:val="none"/>
          <w:lang w:eastAsia="zh-CN"/>
        </w:rPr>
        <w:t>条款偏离表</w:t>
      </w:r>
    </w:p>
    <w:tbl>
      <w:tblPr>
        <w:tblStyle w:val="62"/>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keepNext w:val="0"/>
              <w:keepLines w:val="0"/>
              <w:widowControl/>
              <w:suppressLineNumbers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lang w:val="zh-CN"/>
              </w:rPr>
              <w:t>名称：</w:t>
            </w:r>
          </w:p>
          <w:p>
            <w:pPr>
              <w:keepNext w:val="0"/>
              <w:keepLines w:val="0"/>
              <w:widowControl/>
              <w:suppressLineNumbers w:val="0"/>
              <w:adjustRightInd w:val="0"/>
              <w:spacing w:before="0" w:beforeAutospacing="0" w:after="0" w:afterAutospacing="0" w:line="360" w:lineRule="auto"/>
              <w:ind w:left="0" w:right="0"/>
              <w:jc w:val="left"/>
              <w:rPr>
                <w:rFonts w:hint="default" w:eastAsia="宋体"/>
                <w:lang w:val="en-US" w:eastAsia="zh-CN"/>
              </w:rPr>
            </w:pPr>
            <w:r>
              <w:rPr>
                <w:rFonts w:hint="eastAsia" w:ascii="宋体" w:hAnsi="宋体" w:eastAsia="宋体" w:cs="宋体"/>
                <w:color w:val="auto"/>
                <w:kern w:val="0"/>
                <w:szCs w:val="21"/>
                <w:highlight w:val="none"/>
                <w:lang w:val="en-US" w:eastAsia="zh-CN"/>
              </w:rPr>
              <w:t>分包号、分包名称：</w:t>
            </w:r>
          </w:p>
        </w:tc>
        <w:tc>
          <w:tcPr>
            <w:tcW w:w="3148" w:type="dxa"/>
            <w:gridSpan w:val="2"/>
            <w:tcBorders>
              <w:top w:val="nil"/>
              <w:left w:val="nil"/>
              <w:right w:val="nil"/>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项目编号：</w:t>
            </w:r>
          </w:p>
          <w:p>
            <w:pPr>
              <w:pStyle w:val="2"/>
              <w:rPr>
                <w:rFonts w:hint="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9534" w:type="dxa"/>
            <w:gridSpan w:val="6"/>
            <w:noWrap w:val="0"/>
            <w:vAlign w:val="center"/>
          </w:tcPr>
          <w:p>
            <w:pPr>
              <w:keepNext w:val="0"/>
              <w:keepLines w:val="0"/>
              <w:widowControl/>
              <w:suppressLineNumbers w:val="0"/>
              <w:tabs>
                <w:tab w:val="left" w:pos="622"/>
              </w:tabs>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对本项目</w:t>
            </w:r>
            <w:r>
              <w:rPr>
                <w:rFonts w:hint="eastAsia" w:ascii="宋体" w:hAnsi="宋体" w:eastAsia="宋体" w:cs="宋体"/>
                <w:color w:val="auto"/>
                <w:kern w:val="0"/>
                <w:szCs w:val="21"/>
                <w:highlight w:val="none"/>
                <w:lang w:val="en-US" w:eastAsia="zh-CN"/>
              </w:rPr>
              <w:t>技术</w:t>
            </w:r>
            <w:r>
              <w:rPr>
                <w:rFonts w:hint="eastAsia" w:ascii="宋体" w:hAnsi="宋体" w:eastAsia="宋体" w:cs="宋体"/>
                <w:color w:val="auto"/>
                <w:kern w:val="0"/>
                <w:szCs w:val="21"/>
                <w:highlight w:val="none"/>
                <w:lang w:val="zh-CN"/>
              </w:rPr>
              <w:t>条款的偏离情况（请进行勾选):</w:t>
            </w:r>
          </w:p>
          <w:p>
            <w:pPr>
              <w:keepNext w:val="0"/>
              <w:keepLines w:val="0"/>
              <w:widowControl/>
              <w:suppressLineNumbers w:val="0"/>
              <w:tabs>
                <w:tab w:val="left" w:pos="622"/>
              </w:tabs>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口无偏离（如无偏离，仅勾选无偏离即可)</w:t>
            </w:r>
          </w:p>
          <w:p>
            <w:pPr>
              <w:keepNext w:val="0"/>
              <w:keepLines w:val="0"/>
              <w:widowControl/>
              <w:suppressLineNumbers w:val="0"/>
              <w:tabs>
                <w:tab w:val="left" w:pos="622"/>
              </w:tabs>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口有偏离（如有负偏离，则须在本表中对负偏离项逐一列明)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序号</w:t>
            </w: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招标文件条目号</w:t>
            </w: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lang w:val="zh-CN"/>
              </w:rPr>
              <w:t>要求规格</w:t>
            </w: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供应商响应</w:t>
            </w: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651"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162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270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2873" w:type="dxa"/>
            <w:gridSpan w:val="2"/>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169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r>
    </w:tbl>
    <w:p>
      <w:pPr>
        <w:widowControl/>
        <w:adjustRightInd w:val="0"/>
        <w:spacing w:line="360" w:lineRule="auto"/>
        <w:jc w:val="left"/>
        <w:rPr>
          <w:rFonts w:hint="eastAsia" w:ascii="宋体" w:hAnsi="宋体" w:eastAsia="宋体" w:cs="宋体"/>
          <w:color w:val="auto"/>
          <w:kern w:val="0"/>
          <w:szCs w:val="21"/>
          <w:highlight w:val="none"/>
          <w:lang w:val="zh-CN"/>
        </w:rPr>
      </w:pPr>
    </w:p>
    <w:p>
      <w:pPr>
        <w:widowControl/>
        <w:adjustRightIn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（盖章）</w:t>
      </w:r>
    </w:p>
    <w:p>
      <w:pPr>
        <w:widowControl/>
        <w:adjustRightIn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说明：如果行数不够，请自行增加。</w:t>
      </w:r>
    </w:p>
    <w:p>
      <w:pP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br w:type="page"/>
      </w:r>
    </w:p>
    <w:p>
      <w:pPr>
        <w:widowControl/>
        <w:adjustRightInd w:val="0"/>
        <w:spacing w:line="360" w:lineRule="auto"/>
        <w:ind w:left="420"/>
        <w:jc w:val="center"/>
        <w:outlineLvl w:val="0"/>
        <w:rPr>
          <w:rFonts w:hint="eastAsia" w:ascii="宋体" w:hAnsi="宋体" w:eastAsia="宋体" w:cs="宋体"/>
          <w:color w:val="auto"/>
          <w:kern w:val="0"/>
          <w:sz w:val="36"/>
          <w:szCs w:val="36"/>
          <w:highlight w:val="none"/>
          <w:lang w:val="zh-CN"/>
        </w:rPr>
      </w:pPr>
      <w:r>
        <w:rPr>
          <w:rFonts w:hint="eastAsia" w:ascii="宋体" w:hAnsi="宋体" w:eastAsia="宋体" w:cs="宋体"/>
          <w:b/>
          <w:bCs/>
          <w:color w:val="auto"/>
          <w:sz w:val="36"/>
          <w:szCs w:val="36"/>
          <w:highlight w:val="none"/>
          <w:lang w:eastAsia="zh-CN"/>
        </w:rPr>
        <w:t>商务条款偏离表</w:t>
      </w:r>
    </w:p>
    <w:tbl>
      <w:tblPr>
        <w:tblStyle w:val="62"/>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keepNext w:val="0"/>
              <w:keepLines w:val="0"/>
              <w:widowControl/>
              <w:suppressLineNumbers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lang w:val="zh-CN"/>
              </w:rPr>
              <w:t>名称：</w:t>
            </w:r>
          </w:p>
          <w:p>
            <w:pPr>
              <w:keepNext w:val="0"/>
              <w:keepLines w:val="0"/>
              <w:widowControl/>
              <w:suppressLineNumbers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分包号、分包名称：</w:t>
            </w:r>
          </w:p>
        </w:tc>
        <w:tc>
          <w:tcPr>
            <w:tcW w:w="3148" w:type="dxa"/>
            <w:gridSpan w:val="2"/>
            <w:tcBorders>
              <w:top w:val="nil"/>
              <w:left w:val="nil"/>
              <w:right w:val="nil"/>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项目编号：</w:t>
            </w:r>
          </w:p>
          <w:p>
            <w:pPr>
              <w:pStyle w:val="2"/>
              <w:rPr>
                <w:rFonts w:hint="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9534" w:type="dxa"/>
            <w:gridSpan w:val="6"/>
            <w:noWrap w:val="0"/>
            <w:vAlign w:val="center"/>
          </w:tcPr>
          <w:p>
            <w:pPr>
              <w:keepNext w:val="0"/>
              <w:keepLines w:val="0"/>
              <w:widowControl/>
              <w:suppressLineNumbers w:val="0"/>
              <w:tabs>
                <w:tab w:val="left" w:pos="622"/>
              </w:tabs>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对本项目</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lang w:val="zh-CN"/>
              </w:rPr>
              <w:t>条款的偏离情况（请进行勾选):</w:t>
            </w:r>
          </w:p>
          <w:p>
            <w:pPr>
              <w:keepNext w:val="0"/>
              <w:keepLines w:val="0"/>
              <w:widowControl/>
              <w:suppressLineNumbers w:val="0"/>
              <w:tabs>
                <w:tab w:val="left" w:pos="622"/>
              </w:tabs>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口无偏离（如无偏离，仅勾选无偏离即可)</w:t>
            </w:r>
          </w:p>
          <w:p>
            <w:pPr>
              <w:keepNext w:val="0"/>
              <w:keepLines w:val="0"/>
              <w:widowControl/>
              <w:suppressLineNumbers w:val="0"/>
              <w:tabs>
                <w:tab w:val="left" w:pos="622"/>
              </w:tabs>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口有偏离（如有负偏离，则须在本表中对负偏离项逐一列明)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序号</w:t>
            </w: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招标文件条目号</w:t>
            </w: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lang w:val="zh-CN"/>
              </w:rPr>
              <w:t>要求规格</w:t>
            </w: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供应商响应</w:t>
            </w: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651"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2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70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2873" w:type="dxa"/>
            <w:gridSpan w:val="2"/>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c>
          <w:tcPr>
            <w:tcW w:w="1690" w:type="dxa"/>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651"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162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270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2873" w:type="dxa"/>
            <w:gridSpan w:val="2"/>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c>
          <w:tcPr>
            <w:tcW w:w="169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r>
    </w:tbl>
    <w:p>
      <w:pPr>
        <w:widowControl/>
        <w:adjustRightInd w:val="0"/>
        <w:spacing w:line="360" w:lineRule="auto"/>
        <w:jc w:val="left"/>
        <w:rPr>
          <w:rFonts w:hint="eastAsia" w:ascii="宋体" w:hAnsi="宋体" w:eastAsia="宋体" w:cs="宋体"/>
          <w:color w:val="auto"/>
          <w:kern w:val="0"/>
          <w:szCs w:val="21"/>
          <w:highlight w:val="none"/>
          <w:lang w:val="zh-CN"/>
        </w:rPr>
      </w:pPr>
    </w:p>
    <w:p>
      <w:pPr>
        <w:widowControl/>
        <w:adjustRightIn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（盖章）</w:t>
      </w:r>
    </w:p>
    <w:p>
      <w:pPr>
        <w:widowControl/>
        <w:adjustRightIn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说明：如果行数不够，请自行增加。</w:t>
      </w:r>
    </w:p>
    <w:p>
      <w:pPr>
        <w:widowControl/>
        <w:adjustRightInd w:val="0"/>
        <w:spacing w:line="360" w:lineRule="auto"/>
        <w:jc w:val="left"/>
        <w:rPr>
          <w:rFonts w:hint="eastAsia" w:ascii="宋体" w:hAnsi="宋体" w:eastAsia="宋体" w:cs="宋体"/>
          <w:color w:val="auto"/>
          <w:kern w:val="0"/>
          <w:szCs w:val="21"/>
          <w:highlight w:val="none"/>
          <w:lang w:val="zh-CN"/>
        </w:rPr>
      </w:pPr>
    </w:p>
    <w:p>
      <w:pPr>
        <w:rPr>
          <w:rFonts w:hint="eastAsia" w:ascii="宋体" w:hAnsi="宋体" w:eastAsia="宋体" w:cs="宋体"/>
          <w:color w:val="auto"/>
          <w:kern w:val="0"/>
          <w:sz w:val="36"/>
          <w:szCs w:val="36"/>
          <w:highlight w:val="none"/>
          <w:lang w:val="en-US" w:eastAsia="zh-CN"/>
        </w:rPr>
      </w:pPr>
      <w:r>
        <w:rPr>
          <w:rFonts w:hint="eastAsia" w:ascii="宋体" w:hAnsi="宋体" w:eastAsia="宋体" w:cs="宋体"/>
          <w:color w:val="auto"/>
          <w:kern w:val="0"/>
          <w:sz w:val="36"/>
          <w:szCs w:val="36"/>
          <w:highlight w:val="none"/>
          <w:lang w:val="en-US" w:eastAsia="zh-CN"/>
        </w:rPr>
        <w:br w:type="page"/>
      </w:r>
    </w:p>
    <w:p>
      <w:pPr>
        <w:autoSpaceDE w:val="0"/>
        <w:autoSpaceDN w:val="0"/>
        <w:adjustRightInd w:val="0"/>
        <w:spacing w:line="24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lang w:val="zh-CN"/>
        </w:rPr>
        <w:t>投标承诺函</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ascii="宋体" w:hAnsi="宋体" w:cs="Arial"/>
          <w:sz w:val="24"/>
          <w:u w:val="single"/>
        </w:rPr>
        <w:t>（分包号、分包名称）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的招标公告，我方提交投标（响应）文件，并承诺如下： </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1.我方的资格条件符合政府采购法和本次采购要求，我方同意并向贵方提供了与采购有关的所有证据和资料。</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2.我方参加本次采购活动前三年内，在经营活动中没有重大违法记录。</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3.我方参加本次采购活动前，没有被信用中国网站、中国政府采购网站列入失信被执行人名单、重大税收违法案件当事人名单、政府采购严重违法失信行为记录名单。 </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4.我方在全国范围内未受过财政部门禁止参加政府采购活动的处罚，或禁止参加政府采购活动的处罚期限已满。</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5.我方没有为本采购项目提供整体设计、规范编制，以及项目管理、监理、检测等服务。</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6.我方与参与本次采购活动的其他投标人的法定代表人或委托代理人无夫妻、直系血亲关系。</w:t>
      </w:r>
    </w:p>
    <w:p>
      <w:pPr>
        <w:spacing w:line="38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.我方与参与本次采购活动的其他供应商的负责人不是同一人，也不存在直接控股、管理关系。</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.我方已详细审阅全部</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及其有效补充文件，放弃对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任何误解的权利，提交投标（响应）文件后，不对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 xml:space="preserve">本身提出质疑。否则，属于不诚信和故意扰乱政府采购活动行为，我们将无条件接受处罚。 </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.我方同意从规定的开标日期起遵循本投标（响应）文件，并在规定的投标有效期期满之前均具有约束力。</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.一旦我方中标，将根据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的规定严格履行合同，并保证按承诺的时间完成相关工作，交付</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 xml:space="preserve">，验收合格、交付使用。 </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.我方决不提供虚假材料谋取中标（成交）、决不采取不正当手段诋毁、排挤其他投标人、决不与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、其它投标人或者分散采购代理机构恶意串通、决不向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、分散采购代理机构工作人员和评委进行商业贿赂、决不拒绝有关部门监督检查或提供虚假情况，如有违反，无条件接受贵方及相关管理部门的处罚。</w:t>
      </w:r>
    </w:p>
    <w:p>
      <w:pPr>
        <w:spacing w:line="360" w:lineRule="auto"/>
        <w:ind w:firstLine="480" w:firstLineChars="200"/>
        <w:jc w:val="right"/>
        <w:rPr>
          <w:rFonts w:hint="eastAsia" w:ascii="宋体" w:hAnsi="宋体" w:eastAsia="宋体" w:cs="宋体"/>
          <w:color w:val="auto"/>
          <w:sz w:val="24"/>
          <w:highlight w:val="none"/>
        </w:rPr>
      </w:pPr>
    </w:p>
    <w:p>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承诺人（公章）：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ind w:firstLine="480" w:firstLineChars="200"/>
        <w:jc w:val="right"/>
        <w:rPr>
          <w:rFonts w:hint="eastAsia" w:ascii="宋体" w:hAnsi="宋体" w:eastAsia="宋体" w:cs="宋体"/>
          <w:color w:val="auto"/>
          <w:sz w:val="24"/>
          <w:highlight w:val="none"/>
        </w:rPr>
      </w:pPr>
    </w:p>
    <w:p>
      <w:pPr>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widowControl/>
        <w:snapToGrid w:val="0"/>
        <w:spacing w:line="240" w:lineRule="atLeast"/>
        <w:jc w:val="center"/>
        <w:rPr>
          <w:rFonts w:hint="eastAsia" w:ascii="宋体" w:hAnsi="宋体" w:eastAsia="宋体" w:cs="宋体"/>
          <w:color w:val="auto"/>
          <w:sz w:val="36"/>
          <w:szCs w:val="36"/>
          <w:highlight w:val="none"/>
          <w:lang w:val="zh-CN"/>
        </w:rPr>
      </w:pPr>
    </w:p>
    <w:p>
      <w:pPr>
        <w:widowControl/>
        <w:snapToGrid w:val="0"/>
        <w:spacing w:line="240" w:lineRule="atLeast"/>
        <w:jc w:val="center"/>
        <w:rPr>
          <w:rFonts w:hint="eastAsia" w:ascii="宋体" w:hAnsi="宋体" w:eastAsia="宋体" w:cs="宋体"/>
          <w:color w:val="auto"/>
          <w:sz w:val="36"/>
          <w:szCs w:val="36"/>
          <w:highlight w:val="none"/>
          <w:lang w:val="zh-CN"/>
        </w:rPr>
      </w:pPr>
    </w:p>
    <w:p>
      <w:pPr>
        <w:widowControl/>
        <w:snapToGrid w:val="0"/>
        <w:spacing w:line="240" w:lineRule="atLeast"/>
        <w:jc w:val="center"/>
        <w:rPr>
          <w:rFonts w:hint="eastAsia" w:ascii="宋体" w:hAnsi="宋体" w:eastAsia="宋体" w:cs="宋体"/>
          <w:color w:val="auto"/>
          <w:sz w:val="36"/>
          <w:szCs w:val="36"/>
          <w:highlight w:val="none"/>
          <w:lang w:val="zh-CN"/>
        </w:rPr>
      </w:pPr>
    </w:p>
    <w:p>
      <w:pPr>
        <w:widowControl/>
        <w:snapToGrid w:val="0"/>
        <w:spacing w:line="240" w:lineRule="atLeast"/>
        <w:jc w:val="center"/>
        <w:rPr>
          <w:rFonts w:hint="eastAsia" w:ascii="宋体" w:hAnsi="宋体" w:eastAsia="宋体" w:cs="宋体"/>
          <w:color w:val="auto"/>
          <w:sz w:val="36"/>
          <w:szCs w:val="36"/>
          <w:highlight w:val="none"/>
          <w:lang w:val="zh-CN"/>
        </w:rPr>
      </w:pPr>
    </w:p>
    <w:p>
      <w:pPr>
        <w:widowControl/>
        <w:snapToGrid w:val="0"/>
        <w:spacing w:line="24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en-US" w:eastAsia="zh-CN"/>
        </w:rPr>
        <w:t>六、</w:t>
      </w:r>
      <w:r>
        <w:rPr>
          <w:rFonts w:hint="eastAsia" w:ascii="宋体" w:hAnsi="宋体" w:eastAsia="宋体" w:cs="宋体"/>
          <w:color w:val="auto"/>
          <w:sz w:val="36"/>
          <w:szCs w:val="36"/>
          <w:highlight w:val="none"/>
          <w:lang w:val="zh-CN"/>
        </w:rPr>
        <w:t>资格审查资料</w:t>
      </w:r>
    </w:p>
    <w:p>
      <w:pPr>
        <w:pStyle w:val="2"/>
        <w:ind w:firstLine="0" w:firstLineChars="0"/>
        <w:rPr>
          <w:rFonts w:hint="eastAsia" w:ascii="宋体" w:hAnsi="宋体" w:eastAsia="宋体" w:cs="宋体"/>
          <w:color w:val="auto"/>
          <w:sz w:val="36"/>
          <w:szCs w:val="36"/>
          <w:highlight w:val="none"/>
        </w:rPr>
      </w:pPr>
      <w:r>
        <w:rPr>
          <w:rStyle w:val="395"/>
          <w:rFonts w:hint="eastAsia" w:ascii="宋体" w:hAnsi="宋体" w:eastAsia="宋体" w:cs="宋体"/>
          <w:bCs/>
          <w:color w:val="auto"/>
          <w:szCs w:val="21"/>
          <w:highlight w:val="none"/>
        </w:rPr>
        <w:t xml:space="preserve"> </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投标人根据招标文件第一章“申请人的资格要求”自行提供资料，未提供视为无，格式自拟。</w:t>
      </w:r>
    </w:p>
    <w:p>
      <w:pPr>
        <w:widowControl/>
        <w:adjustRightInd w:val="0"/>
        <w:spacing w:line="240" w:lineRule="atLeast"/>
        <w:jc w:val="center"/>
        <w:rPr>
          <w:rFonts w:hint="eastAsia" w:ascii="宋体" w:hAnsi="宋体" w:eastAsia="宋体" w:cs="宋体"/>
          <w:color w:val="auto"/>
          <w:sz w:val="36"/>
          <w:szCs w:val="36"/>
          <w:highlight w:val="none"/>
        </w:rPr>
      </w:pPr>
    </w:p>
    <w:p>
      <w:pPr>
        <w:widowControl/>
        <w:adjustRightInd w:val="0"/>
        <w:spacing w:line="240" w:lineRule="atLeast"/>
        <w:jc w:val="center"/>
        <w:rPr>
          <w:rFonts w:hint="eastAsia" w:ascii="宋体" w:hAnsi="宋体" w:eastAsia="宋体" w:cs="宋体"/>
          <w:color w:val="auto"/>
          <w:sz w:val="36"/>
          <w:szCs w:val="36"/>
          <w:highlight w:val="none"/>
        </w:rPr>
      </w:pPr>
    </w:p>
    <w:p>
      <w:pPr>
        <w:widowControl/>
        <w:adjustRightInd w:val="0"/>
        <w:spacing w:line="24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en-US" w:eastAsia="zh-CN"/>
        </w:rPr>
        <w:t>七</w:t>
      </w:r>
      <w:r>
        <w:rPr>
          <w:rFonts w:hint="eastAsia" w:ascii="宋体" w:hAnsi="宋体" w:eastAsia="宋体" w:cs="宋体"/>
          <w:color w:val="auto"/>
          <w:sz w:val="36"/>
          <w:szCs w:val="36"/>
          <w:highlight w:val="none"/>
          <w:lang w:val="zh-CN"/>
        </w:rPr>
        <w:t>、商务部分资料</w:t>
      </w:r>
    </w:p>
    <w:p>
      <w:pPr>
        <w:widowControl/>
        <w:adjustRightInd w:val="0"/>
        <w:spacing w:line="240" w:lineRule="atLeast"/>
        <w:jc w:val="center"/>
        <w:rPr>
          <w:rFonts w:hint="eastAsia" w:ascii="宋体" w:hAnsi="宋体" w:eastAsia="宋体" w:cs="宋体"/>
          <w:color w:val="auto"/>
          <w:sz w:val="36"/>
          <w:szCs w:val="36"/>
          <w:highlight w:val="none"/>
          <w:lang w:val="zh-CN"/>
        </w:rPr>
      </w:pPr>
    </w:p>
    <w:p>
      <w:pPr>
        <w:widowControl/>
        <w:adjustRightInd w:val="0"/>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投标人根据招标文件中的采购需求和评标办法中的相关要求自行提供资料，未提供视为无，格式自拟。</w:t>
      </w:r>
    </w:p>
    <w:p>
      <w:pPr>
        <w:widowControl/>
        <w:adjustRightInd w:val="0"/>
        <w:spacing w:line="240" w:lineRule="atLeast"/>
        <w:jc w:val="center"/>
        <w:rPr>
          <w:rFonts w:hint="eastAsia" w:ascii="宋体" w:hAnsi="宋体" w:eastAsia="宋体" w:cs="宋体"/>
          <w:color w:val="auto"/>
          <w:sz w:val="36"/>
          <w:szCs w:val="36"/>
          <w:highlight w:val="none"/>
          <w:lang w:val="zh-CN"/>
        </w:rPr>
      </w:pPr>
    </w:p>
    <w:p>
      <w:pPr>
        <w:widowControl/>
        <w:adjustRightInd w:val="0"/>
        <w:spacing w:line="240" w:lineRule="atLeast"/>
        <w:jc w:val="center"/>
        <w:rPr>
          <w:rFonts w:hint="eastAsia" w:ascii="宋体" w:hAnsi="宋体" w:eastAsia="宋体" w:cs="宋体"/>
          <w:color w:val="auto"/>
          <w:sz w:val="36"/>
          <w:szCs w:val="36"/>
          <w:highlight w:val="none"/>
          <w:lang w:val="zh-CN"/>
        </w:rPr>
      </w:pPr>
    </w:p>
    <w:p>
      <w:pPr>
        <w:widowControl/>
        <w:adjustRightInd w:val="0"/>
        <w:spacing w:line="24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en-US" w:eastAsia="zh-CN"/>
        </w:rPr>
        <w:t>八</w:t>
      </w:r>
      <w:r>
        <w:rPr>
          <w:rFonts w:hint="eastAsia" w:ascii="宋体" w:hAnsi="宋体" w:eastAsia="宋体" w:cs="宋体"/>
          <w:color w:val="auto"/>
          <w:sz w:val="36"/>
          <w:szCs w:val="36"/>
          <w:highlight w:val="none"/>
          <w:lang w:val="zh-CN"/>
        </w:rPr>
        <w:t>、技术部分资料</w:t>
      </w: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投标人根据招标文件中的采购需求和评标办法中的相关要求自行提供资料，未提供视为无，格式自拟。</w:t>
      </w: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kern w:val="0"/>
          <w:szCs w:val="21"/>
          <w:highlight w:val="none"/>
          <w:lang w:val="zh-CN"/>
        </w:rPr>
      </w:pPr>
    </w:p>
    <w:p>
      <w:pPr>
        <w:widowControl/>
        <w:adjustRightInd w:val="0"/>
        <w:spacing w:line="240" w:lineRule="atLeast"/>
        <w:jc w:val="left"/>
        <w:rPr>
          <w:rFonts w:hint="eastAsia" w:ascii="宋体" w:hAnsi="宋体" w:eastAsia="宋体" w:cs="宋体"/>
          <w:color w:val="auto"/>
          <w:sz w:val="36"/>
          <w:szCs w:val="36"/>
          <w:highlight w:val="none"/>
        </w:rPr>
      </w:pPr>
    </w:p>
    <w:p>
      <w:pPr>
        <w:widowControl/>
        <w:adjustRightInd w:val="0"/>
        <w:spacing w:line="240" w:lineRule="atLeast"/>
        <w:jc w:val="left"/>
        <w:rPr>
          <w:rFonts w:hint="eastAsia" w:ascii="宋体" w:hAnsi="宋体" w:eastAsia="宋体" w:cs="宋体"/>
          <w:color w:val="auto"/>
          <w:sz w:val="36"/>
          <w:szCs w:val="36"/>
          <w:highlight w:val="none"/>
        </w:rPr>
      </w:pPr>
    </w:p>
    <w:p>
      <w:pPr>
        <w:widowControl/>
        <w:adjustRightInd w:val="0"/>
        <w:spacing w:line="240" w:lineRule="atLeast"/>
        <w:ind w:firstLine="3240" w:firstLineChars="900"/>
        <w:jc w:val="left"/>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en-US" w:eastAsia="zh-CN"/>
        </w:rPr>
        <w:t>九</w:t>
      </w:r>
      <w:r>
        <w:rPr>
          <w:rFonts w:hint="eastAsia" w:ascii="宋体" w:hAnsi="宋体" w:eastAsia="宋体" w:cs="宋体"/>
          <w:color w:val="auto"/>
          <w:sz w:val="36"/>
          <w:szCs w:val="36"/>
          <w:highlight w:val="none"/>
          <w:lang w:val="zh-CN"/>
        </w:rPr>
        <w:t>、其他相关资料</w:t>
      </w:r>
    </w:p>
    <w:p>
      <w:pPr>
        <w:widowControl/>
        <w:adjustRightInd w:val="0"/>
        <w:spacing w:line="240" w:lineRule="atLeast"/>
        <w:jc w:val="left"/>
        <w:rPr>
          <w:rFonts w:hint="eastAsia" w:ascii="宋体" w:hAnsi="宋体" w:eastAsia="宋体" w:cs="宋体"/>
          <w:color w:val="auto"/>
          <w:kern w:val="0"/>
          <w:szCs w:val="21"/>
          <w:highlight w:val="none"/>
          <w:lang w:val="zh-CN"/>
        </w:rPr>
      </w:pPr>
    </w:p>
    <w:p>
      <w:pPr>
        <w:spacing w:line="360" w:lineRule="auto"/>
        <w:rPr>
          <w:rFonts w:hint="eastAsia" w:ascii="宋体" w:hAnsi="宋体" w:eastAsia="宋体" w:cs="宋体"/>
          <w:color w:val="auto"/>
          <w:sz w:val="28"/>
          <w:szCs w:val="28"/>
          <w:highlight w:val="none"/>
        </w:rPr>
      </w:pPr>
    </w:p>
    <w:p>
      <w:pPr>
        <w:pStyle w:val="9"/>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附件</w:t>
      </w:r>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val="zh-CN"/>
        </w:rPr>
        <w:t>中小企业声明函（工程、服务）</w:t>
      </w:r>
    </w:p>
    <w:p>
      <w:pPr>
        <w:widowControl/>
        <w:adjustRightInd w:val="0"/>
        <w:spacing w:line="480" w:lineRule="auto"/>
        <w:ind w:firstLine="420" w:firstLineChars="200"/>
        <w:jc w:val="left"/>
        <w:rPr>
          <w:rFonts w:hint="eastAsia" w:ascii="宋体" w:hAnsi="宋体" w:eastAsia="宋体" w:cs="宋体"/>
          <w:color w:val="auto"/>
          <w:kern w:val="0"/>
          <w:szCs w:val="21"/>
          <w:highlight w:val="none"/>
          <w:lang w:val="zh-CN"/>
        </w:rPr>
      </w:pP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本公司（联合体）郑重声明，根据《政府采购促进中小企业发展管理办法》（财库〔2020 ） 46号）的规定，本公司 （联合体）参加</w:t>
      </w:r>
      <w:r>
        <w:rPr>
          <w:rFonts w:hint="eastAsia" w:ascii="宋体" w:hAnsi="宋体" w:eastAsia="宋体" w:cs="宋体"/>
          <w:color w:val="auto"/>
          <w:kern w:val="0"/>
          <w:sz w:val="24"/>
          <w:szCs w:val="24"/>
          <w:highlight w:val="none"/>
          <w:u w:val="single"/>
          <w:lang w:val="zh-CN"/>
        </w:rPr>
        <w:t>（单位名称）</w:t>
      </w:r>
      <w:r>
        <w:rPr>
          <w:rFonts w:hint="eastAsia" w:ascii="宋体" w:hAnsi="宋体" w:eastAsia="宋体" w:cs="宋体"/>
          <w:color w:val="auto"/>
          <w:kern w:val="0"/>
          <w:sz w:val="24"/>
          <w:szCs w:val="24"/>
          <w:highlight w:val="none"/>
          <w:lang w:val="zh-CN"/>
        </w:rPr>
        <w:t>的</w:t>
      </w:r>
      <w:r>
        <w:rPr>
          <w:rFonts w:hint="eastAsia" w:ascii="宋体" w:hAnsi="宋体" w:eastAsia="宋体" w:cs="宋体"/>
          <w:color w:val="auto"/>
          <w:kern w:val="0"/>
          <w:sz w:val="24"/>
          <w:szCs w:val="24"/>
          <w:highlight w:val="none"/>
          <w:u w:val="single"/>
          <w:lang w:val="zh-CN"/>
        </w:rPr>
        <w:t>（项目名称）</w:t>
      </w:r>
      <w:r>
        <w:rPr>
          <w:rFonts w:ascii="宋体" w:hAnsi="宋体" w:cs="Arial"/>
          <w:sz w:val="24"/>
          <w:u w:val="single"/>
        </w:rPr>
        <w:t>（分包号、分包名称）</w:t>
      </w:r>
      <w:r>
        <w:rPr>
          <w:rFonts w:hint="eastAsia" w:ascii="宋体" w:hAnsi="宋体" w:eastAsia="宋体" w:cs="宋体"/>
          <w:color w:val="auto"/>
          <w:kern w:val="0"/>
          <w:sz w:val="24"/>
          <w:szCs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u w:val="single"/>
          <w:lang w:val="zh-CN"/>
        </w:rPr>
        <w:t>（标的名称）</w:t>
      </w:r>
      <w:r>
        <w:rPr>
          <w:rFonts w:hint="eastAsia" w:ascii="宋体" w:hAnsi="宋体" w:eastAsia="宋体" w:cs="宋体"/>
          <w:color w:val="auto"/>
          <w:kern w:val="0"/>
          <w:sz w:val="24"/>
          <w:szCs w:val="24"/>
          <w:highlight w:val="none"/>
          <w:lang w:val="zh-CN"/>
        </w:rPr>
        <w:t>，属于</w:t>
      </w:r>
      <w:r>
        <w:rPr>
          <w:rFonts w:hint="eastAsia" w:ascii="宋体" w:hAnsi="宋体" w:eastAsia="宋体" w:cs="宋体"/>
          <w:color w:val="auto"/>
          <w:kern w:val="0"/>
          <w:sz w:val="24"/>
          <w:szCs w:val="24"/>
          <w:highlight w:val="none"/>
          <w:u w:val="single"/>
          <w:lang w:val="zh-CN"/>
        </w:rPr>
        <w:t>（招标文件中明确的所属行业）</w:t>
      </w:r>
      <w:r>
        <w:rPr>
          <w:rFonts w:hint="eastAsia" w:ascii="宋体" w:hAnsi="宋体" w:eastAsia="宋体" w:cs="宋体"/>
          <w:color w:val="auto"/>
          <w:kern w:val="0"/>
          <w:sz w:val="24"/>
          <w:szCs w:val="24"/>
          <w:highlight w:val="none"/>
          <w:lang w:val="zh-CN"/>
        </w:rPr>
        <w:t>，承建（承接）企业为</w:t>
      </w:r>
      <w:r>
        <w:rPr>
          <w:rFonts w:hint="eastAsia" w:ascii="宋体" w:hAnsi="宋体" w:eastAsia="宋体" w:cs="宋体"/>
          <w:color w:val="auto"/>
          <w:kern w:val="0"/>
          <w:sz w:val="24"/>
          <w:szCs w:val="24"/>
          <w:highlight w:val="none"/>
          <w:u w:val="single"/>
          <w:lang w:val="zh-CN"/>
        </w:rPr>
        <w:t>（企业名称）</w:t>
      </w:r>
      <w:r>
        <w:rPr>
          <w:rFonts w:hint="eastAsia" w:ascii="宋体" w:hAnsi="宋体" w:eastAsia="宋体" w:cs="宋体"/>
          <w:color w:val="auto"/>
          <w:kern w:val="0"/>
          <w:sz w:val="24"/>
          <w:szCs w:val="24"/>
          <w:highlight w:val="none"/>
          <w:lang w:val="zh-CN"/>
        </w:rPr>
        <w:t>，从业人员</w:t>
      </w:r>
      <w:r>
        <w:rPr>
          <w:rFonts w:hint="eastAsia" w:ascii="宋体" w:hAnsi="宋体" w:eastAsia="宋体" w:cs="宋体"/>
          <w:color w:val="auto"/>
          <w:kern w:val="0"/>
          <w:sz w:val="24"/>
          <w:szCs w:val="24"/>
          <w:highlight w:val="none"/>
          <w:u w:val="single"/>
          <w:lang w:val="zh-CN"/>
        </w:rPr>
        <w:tab/>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人，营业收入为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万元，资产总额为</w:t>
      </w:r>
      <w:r>
        <w:rPr>
          <w:rFonts w:hint="eastAsia" w:ascii="宋体" w:hAnsi="宋体" w:eastAsia="宋体" w:cs="宋体"/>
          <w:color w:val="auto"/>
          <w:kern w:val="0"/>
          <w:sz w:val="24"/>
          <w:szCs w:val="24"/>
          <w:highlight w:val="none"/>
          <w:u w:val="single"/>
          <w:lang w:val="zh-CN"/>
        </w:rPr>
        <w:tab/>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万元，属于（中型企业、小型企业、微型企业）。</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u w:val="single"/>
          <w:lang w:val="zh-CN"/>
        </w:rPr>
        <w:t>（标的名称）</w:t>
      </w:r>
      <w:r>
        <w:rPr>
          <w:rFonts w:hint="eastAsia" w:ascii="宋体" w:hAnsi="宋体" w:eastAsia="宋体" w:cs="宋体"/>
          <w:color w:val="auto"/>
          <w:kern w:val="0"/>
          <w:sz w:val="24"/>
          <w:szCs w:val="24"/>
          <w:highlight w:val="none"/>
          <w:lang w:val="zh-CN"/>
        </w:rPr>
        <w:t>，属于</w:t>
      </w:r>
      <w:r>
        <w:rPr>
          <w:rFonts w:hint="eastAsia" w:ascii="宋体" w:hAnsi="宋体" w:eastAsia="宋体" w:cs="宋体"/>
          <w:color w:val="auto"/>
          <w:kern w:val="0"/>
          <w:sz w:val="24"/>
          <w:szCs w:val="24"/>
          <w:highlight w:val="none"/>
          <w:u w:val="single"/>
          <w:lang w:val="zh-CN"/>
        </w:rPr>
        <w:t>（招标文件中明确的所属行业）</w:t>
      </w:r>
      <w:r>
        <w:rPr>
          <w:rFonts w:hint="eastAsia" w:ascii="宋体" w:hAnsi="宋体" w:eastAsia="宋体" w:cs="宋体"/>
          <w:color w:val="auto"/>
          <w:kern w:val="0"/>
          <w:sz w:val="24"/>
          <w:szCs w:val="24"/>
          <w:highlight w:val="none"/>
          <w:lang w:val="zh-CN"/>
        </w:rPr>
        <w:t>，承建（承接）企业为</w:t>
      </w:r>
      <w:r>
        <w:rPr>
          <w:rFonts w:hint="eastAsia" w:ascii="宋体" w:hAnsi="宋体" w:eastAsia="宋体" w:cs="宋体"/>
          <w:color w:val="auto"/>
          <w:kern w:val="0"/>
          <w:sz w:val="24"/>
          <w:szCs w:val="24"/>
          <w:highlight w:val="none"/>
          <w:u w:val="single"/>
          <w:lang w:val="zh-CN"/>
        </w:rPr>
        <w:t>（企业名称）</w:t>
      </w:r>
      <w:r>
        <w:rPr>
          <w:rFonts w:hint="eastAsia" w:ascii="宋体" w:hAnsi="宋体" w:eastAsia="宋体" w:cs="宋体"/>
          <w:color w:val="auto"/>
          <w:kern w:val="0"/>
          <w:sz w:val="24"/>
          <w:szCs w:val="24"/>
          <w:highlight w:val="none"/>
          <w:lang w:val="zh-CN"/>
        </w:rPr>
        <w:t>，从业人员</w:t>
      </w:r>
      <w:r>
        <w:rPr>
          <w:rFonts w:hint="eastAsia" w:ascii="宋体" w:hAnsi="宋体" w:eastAsia="宋体" w:cs="宋体"/>
          <w:color w:val="auto"/>
          <w:kern w:val="0"/>
          <w:sz w:val="24"/>
          <w:szCs w:val="24"/>
          <w:highlight w:val="none"/>
          <w:u w:val="single"/>
          <w:lang w:val="zh-CN"/>
        </w:rPr>
        <w:tab/>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人，营业收入为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万元，资产总额为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lang w:val="zh-CN"/>
        </w:rPr>
        <w:tab/>
      </w:r>
      <w:r>
        <w:rPr>
          <w:rFonts w:hint="eastAsia" w:ascii="宋体" w:hAnsi="宋体" w:eastAsia="宋体" w:cs="宋体"/>
          <w:color w:val="auto"/>
          <w:kern w:val="0"/>
          <w:sz w:val="24"/>
          <w:szCs w:val="24"/>
          <w:highlight w:val="none"/>
          <w:lang w:val="zh-CN"/>
        </w:rPr>
        <w:t>万元，属于（中型企业、小型企业、微型企业）。</w:t>
      </w:r>
    </w:p>
    <w:p>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本企业对上述声明内容的真实性负责。如有虚假，将依法承担相应责任。</w:t>
      </w:r>
    </w:p>
    <w:p>
      <w:pPr>
        <w:keepNext w:val="0"/>
        <w:keepLines w:val="0"/>
        <w:pageBreakBefore w:val="0"/>
        <w:widowControl/>
        <w:kinsoku/>
        <w:wordWrap/>
        <w:overflowPunct/>
        <w:topLinePunct w:val="0"/>
        <w:bidi w:val="0"/>
        <w:adjustRightInd w:val="0"/>
        <w:snapToGrid/>
        <w:spacing w:line="360" w:lineRule="auto"/>
        <w:ind w:firstLine="4080" w:firstLineChars="1700"/>
        <w:jc w:val="left"/>
        <w:textAlignment w:val="auto"/>
        <w:rPr>
          <w:rFonts w:hint="eastAsia" w:ascii="宋体" w:hAnsi="宋体" w:eastAsia="宋体" w:cs="宋体"/>
          <w:color w:val="auto"/>
          <w:kern w:val="0"/>
          <w:sz w:val="24"/>
          <w:szCs w:val="24"/>
          <w:highlight w:val="none"/>
          <w:lang w:val="zh-CN"/>
        </w:rPr>
      </w:pPr>
    </w:p>
    <w:p>
      <w:pPr>
        <w:keepNext w:val="0"/>
        <w:keepLines w:val="0"/>
        <w:pageBreakBefore w:val="0"/>
        <w:widowControl/>
        <w:kinsoku/>
        <w:wordWrap/>
        <w:overflowPunct/>
        <w:topLinePunct w:val="0"/>
        <w:bidi w:val="0"/>
        <w:adjustRightInd w:val="0"/>
        <w:snapToGrid/>
        <w:spacing w:line="360" w:lineRule="auto"/>
        <w:ind w:firstLine="4080" w:firstLineChars="17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企业名称（盖章）：</w:t>
      </w:r>
    </w:p>
    <w:p>
      <w:pPr>
        <w:keepNext w:val="0"/>
        <w:keepLines w:val="0"/>
        <w:pageBreakBefore w:val="0"/>
        <w:widowControl/>
        <w:kinsoku/>
        <w:wordWrap/>
        <w:overflowPunct/>
        <w:topLinePunct w:val="0"/>
        <w:bidi w:val="0"/>
        <w:adjustRightInd w:val="0"/>
        <w:snapToGrid/>
        <w:spacing w:line="360" w:lineRule="auto"/>
        <w:ind w:firstLine="4560" w:firstLineChars="19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p>
    <w:p>
      <w:pPr>
        <w:pStyle w:val="400"/>
        <w:keepNext w:val="0"/>
        <w:keepLines w:val="0"/>
        <w:pageBreakBefore w:val="0"/>
        <w:kinsoku/>
        <w:wordWrap/>
        <w:overflowPunct/>
        <w:topLinePunct w:val="0"/>
        <w:bidi w:val="0"/>
        <w:snapToGrid/>
        <w:spacing w:before="2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从业人员、营业收入、资产总额填报上一年度数据，无上一年度数据的新成立企业可不填报。</w:t>
      </w:r>
    </w:p>
    <w:p>
      <w:pPr>
        <w:jc w:val="center"/>
        <w:rPr>
          <w:rFonts w:hint="eastAsia" w:ascii="宋体" w:hAnsi="宋体" w:eastAsia="宋体" w:cs="宋体"/>
          <w:color w:val="auto"/>
          <w:sz w:val="36"/>
          <w:szCs w:val="36"/>
          <w:highlight w:val="none"/>
        </w:rPr>
      </w:pPr>
    </w:p>
    <w:p>
      <w:pPr>
        <w:spacing w:line="360" w:lineRule="auto"/>
        <w:jc w:val="center"/>
        <w:rPr>
          <w:rFonts w:hint="eastAsia" w:ascii="宋体" w:hAnsi="宋体" w:eastAsia="宋体" w:cs="宋体"/>
          <w:color w:val="auto"/>
          <w:sz w:val="24"/>
          <w:szCs w:val="24"/>
          <w:highlight w:val="none"/>
        </w:rPr>
      </w:pPr>
    </w:p>
    <w:p>
      <w:pP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br w:type="page"/>
      </w:r>
    </w:p>
    <w:p>
      <w:pPr>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附件二、残疾人福利性单位声明函格式</w:t>
      </w:r>
    </w:p>
    <w:p>
      <w:pPr>
        <w:pStyle w:val="400"/>
        <w:spacing w:before="167"/>
        <w:ind w:left="0"/>
        <w:jc w:val="center"/>
        <w:rPr>
          <w:rFonts w:hint="eastAsia" w:ascii="宋体" w:hAnsi="宋体" w:eastAsia="宋体" w:cs="宋体"/>
          <w:b w:val="0"/>
          <w:bCs w:val="0"/>
          <w:color w:val="auto"/>
          <w:kern w:val="0"/>
          <w:sz w:val="36"/>
          <w:szCs w:val="36"/>
          <w:highlight w:val="none"/>
          <w:lang w:val="zh-CN" w:eastAsia="zh-CN" w:bidi="ar-SA"/>
        </w:rPr>
      </w:pPr>
    </w:p>
    <w:p>
      <w:pPr>
        <w:pStyle w:val="400"/>
        <w:spacing w:before="167"/>
        <w:ind w:left="0"/>
        <w:jc w:val="center"/>
        <w:rPr>
          <w:rFonts w:hint="eastAsia" w:ascii="宋体" w:hAnsi="宋体" w:eastAsia="宋体" w:cs="宋体"/>
          <w:b w:val="0"/>
          <w:bCs w:val="0"/>
          <w:color w:val="auto"/>
          <w:kern w:val="0"/>
          <w:sz w:val="36"/>
          <w:szCs w:val="36"/>
          <w:highlight w:val="none"/>
          <w:lang w:val="zh-CN" w:eastAsia="zh-CN" w:bidi="ar-SA"/>
        </w:rPr>
      </w:pPr>
    </w:p>
    <w:p>
      <w:pPr>
        <w:pStyle w:val="400"/>
        <w:spacing w:before="167"/>
        <w:ind w:left="0"/>
        <w:jc w:val="center"/>
        <w:rPr>
          <w:rFonts w:hint="eastAsia" w:ascii="宋体" w:hAnsi="宋体" w:eastAsia="宋体" w:cs="宋体"/>
          <w:b w:val="0"/>
          <w:bCs w:val="0"/>
          <w:color w:val="auto"/>
          <w:kern w:val="0"/>
          <w:sz w:val="36"/>
          <w:szCs w:val="36"/>
          <w:highlight w:val="none"/>
          <w:lang w:val="zh-CN" w:eastAsia="zh-CN" w:bidi="ar-SA"/>
        </w:rPr>
      </w:pPr>
      <w:r>
        <w:rPr>
          <w:rFonts w:hint="eastAsia" w:ascii="宋体" w:hAnsi="宋体" w:eastAsia="宋体" w:cs="宋体"/>
          <w:b w:val="0"/>
          <w:bCs w:val="0"/>
          <w:color w:val="auto"/>
          <w:kern w:val="0"/>
          <w:sz w:val="36"/>
          <w:szCs w:val="36"/>
          <w:highlight w:val="none"/>
          <w:lang w:val="zh-CN" w:eastAsia="zh-CN" w:bidi="ar-SA"/>
        </w:rPr>
        <w:t>残疾人福利性单位声明函</w:t>
      </w:r>
    </w:p>
    <w:p>
      <w:pPr>
        <w:pStyle w:val="27"/>
        <w:spacing w:before="7"/>
        <w:rPr>
          <w:rFonts w:hint="eastAsia" w:ascii="宋体" w:hAnsi="宋体" w:eastAsia="宋体" w:cs="宋体"/>
          <w:b/>
          <w:color w:val="auto"/>
          <w:sz w:val="18"/>
          <w:highlight w:val="none"/>
        </w:rPr>
      </w:pPr>
    </w:p>
    <w:p>
      <w:pPr>
        <w:pStyle w:val="27"/>
        <w:tabs>
          <w:tab w:val="left" w:pos="3711"/>
          <w:tab w:val="left" w:pos="5151"/>
        </w:tabs>
        <w:spacing w:line="424" w:lineRule="auto"/>
        <w:ind w:right="617" w:firstLine="480"/>
        <w:rPr>
          <w:rFonts w:hint="eastAsia" w:ascii="宋体" w:hAnsi="宋体" w:eastAsia="宋体" w:cs="宋体"/>
          <w:color w:val="auto"/>
          <w:sz w:val="24"/>
          <w:szCs w:val="24"/>
          <w:highlight w:val="none"/>
        </w:rPr>
      </w:pPr>
    </w:p>
    <w:p>
      <w:pPr>
        <w:pStyle w:val="27"/>
        <w:tabs>
          <w:tab w:val="left" w:pos="3711"/>
          <w:tab w:val="left" w:pos="5151"/>
        </w:tabs>
        <w:spacing w:line="424" w:lineRule="auto"/>
        <w:ind w:right="617"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单位的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27"/>
        <w:spacing w:before="3"/>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pStyle w:val="27"/>
        <w:spacing w:before="6"/>
        <w:rPr>
          <w:rFonts w:hint="eastAsia" w:ascii="宋体" w:hAnsi="宋体" w:eastAsia="宋体" w:cs="宋体"/>
          <w:color w:val="auto"/>
          <w:sz w:val="24"/>
          <w:szCs w:val="24"/>
          <w:highlight w:val="none"/>
        </w:rPr>
      </w:pPr>
    </w:p>
    <w:p>
      <w:pPr>
        <w:pStyle w:val="27"/>
        <w:tabs>
          <w:tab w:val="left" w:pos="7098"/>
        </w:tabs>
        <w:spacing w:line="422" w:lineRule="auto"/>
        <w:ind w:right="2725"/>
        <w:rPr>
          <w:rFonts w:hint="eastAsia" w:ascii="宋体" w:hAnsi="宋体" w:eastAsia="宋体" w:cs="宋体"/>
          <w:color w:val="auto"/>
          <w:sz w:val="24"/>
          <w:szCs w:val="24"/>
          <w:highlight w:val="none"/>
        </w:rPr>
      </w:pPr>
    </w:p>
    <w:p>
      <w:pPr>
        <w:pStyle w:val="27"/>
        <w:tabs>
          <w:tab w:val="left" w:pos="7098"/>
        </w:tabs>
        <w:spacing w:line="422" w:lineRule="auto"/>
        <w:ind w:right="2725"/>
        <w:rPr>
          <w:rFonts w:hint="eastAsia" w:ascii="宋体" w:hAnsi="宋体" w:eastAsia="宋体" w:cs="宋体"/>
          <w:color w:val="auto"/>
          <w:sz w:val="24"/>
          <w:szCs w:val="24"/>
          <w:highlight w:val="none"/>
        </w:rPr>
      </w:pPr>
    </w:p>
    <w:p>
      <w:pPr>
        <w:pStyle w:val="27"/>
        <w:tabs>
          <w:tab w:val="left" w:pos="7098"/>
        </w:tabs>
        <w:spacing w:line="422" w:lineRule="auto"/>
        <w:ind w:right="2725"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单位名称（盖章）： </w:t>
      </w:r>
    </w:p>
    <w:p>
      <w:pPr>
        <w:pStyle w:val="27"/>
        <w:tabs>
          <w:tab w:val="left" w:pos="7098"/>
        </w:tabs>
        <w:spacing w:line="422" w:lineRule="auto"/>
        <w:ind w:right="2725"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rPr>
          <w:rFonts w:hint="eastAsia" w:ascii="宋体" w:hAnsi="宋体" w:eastAsia="宋体" w:cs="宋体"/>
          <w:color w:val="auto"/>
          <w:highlight w:val="none"/>
        </w:rPr>
      </w:pPr>
    </w:p>
    <w:p>
      <w:pPr>
        <w:widowControl/>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color w:val="auto"/>
          <w:sz w:val="28"/>
          <w:szCs w:val="28"/>
          <w:highlight w:val="none"/>
          <w:lang w:val="zh-CN"/>
        </w:rPr>
        <w:t>附件三、无重大违法记录声明格式</w:t>
      </w:r>
    </w:p>
    <w:p>
      <w:pPr>
        <w:widowControl/>
        <w:adjustRightInd w:val="0"/>
        <w:spacing w:line="360" w:lineRule="auto"/>
        <w:rPr>
          <w:rFonts w:hint="eastAsia" w:ascii="宋体" w:hAnsi="宋体" w:eastAsia="宋体" w:cs="宋体"/>
          <w:b/>
          <w:color w:val="auto"/>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无重大违法记录声明</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南京市雨花台区教育局</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我单位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投标人名称</w:t>
      </w:r>
      <w:r>
        <w:rPr>
          <w:rFonts w:hint="eastAsia" w:ascii="宋体" w:hAnsi="宋体" w:eastAsia="宋体" w:cs="宋体"/>
          <w:color w:val="auto"/>
          <w:sz w:val="24"/>
          <w:szCs w:val="24"/>
          <w:highlight w:val="none"/>
        </w:rPr>
        <w:t>）郑重声明：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参加政府采购活动前3年内在经营活动中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（在下划线上如实填写：有或没有）重大违法记录。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声明人：（公章）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widowControl/>
        <w:adjustRightInd w:val="0"/>
        <w:spacing w:line="360"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附件四、具备履行合同所必需的设备和专业技术能力的声明格式</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val="zh-CN"/>
        </w:rPr>
        <w:t>证明材料</w:t>
      </w:r>
    </w:p>
    <w:p>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p>
    <w:p>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具备履行合同所必需的设备和专业技术能力的声明格式</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南京市雨花台区教育局</w:t>
      </w:r>
      <w:r>
        <w:rPr>
          <w:rFonts w:hint="eastAsia" w:ascii="宋体" w:hAnsi="宋体" w:eastAsia="宋体" w:cs="宋体"/>
          <w:color w:val="auto"/>
          <w:sz w:val="24"/>
          <w:szCs w:val="24"/>
          <w:highlight w:val="none"/>
        </w:rPr>
        <w:t>：</w:t>
      </w:r>
    </w:p>
    <w:p>
      <w:pPr>
        <w:spacing w:line="360" w:lineRule="auto"/>
        <w:ind w:firstLine="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投标人名称</w:t>
      </w:r>
      <w:r>
        <w:rPr>
          <w:rFonts w:hint="eastAsia" w:ascii="宋体" w:hAnsi="宋体" w:eastAsia="宋体" w:cs="宋体"/>
          <w:color w:val="auto"/>
          <w:sz w:val="24"/>
          <w:szCs w:val="24"/>
          <w:highlight w:val="none"/>
        </w:rPr>
        <w:t>）郑重声明：我公司具备履行本项采购合同所必需的设备和专业技术能力，为履行本项采购合同我单位具备如下主要设备和主要专业技术能力：</w:t>
      </w:r>
    </w:p>
    <w:p>
      <w:pPr>
        <w:spacing w:line="360" w:lineRule="auto"/>
        <w:ind w:firstLine="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主要设备有：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若有 )</w:t>
      </w:r>
    </w:p>
    <w:p>
      <w:pPr>
        <w:spacing w:line="360" w:lineRule="auto"/>
        <w:ind w:firstLine="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主要专业技术能力有：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若有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声明人：（公章）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日期：______年    月    日</w:t>
      </w:r>
    </w:p>
    <w:p>
      <w:pPr>
        <w:spacing w:line="360" w:lineRule="auto"/>
        <w:ind w:firstLine="492"/>
        <w:rPr>
          <w:rFonts w:hint="eastAsia" w:ascii="宋体" w:hAnsi="宋体" w:eastAsia="宋体" w:cs="宋体"/>
          <w:color w:val="auto"/>
          <w:sz w:val="24"/>
          <w:szCs w:val="24"/>
          <w:highlight w:val="none"/>
        </w:rPr>
      </w:pPr>
    </w:p>
    <w:p>
      <w:pPr>
        <w:spacing w:line="360" w:lineRule="auto"/>
        <w:ind w:firstLine="492"/>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其他证明材料及文件：（如果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认为需要提供的话）</w:t>
      </w: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ind w:firstLine="492"/>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column"/>
      </w:r>
      <w:r>
        <w:rPr>
          <w:rFonts w:hint="eastAsia" w:ascii="宋体" w:hAnsi="宋体" w:eastAsia="宋体" w:cs="宋体"/>
          <w:b w:val="0"/>
          <w:bCs/>
          <w:color w:val="auto"/>
          <w:sz w:val="28"/>
          <w:szCs w:val="28"/>
          <w:highlight w:val="none"/>
        </w:rPr>
        <w:t>附件五、南京市政府采购供应商信用记录表暨信用承诺书</w:t>
      </w:r>
    </w:p>
    <w:p>
      <w:pPr>
        <w:pStyle w:val="401"/>
        <w:keepNext/>
        <w:keepLines/>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bookmarkStart w:id="32" w:name="bookmark28"/>
      <w:bookmarkStart w:id="33" w:name="bookmark26"/>
      <w:bookmarkStart w:id="34" w:name="bookmark27"/>
    </w:p>
    <w:p>
      <w:pPr>
        <w:pStyle w:val="401"/>
        <w:keepNext/>
        <w:keepLines/>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南京市政府采购供应商信用记录表暨信用承诺书</w:t>
      </w:r>
      <w:bookmarkEnd w:id="32"/>
      <w:bookmarkEnd w:id="33"/>
      <w:bookmarkEnd w:id="34"/>
    </w:p>
    <w:p>
      <w:pPr>
        <w:pStyle w:val="402"/>
        <w:ind w:left="6447" w:leftChars="3070"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年 月 日</w:t>
      </w:r>
    </w:p>
    <w:tbl>
      <w:tblPr>
        <w:tblStyle w:val="62"/>
        <w:tblpPr/>
        <w:tblOverlap w:val="never"/>
        <w:tblW w:w="0" w:type="auto"/>
        <w:jc w:val="center"/>
        <w:tblLayout w:type="fixed"/>
        <w:tblCellMar>
          <w:top w:w="0" w:type="dxa"/>
          <w:left w:w="10" w:type="dxa"/>
          <w:bottom w:w="0" w:type="dxa"/>
          <w:right w:w="10" w:type="dxa"/>
        </w:tblCellMar>
      </w:tblPr>
      <w:tblGrid>
        <w:gridCol w:w="2194"/>
        <w:gridCol w:w="2069"/>
        <w:gridCol w:w="2146"/>
        <w:gridCol w:w="2630"/>
      </w:tblGrid>
      <w:tr>
        <w:tblPrEx>
          <w:tblCellMar>
            <w:top w:w="0" w:type="dxa"/>
            <w:left w:w="10" w:type="dxa"/>
            <w:bottom w:w="0" w:type="dxa"/>
            <w:right w:w="10" w:type="dxa"/>
          </w:tblCellMar>
        </w:tblPrEx>
        <w:trPr>
          <w:trHeight w:val="557" w:hRule="exact"/>
          <w:jc w:val="center"/>
        </w:trPr>
        <w:tc>
          <w:tcPr>
            <w:tcW w:w="2194" w:type="dxa"/>
            <w:tcBorders>
              <w:top w:val="single" w:color="auto" w:sz="4" w:space="0"/>
              <w:left w:val="single" w:color="auto" w:sz="4" w:space="0"/>
            </w:tcBorders>
            <w:shd w:val="clear" w:color="auto" w:fill="FFFFFF"/>
            <w:noWrap w:val="0"/>
            <w:vAlign w:val="center"/>
          </w:tcPr>
          <w:p>
            <w:pPr>
              <w:pStyle w:val="403"/>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单位名称</w:t>
            </w:r>
          </w:p>
        </w:tc>
        <w:tc>
          <w:tcPr>
            <w:tcW w:w="2069" w:type="dxa"/>
            <w:tcBorders>
              <w:top w:val="single" w:color="auto" w:sz="4" w:space="0"/>
              <w:lef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146" w:type="dxa"/>
            <w:tcBorders>
              <w:top w:val="single" w:color="auto" w:sz="4" w:space="0"/>
              <w:left w:val="single" w:color="auto" w:sz="4" w:space="0"/>
            </w:tcBorders>
            <w:shd w:val="clear" w:color="auto" w:fill="FFFFFF"/>
            <w:noWrap w:val="0"/>
            <w:vAlign w:val="center"/>
          </w:tcPr>
          <w:p>
            <w:pPr>
              <w:pStyle w:val="403"/>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统一社会信用代码</w:t>
            </w:r>
          </w:p>
        </w:tc>
        <w:tc>
          <w:tcPr>
            <w:tcW w:w="2630" w:type="dxa"/>
            <w:tcBorders>
              <w:top w:val="single" w:color="auto" w:sz="4" w:space="0"/>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432" w:hRule="exact"/>
          <w:jc w:val="center"/>
        </w:trPr>
        <w:tc>
          <w:tcPr>
            <w:tcW w:w="2194" w:type="dxa"/>
            <w:tcBorders>
              <w:top w:val="single" w:color="auto" w:sz="4" w:space="0"/>
              <w:left w:val="single" w:color="auto" w:sz="4" w:space="0"/>
            </w:tcBorders>
            <w:shd w:val="clear" w:color="auto" w:fill="FFFFFF"/>
            <w:noWrap w:val="0"/>
            <w:vAlign w:val="bottom"/>
          </w:tcPr>
          <w:p>
            <w:pPr>
              <w:pStyle w:val="403"/>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p>
        </w:tc>
        <w:tc>
          <w:tcPr>
            <w:tcW w:w="2069" w:type="dxa"/>
            <w:tcBorders>
              <w:top w:val="single" w:color="auto" w:sz="4" w:space="0"/>
              <w:lef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146" w:type="dxa"/>
            <w:tcBorders>
              <w:top w:val="single" w:color="auto" w:sz="4" w:space="0"/>
              <w:left w:val="single" w:color="auto" w:sz="4" w:space="0"/>
            </w:tcBorders>
            <w:shd w:val="clear" w:color="auto" w:fill="FFFFFF"/>
            <w:noWrap w:val="0"/>
            <w:vAlign w:val="bottom"/>
          </w:tcPr>
          <w:p>
            <w:pPr>
              <w:pStyle w:val="403"/>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联系人</w:t>
            </w:r>
          </w:p>
        </w:tc>
        <w:tc>
          <w:tcPr>
            <w:tcW w:w="2630" w:type="dxa"/>
            <w:tcBorders>
              <w:top w:val="single" w:color="auto" w:sz="4" w:space="0"/>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437" w:hRule="exact"/>
          <w:jc w:val="center"/>
        </w:trPr>
        <w:tc>
          <w:tcPr>
            <w:tcW w:w="2194" w:type="dxa"/>
            <w:tcBorders>
              <w:top w:val="single" w:color="auto" w:sz="4" w:space="0"/>
              <w:left w:val="single" w:color="auto" w:sz="4" w:space="0"/>
            </w:tcBorders>
            <w:shd w:val="clear" w:color="auto" w:fill="FFFFFF"/>
            <w:noWrap w:val="0"/>
            <w:vAlign w:val="bottom"/>
          </w:tcPr>
          <w:p>
            <w:pPr>
              <w:pStyle w:val="403"/>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联系地址</w:t>
            </w:r>
          </w:p>
        </w:tc>
        <w:tc>
          <w:tcPr>
            <w:tcW w:w="2069" w:type="dxa"/>
            <w:tcBorders>
              <w:top w:val="single" w:color="auto" w:sz="4" w:space="0"/>
              <w:lef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146" w:type="dxa"/>
            <w:tcBorders>
              <w:top w:val="single" w:color="auto" w:sz="4" w:space="0"/>
              <w:left w:val="single" w:color="auto" w:sz="4" w:space="0"/>
            </w:tcBorders>
            <w:shd w:val="clear" w:color="auto" w:fill="FFFFFF"/>
            <w:noWrap w:val="0"/>
            <w:vAlign w:val="bottom"/>
          </w:tcPr>
          <w:p>
            <w:pPr>
              <w:pStyle w:val="403"/>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联系电话</w:t>
            </w:r>
          </w:p>
        </w:tc>
        <w:tc>
          <w:tcPr>
            <w:tcW w:w="2630" w:type="dxa"/>
            <w:tcBorders>
              <w:top w:val="single" w:color="auto" w:sz="4" w:space="0"/>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733" w:hRule="exact"/>
          <w:jc w:val="center"/>
        </w:trPr>
        <w:tc>
          <w:tcPr>
            <w:tcW w:w="2194" w:type="dxa"/>
            <w:tcBorders>
              <w:top w:val="single" w:color="auto" w:sz="4" w:space="0"/>
              <w:left w:val="single" w:color="auto" w:sz="4" w:space="0"/>
            </w:tcBorders>
            <w:shd w:val="clear" w:color="auto" w:fill="FFFFFF"/>
            <w:noWrap w:val="0"/>
            <w:vAlign w:val="center"/>
          </w:tcPr>
          <w:p>
            <w:pPr>
              <w:pStyle w:val="403"/>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诚信档案记录情况</w:t>
            </w:r>
          </w:p>
        </w:tc>
        <w:tc>
          <w:tcPr>
            <w:tcW w:w="6845" w:type="dxa"/>
            <w:gridSpan w:val="3"/>
            <w:tcBorders>
              <w:top w:val="single" w:color="auto" w:sz="4" w:space="0"/>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562" w:hRule="exact"/>
          <w:jc w:val="center"/>
        </w:trPr>
        <w:tc>
          <w:tcPr>
            <w:tcW w:w="2194" w:type="dxa"/>
            <w:tcBorders>
              <w:top w:val="single" w:color="auto" w:sz="4" w:space="0"/>
              <w:left w:val="single" w:color="auto" w:sz="4" w:space="0"/>
              <w:bottom w:val="single" w:color="auto" w:sz="4" w:space="0"/>
            </w:tcBorders>
            <w:shd w:val="clear" w:color="auto" w:fill="FFFFFF"/>
            <w:noWrap w:val="0"/>
            <w:vAlign w:val="center"/>
          </w:tcPr>
          <w:p>
            <w:pPr>
              <w:pStyle w:val="403"/>
              <w:keepNext w:val="0"/>
              <w:keepLines w:val="0"/>
              <w:suppressLineNumbers w:val="0"/>
              <w:spacing w:before="0" w:beforeAutospacing="0" w:after="0" w:afterAutospacing="0" w:line="240" w:lineRule="auto"/>
              <w:ind w:left="0" w:right="0" w:firstLine="6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信用承诺</w:t>
            </w:r>
          </w:p>
        </w:tc>
        <w:tc>
          <w:tcPr>
            <w:tcW w:w="6845" w:type="dxa"/>
            <w:gridSpan w:val="3"/>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403"/>
              <w:keepNext w:val="0"/>
              <w:keepLines w:val="0"/>
              <w:suppressLineNumbers w:val="0"/>
              <w:spacing w:before="0" w:beforeAutospacing="0" w:after="1340" w:afterAutospacing="0" w:line="358" w:lineRule="exact"/>
              <w:ind w:left="0" w:right="0"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我公司自愿参加贵</w:t>
            </w:r>
            <w:r>
              <w:rPr>
                <w:rFonts w:hint="eastAsia" w:cs="宋体"/>
                <w:color w:val="auto"/>
                <w:sz w:val="24"/>
                <w:szCs w:val="24"/>
                <w:highlight w:val="none"/>
                <w:lang w:val="en-US" w:eastAsia="zh-CN"/>
              </w:rPr>
              <w:t>单位</w:t>
            </w:r>
            <w:r>
              <w:rPr>
                <w:rFonts w:hint="eastAsia" w:ascii="宋体" w:hAnsi="宋体" w:eastAsia="宋体" w:cs="宋体"/>
                <w:color w:val="auto"/>
                <w:sz w:val="24"/>
                <w:szCs w:val="24"/>
                <w:highlight w:val="none"/>
              </w:rPr>
              <w:t>（公司）组织的本次釆购活动，严格遵守《中华人民共和国政府釆购法》及相关法律法规，坚守公开、 公平、公正和诚实信用的原则，依法诚信经营，无条件遵守本次 政府采购活动的各项规定。我们郑重承诺，本公司符合《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符合法律、行政法规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规定的其他条件。 如有弄虚作假或其他违法违规行为，愿承担一切法律责任，接受各级政府釆购监管部门和有权机关的审查和处罚。</w:t>
            </w:r>
          </w:p>
          <w:p>
            <w:pPr>
              <w:pStyle w:val="403"/>
              <w:keepNext w:val="0"/>
              <w:keepLines w:val="0"/>
              <w:suppressLineNumbers w:val="0"/>
              <w:spacing w:before="0" w:beforeAutospacing="0" w:after="80" w:afterAutospacing="0" w:line="358" w:lineRule="exact"/>
              <w:ind w:left="286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投标人名称</w:t>
            </w:r>
            <w:r>
              <w:rPr>
                <w:rFonts w:hint="eastAsia" w:ascii="宋体" w:hAnsi="宋体" w:eastAsia="宋体" w:cs="宋体"/>
                <w:color w:val="auto"/>
                <w:sz w:val="24"/>
                <w:szCs w:val="24"/>
                <w:highlight w:val="none"/>
              </w:rPr>
              <w:t>（盖章）：</w:t>
            </w:r>
          </w:p>
          <w:p>
            <w:pPr>
              <w:pStyle w:val="403"/>
              <w:keepNext w:val="0"/>
              <w:keepLines w:val="0"/>
              <w:suppressLineNumbers w:val="0"/>
              <w:spacing w:before="0" w:beforeAutospacing="0" w:after="80" w:afterAutospacing="0" w:line="358" w:lineRule="exact"/>
              <w:ind w:left="286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pStyle w:val="403"/>
              <w:keepNext w:val="0"/>
              <w:keepLines w:val="0"/>
              <w:suppressLineNumbers w:val="0"/>
              <w:spacing w:before="0" w:beforeAutospacing="0" w:after="0" w:afterAutospacing="0" w:line="358" w:lineRule="exact"/>
              <w:ind w:left="2614" w:leftChars="1245" w:right="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附件六：</w:t>
      </w:r>
    </w:p>
    <w:p>
      <w:pPr>
        <w:rPr>
          <w:rFonts w:hint="eastAsia"/>
          <w:b/>
          <w:bCs/>
          <w:sz w:val="28"/>
          <w:szCs w:val="28"/>
          <w:lang w:val="en-US" w:eastAsia="zh-CN"/>
        </w:rPr>
      </w:pPr>
    </w:p>
    <w:p>
      <w:pPr>
        <w:rPr>
          <w:rFonts w:hint="eastAsia"/>
          <w:lang w:val="en-US" w:eastAsia="zh-CN"/>
        </w:rPr>
      </w:pPr>
      <w:r>
        <w:rPr>
          <w:rFonts w:hint="eastAsia"/>
          <w:b/>
          <w:bCs/>
          <w:sz w:val="28"/>
          <w:szCs w:val="28"/>
          <w:lang w:val="en-US" w:eastAsia="zh-CN"/>
        </w:rPr>
        <w:t>包一：粮、油</w:t>
      </w:r>
      <w:r>
        <w:rPr>
          <w:rFonts w:hint="eastAsia"/>
          <w:lang w:val="en-US" w:eastAsia="zh-CN"/>
        </w:rPr>
        <w:t xml:space="preserve">                            </w:t>
      </w:r>
    </w:p>
    <w:p>
      <w:pPr>
        <w:jc w:val="center"/>
        <w:rPr>
          <w:rFonts w:hint="eastAsia"/>
          <w:sz w:val="28"/>
          <w:szCs w:val="28"/>
          <w:highlight w:val="none"/>
          <w:lang w:val="en-US" w:eastAsia="zh-CN"/>
        </w:rPr>
      </w:pPr>
      <w:r>
        <w:rPr>
          <w:rFonts w:hint="eastAsia"/>
          <w:sz w:val="28"/>
          <w:szCs w:val="28"/>
          <w:highlight w:val="none"/>
          <w:lang w:val="en-US" w:eastAsia="zh-CN"/>
        </w:rPr>
        <w:t>粮、油产品报价单</w:t>
      </w:r>
    </w:p>
    <w:p>
      <w:pPr>
        <w:jc w:val="center"/>
        <w:rPr>
          <w:rFonts w:hint="eastAsia" w:ascii="宋体" w:hAnsi="宋体" w:cs="宋体"/>
          <w:bCs/>
          <w:kern w:val="0"/>
          <w:szCs w:val="21"/>
          <w:highlight w:val="none"/>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strike w:val="0"/>
          <w:kern w:val="0"/>
          <w:szCs w:val="21"/>
          <w:highlight w:val="none"/>
        </w:rPr>
        <w:t xml:space="preserve"> </w:t>
      </w:r>
      <w:r>
        <w:rPr>
          <w:rFonts w:hint="eastAsia" w:ascii="宋体" w:hAnsi="宋体" w:cs="宋体"/>
          <w:bCs/>
          <w:kern w:val="0"/>
          <w:szCs w:val="21"/>
          <w:highlight w:val="none"/>
        </w:rPr>
        <w:t xml:space="preserve">     单位 500g</w:t>
      </w:r>
      <w:r>
        <w:rPr>
          <w:rFonts w:hint="eastAsia" w:ascii="宋体" w:hAnsi="宋体" w:cs="宋体"/>
          <w:bCs/>
          <w:kern w:val="0"/>
          <w:szCs w:val="21"/>
          <w:highlight w:val="none"/>
          <w:lang w:eastAsia="zh-CN"/>
        </w:rPr>
        <w:t>、</w:t>
      </w:r>
      <w:r>
        <w:rPr>
          <w:rFonts w:hint="eastAsia" w:ascii="宋体" w:hAnsi="宋体" w:cs="宋体"/>
          <w:bCs/>
          <w:kern w:val="0"/>
          <w:szCs w:val="21"/>
          <w:highlight w:val="none"/>
          <w:lang w:val="en-US" w:eastAsia="zh-CN"/>
        </w:rPr>
        <w:t>1L</w:t>
      </w:r>
      <w:r>
        <w:rPr>
          <w:rFonts w:hint="eastAsia" w:ascii="宋体" w:hAnsi="宋体" w:cs="宋体"/>
          <w:bCs/>
          <w:kern w:val="0"/>
          <w:szCs w:val="21"/>
          <w:highlight w:val="none"/>
        </w:rPr>
        <w:t>）</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76"/>
        <w:gridCol w:w="1337"/>
        <w:gridCol w:w="1258"/>
        <w:gridCol w:w="1265"/>
        <w:gridCol w:w="1057"/>
        <w:gridCol w:w="1072"/>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361"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序号</w:t>
            </w:r>
          </w:p>
        </w:tc>
        <w:tc>
          <w:tcPr>
            <w:tcW w:w="1063"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品名</w:t>
            </w:r>
          </w:p>
        </w:tc>
        <w:tc>
          <w:tcPr>
            <w:tcW w:w="720" w:type="pct"/>
            <w:vAlign w:val="center"/>
          </w:tcPr>
          <w:p>
            <w:pPr>
              <w:widowControl/>
              <w:jc w:val="center"/>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品牌</w:t>
            </w:r>
          </w:p>
        </w:tc>
        <w:tc>
          <w:tcPr>
            <w:tcW w:w="677" w:type="pct"/>
            <w:vAlign w:val="center"/>
          </w:tcPr>
          <w:p>
            <w:pPr>
              <w:widowControl/>
              <w:jc w:val="center"/>
              <w:rPr>
                <w:rFonts w:ascii="宋体" w:hAnsi="宋体" w:cs="宋体"/>
                <w:bCs/>
                <w:sz w:val="21"/>
                <w:szCs w:val="21"/>
                <w:highlight w:val="none"/>
              </w:rPr>
            </w:pPr>
            <w:r>
              <w:rPr>
                <w:rFonts w:hint="eastAsia" w:cs="宋体" w:asciiTheme="minorEastAsia" w:hAnsiTheme="minorEastAsia"/>
                <w:bCs/>
                <w:kern w:val="0"/>
                <w:sz w:val="21"/>
                <w:szCs w:val="21"/>
                <w:highlight w:val="none"/>
              </w:rPr>
              <w:t>折扣率计算参考价</w:t>
            </w:r>
            <w:r>
              <w:rPr>
                <w:rFonts w:hint="eastAsia" w:ascii="宋体" w:hAnsi="宋体" w:cs="宋体"/>
                <w:bCs/>
                <w:sz w:val="21"/>
                <w:szCs w:val="21"/>
                <w:highlight w:val="none"/>
              </w:rPr>
              <w:t>（元）</w:t>
            </w:r>
          </w:p>
        </w:tc>
        <w:tc>
          <w:tcPr>
            <w:tcW w:w="681"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采购报价（元）</w:t>
            </w:r>
          </w:p>
        </w:tc>
        <w:tc>
          <w:tcPr>
            <w:tcW w:w="569"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折扣率</w:t>
            </w:r>
          </w:p>
        </w:tc>
        <w:tc>
          <w:tcPr>
            <w:tcW w:w="577"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平均折扣率</w:t>
            </w:r>
          </w:p>
        </w:tc>
        <w:tc>
          <w:tcPr>
            <w:tcW w:w="347"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1</w:t>
            </w:r>
          </w:p>
        </w:tc>
        <w:tc>
          <w:tcPr>
            <w:tcW w:w="1063" w:type="pct"/>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一级大米</w:t>
            </w:r>
          </w:p>
        </w:tc>
        <w:tc>
          <w:tcPr>
            <w:tcW w:w="720" w:type="pct"/>
          </w:tcPr>
          <w:p>
            <w:pPr>
              <w:jc w:val="center"/>
              <w:rPr>
                <w:rFonts w:ascii="宋体" w:hAnsi="宋体" w:cs="宋体"/>
                <w:sz w:val="21"/>
                <w:szCs w:val="21"/>
              </w:rPr>
            </w:pPr>
          </w:p>
        </w:tc>
        <w:tc>
          <w:tcPr>
            <w:tcW w:w="677" w:type="pct"/>
            <w:vAlign w:val="center"/>
          </w:tcPr>
          <w:p>
            <w:pPr>
              <w:jc w:val="center"/>
              <w:rPr>
                <w:rFonts w:hint="eastAsia" w:ascii="宋体" w:hAnsi="宋体" w:cs="宋体"/>
                <w:sz w:val="21"/>
                <w:szCs w:val="21"/>
              </w:rPr>
            </w:pPr>
            <w:r>
              <w:rPr>
                <w:rFonts w:hint="eastAsia" w:ascii="宋体" w:hAnsi="宋体" w:cs="宋体"/>
                <w:sz w:val="21"/>
                <w:szCs w:val="21"/>
              </w:rPr>
              <w:t>2.6</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restart"/>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2</w:t>
            </w:r>
          </w:p>
        </w:tc>
        <w:tc>
          <w:tcPr>
            <w:tcW w:w="1063" w:type="pct"/>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优质一级大米</w:t>
            </w:r>
          </w:p>
        </w:tc>
        <w:tc>
          <w:tcPr>
            <w:tcW w:w="720" w:type="pct"/>
          </w:tcPr>
          <w:p>
            <w:pPr>
              <w:jc w:val="center"/>
              <w:rPr>
                <w:rFonts w:ascii="宋体" w:hAnsi="宋体" w:cs="宋体"/>
                <w:sz w:val="21"/>
                <w:szCs w:val="21"/>
              </w:rPr>
            </w:pPr>
          </w:p>
        </w:tc>
        <w:tc>
          <w:tcPr>
            <w:tcW w:w="677" w:type="pct"/>
            <w:vAlign w:val="center"/>
          </w:tcPr>
          <w:p>
            <w:pPr>
              <w:jc w:val="center"/>
              <w:rPr>
                <w:rFonts w:hint="eastAsia" w:ascii="宋体" w:hAnsi="宋体" w:cs="宋体"/>
                <w:sz w:val="21"/>
                <w:szCs w:val="21"/>
              </w:rPr>
            </w:pPr>
            <w:r>
              <w:rPr>
                <w:rFonts w:hint="eastAsia" w:ascii="宋体" w:hAnsi="宋体" w:cs="宋体"/>
                <w:sz w:val="21"/>
                <w:szCs w:val="21"/>
              </w:rPr>
              <w:t>3.2</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rPr>
              <w:t>3</w:t>
            </w:r>
          </w:p>
        </w:tc>
        <w:tc>
          <w:tcPr>
            <w:tcW w:w="1063" w:type="pct"/>
            <w:vAlign w:val="center"/>
          </w:tcPr>
          <w:p>
            <w:pPr>
              <w:spacing w:line="360" w:lineRule="auto"/>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糯米</w:t>
            </w:r>
          </w:p>
        </w:tc>
        <w:tc>
          <w:tcPr>
            <w:tcW w:w="720" w:type="pct"/>
          </w:tcPr>
          <w:p>
            <w:pPr>
              <w:jc w:val="center"/>
              <w:rPr>
                <w:rFonts w:ascii="宋体" w:hAnsi="宋体" w:cs="宋体"/>
                <w:sz w:val="21"/>
                <w:szCs w:val="21"/>
              </w:rPr>
            </w:pPr>
          </w:p>
        </w:tc>
        <w:tc>
          <w:tcPr>
            <w:tcW w:w="677" w:type="pct"/>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6.9</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4</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黑豆</w:t>
            </w:r>
          </w:p>
        </w:tc>
        <w:tc>
          <w:tcPr>
            <w:tcW w:w="720" w:type="pct"/>
          </w:tcPr>
          <w:p>
            <w:pPr>
              <w:jc w:val="center"/>
              <w:rPr>
                <w:rFonts w:ascii="宋体" w:hAnsi="宋体" w:cs="宋体"/>
                <w:sz w:val="21"/>
                <w:szCs w:val="21"/>
              </w:rPr>
            </w:pPr>
          </w:p>
        </w:tc>
        <w:tc>
          <w:tcPr>
            <w:tcW w:w="677" w:type="pct"/>
            <w:vAlign w:val="center"/>
          </w:tcPr>
          <w:p>
            <w:pPr>
              <w:jc w:val="center"/>
              <w:rPr>
                <w:rFonts w:hint="eastAsia" w:ascii="宋体" w:hAnsi="宋体" w:cs="宋体"/>
                <w:sz w:val="21"/>
                <w:szCs w:val="21"/>
              </w:rPr>
            </w:pPr>
            <w:r>
              <w:rPr>
                <w:rFonts w:hint="eastAsia" w:ascii="宋体" w:hAnsi="宋体" w:cs="宋体"/>
                <w:sz w:val="21"/>
                <w:szCs w:val="21"/>
              </w:rPr>
              <w:t>9.5</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5</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燕麦</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4.2</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6</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黑米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3.7</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7</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紫米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6.5</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8</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黄豆</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4.8</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9</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红豆</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9.5</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10</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面粉</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2.8</w:t>
            </w:r>
          </w:p>
        </w:tc>
        <w:tc>
          <w:tcPr>
            <w:tcW w:w="681" w:type="pct"/>
            <w:vAlign w:val="center"/>
          </w:tcPr>
          <w:p>
            <w:pPr>
              <w:spacing w:before="100" w:beforeAutospacing="1" w:after="100" w:afterAutospacing="1"/>
              <w:jc w:val="center"/>
              <w:rPr>
                <w:rFonts w:cs="宋体" w:asciiTheme="minorEastAsia" w:hAnsiTheme="minorEastAsia"/>
                <w:sz w:val="21"/>
                <w:szCs w:val="21"/>
              </w:rPr>
            </w:pPr>
          </w:p>
        </w:tc>
        <w:tc>
          <w:tcPr>
            <w:tcW w:w="569" w:type="pct"/>
            <w:vAlign w:val="center"/>
          </w:tcPr>
          <w:p>
            <w:pPr>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11</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小米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5.5</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12</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糯米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3.2</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13</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血糯米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5.0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14</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藜麦</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10.0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15</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黑糯米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5.0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16</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花生米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9.8</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17</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玉米渣</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2.6</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18</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熟白芝麻</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11.0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19</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绿豆</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6.5</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20</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红芸豆</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10.0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21</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芸豆</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13.0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22</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熟黑芝麻</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13.0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23</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糯米面粉</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3.8</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24</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青稞</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10.0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25</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荞麦仁</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5.3</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26</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高粱米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3.2</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27</w:t>
            </w:r>
          </w:p>
        </w:tc>
        <w:tc>
          <w:tcPr>
            <w:tcW w:w="1063" w:type="pct"/>
            <w:vAlign w:val="center"/>
          </w:tcPr>
          <w:p>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玉米片</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3.5</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28</w:t>
            </w:r>
          </w:p>
        </w:tc>
        <w:tc>
          <w:tcPr>
            <w:tcW w:w="1063" w:type="pct"/>
            <w:vAlign w:val="center"/>
          </w:tcPr>
          <w:p>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西米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9.5</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29</w:t>
            </w:r>
          </w:p>
        </w:tc>
        <w:tc>
          <w:tcPr>
            <w:tcW w:w="1063" w:type="pct"/>
            <w:vAlign w:val="center"/>
          </w:tcPr>
          <w:p>
            <w:pPr>
              <w:widowControl/>
              <w:spacing w:line="360" w:lineRule="auto"/>
              <w:jc w:val="center"/>
              <w:textAlignment w:val="center"/>
              <w:rPr>
                <w:rFonts w:ascii="宋体" w:hAnsi="宋体" w:cs="宋体"/>
                <w:sz w:val="21"/>
                <w:szCs w:val="21"/>
              </w:rPr>
            </w:pPr>
            <w:r>
              <w:rPr>
                <w:rFonts w:hint="eastAsia" w:ascii="宋体" w:hAnsi="宋体" w:cs="宋体"/>
                <w:kern w:val="0"/>
                <w:sz w:val="21"/>
                <w:szCs w:val="21"/>
              </w:rPr>
              <w:t>薏仁米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9.2</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rPr>
              <w:t>30</w:t>
            </w:r>
          </w:p>
        </w:tc>
        <w:tc>
          <w:tcPr>
            <w:tcW w:w="1063" w:type="pct"/>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rPr>
              <w:t>猫牙米</w:t>
            </w:r>
          </w:p>
        </w:tc>
        <w:tc>
          <w:tcPr>
            <w:tcW w:w="720" w:type="pct"/>
          </w:tcPr>
          <w:p>
            <w:pPr>
              <w:jc w:val="center"/>
              <w:rPr>
                <w:rFonts w:ascii="宋体" w:hAnsi="宋体" w:cs="宋体"/>
                <w:sz w:val="21"/>
                <w:szCs w:val="21"/>
              </w:rPr>
            </w:pPr>
          </w:p>
        </w:tc>
        <w:tc>
          <w:tcPr>
            <w:tcW w:w="677" w:type="pct"/>
            <w:vAlign w:val="center"/>
          </w:tcPr>
          <w:p>
            <w:pPr>
              <w:jc w:val="center"/>
              <w:rPr>
                <w:rFonts w:ascii="宋体" w:hAnsi="宋体" w:cs="宋体"/>
                <w:sz w:val="21"/>
                <w:szCs w:val="21"/>
              </w:rPr>
            </w:pPr>
            <w:r>
              <w:rPr>
                <w:rFonts w:hint="eastAsia" w:ascii="宋体" w:hAnsi="宋体" w:cs="宋体"/>
                <w:sz w:val="21"/>
                <w:szCs w:val="21"/>
              </w:rPr>
              <w:t>3.2</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rPr>
              <w:t>31</w:t>
            </w:r>
          </w:p>
        </w:tc>
        <w:tc>
          <w:tcPr>
            <w:tcW w:w="1063" w:type="pct"/>
            <w:vAlign w:val="center"/>
          </w:tcPr>
          <w:p>
            <w:pPr>
              <w:spacing w:line="300" w:lineRule="auto"/>
              <w:jc w:val="center"/>
              <w:rPr>
                <w:rFonts w:hint="eastAsia" w:ascii="宋体" w:hAnsi="宋体" w:eastAsiaTheme="minorEastAsia" w:cstheme="minorBidi"/>
                <w:kern w:val="0"/>
                <w:sz w:val="21"/>
                <w:szCs w:val="21"/>
                <w:highlight w:val="none"/>
                <w:lang w:val="en-US" w:eastAsia="zh-CN" w:bidi="ar-SA"/>
              </w:rPr>
            </w:pPr>
            <w:r>
              <w:rPr>
                <w:rFonts w:hint="eastAsia" w:ascii="宋体" w:hAnsi="宋体"/>
                <w:kern w:val="0"/>
                <w:sz w:val="21"/>
                <w:szCs w:val="21"/>
                <w:highlight w:val="none"/>
              </w:rPr>
              <w:t>非转基因大豆油</w:t>
            </w:r>
          </w:p>
        </w:tc>
        <w:tc>
          <w:tcPr>
            <w:tcW w:w="720" w:type="pct"/>
            <w:vAlign w:val="top"/>
          </w:tcPr>
          <w:p>
            <w:pPr>
              <w:jc w:val="center"/>
              <w:rPr>
                <w:rFonts w:ascii="宋体" w:hAnsi="宋体" w:cs="宋体" w:eastAsiaTheme="minorEastAsia"/>
                <w:kern w:val="2"/>
                <w:sz w:val="21"/>
                <w:szCs w:val="21"/>
                <w:highlight w:val="none"/>
                <w:lang w:val="en-US" w:eastAsia="zh-CN" w:bidi="ar-SA"/>
              </w:rPr>
            </w:pPr>
          </w:p>
        </w:tc>
        <w:tc>
          <w:tcPr>
            <w:tcW w:w="677" w:type="pct"/>
            <w:vAlign w:val="center"/>
          </w:tcPr>
          <w:p>
            <w:pPr>
              <w:jc w:val="center"/>
              <w:rPr>
                <w:rFonts w:hint="eastAsia" w:ascii="宋体" w:hAnsi="宋体" w:cs="宋体" w:eastAsiaTheme="minorEastAsia"/>
                <w:color w:val="FF0000"/>
                <w:kern w:val="2"/>
                <w:sz w:val="21"/>
                <w:szCs w:val="21"/>
                <w:highlight w:val="none"/>
                <w:lang w:val="en-US" w:eastAsia="zh-CN" w:bidi="ar-SA"/>
              </w:rPr>
            </w:pPr>
            <w:r>
              <w:rPr>
                <w:rFonts w:hint="eastAsia" w:ascii="宋体" w:hAnsi="宋体" w:cs="宋体"/>
                <w:color w:val="FF0000"/>
                <w:sz w:val="21"/>
                <w:szCs w:val="21"/>
                <w:highlight w:val="none"/>
              </w:rPr>
              <w:t>12</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rPr>
              <w:t>32</w:t>
            </w:r>
          </w:p>
        </w:tc>
        <w:tc>
          <w:tcPr>
            <w:tcW w:w="1063" w:type="pct"/>
            <w:vAlign w:val="center"/>
          </w:tcPr>
          <w:p>
            <w:pPr>
              <w:spacing w:line="300" w:lineRule="auto"/>
              <w:jc w:val="center"/>
              <w:rPr>
                <w:rFonts w:hint="eastAsia" w:ascii="宋体" w:hAnsi="宋体" w:eastAsiaTheme="minorEastAsia" w:cstheme="minorBidi"/>
                <w:kern w:val="0"/>
                <w:sz w:val="21"/>
                <w:szCs w:val="21"/>
                <w:highlight w:val="none"/>
                <w:lang w:val="en-US" w:eastAsia="zh-CN" w:bidi="ar-SA"/>
              </w:rPr>
            </w:pPr>
            <w:r>
              <w:rPr>
                <w:rFonts w:hint="eastAsia" w:ascii="宋体" w:hAnsi="宋体"/>
                <w:kern w:val="0"/>
                <w:sz w:val="21"/>
                <w:szCs w:val="21"/>
                <w:highlight w:val="none"/>
              </w:rPr>
              <w:t>非转基因玉米油</w:t>
            </w:r>
          </w:p>
        </w:tc>
        <w:tc>
          <w:tcPr>
            <w:tcW w:w="720" w:type="pct"/>
            <w:vAlign w:val="top"/>
          </w:tcPr>
          <w:p>
            <w:pPr>
              <w:jc w:val="center"/>
              <w:rPr>
                <w:rFonts w:ascii="宋体" w:hAnsi="宋体" w:cs="宋体" w:eastAsiaTheme="minorEastAsia"/>
                <w:kern w:val="2"/>
                <w:sz w:val="21"/>
                <w:szCs w:val="21"/>
                <w:highlight w:val="none"/>
                <w:lang w:val="en-US" w:eastAsia="zh-CN" w:bidi="ar-SA"/>
              </w:rPr>
            </w:pPr>
          </w:p>
        </w:tc>
        <w:tc>
          <w:tcPr>
            <w:tcW w:w="677" w:type="pct"/>
            <w:vAlign w:val="center"/>
          </w:tcPr>
          <w:p>
            <w:pPr>
              <w:jc w:val="center"/>
              <w:rPr>
                <w:rFonts w:hint="eastAsia" w:ascii="宋体" w:hAnsi="宋体" w:cs="宋体" w:eastAsiaTheme="minorEastAsia"/>
                <w:color w:val="FF0000"/>
                <w:kern w:val="2"/>
                <w:sz w:val="21"/>
                <w:szCs w:val="21"/>
                <w:highlight w:val="none"/>
                <w:lang w:val="en-US" w:eastAsia="zh-CN" w:bidi="ar-SA"/>
              </w:rPr>
            </w:pPr>
            <w:r>
              <w:rPr>
                <w:rFonts w:hint="eastAsia" w:ascii="宋体" w:hAnsi="宋体" w:cs="宋体"/>
                <w:color w:val="FF0000"/>
                <w:sz w:val="21"/>
                <w:szCs w:val="21"/>
                <w:highlight w:val="none"/>
              </w:rPr>
              <w:t>15.6</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rPr>
              <w:t>33</w:t>
            </w:r>
          </w:p>
        </w:tc>
        <w:tc>
          <w:tcPr>
            <w:tcW w:w="1063" w:type="pct"/>
            <w:vAlign w:val="center"/>
          </w:tcPr>
          <w:p>
            <w:pPr>
              <w:spacing w:line="300" w:lineRule="auto"/>
              <w:jc w:val="center"/>
              <w:rPr>
                <w:rFonts w:hint="eastAsia" w:ascii="宋体" w:hAnsi="宋体" w:eastAsiaTheme="minorEastAsia" w:cstheme="minorBidi"/>
                <w:kern w:val="0"/>
                <w:sz w:val="21"/>
                <w:szCs w:val="21"/>
                <w:highlight w:val="none"/>
                <w:lang w:val="en-US" w:eastAsia="zh-CN" w:bidi="ar-SA"/>
              </w:rPr>
            </w:pPr>
            <w:r>
              <w:rPr>
                <w:rFonts w:hint="eastAsia" w:ascii="宋体" w:hAnsi="宋体"/>
                <w:kern w:val="0"/>
                <w:sz w:val="21"/>
                <w:szCs w:val="21"/>
                <w:highlight w:val="none"/>
              </w:rPr>
              <w:t>非转基因葵籽油</w:t>
            </w:r>
          </w:p>
        </w:tc>
        <w:tc>
          <w:tcPr>
            <w:tcW w:w="720" w:type="pct"/>
            <w:vAlign w:val="top"/>
          </w:tcPr>
          <w:p>
            <w:pPr>
              <w:jc w:val="center"/>
              <w:rPr>
                <w:rFonts w:ascii="宋体" w:hAnsi="宋体" w:cs="宋体" w:eastAsiaTheme="minorEastAsia"/>
                <w:kern w:val="2"/>
                <w:sz w:val="21"/>
                <w:szCs w:val="21"/>
                <w:highlight w:val="none"/>
                <w:lang w:val="en-US" w:eastAsia="zh-CN" w:bidi="ar-SA"/>
              </w:rPr>
            </w:pPr>
          </w:p>
        </w:tc>
        <w:tc>
          <w:tcPr>
            <w:tcW w:w="677" w:type="pct"/>
            <w:vAlign w:val="center"/>
          </w:tcPr>
          <w:p>
            <w:pPr>
              <w:jc w:val="center"/>
              <w:rPr>
                <w:rFonts w:hint="eastAsia" w:ascii="宋体" w:hAnsi="宋体" w:cs="宋体" w:eastAsiaTheme="minorEastAsia"/>
                <w:color w:val="FF0000"/>
                <w:kern w:val="2"/>
                <w:sz w:val="21"/>
                <w:szCs w:val="21"/>
                <w:highlight w:val="none"/>
                <w:lang w:val="en-US" w:eastAsia="zh-CN" w:bidi="ar-SA"/>
              </w:rPr>
            </w:pPr>
            <w:r>
              <w:rPr>
                <w:rFonts w:hint="eastAsia" w:ascii="宋体" w:hAnsi="宋体" w:cs="宋体"/>
                <w:color w:val="FF0000"/>
                <w:sz w:val="21"/>
                <w:szCs w:val="21"/>
                <w:highlight w:val="none"/>
              </w:rPr>
              <w:t>17</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rPr>
              <w:t>34</w:t>
            </w:r>
          </w:p>
        </w:tc>
        <w:tc>
          <w:tcPr>
            <w:tcW w:w="1063" w:type="pct"/>
            <w:vAlign w:val="center"/>
          </w:tcPr>
          <w:p>
            <w:pPr>
              <w:spacing w:line="300" w:lineRule="auto"/>
              <w:jc w:val="center"/>
              <w:rPr>
                <w:rFonts w:hint="eastAsia" w:ascii="宋体" w:hAnsi="宋体" w:eastAsiaTheme="minorEastAsia" w:cstheme="minorBidi"/>
                <w:kern w:val="0"/>
                <w:sz w:val="21"/>
                <w:szCs w:val="21"/>
                <w:highlight w:val="none"/>
                <w:lang w:val="en-US" w:eastAsia="zh-CN" w:bidi="ar-SA"/>
              </w:rPr>
            </w:pPr>
            <w:r>
              <w:rPr>
                <w:rFonts w:hint="eastAsia" w:ascii="宋体" w:hAnsi="宋体"/>
                <w:kern w:val="0"/>
                <w:sz w:val="21"/>
                <w:szCs w:val="21"/>
                <w:highlight w:val="none"/>
              </w:rPr>
              <w:t>非转基因菜籽油</w:t>
            </w:r>
          </w:p>
        </w:tc>
        <w:tc>
          <w:tcPr>
            <w:tcW w:w="720" w:type="pct"/>
            <w:vAlign w:val="top"/>
          </w:tcPr>
          <w:p>
            <w:pPr>
              <w:jc w:val="center"/>
              <w:rPr>
                <w:rFonts w:ascii="宋体" w:hAnsi="宋体" w:cs="宋体" w:eastAsiaTheme="minorEastAsia"/>
                <w:kern w:val="2"/>
                <w:sz w:val="21"/>
                <w:szCs w:val="21"/>
                <w:highlight w:val="none"/>
                <w:lang w:val="en-US" w:eastAsia="zh-CN" w:bidi="ar-SA"/>
              </w:rPr>
            </w:pPr>
          </w:p>
        </w:tc>
        <w:tc>
          <w:tcPr>
            <w:tcW w:w="677" w:type="pct"/>
            <w:vAlign w:val="center"/>
          </w:tcPr>
          <w:p>
            <w:pPr>
              <w:jc w:val="center"/>
              <w:rPr>
                <w:rFonts w:hint="eastAsia" w:ascii="宋体" w:hAnsi="宋体" w:cs="宋体" w:eastAsiaTheme="minorEastAsia"/>
                <w:color w:val="FF0000"/>
                <w:kern w:val="2"/>
                <w:sz w:val="21"/>
                <w:szCs w:val="21"/>
                <w:highlight w:val="none"/>
                <w:lang w:val="en-US" w:eastAsia="zh-CN" w:bidi="ar-SA"/>
              </w:rPr>
            </w:pPr>
            <w:r>
              <w:rPr>
                <w:rFonts w:hint="eastAsia" w:ascii="宋体" w:hAnsi="宋体" w:cs="宋体"/>
                <w:color w:val="FF0000"/>
                <w:sz w:val="21"/>
                <w:szCs w:val="21"/>
                <w:highlight w:val="none"/>
              </w:rPr>
              <w:t>16.4</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1" w:type="pct"/>
            <w:vAlign w:val="center"/>
          </w:tcPr>
          <w:p>
            <w:pPr>
              <w:widowControl/>
              <w:spacing w:line="360" w:lineRule="auto"/>
              <w:jc w:val="center"/>
              <w:textAlignment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35</w:t>
            </w:r>
          </w:p>
        </w:tc>
        <w:tc>
          <w:tcPr>
            <w:tcW w:w="1063" w:type="pct"/>
            <w:vAlign w:val="center"/>
          </w:tcPr>
          <w:p>
            <w:pPr>
              <w:spacing w:line="300" w:lineRule="auto"/>
              <w:jc w:val="center"/>
              <w:rPr>
                <w:rFonts w:hint="eastAsia" w:ascii="宋体" w:hAnsi="宋体" w:eastAsiaTheme="minorEastAsia" w:cstheme="minorBidi"/>
                <w:kern w:val="0"/>
                <w:sz w:val="21"/>
                <w:szCs w:val="21"/>
                <w:highlight w:val="none"/>
                <w:lang w:val="en-US" w:eastAsia="zh-CN" w:bidi="ar-SA"/>
              </w:rPr>
            </w:pPr>
            <w:r>
              <w:rPr>
                <w:rFonts w:hint="eastAsia" w:ascii="宋体" w:hAnsi="宋体"/>
                <w:kern w:val="0"/>
                <w:sz w:val="21"/>
                <w:szCs w:val="21"/>
                <w:highlight w:val="none"/>
              </w:rPr>
              <w:t>非转基因花生油</w:t>
            </w:r>
          </w:p>
        </w:tc>
        <w:tc>
          <w:tcPr>
            <w:tcW w:w="720" w:type="pct"/>
            <w:vAlign w:val="top"/>
          </w:tcPr>
          <w:p>
            <w:pPr>
              <w:jc w:val="center"/>
              <w:rPr>
                <w:rFonts w:ascii="宋体" w:hAnsi="宋体" w:cs="宋体" w:eastAsiaTheme="minorEastAsia"/>
                <w:kern w:val="2"/>
                <w:sz w:val="21"/>
                <w:szCs w:val="21"/>
                <w:highlight w:val="none"/>
                <w:lang w:val="en-US" w:eastAsia="zh-CN" w:bidi="ar-SA"/>
              </w:rPr>
            </w:pPr>
          </w:p>
        </w:tc>
        <w:tc>
          <w:tcPr>
            <w:tcW w:w="677" w:type="pct"/>
            <w:vAlign w:val="center"/>
          </w:tcPr>
          <w:p>
            <w:pPr>
              <w:jc w:val="center"/>
              <w:rPr>
                <w:rFonts w:hint="eastAsia" w:ascii="宋体" w:hAnsi="宋体" w:cs="宋体" w:eastAsiaTheme="minorEastAsia"/>
                <w:color w:val="FF0000"/>
                <w:kern w:val="2"/>
                <w:sz w:val="21"/>
                <w:szCs w:val="21"/>
                <w:highlight w:val="none"/>
                <w:lang w:val="en-US" w:eastAsia="zh-CN" w:bidi="ar-SA"/>
              </w:rPr>
            </w:pPr>
            <w:r>
              <w:rPr>
                <w:rFonts w:hint="eastAsia" w:ascii="宋体" w:hAnsi="宋体" w:cs="宋体"/>
                <w:color w:val="FF0000"/>
                <w:sz w:val="21"/>
                <w:szCs w:val="21"/>
                <w:highlight w:val="none"/>
              </w:rPr>
              <w:t>20</w:t>
            </w:r>
          </w:p>
        </w:tc>
        <w:tc>
          <w:tcPr>
            <w:tcW w:w="681" w:type="pct"/>
            <w:vAlign w:val="center"/>
          </w:tcPr>
          <w:p>
            <w:pPr>
              <w:widowControl/>
              <w:spacing w:before="100" w:beforeAutospacing="1" w:after="100" w:afterAutospacing="1"/>
              <w:jc w:val="center"/>
              <w:rPr>
                <w:rFonts w:cs="宋体" w:asciiTheme="minorEastAsia" w:hAnsiTheme="minorEastAsia"/>
                <w:sz w:val="21"/>
                <w:szCs w:val="21"/>
              </w:rPr>
            </w:pPr>
          </w:p>
        </w:tc>
        <w:tc>
          <w:tcPr>
            <w:tcW w:w="569" w:type="pct"/>
            <w:vAlign w:val="center"/>
          </w:tcPr>
          <w:p>
            <w:pPr>
              <w:widowControl/>
              <w:spacing w:before="100" w:beforeAutospacing="1" w:after="100" w:afterAutospacing="1"/>
              <w:jc w:val="center"/>
              <w:rPr>
                <w:rFonts w:cs="宋体" w:asciiTheme="minorEastAsia" w:hAnsiTheme="minorEastAsia"/>
                <w:sz w:val="21"/>
                <w:szCs w:val="21"/>
              </w:rPr>
            </w:pPr>
          </w:p>
        </w:tc>
        <w:tc>
          <w:tcPr>
            <w:tcW w:w="577"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425" w:type="pct"/>
            <w:gridSpan w:val="2"/>
            <w:vAlign w:val="center"/>
          </w:tcPr>
          <w:p>
            <w:pPr>
              <w:jc w:val="center"/>
              <w:rPr>
                <w:rFonts w:ascii="宋体" w:hAnsi="宋体" w:cs="宋体"/>
                <w:sz w:val="21"/>
                <w:szCs w:val="21"/>
              </w:rPr>
            </w:pPr>
            <w:r>
              <w:rPr>
                <w:rFonts w:hint="eastAsia" w:ascii="宋体" w:hAnsi="宋体" w:cs="宋体"/>
                <w:bCs/>
                <w:kern w:val="0"/>
                <w:sz w:val="21"/>
                <w:szCs w:val="21"/>
              </w:rPr>
              <w:t>平均折扣率</w:t>
            </w:r>
          </w:p>
        </w:tc>
        <w:tc>
          <w:tcPr>
            <w:tcW w:w="3574" w:type="pct"/>
            <w:gridSpan w:val="6"/>
          </w:tcPr>
          <w:p>
            <w:pPr>
              <w:widowControl/>
              <w:spacing w:before="100" w:beforeAutospacing="1" w:after="100" w:afterAutospacing="1"/>
              <w:jc w:val="center"/>
              <w:rPr>
                <w:rFonts w:cs="宋体" w:asciiTheme="minorEastAsia" w:hAnsiTheme="minorEastAsia"/>
                <w:sz w:val="21"/>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default" w:asciiTheme="minorEastAsia" w:hAnsiTheme="minorEastAsia" w:eastAsiaTheme="minorEastAsia"/>
          <w:kern w:val="0"/>
          <w:sz w:val="24"/>
          <w:szCs w:val="24"/>
          <w:u w:val="single"/>
          <w:lang w:val="en-US" w:eastAsia="zh-CN"/>
        </w:rPr>
      </w:pPr>
      <w:r>
        <w:rPr>
          <w:rFonts w:hint="eastAsia" w:asciiTheme="minorEastAsia" w:hAnsiTheme="minorEastAsia" w:eastAsiaTheme="minorEastAsia"/>
          <w:kern w:val="0"/>
          <w:sz w:val="24"/>
          <w:szCs w:val="24"/>
        </w:rPr>
        <w:t>1、本公司承诺，粮</w:t>
      </w: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油</w:t>
      </w:r>
      <w:r>
        <w:rPr>
          <w:rFonts w:hint="eastAsia" w:asciiTheme="minorEastAsia" w:hAnsiTheme="minorEastAsia" w:eastAsiaTheme="minorEastAsia"/>
          <w:kern w:val="0"/>
          <w:sz w:val="24"/>
          <w:szCs w:val="24"/>
        </w:rPr>
        <w:t>所有品目平均折扣率（保留小数点后两位）为</w:t>
      </w:r>
      <w:r>
        <w:rPr>
          <w:rFonts w:hint="eastAsia" w:asciiTheme="minorEastAsia" w:hAnsiTheme="minorEastAsia"/>
          <w:kern w:val="0"/>
          <w:sz w:val="24"/>
          <w:szCs w:val="24"/>
          <w:u w:val="single"/>
          <w:lang w:val="en-US" w:eastAsia="zh-CN"/>
        </w:rPr>
        <w:t xml:space="preserve">   </w:t>
      </w:r>
      <w:r>
        <w:rPr>
          <w:rFonts w:hint="eastAsia" w:asciiTheme="minorEastAsia" w:hAnsiTheme="minorEastAsia"/>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2、本公司承诺，粮</w:t>
      </w: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油</w:t>
      </w:r>
      <w:r>
        <w:rPr>
          <w:rFonts w:hint="eastAsia" w:asciiTheme="minorEastAsia" w:hAnsiTheme="minorEastAsia" w:eastAsiaTheme="minorEastAsia"/>
          <w:kern w:val="0"/>
          <w:sz w:val="24"/>
          <w:szCs w:val="24"/>
        </w:rPr>
        <w:t>在全年服务期限内，根据采购文件提供的折扣率计算参考价*（1-所投品目平均折扣率），若计算价格低于所投报价，则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3、本公司承诺，入选产品厂家实际包装确无此《报价单》上的规格，按同比例测算采购报价。</w:t>
      </w:r>
    </w:p>
    <w:p>
      <w:pPr>
        <w:widowControl/>
        <w:spacing w:before="100" w:beforeAutospacing="1" w:after="100" w:afterAutospacing="1"/>
        <w:jc w:val="right"/>
        <w:rPr>
          <w:rFonts w:ascii="宋体" w:hAnsi="宋体" w:cs="宋体"/>
          <w:bCs/>
          <w:kern w:val="0"/>
          <w:sz w:val="24"/>
          <w:szCs w:val="24"/>
        </w:rPr>
      </w:pPr>
      <w:r>
        <w:rPr>
          <w:rFonts w:hint="eastAsia" w:ascii="宋体" w:hAnsi="宋体" w:cs="宋体"/>
          <w:bCs/>
          <w:kern w:val="0"/>
          <w:sz w:val="24"/>
          <w:szCs w:val="24"/>
        </w:rPr>
        <w:t>供应商单位（盖章）：</w:t>
      </w:r>
    </w:p>
    <w:p>
      <w:pPr>
        <w:wordWrap w:val="0"/>
        <w:autoSpaceDE w:val="0"/>
        <w:autoSpaceDN w:val="0"/>
        <w:adjustRightInd w:val="0"/>
        <w:jc w:val="right"/>
        <w:rPr>
          <w:rFonts w:ascii="宋体" w:hAnsi="宋体" w:cs="宋体"/>
          <w:bCs/>
          <w:kern w:val="0"/>
          <w:sz w:val="24"/>
          <w:szCs w:val="24"/>
        </w:rPr>
      </w:pPr>
      <w:r>
        <w:rPr>
          <w:rFonts w:hint="eastAsia" w:ascii="宋体" w:hAnsi="宋体" w:cs="宋体"/>
          <w:bCs/>
          <w:kern w:val="0"/>
          <w:sz w:val="24"/>
          <w:szCs w:val="24"/>
        </w:rPr>
        <w:t>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rPr>
          <w:rFonts w:hint="default" w:ascii="宋体" w:hAnsi="宋体" w:cs="宋体"/>
          <w:bCs/>
          <w:kern w:val="0"/>
          <w:szCs w:val="21"/>
          <w:lang w:val="en-US" w:eastAsia="zh-CN"/>
        </w:rPr>
      </w:pPr>
      <w:r>
        <w:rPr>
          <w:rFonts w:hint="default" w:ascii="宋体" w:hAnsi="宋体" w:cs="宋体"/>
          <w:bCs/>
          <w:kern w:val="0"/>
          <w:szCs w:val="21"/>
          <w:lang w:val="en-US" w:eastAsia="zh-CN"/>
        </w:rPr>
        <w:br w:type="page"/>
      </w:r>
    </w:p>
    <w:p>
      <w:pPr>
        <w:rPr>
          <w:rFonts w:hint="eastAsia"/>
          <w:highlight w:val="none"/>
          <w:lang w:val="en-US" w:eastAsia="zh-CN"/>
        </w:rPr>
      </w:pPr>
      <w:r>
        <w:rPr>
          <w:rFonts w:hint="eastAsia"/>
          <w:b/>
          <w:bCs/>
          <w:sz w:val="28"/>
          <w:szCs w:val="28"/>
          <w:highlight w:val="none"/>
          <w:lang w:val="en-US" w:eastAsia="zh-CN"/>
        </w:rPr>
        <w:t xml:space="preserve">包二：干货调味品 </w:t>
      </w:r>
      <w:r>
        <w:rPr>
          <w:rFonts w:hint="eastAsia"/>
          <w:highlight w:val="none"/>
          <w:lang w:val="en-US" w:eastAsia="zh-CN"/>
        </w:rPr>
        <w:t xml:space="preserve">                           </w:t>
      </w:r>
    </w:p>
    <w:p>
      <w:pPr>
        <w:jc w:val="center"/>
        <w:rPr>
          <w:rFonts w:hint="eastAsia"/>
          <w:sz w:val="28"/>
          <w:szCs w:val="28"/>
          <w:highlight w:val="none"/>
          <w:lang w:val="en-US" w:eastAsia="zh-CN"/>
        </w:rPr>
      </w:pPr>
      <w:r>
        <w:rPr>
          <w:rFonts w:hint="eastAsia"/>
          <w:sz w:val="28"/>
          <w:szCs w:val="28"/>
          <w:highlight w:val="none"/>
          <w:lang w:val="en-US" w:eastAsia="zh-CN"/>
        </w:rPr>
        <w:t>干货调味品产品报价单</w:t>
      </w:r>
    </w:p>
    <w:p>
      <w:pPr>
        <w:jc w:val="center"/>
        <w:rPr>
          <w:rFonts w:hint="eastAsia" w:ascii="宋体" w:hAnsi="宋体" w:cs="宋体"/>
          <w:bCs/>
          <w:kern w:val="0"/>
          <w:szCs w:val="21"/>
          <w:highlight w:val="none"/>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单位 </w:t>
      </w:r>
      <w:r>
        <w:rPr>
          <w:rFonts w:hint="eastAsia" w:ascii="宋体" w:hAnsi="宋体" w:cs="宋体"/>
          <w:bCs/>
          <w:kern w:val="0"/>
          <w:szCs w:val="21"/>
          <w:highlight w:val="none"/>
          <w:lang w:val="en-US" w:eastAsia="zh-CN"/>
        </w:rPr>
        <w:t>500g/1L</w:t>
      </w:r>
      <w:r>
        <w:rPr>
          <w:rFonts w:hint="eastAsia" w:ascii="宋体" w:hAnsi="宋体" w:cs="宋体"/>
          <w:bCs/>
          <w:kern w:val="0"/>
          <w:szCs w:val="21"/>
          <w:highlight w:val="none"/>
        </w:rPr>
        <w:t>）</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58"/>
        <w:gridCol w:w="1304"/>
        <w:gridCol w:w="1440"/>
        <w:gridCol w:w="1330"/>
        <w:gridCol w:w="1285"/>
        <w:gridCol w:w="114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359"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序号</w:t>
            </w:r>
          </w:p>
        </w:tc>
        <w:tc>
          <w:tcPr>
            <w:tcW w:w="785"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品名</w:t>
            </w:r>
          </w:p>
        </w:tc>
        <w:tc>
          <w:tcPr>
            <w:tcW w:w="702" w:type="pct"/>
            <w:vAlign w:val="center"/>
          </w:tcPr>
          <w:p>
            <w:pPr>
              <w:widowControl/>
              <w:jc w:val="center"/>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品牌</w:t>
            </w:r>
          </w:p>
        </w:tc>
        <w:tc>
          <w:tcPr>
            <w:tcW w:w="775" w:type="pct"/>
            <w:vAlign w:val="center"/>
          </w:tcPr>
          <w:p>
            <w:pPr>
              <w:widowControl/>
              <w:jc w:val="center"/>
              <w:rPr>
                <w:rFonts w:ascii="宋体" w:hAnsi="宋体" w:cs="宋体"/>
                <w:bCs/>
                <w:sz w:val="21"/>
                <w:szCs w:val="21"/>
                <w:highlight w:val="none"/>
              </w:rPr>
            </w:pPr>
            <w:r>
              <w:rPr>
                <w:rFonts w:hint="eastAsia" w:cs="宋体" w:asciiTheme="minorEastAsia" w:hAnsiTheme="minorEastAsia"/>
                <w:bCs/>
                <w:kern w:val="0"/>
                <w:sz w:val="21"/>
                <w:szCs w:val="21"/>
                <w:highlight w:val="none"/>
              </w:rPr>
              <w:t>折扣率计算参考价</w:t>
            </w:r>
            <w:r>
              <w:rPr>
                <w:rFonts w:hint="eastAsia" w:ascii="宋体" w:hAnsi="宋体" w:cs="宋体"/>
                <w:bCs/>
                <w:sz w:val="21"/>
                <w:szCs w:val="21"/>
                <w:highlight w:val="none"/>
              </w:rPr>
              <w:t>（元）</w:t>
            </w:r>
          </w:p>
        </w:tc>
        <w:tc>
          <w:tcPr>
            <w:tcW w:w="716"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采购报价（元）</w:t>
            </w:r>
          </w:p>
        </w:tc>
        <w:tc>
          <w:tcPr>
            <w:tcW w:w="692"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折扣率</w:t>
            </w:r>
          </w:p>
        </w:tc>
        <w:tc>
          <w:tcPr>
            <w:tcW w:w="614"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平均折扣率</w:t>
            </w:r>
          </w:p>
        </w:tc>
        <w:tc>
          <w:tcPr>
            <w:tcW w:w="354"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w:t>
            </w:r>
          </w:p>
        </w:tc>
        <w:tc>
          <w:tcPr>
            <w:tcW w:w="785" w:type="pct"/>
            <w:vAlign w:val="center"/>
          </w:tcPr>
          <w:p>
            <w:pPr>
              <w:jc w:val="center"/>
              <w:rPr>
                <w:rFonts w:ascii="宋体" w:hAnsi="宋体"/>
                <w:sz w:val="21"/>
                <w:szCs w:val="21"/>
              </w:rPr>
            </w:pPr>
            <w:r>
              <w:rPr>
                <w:rFonts w:hint="eastAsia"/>
                <w:sz w:val="21"/>
                <w:szCs w:val="21"/>
              </w:rPr>
              <w:t>生抽</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color w:val="FF0000"/>
                <w:sz w:val="21"/>
                <w:szCs w:val="21"/>
              </w:rPr>
              <w:t>13.33</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restart"/>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w:t>
            </w:r>
          </w:p>
        </w:tc>
        <w:tc>
          <w:tcPr>
            <w:tcW w:w="785" w:type="pct"/>
            <w:vAlign w:val="center"/>
          </w:tcPr>
          <w:p>
            <w:pPr>
              <w:jc w:val="center"/>
              <w:rPr>
                <w:rFonts w:ascii="宋体" w:hAnsi="宋体"/>
                <w:sz w:val="21"/>
                <w:szCs w:val="21"/>
              </w:rPr>
            </w:pPr>
            <w:r>
              <w:rPr>
                <w:rFonts w:hint="eastAsia"/>
                <w:sz w:val="21"/>
                <w:szCs w:val="21"/>
              </w:rPr>
              <w:t>食盐</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2.5</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w:t>
            </w:r>
          </w:p>
        </w:tc>
        <w:tc>
          <w:tcPr>
            <w:tcW w:w="785" w:type="pct"/>
            <w:vAlign w:val="center"/>
          </w:tcPr>
          <w:p>
            <w:pPr>
              <w:jc w:val="center"/>
              <w:rPr>
                <w:rFonts w:ascii="宋体" w:hAnsi="宋体"/>
                <w:sz w:val="21"/>
                <w:szCs w:val="21"/>
              </w:rPr>
            </w:pPr>
            <w:r>
              <w:rPr>
                <w:rFonts w:hint="eastAsia"/>
                <w:sz w:val="21"/>
                <w:szCs w:val="21"/>
              </w:rPr>
              <w:t>醋</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color w:val="FF0000"/>
                <w:sz w:val="21"/>
                <w:szCs w:val="21"/>
              </w:rPr>
              <w:t>14.4</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w:t>
            </w:r>
          </w:p>
        </w:tc>
        <w:tc>
          <w:tcPr>
            <w:tcW w:w="785" w:type="pct"/>
            <w:vAlign w:val="center"/>
          </w:tcPr>
          <w:p>
            <w:pPr>
              <w:jc w:val="center"/>
              <w:rPr>
                <w:rFonts w:ascii="宋体" w:hAnsi="宋体" w:cs="宋体"/>
                <w:kern w:val="0"/>
                <w:sz w:val="21"/>
                <w:szCs w:val="21"/>
              </w:rPr>
            </w:pPr>
            <w:r>
              <w:rPr>
                <w:rFonts w:hint="eastAsia"/>
                <w:sz w:val="21"/>
                <w:szCs w:val="21"/>
              </w:rPr>
              <w:t>鸡精</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25.0</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5</w:t>
            </w:r>
          </w:p>
        </w:tc>
        <w:tc>
          <w:tcPr>
            <w:tcW w:w="785" w:type="pct"/>
            <w:vAlign w:val="center"/>
          </w:tcPr>
          <w:p>
            <w:pPr>
              <w:jc w:val="center"/>
              <w:rPr>
                <w:rFonts w:ascii="宋体" w:hAnsi="宋体" w:cs="宋体"/>
                <w:kern w:val="0"/>
                <w:sz w:val="21"/>
                <w:szCs w:val="21"/>
              </w:rPr>
            </w:pPr>
            <w:r>
              <w:rPr>
                <w:rFonts w:hint="eastAsia"/>
                <w:sz w:val="21"/>
                <w:szCs w:val="21"/>
              </w:rPr>
              <w:t>绵砂糖</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5.8</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6</w:t>
            </w:r>
          </w:p>
        </w:tc>
        <w:tc>
          <w:tcPr>
            <w:tcW w:w="785" w:type="pct"/>
            <w:vAlign w:val="center"/>
          </w:tcPr>
          <w:p>
            <w:pPr>
              <w:jc w:val="center"/>
              <w:rPr>
                <w:rFonts w:ascii="宋体" w:hAnsi="宋体" w:cs="宋体"/>
                <w:kern w:val="0"/>
                <w:sz w:val="21"/>
                <w:szCs w:val="21"/>
              </w:rPr>
            </w:pPr>
            <w:r>
              <w:rPr>
                <w:rFonts w:hint="eastAsia"/>
                <w:sz w:val="21"/>
                <w:szCs w:val="21"/>
              </w:rPr>
              <w:t>白砂糖</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5.8</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7</w:t>
            </w:r>
          </w:p>
        </w:tc>
        <w:tc>
          <w:tcPr>
            <w:tcW w:w="785" w:type="pct"/>
            <w:vAlign w:val="center"/>
          </w:tcPr>
          <w:p>
            <w:pPr>
              <w:jc w:val="center"/>
              <w:rPr>
                <w:rFonts w:hint="eastAsia" w:eastAsiaTheme="minorEastAsia"/>
                <w:sz w:val="21"/>
                <w:szCs w:val="21"/>
                <w:lang w:val="en-US" w:eastAsia="zh-CN"/>
              </w:rPr>
            </w:pPr>
            <w:r>
              <w:rPr>
                <w:rFonts w:hint="eastAsia"/>
                <w:sz w:val="21"/>
                <w:szCs w:val="21"/>
                <w:lang w:val="en-US" w:eastAsia="zh-CN"/>
              </w:rPr>
              <w:t>红糖（一级）</w:t>
            </w:r>
          </w:p>
        </w:tc>
        <w:tc>
          <w:tcPr>
            <w:tcW w:w="702" w:type="pct"/>
          </w:tcPr>
          <w:p>
            <w:pPr>
              <w:jc w:val="center"/>
              <w:rPr>
                <w:rFonts w:ascii="宋体" w:hAnsi="宋体" w:cs="宋体"/>
                <w:sz w:val="21"/>
                <w:szCs w:val="21"/>
              </w:rPr>
            </w:pPr>
          </w:p>
        </w:tc>
        <w:tc>
          <w:tcPr>
            <w:tcW w:w="775" w:type="pct"/>
            <w:vAlign w:val="center"/>
          </w:tcPr>
          <w:p>
            <w:pPr>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7</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8</w:t>
            </w:r>
          </w:p>
        </w:tc>
        <w:tc>
          <w:tcPr>
            <w:tcW w:w="785" w:type="pct"/>
            <w:vAlign w:val="center"/>
          </w:tcPr>
          <w:p>
            <w:pPr>
              <w:jc w:val="center"/>
              <w:rPr>
                <w:rFonts w:ascii="宋体" w:hAnsi="宋体" w:cs="宋体"/>
                <w:kern w:val="0"/>
                <w:sz w:val="21"/>
                <w:szCs w:val="21"/>
              </w:rPr>
            </w:pPr>
            <w:r>
              <w:rPr>
                <w:rFonts w:hint="eastAsia"/>
                <w:sz w:val="21"/>
                <w:szCs w:val="21"/>
              </w:rPr>
              <w:t>冰糖</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6.5</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9</w:t>
            </w:r>
          </w:p>
        </w:tc>
        <w:tc>
          <w:tcPr>
            <w:tcW w:w="785" w:type="pct"/>
            <w:vAlign w:val="center"/>
          </w:tcPr>
          <w:p>
            <w:pPr>
              <w:jc w:val="center"/>
              <w:rPr>
                <w:rFonts w:ascii="宋体" w:hAnsi="宋体" w:cs="宋体"/>
                <w:kern w:val="0"/>
                <w:sz w:val="21"/>
                <w:szCs w:val="21"/>
              </w:rPr>
            </w:pPr>
            <w:r>
              <w:rPr>
                <w:rFonts w:hint="eastAsia"/>
                <w:sz w:val="21"/>
                <w:szCs w:val="21"/>
              </w:rPr>
              <w:t>料酒</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color w:val="FF0000"/>
                <w:sz w:val="21"/>
                <w:szCs w:val="21"/>
              </w:rPr>
              <w:t>6.3</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10</w:t>
            </w:r>
          </w:p>
        </w:tc>
        <w:tc>
          <w:tcPr>
            <w:tcW w:w="785" w:type="pct"/>
            <w:vAlign w:val="center"/>
          </w:tcPr>
          <w:p>
            <w:pPr>
              <w:jc w:val="center"/>
              <w:rPr>
                <w:rFonts w:ascii="宋体" w:hAnsi="宋体" w:cs="宋体"/>
                <w:kern w:val="0"/>
                <w:sz w:val="21"/>
                <w:szCs w:val="21"/>
              </w:rPr>
            </w:pPr>
            <w:r>
              <w:rPr>
                <w:rFonts w:hint="eastAsia"/>
                <w:sz w:val="21"/>
                <w:szCs w:val="21"/>
              </w:rPr>
              <w:t>老抽</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color w:val="FF0000"/>
                <w:sz w:val="21"/>
                <w:szCs w:val="21"/>
              </w:rPr>
              <w:t>14.26</w:t>
            </w:r>
          </w:p>
        </w:tc>
        <w:tc>
          <w:tcPr>
            <w:tcW w:w="716" w:type="pct"/>
            <w:vAlign w:val="center"/>
          </w:tcPr>
          <w:p>
            <w:pPr>
              <w:spacing w:before="100" w:beforeAutospacing="1" w:after="100" w:afterAutospacing="1"/>
              <w:jc w:val="center"/>
              <w:rPr>
                <w:rFonts w:cs="宋体" w:asciiTheme="minorEastAsia" w:hAnsiTheme="minorEastAsia"/>
                <w:sz w:val="21"/>
                <w:szCs w:val="21"/>
              </w:rPr>
            </w:pPr>
          </w:p>
        </w:tc>
        <w:tc>
          <w:tcPr>
            <w:tcW w:w="692" w:type="pct"/>
            <w:vAlign w:val="center"/>
          </w:tcPr>
          <w:p>
            <w:pPr>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11</w:t>
            </w:r>
          </w:p>
        </w:tc>
        <w:tc>
          <w:tcPr>
            <w:tcW w:w="785" w:type="pct"/>
            <w:vAlign w:val="center"/>
          </w:tcPr>
          <w:p>
            <w:pPr>
              <w:jc w:val="center"/>
              <w:rPr>
                <w:rFonts w:ascii="宋体" w:hAnsi="宋体" w:cs="宋体"/>
                <w:kern w:val="0"/>
                <w:sz w:val="21"/>
                <w:szCs w:val="21"/>
              </w:rPr>
            </w:pPr>
            <w:r>
              <w:rPr>
                <w:rFonts w:hint="eastAsia"/>
                <w:sz w:val="21"/>
                <w:szCs w:val="21"/>
              </w:rPr>
              <w:t>香油</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color w:val="FF0000"/>
                <w:sz w:val="21"/>
                <w:szCs w:val="21"/>
              </w:rPr>
            </w:pPr>
            <w:r>
              <w:rPr>
                <w:rFonts w:hint="eastAsia" w:ascii="宋体" w:hAnsi="宋体" w:cs="宋体"/>
                <w:color w:val="FF0000"/>
                <w:sz w:val="21"/>
                <w:szCs w:val="21"/>
              </w:rPr>
              <w:t>46</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12</w:t>
            </w:r>
          </w:p>
        </w:tc>
        <w:tc>
          <w:tcPr>
            <w:tcW w:w="785" w:type="pct"/>
            <w:vAlign w:val="center"/>
          </w:tcPr>
          <w:p>
            <w:pPr>
              <w:jc w:val="center"/>
              <w:rPr>
                <w:rFonts w:ascii="宋体" w:hAnsi="宋体" w:cs="宋体"/>
                <w:kern w:val="0"/>
                <w:sz w:val="21"/>
                <w:szCs w:val="21"/>
              </w:rPr>
            </w:pPr>
            <w:r>
              <w:rPr>
                <w:rFonts w:hint="eastAsia"/>
                <w:sz w:val="21"/>
                <w:szCs w:val="21"/>
              </w:rPr>
              <w:t>蚝油</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color w:val="FF0000"/>
                <w:sz w:val="21"/>
                <w:szCs w:val="21"/>
              </w:rPr>
            </w:pPr>
            <w:r>
              <w:rPr>
                <w:rFonts w:hint="eastAsia" w:ascii="宋体" w:hAnsi="宋体" w:cs="宋体"/>
                <w:color w:val="FF0000"/>
                <w:sz w:val="21"/>
                <w:szCs w:val="21"/>
              </w:rPr>
              <w:t>8.32</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13</w:t>
            </w:r>
          </w:p>
        </w:tc>
        <w:tc>
          <w:tcPr>
            <w:tcW w:w="785" w:type="pct"/>
            <w:vAlign w:val="center"/>
          </w:tcPr>
          <w:p>
            <w:pPr>
              <w:jc w:val="center"/>
              <w:rPr>
                <w:rFonts w:ascii="宋体" w:hAnsi="宋体" w:cs="宋体"/>
                <w:kern w:val="0"/>
                <w:sz w:val="21"/>
                <w:szCs w:val="21"/>
              </w:rPr>
            </w:pPr>
            <w:r>
              <w:rPr>
                <w:rFonts w:hint="eastAsia"/>
                <w:sz w:val="21"/>
                <w:szCs w:val="21"/>
              </w:rPr>
              <w:t>麻油</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color w:val="FF0000"/>
                <w:sz w:val="21"/>
                <w:szCs w:val="21"/>
              </w:rPr>
            </w:pPr>
            <w:r>
              <w:rPr>
                <w:rFonts w:hint="eastAsia" w:ascii="宋体" w:hAnsi="宋体" w:cs="宋体"/>
                <w:color w:val="FF0000"/>
                <w:sz w:val="21"/>
                <w:szCs w:val="21"/>
              </w:rPr>
              <w:t>46</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14</w:t>
            </w:r>
          </w:p>
        </w:tc>
        <w:tc>
          <w:tcPr>
            <w:tcW w:w="785" w:type="pct"/>
            <w:vAlign w:val="center"/>
          </w:tcPr>
          <w:p>
            <w:pPr>
              <w:jc w:val="center"/>
              <w:rPr>
                <w:rFonts w:ascii="宋体" w:hAnsi="宋体" w:cs="宋体"/>
                <w:kern w:val="0"/>
                <w:sz w:val="21"/>
                <w:szCs w:val="21"/>
              </w:rPr>
            </w:pPr>
            <w:r>
              <w:rPr>
                <w:rFonts w:hint="eastAsia"/>
                <w:sz w:val="21"/>
                <w:szCs w:val="21"/>
              </w:rPr>
              <w:t>花椒油</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color w:val="FF0000"/>
                <w:sz w:val="21"/>
                <w:szCs w:val="21"/>
              </w:rPr>
              <w:t>38.64</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15</w:t>
            </w:r>
          </w:p>
        </w:tc>
        <w:tc>
          <w:tcPr>
            <w:tcW w:w="785" w:type="pct"/>
            <w:vAlign w:val="center"/>
          </w:tcPr>
          <w:p>
            <w:pPr>
              <w:jc w:val="center"/>
              <w:rPr>
                <w:rFonts w:ascii="宋体" w:hAnsi="宋体" w:cs="宋体"/>
                <w:kern w:val="0"/>
                <w:sz w:val="21"/>
                <w:szCs w:val="21"/>
              </w:rPr>
            </w:pPr>
            <w:r>
              <w:rPr>
                <w:rFonts w:hint="eastAsia"/>
                <w:sz w:val="21"/>
                <w:szCs w:val="21"/>
              </w:rPr>
              <w:t>蒸鱼豉油</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color w:val="FF0000"/>
                <w:sz w:val="21"/>
                <w:szCs w:val="21"/>
              </w:rPr>
              <w:t>25</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16</w:t>
            </w:r>
          </w:p>
        </w:tc>
        <w:tc>
          <w:tcPr>
            <w:tcW w:w="785" w:type="pct"/>
            <w:vAlign w:val="center"/>
          </w:tcPr>
          <w:p>
            <w:pPr>
              <w:jc w:val="center"/>
              <w:rPr>
                <w:rFonts w:ascii="宋体" w:hAnsi="宋体" w:cs="宋体"/>
                <w:kern w:val="0"/>
                <w:sz w:val="21"/>
                <w:szCs w:val="21"/>
              </w:rPr>
            </w:pPr>
            <w:r>
              <w:rPr>
                <w:rFonts w:hint="eastAsia"/>
                <w:sz w:val="21"/>
                <w:szCs w:val="21"/>
              </w:rPr>
              <w:t>十三香</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50.0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17</w:t>
            </w:r>
          </w:p>
        </w:tc>
        <w:tc>
          <w:tcPr>
            <w:tcW w:w="785" w:type="pct"/>
            <w:vAlign w:val="center"/>
          </w:tcPr>
          <w:p>
            <w:pPr>
              <w:jc w:val="center"/>
              <w:rPr>
                <w:rFonts w:ascii="宋体" w:hAnsi="宋体" w:cs="宋体"/>
                <w:kern w:val="0"/>
                <w:sz w:val="21"/>
                <w:szCs w:val="21"/>
              </w:rPr>
            </w:pPr>
            <w:r>
              <w:rPr>
                <w:rFonts w:hint="eastAsia"/>
                <w:sz w:val="21"/>
                <w:szCs w:val="21"/>
              </w:rPr>
              <w:t>白胡椒粉</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180.0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18</w:t>
            </w:r>
          </w:p>
        </w:tc>
        <w:tc>
          <w:tcPr>
            <w:tcW w:w="785" w:type="pct"/>
            <w:vAlign w:val="center"/>
          </w:tcPr>
          <w:p>
            <w:pPr>
              <w:jc w:val="center"/>
              <w:rPr>
                <w:rFonts w:ascii="宋体" w:hAnsi="宋体" w:cs="宋体"/>
                <w:kern w:val="0"/>
                <w:sz w:val="21"/>
                <w:szCs w:val="21"/>
              </w:rPr>
            </w:pPr>
            <w:r>
              <w:rPr>
                <w:rFonts w:hint="eastAsia"/>
                <w:sz w:val="21"/>
                <w:szCs w:val="21"/>
              </w:rPr>
              <w:t>黑胡椒粉</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195.0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19</w:t>
            </w:r>
          </w:p>
        </w:tc>
        <w:tc>
          <w:tcPr>
            <w:tcW w:w="785" w:type="pct"/>
            <w:vAlign w:val="center"/>
          </w:tcPr>
          <w:p>
            <w:pPr>
              <w:jc w:val="center"/>
              <w:rPr>
                <w:rFonts w:ascii="宋体" w:hAnsi="宋体" w:cs="宋体"/>
                <w:kern w:val="0"/>
                <w:sz w:val="21"/>
                <w:szCs w:val="21"/>
              </w:rPr>
            </w:pPr>
            <w:r>
              <w:rPr>
                <w:rFonts w:hint="eastAsia"/>
                <w:sz w:val="21"/>
                <w:szCs w:val="21"/>
              </w:rPr>
              <w:t>孜然粉</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38.0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20</w:t>
            </w:r>
          </w:p>
        </w:tc>
        <w:tc>
          <w:tcPr>
            <w:tcW w:w="785" w:type="pct"/>
            <w:vAlign w:val="center"/>
          </w:tcPr>
          <w:p>
            <w:pPr>
              <w:jc w:val="center"/>
              <w:rPr>
                <w:rFonts w:ascii="宋体" w:hAnsi="宋体" w:cs="宋体"/>
                <w:kern w:val="0"/>
                <w:sz w:val="21"/>
                <w:szCs w:val="21"/>
              </w:rPr>
            </w:pPr>
            <w:r>
              <w:rPr>
                <w:rFonts w:hint="eastAsia"/>
                <w:sz w:val="21"/>
                <w:szCs w:val="21"/>
              </w:rPr>
              <w:t>五香粉</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50.0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21</w:t>
            </w:r>
          </w:p>
        </w:tc>
        <w:tc>
          <w:tcPr>
            <w:tcW w:w="785" w:type="pct"/>
            <w:vAlign w:val="center"/>
          </w:tcPr>
          <w:p>
            <w:pPr>
              <w:jc w:val="center"/>
              <w:rPr>
                <w:rFonts w:ascii="宋体" w:hAnsi="宋体" w:cs="宋体"/>
                <w:kern w:val="0"/>
                <w:sz w:val="21"/>
                <w:szCs w:val="21"/>
              </w:rPr>
            </w:pPr>
            <w:r>
              <w:rPr>
                <w:rFonts w:hint="eastAsia"/>
                <w:sz w:val="21"/>
                <w:szCs w:val="21"/>
              </w:rPr>
              <w:t>奥尔良腌料</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18.0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22</w:t>
            </w:r>
          </w:p>
        </w:tc>
        <w:tc>
          <w:tcPr>
            <w:tcW w:w="785" w:type="pct"/>
            <w:vAlign w:val="center"/>
          </w:tcPr>
          <w:p>
            <w:pPr>
              <w:jc w:val="center"/>
              <w:rPr>
                <w:rFonts w:hint="default" w:eastAsiaTheme="minorEastAsia"/>
                <w:sz w:val="21"/>
                <w:szCs w:val="21"/>
                <w:lang w:val="en-US" w:eastAsia="zh-CN"/>
              </w:rPr>
            </w:pPr>
            <w:r>
              <w:rPr>
                <w:rFonts w:hint="eastAsia"/>
                <w:sz w:val="21"/>
                <w:szCs w:val="21"/>
                <w:lang w:val="en-US" w:eastAsia="zh-CN"/>
              </w:rPr>
              <w:t>酸菜鱼调料</w:t>
            </w:r>
          </w:p>
        </w:tc>
        <w:tc>
          <w:tcPr>
            <w:tcW w:w="702" w:type="pct"/>
          </w:tcPr>
          <w:p>
            <w:pPr>
              <w:jc w:val="center"/>
              <w:rPr>
                <w:rFonts w:ascii="宋体" w:hAnsi="宋体" w:cs="宋体"/>
                <w:sz w:val="21"/>
                <w:szCs w:val="21"/>
              </w:rPr>
            </w:pPr>
          </w:p>
        </w:tc>
        <w:tc>
          <w:tcPr>
            <w:tcW w:w="775" w:type="pct"/>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21.5</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23</w:t>
            </w:r>
          </w:p>
        </w:tc>
        <w:tc>
          <w:tcPr>
            <w:tcW w:w="785" w:type="pct"/>
            <w:vAlign w:val="center"/>
          </w:tcPr>
          <w:p>
            <w:pPr>
              <w:jc w:val="center"/>
              <w:rPr>
                <w:rFonts w:hint="default"/>
                <w:sz w:val="21"/>
                <w:szCs w:val="21"/>
                <w:lang w:val="en-US" w:eastAsia="zh-CN"/>
              </w:rPr>
            </w:pPr>
            <w:r>
              <w:rPr>
                <w:rFonts w:hint="eastAsia"/>
                <w:sz w:val="21"/>
                <w:szCs w:val="21"/>
                <w:lang w:val="en-US" w:eastAsia="zh-CN"/>
              </w:rPr>
              <w:t>麻婆豆腐调味料</w:t>
            </w:r>
          </w:p>
        </w:tc>
        <w:tc>
          <w:tcPr>
            <w:tcW w:w="702" w:type="pct"/>
          </w:tcPr>
          <w:p>
            <w:pPr>
              <w:jc w:val="center"/>
              <w:rPr>
                <w:rFonts w:ascii="宋体" w:hAnsi="宋体" w:cs="宋体"/>
                <w:sz w:val="21"/>
                <w:szCs w:val="21"/>
              </w:rPr>
            </w:pPr>
          </w:p>
        </w:tc>
        <w:tc>
          <w:tcPr>
            <w:tcW w:w="775" w:type="pct"/>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30.6</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24</w:t>
            </w:r>
          </w:p>
        </w:tc>
        <w:tc>
          <w:tcPr>
            <w:tcW w:w="785" w:type="pct"/>
            <w:vAlign w:val="center"/>
          </w:tcPr>
          <w:p>
            <w:pPr>
              <w:jc w:val="center"/>
              <w:rPr>
                <w:rFonts w:hint="default"/>
                <w:sz w:val="21"/>
                <w:szCs w:val="21"/>
                <w:lang w:val="en-US" w:eastAsia="zh-CN"/>
              </w:rPr>
            </w:pPr>
            <w:r>
              <w:rPr>
                <w:rFonts w:hint="eastAsia"/>
                <w:sz w:val="21"/>
                <w:szCs w:val="21"/>
                <w:lang w:val="en-US" w:eastAsia="zh-CN"/>
              </w:rPr>
              <w:t>粉蒸肉调料</w:t>
            </w:r>
          </w:p>
        </w:tc>
        <w:tc>
          <w:tcPr>
            <w:tcW w:w="702" w:type="pct"/>
          </w:tcPr>
          <w:p>
            <w:pPr>
              <w:jc w:val="center"/>
              <w:rPr>
                <w:rFonts w:ascii="宋体" w:hAnsi="宋体" w:cs="宋体"/>
                <w:sz w:val="21"/>
                <w:szCs w:val="21"/>
              </w:rPr>
            </w:pPr>
          </w:p>
        </w:tc>
        <w:tc>
          <w:tcPr>
            <w:tcW w:w="775" w:type="pct"/>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22.3</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25</w:t>
            </w:r>
          </w:p>
        </w:tc>
        <w:tc>
          <w:tcPr>
            <w:tcW w:w="785" w:type="pct"/>
            <w:vAlign w:val="center"/>
          </w:tcPr>
          <w:p>
            <w:pPr>
              <w:jc w:val="center"/>
              <w:rPr>
                <w:rFonts w:ascii="宋体" w:hAnsi="宋体" w:cs="宋体"/>
                <w:kern w:val="0"/>
                <w:sz w:val="21"/>
                <w:szCs w:val="21"/>
              </w:rPr>
            </w:pPr>
            <w:r>
              <w:rPr>
                <w:rFonts w:hint="eastAsia"/>
                <w:sz w:val="21"/>
                <w:szCs w:val="21"/>
              </w:rPr>
              <w:t>火锅底料</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18.0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26</w:t>
            </w:r>
          </w:p>
        </w:tc>
        <w:tc>
          <w:tcPr>
            <w:tcW w:w="785" w:type="pct"/>
            <w:vAlign w:val="center"/>
          </w:tcPr>
          <w:p>
            <w:pPr>
              <w:jc w:val="center"/>
              <w:rPr>
                <w:rFonts w:ascii="宋体" w:hAnsi="宋体" w:cs="宋体"/>
                <w:kern w:val="0"/>
                <w:sz w:val="21"/>
                <w:szCs w:val="21"/>
              </w:rPr>
            </w:pPr>
            <w:r>
              <w:rPr>
                <w:rFonts w:hint="eastAsia"/>
                <w:sz w:val="21"/>
                <w:szCs w:val="21"/>
              </w:rPr>
              <w:t>香辣酱</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15.0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27</w:t>
            </w:r>
          </w:p>
        </w:tc>
        <w:tc>
          <w:tcPr>
            <w:tcW w:w="785" w:type="pct"/>
            <w:vAlign w:val="center"/>
          </w:tcPr>
          <w:p>
            <w:pPr>
              <w:jc w:val="center"/>
              <w:rPr>
                <w:rFonts w:ascii="宋体" w:hAnsi="宋体" w:cs="宋体"/>
                <w:kern w:val="0"/>
                <w:sz w:val="21"/>
                <w:szCs w:val="21"/>
              </w:rPr>
            </w:pPr>
            <w:r>
              <w:rPr>
                <w:rFonts w:hint="eastAsia"/>
                <w:sz w:val="21"/>
                <w:szCs w:val="21"/>
              </w:rPr>
              <w:t>蒜蓉酱</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15.0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28</w:t>
            </w:r>
          </w:p>
        </w:tc>
        <w:tc>
          <w:tcPr>
            <w:tcW w:w="785" w:type="pct"/>
            <w:vAlign w:val="center"/>
          </w:tcPr>
          <w:p>
            <w:pPr>
              <w:jc w:val="center"/>
              <w:rPr>
                <w:rFonts w:ascii="宋体" w:hAnsi="宋体" w:cs="宋体"/>
                <w:kern w:val="0"/>
                <w:sz w:val="21"/>
                <w:szCs w:val="21"/>
              </w:rPr>
            </w:pPr>
            <w:r>
              <w:rPr>
                <w:rFonts w:hint="eastAsia"/>
                <w:sz w:val="21"/>
                <w:szCs w:val="21"/>
              </w:rPr>
              <w:t>叉烧酱</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20.0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29</w:t>
            </w:r>
          </w:p>
        </w:tc>
        <w:tc>
          <w:tcPr>
            <w:tcW w:w="785" w:type="pct"/>
            <w:vAlign w:val="center"/>
          </w:tcPr>
          <w:p>
            <w:pPr>
              <w:jc w:val="center"/>
              <w:rPr>
                <w:rFonts w:ascii="宋体" w:hAnsi="宋体" w:cs="宋体"/>
                <w:kern w:val="0"/>
                <w:sz w:val="21"/>
                <w:szCs w:val="21"/>
              </w:rPr>
            </w:pPr>
            <w:r>
              <w:rPr>
                <w:rFonts w:hint="eastAsia"/>
                <w:sz w:val="21"/>
                <w:szCs w:val="21"/>
              </w:rPr>
              <w:t>芝麻酱</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18.0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30</w:t>
            </w:r>
          </w:p>
        </w:tc>
        <w:tc>
          <w:tcPr>
            <w:tcW w:w="785" w:type="pct"/>
            <w:vAlign w:val="center"/>
          </w:tcPr>
          <w:p>
            <w:pPr>
              <w:jc w:val="center"/>
              <w:rPr>
                <w:rFonts w:ascii="宋体" w:hAnsi="宋体" w:cs="宋体"/>
                <w:kern w:val="0"/>
                <w:sz w:val="21"/>
                <w:szCs w:val="21"/>
              </w:rPr>
            </w:pPr>
            <w:r>
              <w:rPr>
                <w:rFonts w:hint="eastAsia"/>
                <w:sz w:val="21"/>
                <w:szCs w:val="21"/>
              </w:rPr>
              <w:t>黄豆酱</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5.0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31</w:t>
            </w:r>
          </w:p>
        </w:tc>
        <w:tc>
          <w:tcPr>
            <w:tcW w:w="785" w:type="pct"/>
            <w:vAlign w:val="center"/>
          </w:tcPr>
          <w:p>
            <w:pPr>
              <w:jc w:val="center"/>
              <w:rPr>
                <w:rFonts w:ascii="宋体" w:hAnsi="宋体" w:cs="宋体"/>
                <w:kern w:val="0"/>
                <w:sz w:val="21"/>
                <w:szCs w:val="21"/>
              </w:rPr>
            </w:pPr>
            <w:r>
              <w:rPr>
                <w:rFonts w:hint="eastAsia"/>
                <w:sz w:val="21"/>
                <w:szCs w:val="21"/>
              </w:rPr>
              <w:t>辣椒酱</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4.0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32</w:t>
            </w:r>
          </w:p>
        </w:tc>
        <w:tc>
          <w:tcPr>
            <w:tcW w:w="785" w:type="pct"/>
            <w:vAlign w:val="center"/>
          </w:tcPr>
          <w:p>
            <w:pPr>
              <w:jc w:val="center"/>
              <w:rPr>
                <w:rFonts w:ascii="宋体" w:hAnsi="宋体" w:cs="宋体"/>
                <w:kern w:val="0"/>
                <w:sz w:val="21"/>
                <w:szCs w:val="21"/>
              </w:rPr>
            </w:pPr>
            <w:r>
              <w:rPr>
                <w:rFonts w:hint="eastAsia"/>
                <w:sz w:val="21"/>
                <w:szCs w:val="21"/>
              </w:rPr>
              <w:t>豆瓣酱</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9.5</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33</w:t>
            </w:r>
          </w:p>
        </w:tc>
        <w:tc>
          <w:tcPr>
            <w:tcW w:w="785" w:type="pct"/>
            <w:vAlign w:val="center"/>
          </w:tcPr>
          <w:p>
            <w:pPr>
              <w:jc w:val="center"/>
              <w:rPr>
                <w:rFonts w:ascii="宋体" w:hAnsi="宋体" w:cs="宋体"/>
                <w:kern w:val="0"/>
                <w:sz w:val="21"/>
                <w:szCs w:val="21"/>
              </w:rPr>
            </w:pPr>
            <w:r>
              <w:rPr>
                <w:rFonts w:hint="eastAsia"/>
                <w:sz w:val="21"/>
                <w:szCs w:val="21"/>
              </w:rPr>
              <w:t>番茄沙司</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7.5</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34</w:t>
            </w:r>
          </w:p>
        </w:tc>
        <w:tc>
          <w:tcPr>
            <w:tcW w:w="785" w:type="pct"/>
            <w:vAlign w:val="center"/>
          </w:tcPr>
          <w:p>
            <w:pPr>
              <w:jc w:val="center"/>
              <w:rPr>
                <w:rFonts w:ascii="宋体" w:hAnsi="宋体" w:cs="宋体"/>
                <w:kern w:val="0"/>
                <w:sz w:val="21"/>
                <w:szCs w:val="21"/>
              </w:rPr>
            </w:pPr>
            <w:r>
              <w:rPr>
                <w:rFonts w:hint="eastAsia"/>
                <w:sz w:val="21"/>
                <w:szCs w:val="21"/>
              </w:rPr>
              <w:t>蜂蜜</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35</w:t>
            </w:r>
          </w:p>
        </w:tc>
        <w:tc>
          <w:tcPr>
            <w:tcW w:w="785" w:type="pct"/>
            <w:vAlign w:val="center"/>
          </w:tcPr>
          <w:p>
            <w:pPr>
              <w:jc w:val="center"/>
              <w:rPr>
                <w:rFonts w:ascii="宋体" w:hAnsi="宋体" w:cs="宋体"/>
                <w:kern w:val="0"/>
                <w:sz w:val="21"/>
                <w:szCs w:val="21"/>
              </w:rPr>
            </w:pPr>
            <w:r>
              <w:rPr>
                <w:rFonts w:hint="eastAsia"/>
                <w:sz w:val="21"/>
                <w:szCs w:val="21"/>
              </w:rPr>
              <w:t>风味豆豉</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8.5</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36</w:t>
            </w:r>
          </w:p>
        </w:tc>
        <w:tc>
          <w:tcPr>
            <w:tcW w:w="785" w:type="pct"/>
            <w:vAlign w:val="center"/>
          </w:tcPr>
          <w:p>
            <w:pPr>
              <w:jc w:val="center"/>
              <w:rPr>
                <w:rFonts w:ascii="宋体" w:hAnsi="宋体" w:cs="宋体"/>
                <w:kern w:val="0"/>
                <w:sz w:val="21"/>
                <w:szCs w:val="21"/>
              </w:rPr>
            </w:pPr>
            <w:r>
              <w:rPr>
                <w:rFonts w:hint="eastAsia"/>
                <w:sz w:val="21"/>
                <w:szCs w:val="21"/>
              </w:rPr>
              <w:t>八角</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60.0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37</w:t>
            </w:r>
          </w:p>
        </w:tc>
        <w:tc>
          <w:tcPr>
            <w:tcW w:w="785" w:type="pct"/>
            <w:vAlign w:val="center"/>
          </w:tcPr>
          <w:p>
            <w:pPr>
              <w:jc w:val="center"/>
              <w:rPr>
                <w:rFonts w:ascii="宋体" w:hAnsi="宋体" w:cs="宋体"/>
                <w:kern w:val="0"/>
                <w:sz w:val="21"/>
                <w:szCs w:val="21"/>
              </w:rPr>
            </w:pPr>
            <w:r>
              <w:rPr>
                <w:rFonts w:hint="eastAsia"/>
                <w:sz w:val="21"/>
                <w:szCs w:val="21"/>
              </w:rPr>
              <w:t>桂皮</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20.0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38</w:t>
            </w:r>
          </w:p>
        </w:tc>
        <w:tc>
          <w:tcPr>
            <w:tcW w:w="785" w:type="pct"/>
            <w:vAlign w:val="center"/>
          </w:tcPr>
          <w:p>
            <w:pPr>
              <w:jc w:val="center"/>
              <w:rPr>
                <w:rFonts w:ascii="宋体" w:hAnsi="宋体" w:cs="宋体"/>
                <w:kern w:val="0"/>
                <w:sz w:val="21"/>
                <w:szCs w:val="21"/>
              </w:rPr>
            </w:pPr>
            <w:r>
              <w:rPr>
                <w:rFonts w:hint="eastAsia"/>
                <w:sz w:val="21"/>
                <w:szCs w:val="21"/>
              </w:rPr>
              <w:t>香叶</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35.0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39</w:t>
            </w:r>
          </w:p>
        </w:tc>
        <w:tc>
          <w:tcPr>
            <w:tcW w:w="785" w:type="pct"/>
            <w:vAlign w:val="center"/>
          </w:tcPr>
          <w:p>
            <w:pPr>
              <w:jc w:val="center"/>
              <w:rPr>
                <w:rFonts w:ascii="宋体" w:hAnsi="宋体" w:cs="宋体"/>
                <w:kern w:val="0"/>
                <w:sz w:val="21"/>
                <w:szCs w:val="21"/>
              </w:rPr>
            </w:pPr>
            <w:r>
              <w:rPr>
                <w:rFonts w:hint="eastAsia"/>
                <w:sz w:val="21"/>
                <w:szCs w:val="21"/>
              </w:rPr>
              <w:t>红花椒</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80.0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40</w:t>
            </w:r>
          </w:p>
        </w:tc>
        <w:tc>
          <w:tcPr>
            <w:tcW w:w="785" w:type="pct"/>
            <w:vAlign w:val="center"/>
          </w:tcPr>
          <w:p>
            <w:pPr>
              <w:jc w:val="center"/>
              <w:rPr>
                <w:rFonts w:ascii="宋体" w:hAnsi="宋体" w:cs="宋体"/>
                <w:kern w:val="0"/>
                <w:sz w:val="21"/>
                <w:szCs w:val="21"/>
              </w:rPr>
            </w:pPr>
            <w:r>
              <w:rPr>
                <w:rFonts w:hint="eastAsia"/>
                <w:sz w:val="21"/>
                <w:szCs w:val="21"/>
              </w:rPr>
              <w:t>干辣椒</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35.0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41</w:t>
            </w:r>
          </w:p>
        </w:tc>
        <w:tc>
          <w:tcPr>
            <w:tcW w:w="785" w:type="pct"/>
            <w:vAlign w:val="center"/>
          </w:tcPr>
          <w:p>
            <w:pPr>
              <w:jc w:val="center"/>
              <w:rPr>
                <w:rFonts w:ascii="宋体" w:hAnsi="宋体" w:cs="宋体"/>
                <w:kern w:val="0"/>
                <w:sz w:val="21"/>
                <w:szCs w:val="21"/>
              </w:rPr>
            </w:pPr>
            <w:r>
              <w:rPr>
                <w:rFonts w:hint="eastAsia"/>
                <w:sz w:val="21"/>
                <w:szCs w:val="21"/>
              </w:rPr>
              <w:t>野山椒</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12.0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42</w:t>
            </w:r>
          </w:p>
        </w:tc>
        <w:tc>
          <w:tcPr>
            <w:tcW w:w="785" w:type="pct"/>
            <w:vAlign w:val="center"/>
          </w:tcPr>
          <w:p>
            <w:pPr>
              <w:jc w:val="center"/>
              <w:rPr>
                <w:rFonts w:ascii="宋体" w:hAnsi="宋体" w:cs="宋体"/>
                <w:kern w:val="0"/>
                <w:sz w:val="21"/>
                <w:szCs w:val="21"/>
              </w:rPr>
            </w:pPr>
            <w:r>
              <w:rPr>
                <w:rFonts w:hint="eastAsia"/>
                <w:sz w:val="21"/>
                <w:szCs w:val="21"/>
              </w:rPr>
              <w:t>陈皮</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20.0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43</w:t>
            </w:r>
          </w:p>
        </w:tc>
        <w:tc>
          <w:tcPr>
            <w:tcW w:w="785" w:type="pct"/>
            <w:vAlign w:val="center"/>
          </w:tcPr>
          <w:p>
            <w:pPr>
              <w:jc w:val="center"/>
              <w:rPr>
                <w:rFonts w:hint="eastAsia" w:eastAsiaTheme="minorEastAsia"/>
                <w:sz w:val="21"/>
                <w:szCs w:val="21"/>
                <w:lang w:val="en-US" w:eastAsia="zh-CN"/>
              </w:rPr>
            </w:pPr>
            <w:r>
              <w:rPr>
                <w:rFonts w:hint="eastAsia"/>
                <w:sz w:val="21"/>
                <w:szCs w:val="21"/>
                <w:lang w:val="en-US" w:eastAsia="zh-CN"/>
              </w:rPr>
              <w:t>枸杞</w:t>
            </w:r>
          </w:p>
        </w:tc>
        <w:tc>
          <w:tcPr>
            <w:tcW w:w="702" w:type="pct"/>
          </w:tcPr>
          <w:p>
            <w:pPr>
              <w:jc w:val="center"/>
              <w:rPr>
                <w:rFonts w:ascii="宋体" w:hAnsi="宋体" w:cs="宋体"/>
                <w:sz w:val="21"/>
                <w:szCs w:val="21"/>
              </w:rPr>
            </w:pPr>
          </w:p>
        </w:tc>
        <w:tc>
          <w:tcPr>
            <w:tcW w:w="775" w:type="pct"/>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75</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44</w:t>
            </w:r>
          </w:p>
        </w:tc>
        <w:tc>
          <w:tcPr>
            <w:tcW w:w="785" w:type="pct"/>
            <w:vAlign w:val="center"/>
          </w:tcPr>
          <w:p>
            <w:pPr>
              <w:jc w:val="center"/>
              <w:rPr>
                <w:rFonts w:hint="default"/>
                <w:sz w:val="21"/>
                <w:szCs w:val="21"/>
                <w:lang w:val="en-US" w:eastAsia="zh-CN"/>
              </w:rPr>
            </w:pPr>
            <w:r>
              <w:rPr>
                <w:rFonts w:hint="eastAsia"/>
                <w:sz w:val="21"/>
                <w:szCs w:val="21"/>
                <w:lang w:val="en-US" w:eastAsia="zh-CN"/>
              </w:rPr>
              <w:t>干银耳</w:t>
            </w:r>
          </w:p>
        </w:tc>
        <w:tc>
          <w:tcPr>
            <w:tcW w:w="702" w:type="pct"/>
          </w:tcPr>
          <w:p>
            <w:pPr>
              <w:jc w:val="center"/>
              <w:rPr>
                <w:rFonts w:ascii="宋体" w:hAnsi="宋体" w:cs="宋体"/>
                <w:sz w:val="21"/>
                <w:szCs w:val="21"/>
              </w:rPr>
            </w:pPr>
          </w:p>
        </w:tc>
        <w:tc>
          <w:tcPr>
            <w:tcW w:w="775" w:type="pct"/>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94</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45</w:t>
            </w:r>
          </w:p>
        </w:tc>
        <w:tc>
          <w:tcPr>
            <w:tcW w:w="785" w:type="pct"/>
            <w:vAlign w:val="center"/>
          </w:tcPr>
          <w:p>
            <w:pPr>
              <w:jc w:val="center"/>
              <w:rPr>
                <w:rFonts w:ascii="宋体" w:hAnsi="宋体" w:cs="宋体"/>
                <w:kern w:val="0"/>
                <w:sz w:val="21"/>
                <w:szCs w:val="21"/>
              </w:rPr>
            </w:pPr>
            <w:r>
              <w:rPr>
                <w:rFonts w:hint="eastAsia"/>
                <w:sz w:val="21"/>
                <w:szCs w:val="21"/>
              </w:rPr>
              <w:t>干木耳</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55.0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46</w:t>
            </w:r>
          </w:p>
        </w:tc>
        <w:tc>
          <w:tcPr>
            <w:tcW w:w="785" w:type="pct"/>
            <w:vAlign w:val="center"/>
          </w:tcPr>
          <w:p>
            <w:pPr>
              <w:jc w:val="center"/>
              <w:rPr>
                <w:rFonts w:ascii="宋体" w:hAnsi="宋体" w:cs="宋体"/>
                <w:kern w:val="0"/>
                <w:sz w:val="21"/>
                <w:szCs w:val="21"/>
              </w:rPr>
            </w:pPr>
            <w:r>
              <w:rPr>
                <w:rFonts w:hint="eastAsia"/>
                <w:sz w:val="21"/>
                <w:szCs w:val="21"/>
              </w:rPr>
              <w:t>干香菇</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60.0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47</w:t>
            </w:r>
          </w:p>
        </w:tc>
        <w:tc>
          <w:tcPr>
            <w:tcW w:w="785" w:type="pct"/>
            <w:vAlign w:val="center"/>
          </w:tcPr>
          <w:p>
            <w:pPr>
              <w:jc w:val="center"/>
              <w:rPr>
                <w:rFonts w:ascii="宋体" w:hAnsi="宋体" w:cs="宋体"/>
                <w:kern w:val="0"/>
                <w:sz w:val="21"/>
                <w:szCs w:val="21"/>
              </w:rPr>
            </w:pPr>
            <w:r>
              <w:rPr>
                <w:rFonts w:hint="eastAsia"/>
                <w:sz w:val="21"/>
                <w:szCs w:val="21"/>
              </w:rPr>
              <w:t>干腐竹</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48</w:t>
            </w:r>
          </w:p>
        </w:tc>
        <w:tc>
          <w:tcPr>
            <w:tcW w:w="785" w:type="pct"/>
            <w:vAlign w:val="center"/>
          </w:tcPr>
          <w:p>
            <w:pPr>
              <w:jc w:val="center"/>
              <w:rPr>
                <w:rFonts w:ascii="宋体" w:hAnsi="宋体" w:cs="宋体"/>
                <w:kern w:val="0"/>
                <w:sz w:val="21"/>
                <w:szCs w:val="21"/>
              </w:rPr>
            </w:pPr>
            <w:r>
              <w:rPr>
                <w:rFonts w:hint="eastAsia"/>
                <w:sz w:val="21"/>
                <w:szCs w:val="21"/>
              </w:rPr>
              <w:t>干皮肚</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49</w:t>
            </w:r>
          </w:p>
        </w:tc>
        <w:tc>
          <w:tcPr>
            <w:tcW w:w="785" w:type="pct"/>
            <w:vAlign w:val="center"/>
          </w:tcPr>
          <w:p>
            <w:pPr>
              <w:jc w:val="center"/>
              <w:rPr>
                <w:rFonts w:ascii="宋体" w:hAnsi="宋体" w:cs="宋体"/>
                <w:kern w:val="0"/>
                <w:sz w:val="21"/>
                <w:szCs w:val="21"/>
              </w:rPr>
            </w:pPr>
            <w:r>
              <w:rPr>
                <w:rFonts w:hint="eastAsia"/>
                <w:sz w:val="21"/>
                <w:szCs w:val="21"/>
              </w:rPr>
              <w:t>紫菜（干坛）</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60.0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50</w:t>
            </w:r>
          </w:p>
        </w:tc>
        <w:tc>
          <w:tcPr>
            <w:tcW w:w="785" w:type="pct"/>
            <w:vAlign w:val="center"/>
          </w:tcPr>
          <w:p>
            <w:pPr>
              <w:jc w:val="center"/>
              <w:rPr>
                <w:rFonts w:ascii="宋体" w:hAnsi="宋体" w:cs="宋体"/>
                <w:kern w:val="0"/>
                <w:sz w:val="21"/>
                <w:szCs w:val="21"/>
              </w:rPr>
            </w:pPr>
            <w:r>
              <w:rPr>
                <w:rFonts w:hint="eastAsia"/>
                <w:sz w:val="21"/>
                <w:szCs w:val="21"/>
              </w:rPr>
              <w:t>生粉</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7.0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51</w:t>
            </w:r>
          </w:p>
        </w:tc>
        <w:tc>
          <w:tcPr>
            <w:tcW w:w="785" w:type="pct"/>
            <w:vAlign w:val="center"/>
          </w:tcPr>
          <w:p>
            <w:pPr>
              <w:jc w:val="center"/>
              <w:rPr>
                <w:rFonts w:ascii="宋体" w:hAnsi="宋体" w:cs="宋体"/>
                <w:kern w:val="0"/>
                <w:sz w:val="21"/>
                <w:szCs w:val="21"/>
              </w:rPr>
            </w:pPr>
            <w:r>
              <w:rPr>
                <w:rFonts w:hint="eastAsia"/>
                <w:sz w:val="21"/>
                <w:szCs w:val="21"/>
              </w:rPr>
              <w:t>玉米淀粉</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52</w:t>
            </w:r>
          </w:p>
        </w:tc>
        <w:tc>
          <w:tcPr>
            <w:tcW w:w="785" w:type="pct"/>
            <w:vAlign w:val="center"/>
          </w:tcPr>
          <w:p>
            <w:pPr>
              <w:jc w:val="center"/>
              <w:rPr>
                <w:rFonts w:ascii="宋体" w:hAnsi="宋体" w:cs="宋体"/>
                <w:kern w:val="0"/>
                <w:sz w:val="21"/>
                <w:szCs w:val="21"/>
              </w:rPr>
            </w:pPr>
            <w:r>
              <w:rPr>
                <w:rFonts w:hint="eastAsia"/>
                <w:sz w:val="21"/>
                <w:szCs w:val="21"/>
              </w:rPr>
              <w:t>山芋粉丝</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3.8</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53</w:t>
            </w:r>
          </w:p>
        </w:tc>
        <w:tc>
          <w:tcPr>
            <w:tcW w:w="785" w:type="pct"/>
            <w:vAlign w:val="center"/>
          </w:tcPr>
          <w:p>
            <w:pPr>
              <w:jc w:val="center"/>
              <w:rPr>
                <w:rFonts w:ascii="宋体" w:hAnsi="宋体" w:cs="宋体"/>
                <w:kern w:val="0"/>
                <w:sz w:val="21"/>
                <w:szCs w:val="21"/>
              </w:rPr>
            </w:pPr>
            <w:r>
              <w:rPr>
                <w:rFonts w:hint="eastAsia"/>
                <w:sz w:val="21"/>
                <w:szCs w:val="21"/>
              </w:rPr>
              <w:t>龙口粉丝</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9.5</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54</w:t>
            </w:r>
          </w:p>
        </w:tc>
        <w:tc>
          <w:tcPr>
            <w:tcW w:w="785" w:type="pct"/>
            <w:vAlign w:val="center"/>
          </w:tcPr>
          <w:p>
            <w:pPr>
              <w:jc w:val="center"/>
              <w:rPr>
                <w:rFonts w:ascii="宋体" w:hAnsi="宋体" w:cs="宋体"/>
                <w:kern w:val="0"/>
                <w:sz w:val="21"/>
                <w:szCs w:val="21"/>
              </w:rPr>
            </w:pPr>
            <w:r>
              <w:rPr>
                <w:rFonts w:hint="eastAsia"/>
                <w:sz w:val="21"/>
                <w:szCs w:val="21"/>
              </w:rPr>
              <w:t>虾皮</w:t>
            </w:r>
          </w:p>
        </w:tc>
        <w:tc>
          <w:tcPr>
            <w:tcW w:w="702" w:type="pct"/>
          </w:tcPr>
          <w:p>
            <w:pPr>
              <w:jc w:val="center"/>
              <w:rPr>
                <w:rFonts w:ascii="宋体" w:hAnsi="宋体" w:cs="宋体"/>
                <w:sz w:val="21"/>
                <w:szCs w:val="21"/>
              </w:rPr>
            </w:pPr>
          </w:p>
        </w:tc>
        <w:tc>
          <w:tcPr>
            <w:tcW w:w="775" w:type="pct"/>
            <w:vAlign w:val="center"/>
          </w:tcPr>
          <w:p>
            <w:pPr>
              <w:jc w:val="center"/>
              <w:rPr>
                <w:rFonts w:ascii="宋体" w:hAnsi="宋体" w:cs="宋体"/>
                <w:sz w:val="21"/>
                <w:szCs w:val="21"/>
              </w:rPr>
            </w:pPr>
            <w:r>
              <w:rPr>
                <w:rFonts w:hint="eastAsia" w:ascii="宋体" w:hAnsi="宋体" w:cs="宋体"/>
                <w:sz w:val="21"/>
                <w:szCs w:val="21"/>
              </w:rPr>
              <w:t>24.0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55</w:t>
            </w:r>
          </w:p>
        </w:tc>
        <w:tc>
          <w:tcPr>
            <w:tcW w:w="785" w:type="pct"/>
            <w:vAlign w:val="center"/>
          </w:tcPr>
          <w:p>
            <w:pPr>
              <w:jc w:val="center"/>
              <w:rPr>
                <w:rFonts w:hint="eastAsia" w:eastAsiaTheme="minorEastAsia"/>
                <w:sz w:val="21"/>
                <w:szCs w:val="21"/>
                <w:lang w:val="en-US" w:eastAsia="zh-CN"/>
              </w:rPr>
            </w:pPr>
            <w:r>
              <w:rPr>
                <w:rFonts w:hint="eastAsia"/>
                <w:sz w:val="21"/>
                <w:szCs w:val="21"/>
                <w:lang w:val="en-US" w:eastAsia="zh-CN"/>
              </w:rPr>
              <w:t>吊干红枣</w:t>
            </w:r>
          </w:p>
        </w:tc>
        <w:tc>
          <w:tcPr>
            <w:tcW w:w="702" w:type="pct"/>
          </w:tcPr>
          <w:p>
            <w:pPr>
              <w:jc w:val="center"/>
              <w:rPr>
                <w:rFonts w:ascii="宋体" w:hAnsi="宋体" w:cs="宋体"/>
                <w:sz w:val="21"/>
                <w:szCs w:val="21"/>
              </w:rPr>
            </w:pPr>
          </w:p>
        </w:tc>
        <w:tc>
          <w:tcPr>
            <w:tcW w:w="775" w:type="pct"/>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10</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9" w:type="pct"/>
            <w:vAlign w:val="center"/>
          </w:tcPr>
          <w:p>
            <w:pPr>
              <w:widowControl/>
              <w:jc w:val="center"/>
              <w:textAlignment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56</w:t>
            </w:r>
          </w:p>
        </w:tc>
        <w:tc>
          <w:tcPr>
            <w:tcW w:w="785" w:type="pct"/>
            <w:vAlign w:val="center"/>
          </w:tcPr>
          <w:p>
            <w:pPr>
              <w:jc w:val="center"/>
              <w:rPr>
                <w:rFonts w:hint="default"/>
                <w:sz w:val="21"/>
                <w:szCs w:val="21"/>
                <w:lang w:val="en-US" w:eastAsia="zh-CN"/>
              </w:rPr>
            </w:pPr>
            <w:r>
              <w:rPr>
                <w:rFonts w:hint="eastAsia"/>
                <w:sz w:val="21"/>
                <w:szCs w:val="21"/>
                <w:lang w:val="en-US" w:eastAsia="zh-CN"/>
              </w:rPr>
              <w:t>干海带</w:t>
            </w:r>
          </w:p>
        </w:tc>
        <w:tc>
          <w:tcPr>
            <w:tcW w:w="702" w:type="pct"/>
          </w:tcPr>
          <w:p>
            <w:pPr>
              <w:jc w:val="center"/>
              <w:rPr>
                <w:rFonts w:ascii="宋体" w:hAnsi="宋体" w:cs="宋体"/>
                <w:sz w:val="21"/>
                <w:szCs w:val="21"/>
              </w:rPr>
            </w:pPr>
          </w:p>
        </w:tc>
        <w:tc>
          <w:tcPr>
            <w:tcW w:w="775" w:type="pct"/>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22</w:t>
            </w:r>
          </w:p>
        </w:tc>
        <w:tc>
          <w:tcPr>
            <w:tcW w:w="716" w:type="pct"/>
            <w:vAlign w:val="center"/>
          </w:tcPr>
          <w:p>
            <w:pPr>
              <w:widowControl/>
              <w:spacing w:before="100" w:beforeAutospacing="1" w:after="100" w:afterAutospacing="1"/>
              <w:jc w:val="center"/>
              <w:rPr>
                <w:rFonts w:cs="宋体" w:asciiTheme="minorEastAsia" w:hAnsiTheme="minorEastAsia"/>
                <w:sz w:val="21"/>
                <w:szCs w:val="21"/>
              </w:rPr>
            </w:pPr>
          </w:p>
        </w:tc>
        <w:tc>
          <w:tcPr>
            <w:tcW w:w="692" w:type="pct"/>
            <w:vAlign w:val="center"/>
          </w:tcPr>
          <w:p>
            <w:pPr>
              <w:widowControl/>
              <w:spacing w:before="100" w:beforeAutospacing="1" w:after="100" w:afterAutospacing="1"/>
              <w:jc w:val="center"/>
              <w:rPr>
                <w:rFonts w:cs="宋体" w:asciiTheme="minorEastAsia" w:hAnsiTheme="minorEastAsia"/>
                <w:sz w:val="21"/>
                <w:szCs w:val="21"/>
              </w:rPr>
            </w:pPr>
          </w:p>
        </w:tc>
        <w:tc>
          <w:tcPr>
            <w:tcW w:w="614" w:type="pct"/>
            <w:vAlign w:val="center"/>
          </w:tcPr>
          <w:p>
            <w:pPr>
              <w:widowControl/>
              <w:spacing w:before="100" w:beforeAutospacing="1" w:after="100" w:afterAutospacing="1"/>
              <w:jc w:val="center"/>
              <w:rPr>
                <w:rFonts w:cs="宋体" w:asciiTheme="minorEastAsia" w:hAnsiTheme="minorEastAsia"/>
                <w:sz w:val="21"/>
                <w:szCs w:val="21"/>
              </w:rPr>
            </w:pPr>
          </w:p>
        </w:tc>
        <w:tc>
          <w:tcPr>
            <w:tcW w:w="354"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144" w:type="pct"/>
            <w:gridSpan w:val="2"/>
            <w:vAlign w:val="center"/>
          </w:tcPr>
          <w:p>
            <w:pPr>
              <w:jc w:val="center"/>
              <w:rPr>
                <w:rFonts w:ascii="宋体" w:hAnsi="宋体" w:cs="宋体"/>
                <w:sz w:val="21"/>
                <w:szCs w:val="21"/>
              </w:rPr>
            </w:pPr>
            <w:r>
              <w:rPr>
                <w:rFonts w:hint="eastAsia" w:ascii="宋体" w:hAnsi="宋体" w:cs="宋体"/>
                <w:bCs/>
                <w:kern w:val="0"/>
                <w:sz w:val="21"/>
                <w:szCs w:val="21"/>
              </w:rPr>
              <w:t>平均折扣率</w:t>
            </w:r>
          </w:p>
        </w:tc>
        <w:tc>
          <w:tcPr>
            <w:tcW w:w="3855" w:type="pct"/>
            <w:gridSpan w:val="6"/>
          </w:tcPr>
          <w:p>
            <w:pPr>
              <w:widowControl/>
              <w:spacing w:before="100" w:beforeAutospacing="1" w:after="100" w:afterAutospacing="1"/>
              <w:jc w:val="center"/>
              <w:rPr>
                <w:rFonts w:cs="宋体" w:asciiTheme="minorEastAsia" w:hAnsiTheme="minorEastAsia"/>
                <w:sz w:val="21"/>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b/>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1、本公司承诺，干货调味品所有品目平均折扣率（保留小数点后两位）为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2、本公司承诺，干货调味品在全年服务期限内，根据采购文件提供的折扣率计算参考价*（1-所投品目平均折扣率），若计算价格低于所投报价，则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3、本公司承诺，入选产品厂家实际包装确无此《报价单》上的规格，按同比例测算采购报价。</w:t>
      </w:r>
    </w:p>
    <w:p>
      <w:pPr>
        <w:widowControl/>
        <w:spacing w:before="100" w:beforeAutospacing="1" w:after="100" w:afterAutospacing="1"/>
        <w:jc w:val="right"/>
        <w:rPr>
          <w:rFonts w:ascii="宋体" w:hAnsi="宋体" w:cs="宋体"/>
          <w:bCs/>
          <w:kern w:val="0"/>
          <w:sz w:val="24"/>
          <w:szCs w:val="24"/>
        </w:rPr>
      </w:pPr>
      <w:r>
        <w:rPr>
          <w:rFonts w:hint="eastAsia" w:ascii="宋体" w:hAnsi="宋体" w:cs="宋体"/>
          <w:bCs/>
          <w:kern w:val="0"/>
          <w:sz w:val="24"/>
          <w:szCs w:val="24"/>
        </w:rPr>
        <w:t>供应商单位（盖章）：</w:t>
      </w:r>
    </w:p>
    <w:p>
      <w:pPr>
        <w:widowControl/>
        <w:spacing w:before="100" w:beforeAutospacing="1" w:after="100" w:afterAutospacing="1"/>
        <w:jc w:val="right"/>
        <w:rPr>
          <w:rFonts w:cs="宋体" w:asciiTheme="minorEastAsia" w:hAnsiTheme="minorEastAsia"/>
          <w:kern w:val="0"/>
          <w:szCs w:val="21"/>
        </w:rPr>
      </w:pPr>
      <w:r>
        <w:rPr>
          <w:rFonts w:hint="eastAsia" w:ascii="宋体" w:hAnsi="宋体" w:cs="宋体"/>
          <w:bCs/>
          <w:kern w:val="0"/>
          <w:sz w:val="24"/>
          <w:szCs w:val="24"/>
        </w:rPr>
        <w:t>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rPr>
          <w:rFonts w:hint="default" w:ascii="宋体" w:hAnsi="宋体" w:cs="宋体"/>
          <w:bCs/>
          <w:kern w:val="0"/>
          <w:szCs w:val="21"/>
          <w:lang w:val="en-US" w:eastAsia="zh-CN"/>
        </w:rPr>
      </w:pPr>
      <w:r>
        <w:rPr>
          <w:rFonts w:hint="default" w:ascii="宋体" w:hAnsi="宋体" w:cs="宋体"/>
          <w:bCs/>
          <w:kern w:val="0"/>
          <w:szCs w:val="21"/>
          <w:lang w:val="en-US" w:eastAsia="zh-CN"/>
        </w:rPr>
        <w:br w:type="page"/>
      </w:r>
    </w:p>
    <w:p>
      <w:pPr>
        <w:rPr>
          <w:rFonts w:hint="eastAsia"/>
          <w:lang w:val="en-US" w:eastAsia="zh-CN"/>
        </w:rPr>
      </w:pPr>
      <w:r>
        <w:rPr>
          <w:rFonts w:hint="eastAsia"/>
          <w:b/>
          <w:bCs/>
          <w:sz w:val="28"/>
          <w:szCs w:val="28"/>
          <w:lang w:val="en-US" w:eastAsia="zh-CN"/>
        </w:rPr>
        <w:t xml:space="preserve">包三：面点、乳制品 </w:t>
      </w:r>
      <w:r>
        <w:rPr>
          <w:rFonts w:hint="eastAsia"/>
          <w:lang w:val="en-US" w:eastAsia="zh-CN"/>
        </w:rPr>
        <w:t xml:space="preserve">                           </w:t>
      </w:r>
    </w:p>
    <w:p>
      <w:pPr>
        <w:jc w:val="center"/>
        <w:rPr>
          <w:rFonts w:hint="eastAsia"/>
          <w:sz w:val="28"/>
          <w:szCs w:val="28"/>
          <w:highlight w:val="none"/>
          <w:lang w:val="en-US" w:eastAsia="zh-CN"/>
        </w:rPr>
      </w:pPr>
      <w:r>
        <w:rPr>
          <w:rFonts w:hint="eastAsia"/>
          <w:sz w:val="28"/>
          <w:szCs w:val="28"/>
          <w:highlight w:val="none"/>
          <w:lang w:val="en-US" w:eastAsia="zh-CN"/>
        </w:rPr>
        <w:t>面点、乳制品产品报价单</w:t>
      </w:r>
    </w:p>
    <w:p>
      <w:pPr>
        <w:jc w:val="center"/>
        <w:rPr>
          <w:rFonts w:hint="eastAsia" w:ascii="宋体" w:hAnsi="宋体" w:cs="宋体"/>
          <w:bCs/>
          <w:kern w:val="0"/>
          <w:szCs w:val="21"/>
          <w:highlight w:val="none"/>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strike w:val="0"/>
          <w:dstrike w:val="0"/>
          <w:kern w:val="0"/>
          <w:szCs w:val="21"/>
          <w:highlight w:val="none"/>
          <w:lang w:val="en-US" w:eastAsia="zh-CN"/>
        </w:rPr>
        <w:t xml:space="preserve">    单位500</w:t>
      </w:r>
      <w:r>
        <w:rPr>
          <w:rFonts w:hint="eastAsia" w:cs="宋体" w:asciiTheme="minorEastAsia" w:hAnsiTheme="minorEastAsia"/>
          <w:bCs/>
          <w:kern w:val="0"/>
          <w:sz w:val="21"/>
          <w:szCs w:val="21"/>
          <w:highlight w:val="none"/>
          <w:lang w:val="en-US" w:eastAsia="zh-CN"/>
        </w:rPr>
        <w:t>g、500ml</w:t>
      </w:r>
      <w:r>
        <w:rPr>
          <w:rFonts w:hint="eastAsia" w:ascii="宋体" w:hAnsi="宋体" w:cs="宋体"/>
          <w:bCs/>
          <w:kern w:val="0"/>
          <w:szCs w:val="21"/>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395"/>
        <w:gridCol w:w="815"/>
        <w:gridCol w:w="1400"/>
        <w:gridCol w:w="1240"/>
        <w:gridCol w:w="1240"/>
        <w:gridCol w:w="110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0" w:type="auto"/>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序号</w:t>
            </w:r>
          </w:p>
        </w:tc>
        <w:tc>
          <w:tcPr>
            <w:tcW w:w="1395" w:type="dxa"/>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品名</w:t>
            </w:r>
          </w:p>
        </w:tc>
        <w:tc>
          <w:tcPr>
            <w:tcW w:w="815" w:type="dxa"/>
            <w:vAlign w:val="center"/>
          </w:tcPr>
          <w:p>
            <w:pPr>
              <w:widowControl/>
              <w:jc w:val="center"/>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品牌</w:t>
            </w:r>
          </w:p>
        </w:tc>
        <w:tc>
          <w:tcPr>
            <w:tcW w:w="1400" w:type="dxa"/>
            <w:vAlign w:val="center"/>
          </w:tcPr>
          <w:p>
            <w:pPr>
              <w:widowControl/>
              <w:jc w:val="center"/>
              <w:rPr>
                <w:rFonts w:ascii="宋体" w:hAnsi="宋体" w:cs="宋体"/>
                <w:bCs/>
                <w:sz w:val="21"/>
                <w:szCs w:val="21"/>
                <w:highlight w:val="none"/>
              </w:rPr>
            </w:pPr>
            <w:r>
              <w:rPr>
                <w:rFonts w:hint="eastAsia" w:cs="宋体" w:asciiTheme="minorEastAsia" w:hAnsiTheme="minorEastAsia"/>
                <w:bCs/>
                <w:kern w:val="0"/>
                <w:sz w:val="21"/>
                <w:szCs w:val="21"/>
                <w:highlight w:val="none"/>
              </w:rPr>
              <w:t>折扣率计算参考价</w:t>
            </w:r>
            <w:r>
              <w:rPr>
                <w:rFonts w:hint="eastAsia" w:ascii="宋体" w:hAnsi="宋体" w:cs="宋体"/>
                <w:bCs/>
                <w:sz w:val="21"/>
                <w:szCs w:val="21"/>
                <w:highlight w:val="none"/>
              </w:rPr>
              <w:t>（元）</w:t>
            </w:r>
          </w:p>
        </w:tc>
        <w:tc>
          <w:tcPr>
            <w:tcW w:w="1240" w:type="dxa"/>
            <w:vAlign w:val="center"/>
          </w:tcPr>
          <w:p>
            <w:pPr>
              <w:jc w:val="center"/>
              <w:rPr>
                <w:rFonts w:ascii="宋体" w:hAnsi="宋体" w:cs="宋体"/>
                <w:bCs/>
                <w:sz w:val="21"/>
                <w:szCs w:val="21"/>
                <w:highlight w:val="none"/>
              </w:rPr>
            </w:pPr>
            <w:r>
              <w:rPr>
                <w:rFonts w:hint="eastAsia" w:ascii="宋体" w:hAnsi="宋体" w:cs="宋体"/>
                <w:bCs/>
                <w:sz w:val="21"/>
                <w:szCs w:val="21"/>
                <w:highlight w:val="none"/>
              </w:rPr>
              <w:t>采购报价（元）</w:t>
            </w:r>
          </w:p>
        </w:tc>
        <w:tc>
          <w:tcPr>
            <w:tcW w:w="1240" w:type="dxa"/>
            <w:vAlign w:val="center"/>
          </w:tcPr>
          <w:p>
            <w:pPr>
              <w:jc w:val="center"/>
              <w:rPr>
                <w:rFonts w:ascii="宋体" w:hAnsi="宋体" w:cs="宋体"/>
                <w:bCs/>
                <w:sz w:val="21"/>
                <w:szCs w:val="21"/>
                <w:highlight w:val="none"/>
              </w:rPr>
            </w:pPr>
            <w:r>
              <w:rPr>
                <w:rFonts w:hint="eastAsia" w:ascii="宋体" w:hAnsi="宋体" w:cs="宋体"/>
                <w:bCs/>
                <w:sz w:val="21"/>
                <w:szCs w:val="21"/>
                <w:highlight w:val="none"/>
              </w:rPr>
              <w:t>折扣率</w:t>
            </w:r>
          </w:p>
        </w:tc>
        <w:tc>
          <w:tcPr>
            <w:tcW w:w="1105" w:type="dxa"/>
            <w:vAlign w:val="center"/>
          </w:tcPr>
          <w:p>
            <w:pPr>
              <w:jc w:val="center"/>
              <w:rPr>
                <w:rFonts w:ascii="宋体" w:hAnsi="宋体" w:cs="宋体"/>
                <w:bCs/>
                <w:sz w:val="21"/>
                <w:szCs w:val="21"/>
                <w:highlight w:val="none"/>
              </w:rPr>
            </w:pPr>
            <w:r>
              <w:rPr>
                <w:rFonts w:hint="eastAsia" w:ascii="宋体" w:hAnsi="宋体" w:cs="宋体"/>
                <w:bCs/>
                <w:sz w:val="21"/>
                <w:szCs w:val="21"/>
                <w:highlight w:val="none"/>
              </w:rPr>
              <w:t>平均折扣率</w:t>
            </w:r>
          </w:p>
        </w:tc>
        <w:tc>
          <w:tcPr>
            <w:tcW w:w="730" w:type="dxa"/>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395" w:type="dxa"/>
            <w:vAlign w:val="center"/>
          </w:tcPr>
          <w:p>
            <w:pPr>
              <w:spacing w:line="300" w:lineRule="auto"/>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白糯小圆子</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eastAsiaTheme="minorEastAsia"/>
                <w:bCs/>
                <w:kern w:val="0"/>
                <w:sz w:val="21"/>
                <w:szCs w:val="21"/>
                <w:highlight w:val="none"/>
                <w:lang w:val="en-US" w:eastAsia="zh-CN" w:bidi="ar-SA"/>
              </w:rPr>
            </w:pPr>
            <w:r>
              <w:rPr>
                <w:rFonts w:hint="eastAsia" w:cs="宋体" w:asciiTheme="minorEastAsia" w:hAnsiTheme="minorEastAsia"/>
                <w:bCs/>
                <w:kern w:val="0"/>
                <w:sz w:val="21"/>
                <w:szCs w:val="21"/>
                <w:highlight w:val="none"/>
                <w:lang w:val="en-US" w:eastAsia="zh-CN" w:bidi="ar-SA"/>
              </w:rPr>
              <w:t>9</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restart"/>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杂粮蔬菜面疙瘩</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bCs/>
                <w:kern w:val="0"/>
                <w:sz w:val="21"/>
                <w:szCs w:val="21"/>
                <w:highlight w:val="none"/>
                <w:lang w:val="en-US" w:eastAsia="zh-CN" w:bidi="ar-SA"/>
              </w:rPr>
            </w:pPr>
            <w:r>
              <w:rPr>
                <w:rFonts w:hint="eastAsia" w:cs="宋体" w:asciiTheme="minorEastAsia" w:hAnsiTheme="minorEastAsia"/>
                <w:bCs/>
                <w:kern w:val="0"/>
                <w:sz w:val="21"/>
                <w:szCs w:val="21"/>
                <w:highlight w:val="none"/>
                <w:lang w:val="en-US" w:eastAsia="zh-CN" w:bidi="ar-SA"/>
              </w:rPr>
              <w:t>16</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切片年糕</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bCs/>
                <w:kern w:val="0"/>
                <w:sz w:val="21"/>
                <w:szCs w:val="21"/>
                <w:highlight w:val="none"/>
                <w:lang w:val="en-US" w:eastAsia="zh-CN" w:bidi="ar-SA"/>
              </w:rPr>
            </w:pPr>
            <w:r>
              <w:rPr>
                <w:rFonts w:hint="eastAsia" w:cs="宋体" w:asciiTheme="minorEastAsia" w:hAnsiTheme="minorEastAsia"/>
                <w:bCs/>
                <w:kern w:val="0"/>
                <w:sz w:val="21"/>
                <w:szCs w:val="21"/>
                <w:highlight w:val="none"/>
                <w:lang w:val="en-US" w:eastAsia="zh-CN" w:bidi="ar-SA"/>
              </w:rPr>
              <w:t>5.6</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395" w:type="dxa"/>
            <w:vAlign w:val="center"/>
          </w:tcPr>
          <w:p>
            <w:pPr>
              <w:spacing w:line="300" w:lineRule="auto"/>
              <w:jc w:val="center"/>
              <w:rPr>
                <w:rFonts w:hint="eastAsia" w:ascii="宋体" w:hAnsi="宋体" w:eastAsia="宋体" w:cs="Times New Roman"/>
                <w:kern w:val="0"/>
                <w:sz w:val="21"/>
                <w:szCs w:val="21"/>
                <w:highlight w:val="none"/>
                <w:lang w:val="en-US" w:eastAsia="zh-CN" w:bidi="ar-SA"/>
              </w:rPr>
            </w:pPr>
            <w:r>
              <w:rPr>
                <w:rFonts w:hint="eastAsia" w:ascii="宋体" w:hAnsi="宋体"/>
                <w:kern w:val="0"/>
                <w:sz w:val="21"/>
                <w:szCs w:val="21"/>
                <w:highlight w:val="none"/>
                <w:lang w:val="en-US" w:eastAsia="zh-CN"/>
              </w:rPr>
              <w:t>肉</w:t>
            </w:r>
            <w:r>
              <w:rPr>
                <w:rFonts w:hint="eastAsia" w:ascii="宋体" w:hAnsi="宋体"/>
                <w:kern w:val="0"/>
                <w:sz w:val="21"/>
                <w:szCs w:val="21"/>
                <w:highlight w:val="none"/>
              </w:rPr>
              <w:t>包子</w:t>
            </w:r>
          </w:p>
        </w:tc>
        <w:tc>
          <w:tcPr>
            <w:tcW w:w="815" w:type="dxa"/>
            <w:vAlign w:val="top"/>
          </w:tcPr>
          <w:p>
            <w:pPr>
              <w:jc w:val="center"/>
              <w:rPr>
                <w:rFonts w:ascii="宋体" w:hAnsi="宋体" w:cs="宋体" w:eastAsiaTheme="minorEastAsia"/>
                <w:kern w:val="2"/>
                <w:sz w:val="21"/>
                <w:szCs w:val="21"/>
                <w:highlight w:val="none"/>
                <w:lang w:val="en-US" w:eastAsia="zh-CN" w:bidi="ar-SA"/>
              </w:rPr>
            </w:pPr>
          </w:p>
        </w:tc>
        <w:tc>
          <w:tcPr>
            <w:tcW w:w="1400" w:type="dxa"/>
            <w:vAlign w:val="center"/>
          </w:tcPr>
          <w:p>
            <w:pPr>
              <w:widowControl/>
              <w:jc w:val="center"/>
              <w:rPr>
                <w:rFonts w:hint="eastAsia" w:cs="宋体" w:asciiTheme="minorEastAsia" w:hAnsiTheme="minorEastAsia" w:eastAsiaTheme="minorEastAsia"/>
                <w:bCs/>
                <w:kern w:val="0"/>
                <w:sz w:val="21"/>
                <w:szCs w:val="21"/>
                <w:highlight w:val="none"/>
                <w:lang w:val="en-US" w:eastAsia="zh-CN" w:bidi="ar-SA"/>
              </w:rPr>
            </w:pPr>
            <w:r>
              <w:rPr>
                <w:rFonts w:hint="eastAsia" w:cs="宋体" w:asciiTheme="minorEastAsia" w:hAnsiTheme="minorEastAsia"/>
                <w:sz w:val="21"/>
                <w:szCs w:val="21"/>
                <w:highlight w:val="none"/>
                <w:lang w:val="en-US" w:eastAsia="zh-CN"/>
              </w:rPr>
              <w:t>15.5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395" w:type="dxa"/>
            <w:vAlign w:val="center"/>
          </w:tcPr>
          <w:p>
            <w:pPr>
              <w:spacing w:line="300" w:lineRule="auto"/>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 w:val="21"/>
                <w:szCs w:val="21"/>
                <w:highlight w:val="none"/>
                <w:lang w:val="en-US" w:eastAsia="zh-CN"/>
              </w:rPr>
              <w:t>菜包子</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eastAsiaTheme="minorEastAsia"/>
                <w:bCs/>
                <w:kern w:val="0"/>
                <w:sz w:val="21"/>
                <w:szCs w:val="21"/>
                <w:highlight w:val="none"/>
                <w:lang w:val="en-US" w:eastAsia="zh-CN" w:bidi="ar-SA"/>
              </w:rPr>
            </w:pPr>
            <w:r>
              <w:rPr>
                <w:rFonts w:hint="eastAsia" w:cs="宋体" w:asciiTheme="minorEastAsia" w:hAnsiTheme="minorEastAsia"/>
                <w:sz w:val="21"/>
                <w:szCs w:val="21"/>
                <w:highlight w:val="none"/>
                <w:lang w:val="en-US" w:eastAsia="zh-CN"/>
              </w:rPr>
              <w:t>17</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1395" w:type="dxa"/>
            <w:vAlign w:val="center"/>
          </w:tcPr>
          <w:p>
            <w:pPr>
              <w:spacing w:line="300" w:lineRule="auto"/>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烧麦</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15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广式叉烧大包</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18</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豆沙包</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9.5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1395" w:type="dxa"/>
            <w:vAlign w:val="center"/>
          </w:tcPr>
          <w:p>
            <w:pPr>
              <w:spacing w:line="30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奶黄包</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7.5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1395" w:type="dxa"/>
            <w:vAlign w:val="center"/>
          </w:tcPr>
          <w:p>
            <w:pPr>
              <w:spacing w:line="30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猪猪包</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37.5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11</w:t>
            </w:r>
          </w:p>
        </w:tc>
        <w:tc>
          <w:tcPr>
            <w:tcW w:w="1395" w:type="dxa"/>
            <w:vAlign w:val="center"/>
          </w:tcPr>
          <w:p>
            <w:pPr>
              <w:spacing w:line="30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红糖馒头</w:t>
            </w:r>
          </w:p>
        </w:tc>
        <w:tc>
          <w:tcPr>
            <w:tcW w:w="815" w:type="dxa"/>
          </w:tcPr>
          <w:p>
            <w:pPr>
              <w:jc w:val="center"/>
              <w:rPr>
                <w:rFonts w:ascii="宋体" w:hAnsi="宋体" w:cs="宋体"/>
                <w:color w:val="0000FF"/>
                <w:sz w:val="21"/>
                <w:szCs w:val="21"/>
                <w:highlight w:val="none"/>
              </w:rPr>
            </w:pPr>
          </w:p>
        </w:tc>
        <w:tc>
          <w:tcPr>
            <w:tcW w:w="1400" w:type="dxa"/>
            <w:vAlign w:val="center"/>
          </w:tcPr>
          <w:p>
            <w:pPr>
              <w:widowControl/>
              <w:jc w:val="center"/>
              <w:rPr>
                <w:rFonts w:hint="default" w:cs="宋体" w:asciiTheme="minorEastAsia" w:hAnsiTheme="minorEastAsia"/>
                <w:color w:val="0000FF"/>
                <w:sz w:val="21"/>
                <w:szCs w:val="21"/>
                <w:highlight w:val="none"/>
                <w:lang w:val="en-US" w:eastAsia="zh-CN"/>
              </w:rPr>
            </w:pPr>
            <w:r>
              <w:rPr>
                <w:rFonts w:hint="eastAsia" w:cs="宋体" w:asciiTheme="minorEastAsia" w:hAnsiTheme="minorEastAsia"/>
                <w:color w:val="0000FF"/>
                <w:sz w:val="21"/>
                <w:szCs w:val="21"/>
                <w:highlight w:val="none"/>
                <w:lang w:val="en-US" w:eastAsia="zh-CN"/>
              </w:rPr>
              <w:t>13.5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12</w:t>
            </w:r>
          </w:p>
        </w:tc>
        <w:tc>
          <w:tcPr>
            <w:tcW w:w="1395" w:type="dxa"/>
            <w:vAlign w:val="center"/>
          </w:tcPr>
          <w:p>
            <w:pPr>
              <w:spacing w:line="300" w:lineRule="auto"/>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汤包</w:t>
            </w:r>
          </w:p>
        </w:tc>
        <w:tc>
          <w:tcPr>
            <w:tcW w:w="815" w:type="dxa"/>
          </w:tcPr>
          <w:p>
            <w:pPr>
              <w:jc w:val="center"/>
              <w:rPr>
                <w:rFonts w:ascii="宋体" w:hAnsi="宋体" w:cs="宋体"/>
                <w:color w:val="0000FF"/>
                <w:sz w:val="21"/>
                <w:szCs w:val="21"/>
                <w:highlight w:val="none"/>
              </w:rPr>
            </w:pPr>
          </w:p>
        </w:tc>
        <w:tc>
          <w:tcPr>
            <w:tcW w:w="1400" w:type="dxa"/>
            <w:vAlign w:val="center"/>
          </w:tcPr>
          <w:p>
            <w:pPr>
              <w:widowControl/>
              <w:jc w:val="center"/>
              <w:rPr>
                <w:rFonts w:hint="default" w:cs="宋体" w:asciiTheme="minorEastAsia" w:hAnsiTheme="minorEastAsia"/>
                <w:color w:val="0000FF"/>
                <w:sz w:val="21"/>
                <w:szCs w:val="21"/>
                <w:highlight w:val="none"/>
                <w:lang w:val="en-US" w:eastAsia="zh-CN"/>
              </w:rPr>
            </w:pPr>
            <w:r>
              <w:rPr>
                <w:rFonts w:hint="eastAsia" w:cs="宋体" w:asciiTheme="minorEastAsia" w:hAnsiTheme="minorEastAsia"/>
                <w:color w:val="0000FF"/>
                <w:sz w:val="21"/>
                <w:szCs w:val="21"/>
                <w:highlight w:val="none"/>
                <w:lang w:val="en-US" w:eastAsia="zh-CN"/>
              </w:rPr>
              <w:t>19.5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1395" w:type="dxa"/>
            <w:vAlign w:val="center"/>
          </w:tcPr>
          <w:p>
            <w:pPr>
              <w:spacing w:line="300" w:lineRule="auto"/>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馒头</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11</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1395" w:type="dxa"/>
            <w:vAlign w:val="center"/>
          </w:tcPr>
          <w:p>
            <w:pPr>
              <w:spacing w:line="300" w:lineRule="auto"/>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花卷</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12</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1395" w:type="dxa"/>
            <w:vAlign w:val="center"/>
          </w:tcPr>
          <w:p>
            <w:pPr>
              <w:spacing w:line="300" w:lineRule="auto"/>
              <w:jc w:val="center"/>
              <w:rPr>
                <w:rFonts w:hint="eastAsia" w:ascii="宋体" w:hAnsi="宋体" w:cs="宋体"/>
                <w:kern w:val="0"/>
                <w:sz w:val="21"/>
                <w:szCs w:val="21"/>
                <w:lang w:val="en-US" w:eastAsia="zh-CN"/>
              </w:rPr>
            </w:pPr>
            <w:r>
              <w:rPr>
                <w:rFonts w:hint="eastAsia" w:cs="宋体" w:asciiTheme="minorEastAsia" w:hAnsiTheme="minorEastAsia"/>
                <w:sz w:val="21"/>
                <w:szCs w:val="21"/>
                <w:highlight w:val="none"/>
                <w:lang w:val="en-US" w:eastAsia="zh-CN"/>
              </w:rPr>
              <w:t>手抓饼</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12</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1395" w:type="dxa"/>
            <w:vAlign w:val="center"/>
          </w:tcPr>
          <w:p>
            <w:pPr>
              <w:spacing w:line="300" w:lineRule="auto"/>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馄饨</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17.5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1395" w:type="dxa"/>
            <w:vAlign w:val="center"/>
          </w:tcPr>
          <w:p>
            <w:pPr>
              <w:spacing w:line="300" w:lineRule="auto"/>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鲜面</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7.5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1395" w:type="dxa"/>
            <w:vAlign w:val="center"/>
          </w:tcPr>
          <w:p>
            <w:pPr>
              <w:spacing w:line="300" w:lineRule="auto"/>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鸡蛋挂面</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7.7</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1395" w:type="dxa"/>
            <w:vAlign w:val="center"/>
          </w:tcPr>
          <w:p>
            <w:pPr>
              <w:spacing w:line="300" w:lineRule="auto"/>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刀削面</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sz w:val="21"/>
                <w:szCs w:val="21"/>
                <w:highlight w:val="none"/>
                <w:lang w:val="en-US" w:eastAsia="zh-CN"/>
              </w:rPr>
            </w:pPr>
            <w:r>
              <w:rPr>
                <w:rFonts w:hint="eastAsia" w:cs="宋体" w:asciiTheme="minorEastAsia" w:hAnsiTheme="minorEastAsia"/>
                <w:sz w:val="21"/>
                <w:szCs w:val="21"/>
                <w:highlight w:val="none"/>
                <w:lang w:val="en-US" w:eastAsia="zh-CN"/>
              </w:rPr>
              <w:t>6.5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20</w:t>
            </w:r>
          </w:p>
        </w:tc>
        <w:tc>
          <w:tcPr>
            <w:tcW w:w="1395" w:type="dxa"/>
            <w:vAlign w:val="center"/>
          </w:tcPr>
          <w:p>
            <w:pPr>
              <w:spacing w:line="300" w:lineRule="auto"/>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水饺</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eastAsiaTheme="minorEastAsia"/>
                <w:bCs/>
                <w:kern w:val="0"/>
                <w:sz w:val="21"/>
                <w:szCs w:val="21"/>
                <w:highlight w:val="none"/>
                <w:lang w:val="en-US" w:eastAsia="zh-CN" w:bidi="ar-SA"/>
              </w:rPr>
            </w:pPr>
            <w:r>
              <w:rPr>
                <w:rFonts w:hint="eastAsia" w:cs="宋体" w:asciiTheme="minorEastAsia" w:hAnsiTheme="minorEastAsia"/>
                <w:bCs/>
                <w:kern w:val="0"/>
                <w:sz w:val="21"/>
                <w:szCs w:val="21"/>
                <w:highlight w:val="none"/>
                <w:lang w:val="en-US" w:eastAsia="zh-CN"/>
              </w:rPr>
              <w:t>13.5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21</w:t>
            </w:r>
          </w:p>
        </w:tc>
        <w:tc>
          <w:tcPr>
            <w:tcW w:w="1395" w:type="dxa"/>
            <w:vAlign w:val="center"/>
          </w:tcPr>
          <w:p>
            <w:pPr>
              <w:spacing w:line="300" w:lineRule="auto"/>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油条</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eastAsiaTheme="minorEastAsia"/>
                <w:bCs/>
                <w:kern w:val="0"/>
                <w:sz w:val="21"/>
                <w:szCs w:val="21"/>
                <w:highlight w:val="none"/>
                <w:lang w:val="en-US" w:eastAsia="zh-CN" w:bidi="ar-SA"/>
              </w:rPr>
            </w:pPr>
            <w:r>
              <w:rPr>
                <w:rFonts w:hint="eastAsia" w:cs="宋体" w:asciiTheme="minorEastAsia" w:hAnsiTheme="minorEastAsia"/>
                <w:bCs/>
                <w:kern w:val="0"/>
                <w:sz w:val="21"/>
                <w:szCs w:val="21"/>
                <w:highlight w:val="none"/>
                <w:lang w:val="en-US" w:eastAsia="zh-CN"/>
              </w:rPr>
              <w:t>15</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22</w:t>
            </w:r>
          </w:p>
        </w:tc>
        <w:tc>
          <w:tcPr>
            <w:tcW w:w="1395" w:type="dxa"/>
            <w:vAlign w:val="center"/>
          </w:tcPr>
          <w:p>
            <w:pPr>
              <w:spacing w:line="300" w:lineRule="auto"/>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麻团</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eastAsiaTheme="minorEastAsia"/>
                <w:bCs/>
                <w:kern w:val="0"/>
                <w:sz w:val="21"/>
                <w:szCs w:val="21"/>
                <w:highlight w:val="none"/>
                <w:lang w:val="en-US" w:eastAsia="zh-CN" w:bidi="ar-SA"/>
              </w:rPr>
            </w:pPr>
            <w:r>
              <w:rPr>
                <w:rFonts w:hint="eastAsia" w:cs="宋体" w:asciiTheme="minorEastAsia" w:hAnsiTheme="minorEastAsia"/>
                <w:bCs/>
                <w:kern w:val="0"/>
                <w:sz w:val="21"/>
                <w:szCs w:val="21"/>
                <w:highlight w:val="none"/>
                <w:lang w:val="en-US" w:eastAsia="zh-CN"/>
              </w:rPr>
              <w:t>18</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23</w:t>
            </w:r>
          </w:p>
        </w:tc>
        <w:tc>
          <w:tcPr>
            <w:tcW w:w="1395" w:type="dxa"/>
            <w:vAlign w:val="center"/>
          </w:tcPr>
          <w:p>
            <w:pPr>
              <w:spacing w:line="300" w:lineRule="auto"/>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rPr>
              <w:t>发糕</w:t>
            </w:r>
          </w:p>
        </w:tc>
        <w:tc>
          <w:tcPr>
            <w:tcW w:w="815" w:type="dxa"/>
          </w:tcPr>
          <w:p>
            <w:pPr>
              <w:jc w:val="center"/>
              <w:rPr>
                <w:rFonts w:ascii="宋体" w:hAnsi="宋体" w:cs="宋体"/>
                <w:sz w:val="21"/>
                <w:szCs w:val="21"/>
                <w:highlight w:val="none"/>
              </w:rPr>
            </w:pPr>
          </w:p>
        </w:tc>
        <w:tc>
          <w:tcPr>
            <w:tcW w:w="1400" w:type="dxa"/>
            <w:vAlign w:val="center"/>
          </w:tcPr>
          <w:p>
            <w:pPr>
              <w:widowControl/>
              <w:jc w:val="center"/>
              <w:rPr>
                <w:rFonts w:hint="default" w:cs="宋体" w:asciiTheme="minorEastAsia" w:hAnsiTheme="minorEastAsia" w:eastAsiaTheme="minorEastAsia"/>
                <w:bCs/>
                <w:kern w:val="0"/>
                <w:sz w:val="21"/>
                <w:szCs w:val="21"/>
                <w:highlight w:val="none"/>
                <w:lang w:val="en-US" w:eastAsia="zh-CN" w:bidi="ar-SA"/>
              </w:rPr>
            </w:pPr>
            <w:r>
              <w:rPr>
                <w:rFonts w:hint="eastAsia" w:cs="宋体" w:asciiTheme="minorEastAsia" w:hAnsiTheme="minorEastAsia"/>
                <w:bCs/>
                <w:kern w:val="0"/>
                <w:sz w:val="21"/>
                <w:szCs w:val="21"/>
                <w:highlight w:val="none"/>
                <w:lang w:val="en-US" w:eastAsia="zh-CN"/>
              </w:rPr>
              <w:t>12</w:t>
            </w: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240" w:type="dxa"/>
            <w:vAlign w:val="center"/>
          </w:tcPr>
          <w:p>
            <w:pPr>
              <w:spacing w:before="100" w:beforeAutospacing="1" w:after="100" w:afterAutospacing="1"/>
              <w:jc w:val="center"/>
              <w:rPr>
                <w:rFonts w:cs="宋体" w:asciiTheme="minorEastAsia" w:hAnsiTheme="minorEastAsia"/>
                <w:sz w:val="21"/>
                <w:szCs w:val="21"/>
                <w:highlight w:val="none"/>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highlight w:val="none"/>
              </w:rPr>
            </w:pPr>
          </w:p>
        </w:tc>
        <w:tc>
          <w:tcPr>
            <w:tcW w:w="730" w:type="dxa"/>
            <w:vAlign w:val="center"/>
          </w:tcPr>
          <w:p>
            <w:pPr>
              <w:widowControl/>
              <w:spacing w:before="100" w:beforeAutospacing="1" w:after="100" w:afterAutospacing="1"/>
              <w:jc w:val="center"/>
              <w:rPr>
                <w:rFonts w:cs="宋体" w:asciiTheme="minorEastAsia"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24</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绿豆糕</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25</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桂花糕</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15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26</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粽子</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24.5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27</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月饼</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20</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28</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吐司</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12</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29</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餐包</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22.5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30</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菠萝包</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31</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31</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红豆包</w:t>
            </w:r>
          </w:p>
        </w:tc>
        <w:tc>
          <w:tcPr>
            <w:tcW w:w="815" w:type="dxa"/>
          </w:tcPr>
          <w:p>
            <w:pPr>
              <w:jc w:val="center"/>
              <w:rPr>
                <w:rFonts w:ascii="宋体" w:hAnsi="宋体" w:cs="宋体"/>
                <w:sz w:val="21"/>
                <w:szCs w:val="21"/>
              </w:rPr>
            </w:pPr>
          </w:p>
        </w:tc>
        <w:tc>
          <w:tcPr>
            <w:tcW w:w="1400" w:type="dxa"/>
            <w:vAlign w:val="center"/>
          </w:tcPr>
          <w:p>
            <w:pPr>
              <w:widowControl/>
              <w:jc w:val="center"/>
              <w:rPr>
                <w:rFonts w:hint="eastAsia"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27</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32</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毛毛虫面包</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22.8</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33</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甜甜圈</w:t>
            </w:r>
          </w:p>
        </w:tc>
        <w:tc>
          <w:tcPr>
            <w:tcW w:w="815" w:type="dxa"/>
          </w:tcPr>
          <w:p>
            <w:pPr>
              <w:jc w:val="center"/>
              <w:rPr>
                <w:rFonts w:ascii="宋体" w:hAnsi="宋体" w:cs="宋体"/>
                <w:sz w:val="21"/>
                <w:szCs w:val="21"/>
              </w:rPr>
            </w:pPr>
          </w:p>
        </w:tc>
        <w:tc>
          <w:tcPr>
            <w:tcW w:w="1400" w:type="dxa"/>
            <w:vAlign w:val="center"/>
          </w:tcPr>
          <w:p>
            <w:pPr>
              <w:widowControl/>
              <w:jc w:val="center"/>
              <w:rPr>
                <w:rFonts w:hint="eastAsia"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45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34</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桃酥</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17.6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35</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麻花</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17</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36</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法式小面包</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10</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37</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瑞士卷</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22.6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38</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铜锣烧</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30</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39</w:t>
            </w:r>
          </w:p>
        </w:tc>
        <w:tc>
          <w:tcPr>
            <w:tcW w:w="1395" w:type="dxa"/>
            <w:vAlign w:val="center"/>
          </w:tcPr>
          <w:p>
            <w:pPr>
              <w:widowControl/>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雪饼</w:t>
            </w:r>
          </w:p>
        </w:tc>
        <w:tc>
          <w:tcPr>
            <w:tcW w:w="815" w:type="dxa"/>
            <w:vAlign w:val="top"/>
          </w:tcPr>
          <w:p>
            <w:pPr>
              <w:jc w:val="center"/>
              <w:rPr>
                <w:rFonts w:ascii="宋体" w:hAnsi="宋体" w:cs="宋体" w:eastAsiaTheme="minorEastAsia"/>
                <w:kern w:val="2"/>
                <w:sz w:val="21"/>
                <w:szCs w:val="21"/>
                <w:lang w:val="en-US" w:eastAsia="zh-CN" w:bidi="ar-SA"/>
              </w:rPr>
            </w:pPr>
          </w:p>
        </w:tc>
        <w:tc>
          <w:tcPr>
            <w:tcW w:w="1400" w:type="dxa"/>
            <w:vAlign w:val="center"/>
          </w:tcPr>
          <w:p>
            <w:pPr>
              <w:widowControl/>
              <w:jc w:val="center"/>
              <w:rPr>
                <w:rFonts w:hint="eastAsia"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28.6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40</w:t>
            </w:r>
          </w:p>
        </w:tc>
        <w:tc>
          <w:tcPr>
            <w:tcW w:w="1395" w:type="dxa"/>
            <w:vAlign w:val="center"/>
          </w:tcPr>
          <w:p>
            <w:pPr>
              <w:spacing w:line="300" w:lineRule="auto"/>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 w:val="21"/>
                <w:szCs w:val="21"/>
                <w:lang w:val="en-US" w:eastAsia="zh-CN"/>
              </w:rPr>
              <w:t>沙琪玛</w:t>
            </w:r>
          </w:p>
        </w:tc>
        <w:tc>
          <w:tcPr>
            <w:tcW w:w="815" w:type="dxa"/>
            <w:vAlign w:val="top"/>
          </w:tcPr>
          <w:p>
            <w:pPr>
              <w:jc w:val="center"/>
              <w:rPr>
                <w:rFonts w:ascii="宋体" w:hAnsi="宋体" w:cs="宋体" w:eastAsiaTheme="minorEastAsia"/>
                <w:color w:val="0000FF"/>
                <w:kern w:val="2"/>
                <w:sz w:val="21"/>
                <w:szCs w:val="21"/>
                <w:highlight w:val="none"/>
                <w:lang w:val="en-US" w:eastAsia="zh-CN" w:bidi="ar-SA"/>
              </w:rPr>
            </w:pPr>
          </w:p>
        </w:tc>
        <w:tc>
          <w:tcPr>
            <w:tcW w:w="1400" w:type="dxa"/>
            <w:vAlign w:val="center"/>
          </w:tcPr>
          <w:p>
            <w:pPr>
              <w:widowControl/>
              <w:jc w:val="center"/>
              <w:rPr>
                <w:rFonts w:hint="eastAsia" w:cs="宋体" w:asciiTheme="minorEastAsia" w:hAnsiTheme="minorEastAsia" w:eastAsiaTheme="minorEastAsia"/>
                <w:color w:val="0000FF"/>
                <w:kern w:val="2"/>
                <w:sz w:val="21"/>
                <w:szCs w:val="21"/>
                <w:highlight w:val="none"/>
                <w:lang w:val="en-US" w:eastAsia="zh-CN" w:bidi="ar-SA"/>
              </w:rPr>
            </w:pPr>
            <w:r>
              <w:rPr>
                <w:rFonts w:hint="eastAsia" w:cs="宋体" w:asciiTheme="minorEastAsia" w:hAnsiTheme="minorEastAsia"/>
                <w:color w:val="0000FF"/>
                <w:sz w:val="21"/>
                <w:szCs w:val="21"/>
                <w:highlight w:val="none"/>
                <w:lang w:val="en-US" w:eastAsia="zh-CN"/>
              </w:rPr>
              <w:t>21.2</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41</w:t>
            </w:r>
          </w:p>
        </w:tc>
        <w:tc>
          <w:tcPr>
            <w:tcW w:w="1395" w:type="dxa"/>
            <w:vAlign w:val="center"/>
          </w:tcPr>
          <w:p>
            <w:pPr>
              <w:spacing w:line="300" w:lineRule="auto"/>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 w:val="21"/>
                <w:szCs w:val="21"/>
                <w:lang w:val="en-US" w:eastAsia="zh-CN"/>
              </w:rPr>
              <w:t>肉松面包</w:t>
            </w:r>
          </w:p>
        </w:tc>
        <w:tc>
          <w:tcPr>
            <w:tcW w:w="815" w:type="dxa"/>
            <w:vAlign w:val="top"/>
          </w:tcPr>
          <w:p>
            <w:pPr>
              <w:jc w:val="center"/>
              <w:rPr>
                <w:rFonts w:ascii="宋体" w:hAnsi="宋体" w:cs="宋体" w:eastAsiaTheme="minorEastAsia"/>
                <w:color w:val="0000FF"/>
                <w:kern w:val="2"/>
                <w:sz w:val="21"/>
                <w:szCs w:val="21"/>
                <w:highlight w:val="none"/>
                <w:lang w:val="en-US" w:eastAsia="zh-CN" w:bidi="ar-SA"/>
              </w:rPr>
            </w:pPr>
          </w:p>
        </w:tc>
        <w:tc>
          <w:tcPr>
            <w:tcW w:w="1400" w:type="dxa"/>
            <w:vAlign w:val="center"/>
          </w:tcPr>
          <w:p>
            <w:pPr>
              <w:widowControl/>
              <w:jc w:val="center"/>
              <w:rPr>
                <w:rFonts w:hint="eastAsia" w:cs="宋体" w:asciiTheme="minorEastAsia" w:hAnsiTheme="minorEastAsia" w:eastAsiaTheme="minorEastAsia"/>
                <w:color w:val="0000FF"/>
                <w:kern w:val="2"/>
                <w:sz w:val="21"/>
                <w:szCs w:val="21"/>
                <w:highlight w:val="none"/>
                <w:lang w:val="en-US" w:eastAsia="zh-CN" w:bidi="ar-SA"/>
              </w:rPr>
            </w:pPr>
            <w:r>
              <w:rPr>
                <w:rFonts w:hint="eastAsia" w:cs="宋体" w:asciiTheme="minorEastAsia" w:hAnsiTheme="minorEastAsia"/>
                <w:color w:val="0000FF"/>
                <w:sz w:val="21"/>
                <w:szCs w:val="21"/>
                <w:highlight w:val="none"/>
                <w:lang w:val="en-US" w:eastAsia="zh-CN"/>
              </w:rPr>
              <w:t>19.2</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42</w:t>
            </w:r>
          </w:p>
        </w:tc>
        <w:tc>
          <w:tcPr>
            <w:tcW w:w="1395" w:type="dxa"/>
            <w:vAlign w:val="center"/>
          </w:tcPr>
          <w:p>
            <w:pPr>
              <w:spacing w:line="300" w:lineRule="auto"/>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 w:val="21"/>
                <w:szCs w:val="21"/>
                <w:lang w:val="en-US" w:eastAsia="zh-CN"/>
              </w:rPr>
              <w:t>趣多多</w:t>
            </w:r>
          </w:p>
        </w:tc>
        <w:tc>
          <w:tcPr>
            <w:tcW w:w="815" w:type="dxa"/>
            <w:vAlign w:val="top"/>
          </w:tcPr>
          <w:p>
            <w:pPr>
              <w:jc w:val="center"/>
              <w:rPr>
                <w:rFonts w:ascii="宋体" w:hAnsi="宋体" w:cs="宋体" w:eastAsiaTheme="minorEastAsia"/>
                <w:color w:val="0000FF"/>
                <w:kern w:val="2"/>
                <w:sz w:val="21"/>
                <w:szCs w:val="21"/>
                <w:highlight w:val="none"/>
                <w:lang w:val="en-US" w:eastAsia="zh-CN" w:bidi="ar-SA"/>
              </w:rPr>
            </w:pPr>
          </w:p>
        </w:tc>
        <w:tc>
          <w:tcPr>
            <w:tcW w:w="1400" w:type="dxa"/>
            <w:vAlign w:val="center"/>
          </w:tcPr>
          <w:p>
            <w:pPr>
              <w:widowControl/>
              <w:jc w:val="center"/>
              <w:rPr>
                <w:rFonts w:hint="eastAsia" w:cs="宋体" w:asciiTheme="minorEastAsia" w:hAnsiTheme="minorEastAsia" w:eastAsiaTheme="minorEastAsia"/>
                <w:color w:val="0000FF"/>
                <w:kern w:val="2"/>
                <w:sz w:val="21"/>
                <w:szCs w:val="21"/>
                <w:highlight w:val="none"/>
                <w:lang w:val="en-US" w:eastAsia="zh-CN" w:bidi="ar-SA"/>
              </w:rPr>
            </w:pPr>
            <w:r>
              <w:rPr>
                <w:rFonts w:hint="eastAsia" w:cs="宋体" w:asciiTheme="minorEastAsia" w:hAnsiTheme="minorEastAsia"/>
                <w:color w:val="0000FF"/>
                <w:sz w:val="21"/>
                <w:szCs w:val="21"/>
                <w:highlight w:val="none"/>
                <w:lang w:val="en-US" w:eastAsia="zh-CN"/>
              </w:rPr>
              <w:t>27.6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43</w:t>
            </w:r>
          </w:p>
        </w:tc>
        <w:tc>
          <w:tcPr>
            <w:tcW w:w="1395" w:type="dxa"/>
            <w:vAlign w:val="center"/>
          </w:tcPr>
          <w:p>
            <w:pPr>
              <w:spacing w:line="300" w:lineRule="auto"/>
              <w:jc w:val="center"/>
              <w:rPr>
                <w:rFonts w:hint="eastAsia" w:ascii="宋体" w:hAnsi="宋体" w:cs="宋体" w:eastAsiaTheme="minorEastAsia"/>
                <w:color w:val="auto"/>
                <w:kern w:val="0"/>
                <w:sz w:val="21"/>
                <w:szCs w:val="21"/>
                <w:lang w:val="en-US" w:eastAsia="zh-CN" w:bidi="ar-SA"/>
              </w:rPr>
            </w:pPr>
            <w:r>
              <w:rPr>
                <w:rFonts w:hint="eastAsia" w:ascii="宋体" w:hAnsi="宋体" w:cs="宋体"/>
                <w:color w:val="auto"/>
                <w:kern w:val="0"/>
                <w:sz w:val="21"/>
                <w:szCs w:val="21"/>
                <w:lang w:val="en-US" w:eastAsia="zh-CN"/>
              </w:rPr>
              <w:t>丹夫华夫饼</w:t>
            </w:r>
          </w:p>
        </w:tc>
        <w:tc>
          <w:tcPr>
            <w:tcW w:w="815" w:type="dxa"/>
            <w:vAlign w:val="top"/>
          </w:tcPr>
          <w:p>
            <w:pPr>
              <w:jc w:val="center"/>
              <w:rPr>
                <w:rFonts w:ascii="宋体" w:hAnsi="宋体" w:cs="宋体" w:eastAsiaTheme="minorEastAsia"/>
                <w:color w:val="0000FF"/>
                <w:kern w:val="2"/>
                <w:sz w:val="21"/>
                <w:szCs w:val="21"/>
                <w:highlight w:val="none"/>
                <w:lang w:val="en-US" w:eastAsia="zh-CN" w:bidi="ar-SA"/>
              </w:rPr>
            </w:pPr>
          </w:p>
        </w:tc>
        <w:tc>
          <w:tcPr>
            <w:tcW w:w="1400" w:type="dxa"/>
            <w:vAlign w:val="center"/>
          </w:tcPr>
          <w:p>
            <w:pPr>
              <w:widowControl/>
              <w:jc w:val="center"/>
              <w:rPr>
                <w:rFonts w:hint="eastAsia" w:cs="宋体" w:asciiTheme="minorEastAsia" w:hAnsiTheme="minorEastAsia" w:eastAsiaTheme="minorEastAsia"/>
                <w:color w:val="0000FF"/>
                <w:kern w:val="2"/>
                <w:sz w:val="21"/>
                <w:szCs w:val="21"/>
                <w:highlight w:val="none"/>
                <w:lang w:val="en-US" w:eastAsia="zh-CN" w:bidi="ar-SA"/>
              </w:rPr>
            </w:pPr>
            <w:r>
              <w:rPr>
                <w:rFonts w:hint="eastAsia" w:cs="宋体" w:asciiTheme="minorEastAsia" w:hAnsiTheme="minorEastAsia"/>
                <w:color w:val="0000FF"/>
                <w:sz w:val="21"/>
                <w:szCs w:val="21"/>
                <w:highlight w:val="none"/>
                <w:lang w:val="en-US" w:eastAsia="zh-CN"/>
              </w:rPr>
              <w:t>35.6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44</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骨钙饼干</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20</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45</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肉松饼</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31.7</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46</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日式小圆饼</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10</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47</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威化饼干</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29.5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48</w:t>
            </w:r>
          </w:p>
        </w:tc>
        <w:tc>
          <w:tcPr>
            <w:tcW w:w="1395"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苏打饼干</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eastAsiaTheme="minorEastAsia"/>
                <w:bCs/>
                <w:kern w:val="0"/>
                <w:sz w:val="21"/>
                <w:szCs w:val="21"/>
                <w:lang w:val="en-US" w:eastAsia="zh-CN" w:bidi="ar-SA"/>
              </w:rPr>
            </w:pPr>
            <w:r>
              <w:rPr>
                <w:rFonts w:hint="eastAsia" w:cs="宋体" w:asciiTheme="minorEastAsia" w:hAnsiTheme="minorEastAsia"/>
                <w:bCs/>
                <w:kern w:val="0"/>
                <w:sz w:val="21"/>
                <w:szCs w:val="21"/>
                <w:lang w:val="en-US" w:eastAsia="zh-CN"/>
              </w:rPr>
              <w:t>16.5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49</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豆奶粉</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23.5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50</w:t>
            </w:r>
          </w:p>
        </w:tc>
        <w:tc>
          <w:tcPr>
            <w:tcW w:w="1395"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豆浆粉</w:t>
            </w:r>
          </w:p>
        </w:tc>
        <w:tc>
          <w:tcPr>
            <w:tcW w:w="815" w:type="dxa"/>
          </w:tcPr>
          <w:p>
            <w:pPr>
              <w:jc w:val="center"/>
              <w:rPr>
                <w:rFonts w:ascii="宋体" w:hAnsi="宋体" w:cs="宋体"/>
                <w:sz w:val="21"/>
                <w:szCs w:val="21"/>
              </w:rPr>
            </w:pPr>
          </w:p>
        </w:tc>
        <w:tc>
          <w:tcPr>
            <w:tcW w:w="1400" w:type="dxa"/>
            <w:vAlign w:val="center"/>
          </w:tcPr>
          <w:p>
            <w:pPr>
              <w:widowControl/>
              <w:jc w:val="center"/>
              <w:rPr>
                <w:rFonts w:hint="default" w:cs="宋体" w:asciiTheme="minorEastAsia" w:hAnsiTheme="minorEastAsia"/>
                <w:bCs/>
                <w:kern w:val="0"/>
                <w:sz w:val="21"/>
                <w:szCs w:val="21"/>
                <w:lang w:val="en-US" w:eastAsia="zh-CN"/>
              </w:rPr>
            </w:pPr>
            <w:r>
              <w:rPr>
                <w:rFonts w:hint="eastAsia" w:cs="宋体" w:asciiTheme="minorEastAsia" w:hAnsiTheme="minorEastAsia"/>
                <w:bCs/>
                <w:kern w:val="0"/>
                <w:sz w:val="21"/>
                <w:szCs w:val="21"/>
                <w:lang w:val="en-US" w:eastAsia="zh-CN"/>
              </w:rPr>
              <w:t>18.7</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51</w:t>
            </w:r>
          </w:p>
        </w:tc>
        <w:tc>
          <w:tcPr>
            <w:tcW w:w="1395" w:type="dxa"/>
            <w:vAlign w:val="center"/>
          </w:tcPr>
          <w:p>
            <w:pPr>
              <w:spacing w:line="300" w:lineRule="auto"/>
              <w:jc w:val="center"/>
              <w:rPr>
                <w:rFonts w:hint="eastAsia" w:ascii="宋体" w:hAnsi="宋体" w:eastAsia="宋体" w:cstheme="minorBidi"/>
                <w:kern w:val="0"/>
                <w:sz w:val="21"/>
                <w:szCs w:val="21"/>
                <w:lang w:val="en-US" w:eastAsia="zh-CN" w:bidi="ar-SA"/>
              </w:rPr>
            </w:pPr>
            <w:r>
              <w:rPr>
                <w:rFonts w:hint="eastAsia" w:ascii="宋体" w:hAnsi="宋体"/>
                <w:kern w:val="0"/>
                <w:sz w:val="21"/>
                <w:szCs w:val="21"/>
                <w:lang w:val="en-US" w:eastAsia="zh-CN"/>
              </w:rPr>
              <w:t>高钙牛奶</w:t>
            </w:r>
          </w:p>
        </w:tc>
        <w:tc>
          <w:tcPr>
            <w:tcW w:w="815" w:type="dxa"/>
            <w:vAlign w:val="top"/>
          </w:tcPr>
          <w:p>
            <w:pPr>
              <w:jc w:val="center"/>
              <w:rPr>
                <w:rFonts w:ascii="宋体" w:hAnsi="宋体" w:cs="宋体" w:eastAsiaTheme="minorEastAsia"/>
                <w:kern w:val="2"/>
                <w:sz w:val="21"/>
                <w:szCs w:val="21"/>
                <w:lang w:val="en-US" w:eastAsia="zh-CN" w:bidi="ar-SA"/>
              </w:rPr>
            </w:pPr>
          </w:p>
        </w:tc>
        <w:tc>
          <w:tcPr>
            <w:tcW w:w="1400" w:type="dxa"/>
            <w:vAlign w:val="center"/>
          </w:tcPr>
          <w:p>
            <w:pPr>
              <w:jc w:val="center"/>
              <w:rPr>
                <w:rFonts w:hint="eastAsia" w:ascii="宋体" w:hAnsi="宋体" w:cs="宋体" w:eastAsiaTheme="minorEastAsia"/>
                <w:color w:val="FF0000"/>
                <w:kern w:val="2"/>
                <w:sz w:val="21"/>
                <w:szCs w:val="21"/>
                <w:lang w:val="en-US" w:eastAsia="zh-CN" w:bidi="ar-SA"/>
              </w:rPr>
            </w:pPr>
            <w:r>
              <w:rPr>
                <w:rFonts w:hint="eastAsia" w:ascii="宋体" w:hAnsi="宋体" w:cs="宋体"/>
                <w:color w:val="FF0000"/>
                <w:sz w:val="21"/>
                <w:szCs w:val="21"/>
                <w:lang w:val="en-US" w:eastAsia="zh-CN"/>
              </w:rPr>
              <w:t>6.6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52</w:t>
            </w:r>
          </w:p>
        </w:tc>
        <w:tc>
          <w:tcPr>
            <w:tcW w:w="1395" w:type="dxa"/>
            <w:vAlign w:val="center"/>
          </w:tcPr>
          <w:p>
            <w:pPr>
              <w:spacing w:line="300" w:lineRule="auto"/>
              <w:jc w:val="center"/>
              <w:rPr>
                <w:rFonts w:hint="eastAsia" w:ascii="宋体" w:hAnsi="宋体" w:eastAsia="宋体" w:cstheme="minorBidi"/>
                <w:kern w:val="0"/>
                <w:sz w:val="21"/>
                <w:szCs w:val="21"/>
                <w:lang w:val="en-US" w:eastAsia="zh-CN" w:bidi="ar-SA"/>
              </w:rPr>
            </w:pPr>
            <w:r>
              <w:rPr>
                <w:rFonts w:hint="eastAsia" w:ascii="宋体" w:hAnsi="宋体"/>
                <w:kern w:val="0"/>
                <w:sz w:val="21"/>
                <w:szCs w:val="21"/>
                <w:lang w:val="en-US" w:eastAsia="zh-CN"/>
              </w:rPr>
              <w:t>纯牛奶</w:t>
            </w:r>
          </w:p>
        </w:tc>
        <w:tc>
          <w:tcPr>
            <w:tcW w:w="815" w:type="dxa"/>
            <w:vAlign w:val="top"/>
          </w:tcPr>
          <w:p>
            <w:pPr>
              <w:jc w:val="center"/>
              <w:rPr>
                <w:rFonts w:ascii="宋体" w:hAnsi="宋体" w:cs="宋体" w:eastAsiaTheme="minorEastAsia"/>
                <w:kern w:val="2"/>
                <w:sz w:val="21"/>
                <w:szCs w:val="21"/>
                <w:lang w:val="en-US" w:eastAsia="zh-CN" w:bidi="ar-SA"/>
              </w:rPr>
            </w:pPr>
          </w:p>
        </w:tc>
        <w:tc>
          <w:tcPr>
            <w:tcW w:w="1400" w:type="dxa"/>
            <w:vAlign w:val="center"/>
          </w:tcPr>
          <w:p>
            <w:pPr>
              <w:jc w:val="center"/>
              <w:rPr>
                <w:rFonts w:hint="eastAsia" w:ascii="宋体" w:hAnsi="宋体" w:cs="宋体" w:eastAsiaTheme="minorEastAsia"/>
                <w:color w:val="FF0000"/>
                <w:kern w:val="2"/>
                <w:sz w:val="21"/>
                <w:szCs w:val="21"/>
                <w:lang w:val="en-US" w:eastAsia="zh-CN" w:bidi="ar-SA"/>
              </w:rPr>
            </w:pPr>
            <w:r>
              <w:rPr>
                <w:rFonts w:hint="eastAsia" w:ascii="宋体" w:hAnsi="宋体" w:cs="宋体"/>
                <w:color w:val="FF0000"/>
                <w:sz w:val="21"/>
                <w:szCs w:val="21"/>
                <w:lang w:val="en-US" w:eastAsia="zh-CN"/>
              </w:rPr>
              <w:t>5.6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0" w:type="auto"/>
            <w:vAlign w:val="center"/>
          </w:tcPr>
          <w:p>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53</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复原乳（125ml/盒）</w:t>
            </w:r>
          </w:p>
        </w:tc>
        <w:tc>
          <w:tcPr>
            <w:tcW w:w="815" w:type="dxa"/>
            <w:vAlign w:val="top"/>
          </w:tcPr>
          <w:p>
            <w:pPr>
              <w:jc w:val="center"/>
              <w:rPr>
                <w:rFonts w:ascii="宋体" w:hAnsi="宋体" w:cs="宋体" w:eastAsiaTheme="minorEastAsia"/>
                <w:kern w:val="2"/>
                <w:sz w:val="21"/>
                <w:szCs w:val="21"/>
                <w:lang w:val="en-US" w:eastAsia="zh-CN" w:bidi="ar-SA"/>
              </w:rPr>
            </w:pPr>
          </w:p>
        </w:tc>
        <w:tc>
          <w:tcPr>
            <w:tcW w:w="1400" w:type="dxa"/>
            <w:vAlign w:val="center"/>
          </w:tcPr>
          <w:p>
            <w:pPr>
              <w:jc w:val="center"/>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10.5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54</w:t>
            </w:r>
          </w:p>
        </w:tc>
        <w:tc>
          <w:tcPr>
            <w:tcW w:w="1395" w:type="dxa"/>
            <w:vAlign w:val="center"/>
          </w:tcPr>
          <w:p>
            <w:pPr>
              <w:spacing w:line="300" w:lineRule="auto"/>
              <w:jc w:val="center"/>
              <w:rPr>
                <w:rFonts w:hint="eastAsia" w:ascii="宋体" w:hAnsi="宋体" w:eastAsia="宋体" w:cstheme="minorBidi"/>
                <w:kern w:val="0"/>
                <w:sz w:val="21"/>
                <w:szCs w:val="21"/>
                <w:lang w:val="en-US" w:eastAsia="zh-CN" w:bidi="ar-SA"/>
              </w:rPr>
            </w:pPr>
            <w:r>
              <w:rPr>
                <w:rFonts w:hint="eastAsia" w:ascii="宋体" w:hAnsi="宋体"/>
                <w:kern w:val="0"/>
                <w:sz w:val="21"/>
                <w:szCs w:val="21"/>
                <w:lang w:val="en-US" w:eastAsia="zh-CN"/>
              </w:rPr>
              <w:t>酸奶</w:t>
            </w:r>
          </w:p>
        </w:tc>
        <w:tc>
          <w:tcPr>
            <w:tcW w:w="815" w:type="dxa"/>
            <w:vAlign w:val="top"/>
          </w:tcPr>
          <w:p>
            <w:pPr>
              <w:jc w:val="center"/>
              <w:rPr>
                <w:rFonts w:ascii="宋体" w:hAnsi="宋体" w:cs="宋体" w:eastAsiaTheme="minorEastAsia"/>
                <w:kern w:val="2"/>
                <w:sz w:val="21"/>
                <w:szCs w:val="21"/>
                <w:lang w:val="en-US" w:eastAsia="zh-CN" w:bidi="ar-SA"/>
              </w:rPr>
            </w:pPr>
          </w:p>
        </w:tc>
        <w:tc>
          <w:tcPr>
            <w:tcW w:w="1400" w:type="dxa"/>
            <w:vAlign w:val="center"/>
          </w:tcPr>
          <w:p>
            <w:pPr>
              <w:jc w:val="center"/>
              <w:rPr>
                <w:rFonts w:hint="eastAsia" w:ascii="宋体" w:hAnsi="宋体" w:cs="宋体" w:eastAsiaTheme="minorEastAsia"/>
                <w:color w:val="FF0000"/>
                <w:kern w:val="2"/>
                <w:sz w:val="21"/>
                <w:szCs w:val="21"/>
                <w:lang w:val="en-US" w:eastAsia="zh-CN" w:bidi="ar-SA"/>
              </w:rPr>
            </w:pPr>
            <w:r>
              <w:rPr>
                <w:rFonts w:hint="eastAsia" w:ascii="宋体" w:hAnsi="宋体" w:cs="宋体"/>
                <w:color w:val="FF0000"/>
                <w:sz w:val="21"/>
                <w:szCs w:val="21"/>
                <w:lang w:val="en-US" w:eastAsia="zh-CN"/>
              </w:rPr>
              <w:t>6</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0" w:type="auto"/>
            <w:vAlign w:val="center"/>
          </w:tcPr>
          <w:p>
            <w:pPr>
              <w:spacing w:line="360" w:lineRule="auto"/>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55</w:t>
            </w:r>
          </w:p>
        </w:tc>
        <w:tc>
          <w:tcPr>
            <w:tcW w:w="1395" w:type="dxa"/>
            <w:vAlign w:val="center"/>
          </w:tcPr>
          <w:p>
            <w:pPr>
              <w:spacing w:line="300" w:lineRule="auto"/>
              <w:jc w:val="center"/>
              <w:rPr>
                <w:rFonts w:hint="eastAsia" w:ascii="宋体" w:hAnsi="宋体" w:eastAsia="宋体" w:cstheme="minorBidi"/>
                <w:kern w:val="0"/>
                <w:sz w:val="21"/>
                <w:szCs w:val="21"/>
                <w:lang w:val="en-US" w:eastAsia="zh-CN" w:bidi="ar-SA"/>
              </w:rPr>
            </w:pPr>
            <w:r>
              <w:rPr>
                <w:rFonts w:hint="eastAsia" w:ascii="宋体" w:hAnsi="宋体"/>
                <w:kern w:val="0"/>
                <w:sz w:val="21"/>
                <w:szCs w:val="21"/>
                <w:lang w:val="en-US" w:eastAsia="zh-CN"/>
              </w:rPr>
              <w:t>奶酪棒</w:t>
            </w:r>
          </w:p>
        </w:tc>
        <w:tc>
          <w:tcPr>
            <w:tcW w:w="815" w:type="dxa"/>
            <w:vAlign w:val="top"/>
          </w:tcPr>
          <w:p>
            <w:pPr>
              <w:jc w:val="center"/>
              <w:rPr>
                <w:rFonts w:ascii="宋体" w:hAnsi="宋体" w:cs="宋体" w:eastAsiaTheme="minorEastAsia"/>
                <w:kern w:val="2"/>
                <w:sz w:val="21"/>
                <w:szCs w:val="21"/>
                <w:lang w:val="en-US" w:eastAsia="zh-CN" w:bidi="ar-SA"/>
              </w:rPr>
            </w:pPr>
          </w:p>
        </w:tc>
        <w:tc>
          <w:tcPr>
            <w:tcW w:w="1400" w:type="dxa"/>
            <w:vAlign w:val="center"/>
          </w:tcPr>
          <w:p>
            <w:pPr>
              <w:jc w:val="center"/>
              <w:rPr>
                <w:rFonts w:hint="eastAsia" w:ascii="宋体" w:hAnsi="宋体" w:cs="宋体" w:eastAsiaTheme="minorEastAsia"/>
                <w:color w:val="FF0000"/>
                <w:kern w:val="2"/>
                <w:sz w:val="21"/>
                <w:szCs w:val="21"/>
                <w:lang w:val="en-US" w:eastAsia="zh-CN" w:bidi="ar-SA"/>
              </w:rPr>
            </w:pPr>
            <w:r>
              <w:rPr>
                <w:rFonts w:hint="eastAsia" w:ascii="宋体" w:hAnsi="宋体" w:cs="宋体"/>
                <w:color w:val="FF0000"/>
                <w:sz w:val="21"/>
                <w:szCs w:val="21"/>
                <w:lang w:val="en-US" w:eastAsia="zh-CN"/>
              </w:rPr>
              <w:t>55</w:t>
            </w: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240" w:type="dxa"/>
            <w:vAlign w:val="center"/>
          </w:tcPr>
          <w:p>
            <w:pPr>
              <w:spacing w:before="100" w:beforeAutospacing="1" w:after="100" w:afterAutospacing="1"/>
              <w:jc w:val="center"/>
              <w:rPr>
                <w:rFonts w:cs="宋体" w:asciiTheme="minorEastAsia" w:hAnsiTheme="minorEastAsia"/>
                <w:sz w:val="21"/>
                <w:szCs w:val="21"/>
              </w:rPr>
            </w:pPr>
          </w:p>
        </w:tc>
        <w:tc>
          <w:tcPr>
            <w:tcW w:w="1105"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0"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1992" w:type="dxa"/>
            <w:gridSpan w:val="2"/>
            <w:vAlign w:val="center"/>
          </w:tcPr>
          <w:p>
            <w:pPr>
              <w:jc w:val="center"/>
              <w:rPr>
                <w:rFonts w:ascii="宋体" w:hAnsi="宋体" w:cs="宋体"/>
                <w:sz w:val="21"/>
                <w:szCs w:val="21"/>
              </w:rPr>
            </w:pPr>
            <w:r>
              <w:rPr>
                <w:rFonts w:hint="eastAsia" w:ascii="宋体" w:hAnsi="宋体" w:cs="宋体"/>
                <w:bCs/>
                <w:kern w:val="0"/>
                <w:sz w:val="21"/>
                <w:szCs w:val="21"/>
              </w:rPr>
              <w:t>平均折扣率</w:t>
            </w:r>
          </w:p>
        </w:tc>
        <w:tc>
          <w:tcPr>
            <w:tcW w:w="6530" w:type="dxa"/>
            <w:gridSpan w:val="6"/>
          </w:tcPr>
          <w:p>
            <w:pPr>
              <w:widowControl/>
              <w:spacing w:before="100" w:beforeAutospacing="1" w:after="100" w:afterAutospacing="1"/>
              <w:jc w:val="center"/>
              <w:rPr>
                <w:rFonts w:cs="宋体" w:asciiTheme="minorEastAsia" w:hAnsiTheme="minorEastAsia"/>
                <w:sz w:val="21"/>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1、本公司承诺，</w:t>
      </w:r>
      <w:r>
        <w:rPr>
          <w:rFonts w:hint="eastAsia" w:asciiTheme="minorEastAsia" w:hAnsiTheme="minorEastAsia" w:eastAsiaTheme="minorEastAsia"/>
          <w:kern w:val="0"/>
          <w:sz w:val="24"/>
          <w:szCs w:val="24"/>
          <w:lang w:val="en-US" w:eastAsia="zh-CN"/>
        </w:rPr>
        <w:t>面点、乳制品</w:t>
      </w:r>
      <w:r>
        <w:rPr>
          <w:rFonts w:hint="eastAsia" w:asciiTheme="minorEastAsia" w:hAnsiTheme="minorEastAsia" w:eastAsiaTheme="minorEastAsia"/>
          <w:kern w:val="0"/>
          <w:sz w:val="24"/>
          <w:szCs w:val="24"/>
        </w:rPr>
        <w:t>所有品目平均折扣率（保留小数点后两位）为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2、本公司承诺，</w:t>
      </w:r>
      <w:r>
        <w:rPr>
          <w:rFonts w:hint="eastAsia" w:asciiTheme="minorEastAsia" w:hAnsiTheme="minorEastAsia" w:eastAsiaTheme="minorEastAsia"/>
          <w:kern w:val="0"/>
          <w:sz w:val="24"/>
          <w:szCs w:val="24"/>
          <w:lang w:val="en-US" w:eastAsia="zh-CN"/>
        </w:rPr>
        <w:t>面点、乳制品</w:t>
      </w:r>
      <w:r>
        <w:rPr>
          <w:rFonts w:hint="eastAsia" w:asciiTheme="minorEastAsia" w:hAnsiTheme="minorEastAsia" w:eastAsiaTheme="minorEastAsia"/>
          <w:kern w:val="0"/>
          <w:sz w:val="24"/>
          <w:szCs w:val="24"/>
        </w:rPr>
        <w:t>在全年服务期限内，根据采购文件提供的折扣率计算参考价*（1-所投品目平均折扣率），若计算价格低于所投报价，则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3、本公司承诺，入选产品厂家实际包装确无此《报价单》上的规格，按同比例测算采购报价。</w:t>
      </w:r>
    </w:p>
    <w:p>
      <w:pPr>
        <w:widowControl/>
        <w:spacing w:before="100" w:beforeAutospacing="1" w:after="100" w:afterAutospacing="1"/>
        <w:jc w:val="right"/>
        <w:rPr>
          <w:rFonts w:ascii="宋体" w:hAnsi="宋体" w:cs="宋体"/>
          <w:bCs/>
          <w:kern w:val="0"/>
          <w:sz w:val="24"/>
          <w:szCs w:val="24"/>
        </w:rPr>
      </w:pPr>
      <w:r>
        <w:rPr>
          <w:rFonts w:hint="eastAsia" w:ascii="宋体" w:hAnsi="宋体" w:cs="宋体"/>
          <w:bCs/>
          <w:kern w:val="0"/>
          <w:sz w:val="24"/>
          <w:szCs w:val="24"/>
        </w:rPr>
        <w:t>供应商单位（盖章）：</w:t>
      </w:r>
    </w:p>
    <w:p>
      <w:pPr>
        <w:wordWrap w:val="0"/>
        <w:autoSpaceDE w:val="0"/>
        <w:autoSpaceDN w:val="0"/>
        <w:adjustRightInd w:val="0"/>
        <w:jc w:val="right"/>
        <w:rPr>
          <w:rFonts w:ascii="宋体" w:hAnsi="宋体" w:cs="宋体"/>
          <w:bCs/>
          <w:kern w:val="0"/>
          <w:sz w:val="24"/>
          <w:szCs w:val="24"/>
        </w:rPr>
      </w:pPr>
      <w:r>
        <w:rPr>
          <w:rFonts w:hint="eastAsia" w:ascii="宋体" w:hAnsi="宋体" w:cs="宋体"/>
          <w:bCs/>
          <w:kern w:val="0"/>
          <w:sz w:val="24"/>
          <w:szCs w:val="24"/>
        </w:rPr>
        <w:t>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rPr>
          <w:rFonts w:hint="default" w:ascii="宋体" w:hAnsi="宋体" w:cs="宋体"/>
          <w:bCs/>
          <w:kern w:val="0"/>
          <w:szCs w:val="21"/>
          <w:lang w:val="en-US" w:eastAsia="zh-CN"/>
        </w:rPr>
      </w:pPr>
      <w:r>
        <w:rPr>
          <w:rFonts w:hint="default" w:ascii="宋体" w:hAnsi="宋体" w:cs="宋体"/>
          <w:bCs/>
          <w:kern w:val="0"/>
          <w:szCs w:val="21"/>
          <w:lang w:val="en-US" w:eastAsia="zh-CN"/>
        </w:rPr>
        <w:br w:type="page"/>
      </w:r>
    </w:p>
    <w:p>
      <w:pPr>
        <w:rPr>
          <w:rFonts w:hint="eastAsia"/>
          <w:lang w:val="en-US" w:eastAsia="zh-CN"/>
        </w:rPr>
      </w:pPr>
      <w:r>
        <w:rPr>
          <w:rFonts w:hint="eastAsia"/>
          <w:b/>
          <w:bCs/>
          <w:sz w:val="28"/>
          <w:szCs w:val="28"/>
          <w:lang w:val="en-US" w:eastAsia="zh-CN"/>
        </w:rPr>
        <w:t xml:space="preserve">包四：水产类  </w:t>
      </w:r>
      <w:r>
        <w:rPr>
          <w:rFonts w:hint="eastAsia"/>
          <w:lang w:val="en-US" w:eastAsia="zh-CN"/>
        </w:rPr>
        <w:t xml:space="preserve">                          </w:t>
      </w:r>
    </w:p>
    <w:p>
      <w:pPr>
        <w:jc w:val="center"/>
        <w:rPr>
          <w:rFonts w:hint="eastAsia"/>
          <w:sz w:val="28"/>
          <w:szCs w:val="28"/>
          <w:highlight w:val="none"/>
          <w:lang w:val="en-US" w:eastAsia="zh-CN"/>
        </w:rPr>
      </w:pPr>
      <w:r>
        <w:rPr>
          <w:rFonts w:hint="eastAsia"/>
          <w:sz w:val="28"/>
          <w:szCs w:val="28"/>
          <w:highlight w:val="none"/>
          <w:lang w:val="en-US" w:eastAsia="zh-CN"/>
        </w:rPr>
        <w:t>水产类产品报价单</w:t>
      </w:r>
    </w:p>
    <w:p>
      <w:pPr>
        <w:jc w:val="center"/>
        <w:rPr>
          <w:rFonts w:hint="eastAsia" w:ascii="宋体" w:hAnsi="宋体" w:cs="宋体"/>
          <w:bCs/>
          <w:kern w:val="0"/>
          <w:szCs w:val="21"/>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w:t>
      </w:r>
      <w:r>
        <w:rPr>
          <w:rFonts w:hint="eastAsia" w:ascii="宋体" w:hAnsi="宋体" w:cs="宋体"/>
          <w:bCs/>
          <w:kern w:val="0"/>
          <w:szCs w:val="21"/>
        </w:rPr>
        <w:t xml:space="preserve">   单位 </w:t>
      </w:r>
      <w:r>
        <w:rPr>
          <w:rFonts w:hint="eastAsia" w:ascii="宋体" w:hAnsi="宋体" w:cs="宋体"/>
          <w:bCs/>
          <w:kern w:val="0"/>
          <w:szCs w:val="21"/>
          <w:lang w:val="en-US" w:eastAsia="zh-CN"/>
        </w:rPr>
        <w:t>500g</w:t>
      </w:r>
      <w:r>
        <w:rPr>
          <w:rFonts w:hint="eastAsia" w:ascii="宋体" w:hAnsi="宋体" w:cs="宋体"/>
          <w:bCs/>
          <w:kern w:val="0"/>
          <w:szCs w:val="21"/>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908"/>
        <w:gridCol w:w="1079"/>
        <w:gridCol w:w="1451"/>
        <w:gridCol w:w="1359"/>
        <w:gridCol w:w="1092"/>
        <w:gridCol w:w="117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0" w:type="auto"/>
            <w:vAlign w:val="center"/>
          </w:tcPr>
          <w:p>
            <w:pPr>
              <w:widowControl/>
              <w:jc w:val="center"/>
              <w:rPr>
                <w:rFonts w:cs="宋体" w:asciiTheme="minorEastAsia" w:hAnsiTheme="minorEastAsia"/>
                <w:b w:val="0"/>
                <w:bCs w:val="0"/>
                <w:sz w:val="21"/>
                <w:szCs w:val="21"/>
              </w:rPr>
            </w:pPr>
            <w:r>
              <w:rPr>
                <w:rFonts w:hint="eastAsia" w:cs="宋体" w:asciiTheme="minorEastAsia" w:hAnsiTheme="minorEastAsia"/>
                <w:b w:val="0"/>
                <w:bCs w:val="0"/>
                <w:sz w:val="21"/>
                <w:szCs w:val="21"/>
              </w:rPr>
              <w:t>序号</w:t>
            </w:r>
          </w:p>
        </w:tc>
        <w:tc>
          <w:tcPr>
            <w:tcW w:w="0" w:type="auto"/>
            <w:vAlign w:val="center"/>
          </w:tcPr>
          <w:p>
            <w:pPr>
              <w:widowControl/>
              <w:jc w:val="center"/>
              <w:rPr>
                <w:rFonts w:cs="宋体" w:asciiTheme="minorEastAsia" w:hAnsiTheme="minorEastAsia"/>
                <w:b w:val="0"/>
                <w:bCs w:val="0"/>
                <w:sz w:val="21"/>
                <w:szCs w:val="21"/>
              </w:rPr>
            </w:pPr>
            <w:r>
              <w:rPr>
                <w:rFonts w:hint="eastAsia" w:cs="宋体" w:asciiTheme="minorEastAsia" w:hAnsiTheme="minorEastAsia"/>
                <w:b w:val="0"/>
                <w:bCs w:val="0"/>
                <w:sz w:val="21"/>
                <w:szCs w:val="21"/>
              </w:rPr>
              <w:t>品名</w:t>
            </w:r>
          </w:p>
        </w:tc>
        <w:tc>
          <w:tcPr>
            <w:tcW w:w="1079" w:type="dxa"/>
            <w:vAlign w:val="center"/>
          </w:tcPr>
          <w:p>
            <w:pPr>
              <w:widowControl/>
              <w:jc w:val="center"/>
              <w:rPr>
                <w:rFonts w:cs="宋体" w:asciiTheme="minorEastAsia" w:hAnsiTheme="minorEastAsia"/>
                <w:b w:val="0"/>
                <w:bCs w:val="0"/>
                <w:kern w:val="0"/>
                <w:sz w:val="21"/>
                <w:szCs w:val="21"/>
              </w:rPr>
            </w:pPr>
            <w:r>
              <w:rPr>
                <w:rFonts w:hint="eastAsia" w:cs="宋体" w:asciiTheme="minorEastAsia" w:hAnsiTheme="minorEastAsia"/>
                <w:b w:val="0"/>
                <w:bCs w:val="0"/>
                <w:kern w:val="0"/>
                <w:sz w:val="21"/>
                <w:szCs w:val="21"/>
              </w:rPr>
              <w:t>品牌</w:t>
            </w:r>
          </w:p>
        </w:tc>
        <w:tc>
          <w:tcPr>
            <w:tcW w:w="1451" w:type="dxa"/>
            <w:vAlign w:val="center"/>
          </w:tcPr>
          <w:p>
            <w:pPr>
              <w:widowControl/>
              <w:jc w:val="center"/>
              <w:rPr>
                <w:rFonts w:ascii="宋体" w:hAnsi="宋体" w:cs="宋体"/>
                <w:b w:val="0"/>
                <w:bCs w:val="0"/>
                <w:sz w:val="21"/>
                <w:szCs w:val="21"/>
              </w:rPr>
            </w:pPr>
            <w:r>
              <w:rPr>
                <w:rFonts w:hint="eastAsia" w:cs="宋体" w:asciiTheme="minorEastAsia" w:hAnsiTheme="minorEastAsia"/>
                <w:b w:val="0"/>
                <w:bCs w:val="0"/>
                <w:kern w:val="0"/>
                <w:sz w:val="21"/>
                <w:szCs w:val="21"/>
              </w:rPr>
              <w:t>折扣率计算参考价</w:t>
            </w:r>
            <w:r>
              <w:rPr>
                <w:rFonts w:hint="eastAsia" w:ascii="宋体" w:hAnsi="宋体" w:cs="宋体"/>
                <w:b w:val="0"/>
                <w:bCs w:val="0"/>
                <w:sz w:val="21"/>
                <w:szCs w:val="21"/>
              </w:rPr>
              <w:t>（元）</w:t>
            </w:r>
          </w:p>
        </w:tc>
        <w:tc>
          <w:tcPr>
            <w:tcW w:w="1359" w:type="dxa"/>
            <w:vAlign w:val="center"/>
          </w:tcPr>
          <w:p>
            <w:pPr>
              <w:jc w:val="center"/>
              <w:rPr>
                <w:rFonts w:ascii="宋体" w:hAnsi="宋体" w:cs="宋体"/>
                <w:b w:val="0"/>
                <w:bCs w:val="0"/>
                <w:sz w:val="21"/>
                <w:szCs w:val="21"/>
              </w:rPr>
            </w:pPr>
            <w:r>
              <w:rPr>
                <w:rFonts w:hint="eastAsia" w:ascii="宋体" w:hAnsi="宋体" w:cs="宋体"/>
                <w:b w:val="0"/>
                <w:bCs w:val="0"/>
                <w:sz w:val="21"/>
                <w:szCs w:val="21"/>
              </w:rPr>
              <w:t>采购报价（元）</w:t>
            </w:r>
          </w:p>
        </w:tc>
        <w:tc>
          <w:tcPr>
            <w:tcW w:w="1092" w:type="dxa"/>
            <w:vAlign w:val="center"/>
          </w:tcPr>
          <w:p>
            <w:pPr>
              <w:jc w:val="center"/>
              <w:rPr>
                <w:rFonts w:ascii="宋体" w:hAnsi="宋体" w:cs="宋体"/>
                <w:b w:val="0"/>
                <w:bCs w:val="0"/>
                <w:sz w:val="21"/>
                <w:szCs w:val="21"/>
              </w:rPr>
            </w:pPr>
            <w:r>
              <w:rPr>
                <w:rFonts w:hint="eastAsia" w:ascii="宋体" w:hAnsi="宋体" w:cs="宋体"/>
                <w:b w:val="0"/>
                <w:bCs w:val="0"/>
                <w:sz w:val="21"/>
                <w:szCs w:val="21"/>
              </w:rPr>
              <w:t>折扣率</w:t>
            </w:r>
          </w:p>
        </w:tc>
        <w:tc>
          <w:tcPr>
            <w:tcW w:w="0" w:type="auto"/>
            <w:vAlign w:val="center"/>
          </w:tcPr>
          <w:p>
            <w:pPr>
              <w:jc w:val="center"/>
              <w:rPr>
                <w:rFonts w:ascii="宋体" w:hAnsi="宋体" w:cs="宋体"/>
                <w:b w:val="0"/>
                <w:bCs w:val="0"/>
                <w:sz w:val="21"/>
                <w:szCs w:val="21"/>
              </w:rPr>
            </w:pPr>
            <w:r>
              <w:rPr>
                <w:rFonts w:hint="eastAsia" w:ascii="宋体" w:hAnsi="宋体" w:cs="宋体"/>
                <w:b w:val="0"/>
                <w:bCs w:val="0"/>
                <w:sz w:val="21"/>
                <w:szCs w:val="21"/>
              </w:rPr>
              <w:t>平均折扣率</w:t>
            </w:r>
          </w:p>
        </w:tc>
        <w:tc>
          <w:tcPr>
            <w:tcW w:w="0" w:type="auto"/>
            <w:vAlign w:val="center"/>
          </w:tcPr>
          <w:p>
            <w:pPr>
              <w:widowControl/>
              <w:jc w:val="center"/>
              <w:rPr>
                <w:rFonts w:cs="宋体" w:asciiTheme="minorEastAsia" w:hAnsiTheme="minorEastAsia"/>
                <w:b w:val="0"/>
                <w:bCs w:val="0"/>
                <w:sz w:val="21"/>
                <w:szCs w:val="21"/>
              </w:rPr>
            </w:pPr>
            <w:r>
              <w:rPr>
                <w:rFonts w:hint="eastAsia" w:cs="宋体" w:asciiTheme="minorEastAsia" w:hAnsiTheme="minorEastAsia"/>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b w:val="0"/>
                <w:bCs w:val="0"/>
                <w:spacing w:val="-4"/>
                <w:sz w:val="21"/>
                <w:szCs w:val="21"/>
              </w:rPr>
              <w:t>鲫鱼</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12.5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restart"/>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鳊鱼</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9.4</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草鱼</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9</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花鲢</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9.9</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白鲢</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黑鱼</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10.9</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鲈鱼</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11</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昂刺鱼</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13.8</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沙虾</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17.4</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黄鳝</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35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罗氏虾</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34</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p>
        </w:tc>
        <w:tc>
          <w:tcPr>
            <w:tcW w:w="0" w:type="auto"/>
            <w:vAlign w:val="center"/>
          </w:tcPr>
          <w:p>
            <w:pPr>
              <w:widowControl/>
              <w:jc w:val="center"/>
              <w:textAlignment w:val="center"/>
              <w:rPr>
                <w:rFonts w:hint="eastAsia" w:ascii="宋体" w:hAnsi="宋体" w:cs="宋体" w:eastAsiaTheme="minorEastAsia"/>
                <w:b w:val="0"/>
                <w:bCs w:val="0"/>
                <w:sz w:val="21"/>
                <w:szCs w:val="21"/>
                <w:lang w:val="en-US" w:eastAsia="zh-CN"/>
              </w:rPr>
            </w:pPr>
            <w:r>
              <w:rPr>
                <w:rFonts w:hint="eastAsia" w:ascii="宋体" w:hAnsi="宋体" w:cs="宋体"/>
                <w:b w:val="0"/>
                <w:bCs w:val="0"/>
                <w:sz w:val="21"/>
                <w:szCs w:val="21"/>
                <w:lang w:val="en-US" w:eastAsia="zh-CN"/>
              </w:rPr>
              <w:t>对虾</w:t>
            </w:r>
          </w:p>
        </w:tc>
        <w:tc>
          <w:tcPr>
            <w:tcW w:w="1079" w:type="dxa"/>
          </w:tcPr>
          <w:p>
            <w:pPr>
              <w:jc w:val="center"/>
              <w:rPr>
                <w:rFonts w:ascii="宋体" w:hAnsi="宋体" w:cs="宋体"/>
                <w:b w:val="0"/>
                <w:bCs w:val="0"/>
                <w:sz w:val="21"/>
                <w:szCs w:val="21"/>
              </w:rPr>
            </w:pPr>
          </w:p>
        </w:tc>
        <w:tc>
          <w:tcPr>
            <w:tcW w:w="1451"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p>
        </w:tc>
        <w:tc>
          <w:tcPr>
            <w:tcW w:w="0" w:type="auto"/>
            <w:vAlign w:val="center"/>
          </w:tcPr>
          <w:p>
            <w:pPr>
              <w:widowControl/>
              <w:jc w:val="center"/>
              <w:textAlignment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花甲</w:t>
            </w:r>
          </w:p>
        </w:tc>
        <w:tc>
          <w:tcPr>
            <w:tcW w:w="1079" w:type="dxa"/>
          </w:tcPr>
          <w:p>
            <w:pPr>
              <w:jc w:val="center"/>
              <w:rPr>
                <w:rFonts w:ascii="宋体" w:hAnsi="宋体" w:cs="宋体"/>
                <w:b w:val="0"/>
                <w:bCs w:val="0"/>
                <w:color w:val="0000FF"/>
                <w:sz w:val="21"/>
                <w:szCs w:val="21"/>
              </w:rPr>
            </w:pPr>
          </w:p>
        </w:tc>
        <w:tc>
          <w:tcPr>
            <w:tcW w:w="1451" w:type="dxa"/>
            <w:vAlign w:val="center"/>
          </w:tcPr>
          <w:p>
            <w:pPr>
              <w:jc w:val="center"/>
              <w:rPr>
                <w:rFonts w:hint="default" w:ascii="宋体" w:hAnsi="宋体" w:cs="宋体"/>
                <w:color w:val="0000FF"/>
                <w:sz w:val="21"/>
                <w:szCs w:val="21"/>
                <w:lang w:val="en-US" w:eastAsia="zh-CN"/>
              </w:rPr>
            </w:pPr>
            <w:r>
              <w:rPr>
                <w:rFonts w:hint="eastAsia" w:ascii="宋体" w:hAnsi="宋体" w:cs="宋体"/>
                <w:color w:val="0000FF"/>
                <w:sz w:val="21"/>
                <w:szCs w:val="21"/>
                <w:lang w:val="en-US" w:eastAsia="zh-CN"/>
              </w:rPr>
              <w:t>7.5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14</w:t>
            </w:r>
          </w:p>
        </w:tc>
        <w:tc>
          <w:tcPr>
            <w:tcW w:w="0" w:type="auto"/>
            <w:vAlign w:val="center"/>
          </w:tcPr>
          <w:p>
            <w:pPr>
              <w:widowControl/>
              <w:jc w:val="center"/>
              <w:textAlignment w:val="center"/>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黄鳝丝</w:t>
            </w:r>
          </w:p>
        </w:tc>
        <w:tc>
          <w:tcPr>
            <w:tcW w:w="1079" w:type="dxa"/>
            <w:vAlign w:val="top"/>
          </w:tcPr>
          <w:p>
            <w:pPr>
              <w:jc w:val="center"/>
              <w:rPr>
                <w:rFonts w:ascii="宋体" w:hAnsi="宋体" w:cs="宋体" w:eastAsiaTheme="minorEastAsia"/>
                <w:b w:val="0"/>
                <w:bCs w:val="0"/>
                <w:kern w:val="2"/>
                <w:sz w:val="21"/>
                <w:szCs w:val="21"/>
                <w:lang w:val="en-US" w:eastAsia="zh-CN" w:bidi="ar-SA"/>
              </w:rPr>
            </w:pPr>
          </w:p>
        </w:tc>
        <w:tc>
          <w:tcPr>
            <w:tcW w:w="1451"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47</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15</w:t>
            </w:r>
          </w:p>
        </w:tc>
        <w:tc>
          <w:tcPr>
            <w:tcW w:w="0" w:type="auto"/>
            <w:vAlign w:val="center"/>
          </w:tcPr>
          <w:p>
            <w:pPr>
              <w:widowControl/>
              <w:jc w:val="center"/>
              <w:textAlignment w:val="center"/>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黄鳝片/段</w:t>
            </w:r>
          </w:p>
        </w:tc>
        <w:tc>
          <w:tcPr>
            <w:tcW w:w="1079" w:type="dxa"/>
            <w:vAlign w:val="top"/>
          </w:tcPr>
          <w:p>
            <w:pPr>
              <w:jc w:val="center"/>
              <w:rPr>
                <w:rFonts w:ascii="宋体" w:hAnsi="宋体" w:cs="宋体" w:eastAsiaTheme="minorEastAsia"/>
                <w:b w:val="0"/>
                <w:bCs w:val="0"/>
                <w:kern w:val="2"/>
                <w:sz w:val="21"/>
                <w:szCs w:val="21"/>
                <w:lang w:val="en-US" w:eastAsia="zh-CN" w:bidi="ar-SA"/>
              </w:rPr>
            </w:pPr>
          </w:p>
        </w:tc>
        <w:tc>
          <w:tcPr>
            <w:tcW w:w="1451"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39</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16</w:t>
            </w:r>
          </w:p>
        </w:tc>
        <w:tc>
          <w:tcPr>
            <w:tcW w:w="0" w:type="auto"/>
            <w:vAlign w:val="center"/>
          </w:tcPr>
          <w:p>
            <w:pPr>
              <w:widowControl/>
              <w:jc w:val="center"/>
              <w:textAlignment w:val="center"/>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银鱼</w:t>
            </w:r>
          </w:p>
        </w:tc>
        <w:tc>
          <w:tcPr>
            <w:tcW w:w="1079" w:type="dxa"/>
            <w:vAlign w:val="top"/>
          </w:tcPr>
          <w:p>
            <w:pPr>
              <w:jc w:val="center"/>
              <w:rPr>
                <w:rFonts w:ascii="宋体" w:hAnsi="宋体" w:cs="宋体" w:eastAsiaTheme="minorEastAsia"/>
                <w:b w:val="0"/>
                <w:bCs w:val="0"/>
                <w:color w:val="0000FF"/>
                <w:kern w:val="2"/>
                <w:sz w:val="21"/>
                <w:szCs w:val="21"/>
                <w:lang w:val="en-US" w:eastAsia="zh-CN" w:bidi="ar-SA"/>
              </w:rPr>
            </w:pPr>
          </w:p>
        </w:tc>
        <w:tc>
          <w:tcPr>
            <w:tcW w:w="1451" w:type="dxa"/>
            <w:vAlign w:val="center"/>
          </w:tcPr>
          <w:p>
            <w:pPr>
              <w:jc w:val="center"/>
              <w:rPr>
                <w:rFonts w:hint="eastAsia" w:ascii="宋体" w:hAnsi="宋体" w:cs="宋体" w:eastAsiaTheme="minorEastAsia"/>
                <w:color w:val="0000FF"/>
                <w:kern w:val="2"/>
                <w:sz w:val="21"/>
                <w:szCs w:val="21"/>
                <w:lang w:val="en-US" w:eastAsia="zh-CN" w:bidi="ar-SA"/>
              </w:rPr>
            </w:pPr>
            <w:r>
              <w:rPr>
                <w:rFonts w:hint="eastAsia" w:ascii="宋体" w:hAnsi="宋体" w:cs="宋体"/>
                <w:color w:val="0000FF"/>
                <w:sz w:val="21"/>
                <w:szCs w:val="21"/>
                <w:lang w:val="en-US" w:eastAsia="zh-CN"/>
              </w:rPr>
              <w:t>49.5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17</w:t>
            </w:r>
          </w:p>
        </w:tc>
        <w:tc>
          <w:tcPr>
            <w:tcW w:w="0" w:type="auto"/>
            <w:vAlign w:val="center"/>
          </w:tcPr>
          <w:p>
            <w:pPr>
              <w:widowControl/>
              <w:jc w:val="center"/>
              <w:textAlignment w:val="center"/>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马鲛鱼</w:t>
            </w:r>
          </w:p>
        </w:tc>
        <w:tc>
          <w:tcPr>
            <w:tcW w:w="1079" w:type="dxa"/>
            <w:vAlign w:val="top"/>
          </w:tcPr>
          <w:p>
            <w:pPr>
              <w:jc w:val="center"/>
              <w:rPr>
                <w:rFonts w:ascii="宋体" w:hAnsi="宋体" w:cs="宋体" w:eastAsiaTheme="minorEastAsia"/>
                <w:b w:val="0"/>
                <w:bCs w:val="0"/>
                <w:color w:val="0000FF"/>
                <w:kern w:val="2"/>
                <w:sz w:val="21"/>
                <w:szCs w:val="21"/>
                <w:lang w:val="en-US" w:eastAsia="zh-CN" w:bidi="ar-SA"/>
              </w:rPr>
            </w:pPr>
          </w:p>
        </w:tc>
        <w:tc>
          <w:tcPr>
            <w:tcW w:w="1451" w:type="dxa"/>
            <w:vAlign w:val="center"/>
          </w:tcPr>
          <w:p>
            <w:pPr>
              <w:jc w:val="center"/>
              <w:rPr>
                <w:rFonts w:hint="eastAsia" w:ascii="宋体" w:hAnsi="宋体" w:cs="宋体" w:eastAsiaTheme="minorEastAsia"/>
                <w:color w:val="0000FF"/>
                <w:kern w:val="2"/>
                <w:sz w:val="21"/>
                <w:szCs w:val="21"/>
                <w:lang w:val="en-US" w:eastAsia="zh-CN" w:bidi="ar-SA"/>
              </w:rPr>
            </w:pPr>
            <w:r>
              <w:rPr>
                <w:rFonts w:hint="eastAsia" w:ascii="宋体" w:hAnsi="宋体" w:cs="宋体"/>
                <w:color w:val="0000FF"/>
                <w:sz w:val="21"/>
                <w:szCs w:val="21"/>
                <w:lang w:val="en-US" w:eastAsia="zh-CN"/>
              </w:rPr>
              <w:t>25.6</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18</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宋体" w:hAnsi="宋体" w:cs="宋体"/>
                <w:b w:val="0"/>
                <w:bCs w:val="0"/>
                <w:sz w:val="21"/>
                <w:szCs w:val="21"/>
              </w:rPr>
              <w:t>巴沙鱼</w:t>
            </w:r>
          </w:p>
        </w:tc>
        <w:tc>
          <w:tcPr>
            <w:tcW w:w="1079" w:type="dxa"/>
            <w:vAlign w:val="top"/>
          </w:tcPr>
          <w:p>
            <w:pPr>
              <w:jc w:val="center"/>
              <w:rPr>
                <w:rFonts w:ascii="宋体" w:hAnsi="宋体" w:cs="宋体" w:eastAsiaTheme="minorEastAsia"/>
                <w:b w:val="0"/>
                <w:bCs w:val="0"/>
                <w:kern w:val="2"/>
                <w:sz w:val="21"/>
                <w:szCs w:val="21"/>
                <w:lang w:val="en-US" w:eastAsia="zh-CN" w:bidi="ar-SA"/>
              </w:rPr>
            </w:pPr>
          </w:p>
        </w:tc>
        <w:tc>
          <w:tcPr>
            <w:tcW w:w="1451"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10</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19</w:t>
            </w:r>
          </w:p>
        </w:tc>
        <w:tc>
          <w:tcPr>
            <w:tcW w:w="0" w:type="auto"/>
            <w:vAlign w:val="center"/>
          </w:tcPr>
          <w:p>
            <w:pPr>
              <w:widowControl/>
              <w:jc w:val="center"/>
              <w:textAlignment w:val="center"/>
              <w:rPr>
                <w:rFonts w:hint="eastAsia" w:ascii="宋体" w:hAnsi="宋体" w:cs="宋体" w:eastAsiaTheme="minorEastAsia"/>
                <w:b w:val="0"/>
                <w:bCs w:val="0"/>
                <w:kern w:val="2"/>
                <w:sz w:val="21"/>
                <w:szCs w:val="21"/>
                <w:lang w:val="en-US" w:eastAsia="zh-CN" w:bidi="ar-SA"/>
              </w:rPr>
            </w:pPr>
            <w:r>
              <w:rPr>
                <w:rFonts w:hint="eastAsia" w:ascii="宋体" w:hAnsi="宋体" w:cs="宋体"/>
                <w:b w:val="0"/>
                <w:bCs w:val="0"/>
                <w:sz w:val="21"/>
                <w:szCs w:val="21"/>
                <w:lang w:val="en-US" w:eastAsia="zh-CN"/>
              </w:rPr>
              <w:t>桂鱼</w:t>
            </w:r>
          </w:p>
        </w:tc>
        <w:tc>
          <w:tcPr>
            <w:tcW w:w="1079" w:type="dxa"/>
            <w:vAlign w:val="top"/>
          </w:tcPr>
          <w:p>
            <w:pPr>
              <w:jc w:val="center"/>
              <w:rPr>
                <w:rFonts w:ascii="宋体" w:hAnsi="宋体" w:cs="宋体" w:eastAsiaTheme="minorEastAsia"/>
                <w:b w:val="0"/>
                <w:bCs w:val="0"/>
                <w:kern w:val="2"/>
                <w:sz w:val="21"/>
                <w:szCs w:val="21"/>
                <w:lang w:val="en-US" w:eastAsia="zh-CN" w:bidi="ar-SA"/>
              </w:rPr>
            </w:pPr>
          </w:p>
        </w:tc>
        <w:tc>
          <w:tcPr>
            <w:tcW w:w="1451"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39.8</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20</w:t>
            </w:r>
          </w:p>
        </w:tc>
        <w:tc>
          <w:tcPr>
            <w:tcW w:w="0" w:type="auto"/>
            <w:vAlign w:val="center"/>
          </w:tcPr>
          <w:p>
            <w:pPr>
              <w:widowControl/>
              <w:jc w:val="center"/>
              <w:textAlignment w:val="center"/>
              <w:rPr>
                <w:rFonts w:hint="eastAsia" w:ascii="宋体" w:hAnsi="宋体" w:cs="宋体" w:eastAsiaTheme="minorEastAsia"/>
                <w:b w:val="0"/>
                <w:bCs w:val="0"/>
                <w:kern w:val="2"/>
                <w:sz w:val="21"/>
                <w:szCs w:val="21"/>
                <w:lang w:val="en-US" w:eastAsia="zh-CN" w:bidi="ar-SA"/>
              </w:rPr>
            </w:pPr>
            <w:r>
              <w:rPr>
                <w:rFonts w:hint="eastAsia" w:ascii="宋体" w:hAnsi="宋体" w:cs="宋体"/>
                <w:b w:val="0"/>
                <w:bCs w:val="0"/>
                <w:sz w:val="21"/>
                <w:szCs w:val="21"/>
                <w:lang w:val="en-US" w:eastAsia="zh-CN"/>
              </w:rPr>
              <w:t>净多宝鱼</w:t>
            </w:r>
          </w:p>
        </w:tc>
        <w:tc>
          <w:tcPr>
            <w:tcW w:w="1079" w:type="dxa"/>
            <w:vAlign w:val="top"/>
          </w:tcPr>
          <w:p>
            <w:pPr>
              <w:jc w:val="center"/>
              <w:rPr>
                <w:rFonts w:ascii="宋体" w:hAnsi="宋体" w:cs="宋体" w:eastAsiaTheme="minorEastAsia"/>
                <w:b w:val="0"/>
                <w:bCs w:val="0"/>
                <w:kern w:val="2"/>
                <w:sz w:val="21"/>
                <w:szCs w:val="21"/>
                <w:lang w:val="en-US" w:eastAsia="zh-CN" w:bidi="ar-SA"/>
              </w:rPr>
            </w:pPr>
          </w:p>
        </w:tc>
        <w:tc>
          <w:tcPr>
            <w:tcW w:w="1451"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49</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21</w:t>
            </w:r>
          </w:p>
        </w:tc>
        <w:tc>
          <w:tcPr>
            <w:tcW w:w="0" w:type="auto"/>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黑鱼片</w:t>
            </w:r>
          </w:p>
        </w:tc>
        <w:tc>
          <w:tcPr>
            <w:tcW w:w="1079" w:type="dxa"/>
            <w:vAlign w:val="top"/>
          </w:tcPr>
          <w:p>
            <w:pPr>
              <w:jc w:val="center"/>
              <w:rPr>
                <w:rFonts w:ascii="宋体" w:hAnsi="宋体" w:cs="宋体" w:eastAsiaTheme="minorEastAsia"/>
                <w:b w:val="0"/>
                <w:bCs w:val="0"/>
                <w:kern w:val="2"/>
                <w:sz w:val="21"/>
                <w:szCs w:val="21"/>
                <w:lang w:val="en-US" w:eastAsia="zh-CN" w:bidi="ar-SA"/>
              </w:rPr>
            </w:pPr>
          </w:p>
        </w:tc>
        <w:tc>
          <w:tcPr>
            <w:tcW w:w="1451"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14</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22</w:t>
            </w:r>
          </w:p>
        </w:tc>
        <w:tc>
          <w:tcPr>
            <w:tcW w:w="0" w:type="auto"/>
            <w:vAlign w:val="center"/>
          </w:tcPr>
          <w:p>
            <w:pPr>
              <w:jc w:val="center"/>
              <w:rPr>
                <w:rFonts w:hint="default" w:ascii="宋体" w:hAnsi="宋体" w:cs="宋体" w:eastAsiaTheme="minorEastAsia"/>
                <w:kern w:val="0"/>
                <w:sz w:val="21"/>
                <w:szCs w:val="21"/>
                <w:lang w:val="en-US" w:eastAsia="zh-CN" w:bidi="ar-SA"/>
              </w:rPr>
            </w:pPr>
            <w:r>
              <w:rPr>
                <w:rFonts w:hint="eastAsia"/>
                <w:sz w:val="21"/>
                <w:szCs w:val="21"/>
              </w:rPr>
              <w:t>带鱼段（中）</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rPr>
              <w:t>11.0</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23</w:t>
            </w:r>
          </w:p>
        </w:tc>
        <w:tc>
          <w:tcPr>
            <w:tcW w:w="0" w:type="auto"/>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 w:val="21"/>
                <w:szCs w:val="21"/>
                <w:lang w:val="en-US" w:eastAsia="zh-CN"/>
              </w:rPr>
              <w:t>鳕鱼中段</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24.2</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24</w:t>
            </w:r>
          </w:p>
        </w:tc>
        <w:tc>
          <w:tcPr>
            <w:tcW w:w="0" w:type="auto"/>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 w:val="21"/>
                <w:szCs w:val="21"/>
                <w:lang w:val="en-US" w:eastAsia="zh-CN"/>
              </w:rPr>
              <w:t>鸦片鱼身</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26.6</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25</w:t>
            </w:r>
          </w:p>
        </w:tc>
        <w:tc>
          <w:tcPr>
            <w:tcW w:w="0" w:type="auto"/>
            <w:vAlign w:val="center"/>
          </w:tcPr>
          <w:p>
            <w:pPr>
              <w:jc w:val="center"/>
              <w:rPr>
                <w:rFonts w:hint="default" w:ascii="宋体" w:hAnsi="宋体" w:cs="宋体" w:eastAsiaTheme="minorEastAsia"/>
                <w:kern w:val="0"/>
                <w:sz w:val="21"/>
                <w:szCs w:val="21"/>
                <w:lang w:val="en-US" w:eastAsia="zh-CN" w:bidi="ar-SA"/>
              </w:rPr>
            </w:pPr>
            <w:r>
              <w:rPr>
                <w:rFonts w:hint="eastAsia"/>
                <w:sz w:val="21"/>
                <w:szCs w:val="21"/>
              </w:rPr>
              <w:t>鱿鱼须</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rPr>
              <w:t>32.0</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26</w:t>
            </w:r>
          </w:p>
        </w:tc>
        <w:tc>
          <w:tcPr>
            <w:tcW w:w="0" w:type="auto"/>
            <w:vAlign w:val="center"/>
          </w:tcPr>
          <w:p>
            <w:pPr>
              <w:jc w:val="center"/>
              <w:rPr>
                <w:rFonts w:hint="default" w:ascii="宋体" w:hAnsi="宋体" w:cs="宋体" w:eastAsiaTheme="minorEastAsia"/>
                <w:kern w:val="0"/>
                <w:sz w:val="21"/>
                <w:szCs w:val="21"/>
                <w:lang w:val="en-US" w:eastAsia="zh-CN" w:bidi="ar-SA"/>
              </w:rPr>
            </w:pPr>
            <w:r>
              <w:rPr>
                <w:rFonts w:hint="eastAsia"/>
                <w:sz w:val="21"/>
                <w:szCs w:val="21"/>
              </w:rPr>
              <w:t>鱿鱼</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rPr>
              <w:t>32.5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27</w:t>
            </w:r>
          </w:p>
        </w:tc>
        <w:tc>
          <w:tcPr>
            <w:tcW w:w="0" w:type="auto"/>
            <w:vAlign w:val="center"/>
          </w:tcPr>
          <w:p>
            <w:pPr>
              <w:jc w:val="center"/>
              <w:rPr>
                <w:rFonts w:hint="eastAsia" w:ascii="宋体" w:hAnsi="宋体" w:cs="宋体" w:eastAsiaTheme="minorEastAsia"/>
                <w:kern w:val="0"/>
                <w:sz w:val="21"/>
                <w:szCs w:val="21"/>
                <w:lang w:val="en-US" w:eastAsia="zh-CN" w:bidi="ar-SA"/>
              </w:rPr>
            </w:pPr>
            <w:r>
              <w:rPr>
                <w:rFonts w:hint="eastAsia"/>
                <w:sz w:val="21"/>
                <w:szCs w:val="21"/>
              </w:rPr>
              <w:t>小黄鱼（10条/斤）</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rPr>
              <w:t>11.5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28</w:t>
            </w:r>
          </w:p>
        </w:tc>
        <w:tc>
          <w:tcPr>
            <w:tcW w:w="0" w:type="auto"/>
            <w:vAlign w:val="center"/>
          </w:tcPr>
          <w:p>
            <w:pPr>
              <w:jc w:val="center"/>
              <w:rPr>
                <w:rFonts w:hint="eastAsia" w:ascii="宋体" w:hAnsi="宋体" w:cs="宋体" w:eastAsiaTheme="minorEastAsia"/>
                <w:kern w:val="0"/>
                <w:sz w:val="21"/>
                <w:szCs w:val="21"/>
                <w:lang w:val="en-US" w:eastAsia="zh-CN" w:bidi="ar-SA"/>
              </w:rPr>
            </w:pPr>
            <w:r>
              <w:rPr>
                <w:rFonts w:hint="eastAsia"/>
                <w:sz w:val="21"/>
                <w:szCs w:val="21"/>
              </w:rPr>
              <w:t>无刺鮰鱼块</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rPr>
              <w:t>17.5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29</w:t>
            </w:r>
          </w:p>
        </w:tc>
        <w:tc>
          <w:tcPr>
            <w:tcW w:w="0" w:type="auto"/>
            <w:vAlign w:val="center"/>
          </w:tcPr>
          <w:p>
            <w:pPr>
              <w:jc w:val="center"/>
              <w:rPr>
                <w:rFonts w:hint="eastAsia" w:ascii="宋体" w:hAnsi="宋体" w:cs="宋体" w:eastAsiaTheme="minorEastAsia"/>
                <w:kern w:val="0"/>
                <w:sz w:val="21"/>
                <w:szCs w:val="21"/>
                <w:lang w:val="en-US" w:eastAsia="zh-CN" w:bidi="ar-SA"/>
              </w:rPr>
            </w:pPr>
            <w:r>
              <w:rPr>
                <w:rFonts w:hint="eastAsia"/>
                <w:sz w:val="21"/>
                <w:szCs w:val="21"/>
              </w:rPr>
              <w:t>虾仁（31-40）</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rPr>
              <w:t>30.0</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30</w:t>
            </w:r>
          </w:p>
        </w:tc>
        <w:tc>
          <w:tcPr>
            <w:tcW w:w="0" w:type="auto"/>
            <w:vAlign w:val="center"/>
          </w:tcPr>
          <w:p>
            <w:pPr>
              <w:jc w:val="center"/>
              <w:rPr>
                <w:rFonts w:hint="eastAsia" w:ascii="宋体" w:hAnsi="宋体" w:cs="宋体" w:eastAsiaTheme="minorEastAsia"/>
                <w:kern w:val="0"/>
                <w:sz w:val="21"/>
                <w:szCs w:val="21"/>
                <w:lang w:val="en-US" w:eastAsia="zh-CN" w:bidi="ar-SA"/>
              </w:rPr>
            </w:pPr>
            <w:r>
              <w:rPr>
                <w:rFonts w:hint="eastAsia"/>
                <w:sz w:val="21"/>
                <w:szCs w:val="21"/>
              </w:rPr>
              <w:t>龙利鱼</w:t>
            </w:r>
          </w:p>
        </w:tc>
        <w:tc>
          <w:tcPr>
            <w:tcW w:w="1079" w:type="dxa"/>
            <w:vAlign w:val="top"/>
          </w:tcPr>
          <w:p>
            <w:pPr>
              <w:jc w:val="center"/>
              <w:rPr>
                <w:rFonts w:ascii="宋体" w:hAnsi="宋体" w:cs="宋体" w:eastAsiaTheme="minorEastAsia"/>
                <w:kern w:val="2"/>
                <w:sz w:val="21"/>
                <w:szCs w:val="21"/>
                <w:lang w:val="en-US" w:eastAsia="zh-CN" w:bidi="ar-SA"/>
              </w:rPr>
            </w:pPr>
          </w:p>
        </w:tc>
        <w:tc>
          <w:tcPr>
            <w:tcW w:w="1451"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rPr>
              <w:t>11.5</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31</w:t>
            </w:r>
          </w:p>
        </w:tc>
        <w:tc>
          <w:tcPr>
            <w:tcW w:w="0" w:type="auto"/>
            <w:vAlign w:val="center"/>
          </w:tcPr>
          <w:p>
            <w:pPr>
              <w:widowControl/>
              <w:jc w:val="center"/>
              <w:textAlignment w:val="center"/>
              <w:rPr>
                <w:rFonts w:hint="default"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蟹肉棒</w:t>
            </w:r>
          </w:p>
        </w:tc>
        <w:tc>
          <w:tcPr>
            <w:tcW w:w="1079" w:type="dxa"/>
            <w:vAlign w:val="top"/>
          </w:tcPr>
          <w:p>
            <w:pPr>
              <w:jc w:val="center"/>
              <w:rPr>
                <w:rFonts w:ascii="宋体" w:hAnsi="宋体" w:cs="宋体" w:eastAsiaTheme="minorEastAsia"/>
                <w:b w:val="0"/>
                <w:bCs w:val="0"/>
                <w:color w:val="0000FF"/>
                <w:kern w:val="2"/>
                <w:sz w:val="21"/>
                <w:szCs w:val="21"/>
                <w:lang w:val="en-US" w:eastAsia="zh-CN" w:bidi="ar-SA"/>
              </w:rPr>
            </w:pPr>
          </w:p>
        </w:tc>
        <w:tc>
          <w:tcPr>
            <w:tcW w:w="1451" w:type="dxa"/>
            <w:vAlign w:val="center"/>
          </w:tcPr>
          <w:p>
            <w:pPr>
              <w:jc w:val="center"/>
              <w:rPr>
                <w:rFonts w:hint="default" w:ascii="宋体" w:hAnsi="宋体" w:cs="宋体" w:eastAsiaTheme="minorEastAsia"/>
                <w:color w:val="0000FF"/>
                <w:kern w:val="2"/>
                <w:sz w:val="21"/>
                <w:szCs w:val="21"/>
                <w:lang w:val="en-US" w:eastAsia="zh-CN" w:bidi="ar-SA"/>
              </w:rPr>
            </w:pPr>
            <w:r>
              <w:rPr>
                <w:rFonts w:hint="eastAsia" w:ascii="宋体" w:hAnsi="宋体" w:cs="宋体"/>
                <w:color w:val="0000FF"/>
                <w:sz w:val="21"/>
                <w:szCs w:val="21"/>
                <w:lang w:val="en-US" w:eastAsia="zh-CN"/>
              </w:rPr>
              <w:t>23</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0" w:type="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32</w:t>
            </w:r>
          </w:p>
        </w:tc>
        <w:tc>
          <w:tcPr>
            <w:tcW w:w="0" w:type="auto"/>
            <w:vAlign w:val="center"/>
          </w:tcPr>
          <w:p>
            <w:pPr>
              <w:widowControl/>
              <w:jc w:val="center"/>
              <w:textAlignment w:val="center"/>
              <w:rPr>
                <w:rFonts w:hint="default"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鱼圆</w:t>
            </w:r>
          </w:p>
        </w:tc>
        <w:tc>
          <w:tcPr>
            <w:tcW w:w="1079" w:type="dxa"/>
            <w:vAlign w:val="top"/>
          </w:tcPr>
          <w:p>
            <w:pPr>
              <w:jc w:val="center"/>
              <w:rPr>
                <w:rFonts w:ascii="宋体" w:hAnsi="宋体" w:cs="宋体" w:eastAsiaTheme="minorEastAsia"/>
                <w:b w:val="0"/>
                <w:bCs w:val="0"/>
                <w:color w:val="0000FF"/>
                <w:kern w:val="2"/>
                <w:sz w:val="21"/>
                <w:szCs w:val="21"/>
                <w:lang w:val="en-US" w:eastAsia="zh-CN" w:bidi="ar-SA"/>
              </w:rPr>
            </w:pPr>
          </w:p>
        </w:tc>
        <w:tc>
          <w:tcPr>
            <w:tcW w:w="1451" w:type="dxa"/>
            <w:vAlign w:val="center"/>
          </w:tcPr>
          <w:p>
            <w:pPr>
              <w:jc w:val="center"/>
              <w:rPr>
                <w:rFonts w:hint="default" w:ascii="宋体" w:hAnsi="宋体" w:cs="宋体" w:eastAsiaTheme="minorEastAsia"/>
                <w:color w:val="0000FF"/>
                <w:kern w:val="2"/>
                <w:sz w:val="21"/>
                <w:szCs w:val="21"/>
                <w:lang w:val="en-US" w:eastAsia="zh-CN" w:bidi="ar-SA"/>
              </w:rPr>
            </w:pPr>
            <w:r>
              <w:rPr>
                <w:rFonts w:hint="eastAsia" w:ascii="宋体" w:hAnsi="宋体" w:cs="宋体"/>
                <w:color w:val="0000FF"/>
                <w:sz w:val="21"/>
                <w:szCs w:val="21"/>
                <w:lang w:val="en-US" w:eastAsia="zh-CN"/>
              </w:rPr>
              <w:t>26.2</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0" w:type="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33</w:t>
            </w:r>
          </w:p>
        </w:tc>
        <w:tc>
          <w:tcPr>
            <w:tcW w:w="0" w:type="auto"/>
            <w:vAlign w:val="center"/>
          </w:tcPr>
          <w:p>
            <w:pPr>
              <w:widowControl/>
              <w:jc w:val="center"/>
              <w:textAlignment w:val="center"/>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鱼籽福袋</w:t>
            </w:r>
          </w:p>
        </w:tc>
        <w:tc>
          <w:tcPr>
            <w:tcW w:w="1079" w:type="dxa"/>
            <w:vAlign w:val="top"/>
          </w:tcPr>
          <w:p>
            <w:pPr>
              <w:jc w:val="center"/>
              <w:rPr>
                <w:rFonts w:ascii="宋体" w:hAnsi="宋体" w:cs="宋体" w:eastAsiaTheme="minorEastAsia"/>
                <w:b w:val="0"/>
                <w:bCs w:val="0"/>
                <w:color w:val="0000FF"/>
                <w:kern w:val="2"/>
                <w:sz w:val="21"/>
                <w:szCs w:val="21"/>
                <w:lang w:val="en-US" w:eastAsia="zh-CN" w:bidi="ar-SA"/>
              </w:rPr>
            </w:pPr>
          </w:p>
        </w:tc>
        <w:tc>
          <w:tcPr>
            <w:tcW w:w="1451" w:type="dxa"/>
            <w:vAlign w:val="center"/>
          </w:tcPr>
          <w:p>
            <w:pPr>
              <w:jc w:val="center"/>
              <w:rPr>
                <w:rFonts w:hint="default" w:ascii="宋体" w:hAnsi="宋体" w:cs="宋体" w:eastAsiaTheme="minorEastAsia"/>
                <w:color w:val="0000FF"/>
                <w:kern w:val="2"/>
                <w:sz w:val="21"/>
                <w:szCs w:val="21"/>
                <w:lang w:val="en-US" w:eastAsia="zh-CN" w:bidi="ar-SA"/>
              </w:rPr>
            </w:pPr>
            <w:r>
              <w:rPr>
                <w:rFonts w:hint="eastAsia" w:ascii="宋体" w:hAnsi="宋体" w:cs="宋体"/>
                <w:color w:val="0000FF"/>
                <w:sz w:val="21"/>
                <w:szCs w:val="21"/>
                <w:lang w:val="en-US" w:eastAsia="zh-CN"/>
              </w:rPr>
              <w:t>62.2</w:t>
            </w:r>
          </w:p>
        </w:tc>
        <w:tc>
          <w:tcPr>
            <w:tcW w:w="1359" w:type="dxa"/>
            <w:vAlign w:val="center"/>
          </w:tcPr>
          <w:p>
            <w:pPr>
              <w:spacing w:before="100" w:beforeAutospacing="1" w:after="100" w:afterAutospacing="1"/>
              <w:jc w:val="center"/>
              <w:rPr>
                <w:rFonts w:cs="宋体" w:asciiTheme="minorEastAsia" w:hAnsiTheme="minorEastAsia"/>
                <w:b w:val="0"/>
                <w:bCs w:val="0"/>
                <w:sz w:val="21"/>
                <w:szCs w:val="21"/>
              </w:rPr>
            </w:pPr>
          </w:p>
        </w:tc>
        <w:tc>
          <w:tcPr>
            <w:tcW w:w="1092" w:type="dxa"/>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0" w:type="auto"/>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0" w:type="auto"/>
            <w:gridSpan w:val="2"/>
            <w:vAlign w:val="center"/>
          </w:tcPr>
          <w:p>
            <w:pPr>
              <w:jc w:val="center"/>
              <w:rPr>
                <w:rFonts w:ascii="宋体" w:hAnsi="宋体" w:cs="宋体"/>
                <w:b w:val="0"/>
                <w:bCs w:val="0"/>
                <w:sz w:val="21"/>
                <w:szCs w:val="21"/>
              </w:rPr>
            </w:pPr>
            <w:r>
              <w:rPr>
                <w:rFonts w:hint="eastAsia" w:ascii="宋体" w:hAnsi="宋体" w:cs="宋体"/>
                <w:b w:val="0"/>
                <w:bCs w:val="0"/>
                <w:kern w:val="0"/>
                <w:sz w:val="21"/>
                <w:szCs w:val="21"/>
              </w:rPr>
              <w:t>平均折扣率</w:t>
            </w:r>
          </w:p>
        </w:tc>
        <w:tc>
          <w:tcPr>
            <w:tcW w:w="0" w:type="auto"/>
            <w:gridSpan w:val="6"/>
          </w:tcPr>
          <w:p>
            <w:pPr>
              <w:widowControl/>
              <w:spacing w:before="100" w:beforeAutospacing="1" w:after="100" w:afterAutospacing="1"/>
              <w:jc w:val="center"/>
              <w:rPr>
                <w:rFonts w:cs="宋体" w:asciiTheme="minorEastAsia" w:hAnsiTheme="minorEastAsia"/>
                <w:b w:val="0"/>
                <w:bCs w:val="0"/>
                <w:sz w:val="21"/>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default" w:asciiTheme="minorEastAsia" w:hAnsiTheme="minorEastAsia" w:eastAsiaTheme="minorEastAsia"/>
          <w:kern w:val="0"/>
          <w:sz w:val="24"/>
          <w:szCs w:val="24"/>
          <w:u w:val="single"/>
          <w:lang w:val="en-US" w:eastAsia="zh-CN"/>
        </w:rPr>
      </w:pPr>
      <w:r>
        <w:rPr>
          <w:rFonts w:hint="eastAsia" w:asciiTheme="minorEastAsia" w:hAnsiTheme="minorEastAsia" w:eastAsiaTheme="minorEastAsia"/>
          <w:kern w:val="0"/>
          <w:sz w:val="24"/>
          <w:szCs w:val="24"/>
        </w:rPr>
        <w:t>1、本公司承诺，</w:t>
      </w:r>
      <w:r>
        <w:rPr>
          <w:rFonts w:hint="eastAsia" w:asciiTheme="minorEastAsia" w:hAnsiTheme="minorEastAsia" w:eastAsiaTheme="minorEastAsia"/>
          <w:kern w:val="0"/>
          <w:sz w:val="24"/>
          <w:szCs w:val="24"/>
          <w:lang w:val="en-US" w:eastAsia="zh-CN"/>
        </w:rPr>
        <w:t>水产类</w:t>
      </w:r>
      <w:r>
        <w:rPr>
          <w:rFonts w:hint="eastAsia" w:asciiTheme="minorEastAsia" w:hAnsiTheme="minorEastAsia" w:eastAsiaTheme="minorEastAsia"/>
          <w:kern w:val="0"/>
          <w:sz w:val="24"/>
          <w:szCs w:val="24"/>
        </w:rPr>
        <w:t>所有品目平均折扣率（保留小数点后两位）为</w:t>
      </w:r>
      <w:r>
        <w:rPr>
          <w:rFonts w:hint="eastAsia" w:asciiTheme="minorEastAsia" w:hAnsiTheme="minorEastAsia"/>
          <w:kern w:val="0"/>
          <w:sz w:val="24"/>
          <w:szCs w:val="24"/>
          <w:u w:val="single"/>
          <w:lang w:val="en-US" w:eastAsia="zh-CN"/>
        </w:rPr>
        <w:t xml:space="preserve">      </w:t>
      </w:r>
      <w:r>
        <w:rPr>
          <w:rFonts w:hint="eastAsia" w:asciiTheme="minorEastAsia" w:hAnsiTheme="minorEastAsia"/>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2、本公司承诺，</w:t>
      </w:r>
      <w:r>
        <w:rPr>
          <w:rFonts w:hint="eastAsia" w:asciiTheme="minorEastAsia" w:hAnsiTheme="minorEastAsia" w:eastAsiaTheme="minorEastAsia"/>
          <w:kern w:val="0"/>
          <w:sz w:val="24"/>
          <w:szCs w:val="24"/>
          <w:lang w:val="en-US" w:eastAsia="zh-CN"/>
        </w:rPr>
        <w:t>水产类</w:t>
      </w:r>
      <w:r>
        <w:rPr>
          <w:rFonts w:hint="eastAsia" w:asciiTheme="minorEastAsia" w:hAnsiTheme="minorEastAsia" w:eastAsiaTheme="minorEastAsia"/>
          <w:kern w:val="0"/>
          <w:sz w:val="24"/>
          <w:szCs w:val="24"/>
        </w:rPr>
        <w:t>在全年服务期限内，根据采购文件提供的折扣率计算参考价*（1-所投品目平均折扣率），若计算价格低于所投报价，则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3、本公司承诺，入选产品厂家实际包装确无此《报价单》上的规格，按同比例测算采购报价。</w:t>
      </w:r>
    </w:p>
    <w:p>
      <w:pPr>
        <w:widowControl/>
        <w:spacing w:before="100" w:beforeAutospacing="1" w:after="100" w:afterAutospacing="1"/>
        <w:jc w:val="right"/>
        <w:rPr>
          <w:rFonts w:ascii="宋体" w:hAnsi="宋体" w:cs="宋体"/>
          <w:bCs/>
          <w:kern w:val="0"/>
          <w:sz w:val="24"/>
          <w:szCs w:val="24"/>
        </w:rPr>
      </w:pPr>
      <w:r>
        <w:rPr>
          <w:rFonts w:hint="eastAsia" w:ascii="宋体" w:hAnsi="宋体" w:cs="宋体"/>
          <w:bCs/>
          <w:kern w:val="0"/>
          <w:sz w:val="24"/>
          <w:szCs w:val="24"/>
        </w:rPr>
        <w:t>供应商单位（盖章）：</w:t>
      </w:r>
    </w:p>
    <w:p>
      <w:pPr>
        <w:wordWrap w:val="0"/>
        <w:autoSpaceDE w:val="0"/>
        <w:autoSpaceDN w:val="0"/>
        <w:adjustRightInd w:val="0"/>
        <w:jc w:val="right"/>
        <w:rPr>
          <w:rFonts w:ascii="宋体" w:hAnsi="宋体" w:cs="宋体"/>
          <w:bCs/>
          <w:kern w:val="0"/>
          <w:sz w:val="24"/>
          <w:szCs w:val="24"/>
        </w:rPr>
      </w:pPr>
      <w:r>
        <w:rPr>
          <w:rFonts w:hint="eastAsia" w:ascii="宋体" w:hAnsi="宋体" w:cs="宋体"/>
          <w:bCs/>
          <w:kern w:val="0"/>
          <w:sz w:val="24"/>
          <w:szCs w:val="24"/>
        </w:rPr>
        <w:t>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rPr>
          <w:rFonts w:hint="default" w:ascii="宋体" w:hAnsi="宋体" w:cs="宋体"/>
          <w:bCs/>
          <w:kern w:val="0"/>
          <w:szCs w:val="21"/>
          <w:lang w:val="en-US" w:eastAsia="zh-CN"/>
        </w:rPr>
      </w:pPr>
      <w:r>
        <w:rPr>
          <w:rFonts w:hint="default" w:ascii="宋体" w:hAnsi="宋体" w:cs="宋体"/>
          <w:bCs/>
          <w:kern w:val="0"/>
          <w:szCs w:val="21"/>
          <w:lang w:val="en-US" w:eastAsia="zh-CN"/>
        </w:rPr>
        <w:br w:type="page"/>
      </w:r>
    </w:p>
    <w:p>
      <w:pPr>
        <w:rPr>
          <w:rFonts w:hint="eastAsia"/>
          <w:lang w:val="en-US" w:eastAsia="zh-CN"/>
        </w:rPr>
      </w:pPr>
      <w:r>
        <w:rPr>
          <w:rFonts w:hint="eastAsia"/>
          <w:b/>
          <w:bCs/>
          <w:sz w:val="28"/>
          <w:szCs w:val="28"/>
          <w:lang w:val="en-US" w:eastAsia="zh-CN"/>
        </w:rPr>
        <w:t xml:space="preserve">包五：冷鲜肉 </w:t>
      </w:r>
      <w:r>
        <w:rPr>
          <w:rFonts w:hint="eastAsia"/>
          <w:lang w:val="en-US" w:eastAsia="zh-CN"/>
        </w:rPr>
        <w:t xml:space="preserve">                           </w:t>
      </w:r>
    </w:p>
    <w:p>
      <w:pPr>
        <w:widowControl/>
        <w:jc w:val="center"/>
        <w:rPr>
          <w:rFonts w:ascii="宋体" w:hAnsi="宋体" w:cs="宋体"/>
          <w:bCs/>
          <w:kern w:val="0"/>
          <w:sz w:val="28"/>
          <w:szCs w:val="28"/>
          <w:highlight w:val="none"/>
        </w:rPr>
      </w:pPr>
      <w:r>
        <w:rPr>
          <w:rFonts w:hint="eastAsia" w:ascii="宋体" w:hAnsi="宋体" w:cs="宋体"/>
          <w:bCs/>
          <w:kern w:val="0"/>
          <w:sz w:val="28"/>
          <w:szCs w:val="28"/>
          <w:highlight w:val="none"/>
          <w:lang w:val="en-US" w:eastAsia="zh-CN"/>
        </w:rPr>
        <w:t>冷鲜肉</w:t>
      </w:r>
      <w:r>
        <w:rPr>
          <w:rFonts w:hint="eastAsia" w:ascii="宋体" w:hAnsi="宋体" w:cs="宋体"/>
          <w:bCs/>
          <w:kern w:val="0"/>
          <w:sz w:val="28"/>
          <w:szCs w:val="28"/>
          <w:highlight w:val="none"/>
        </w:rPr>
        <w:t>产品报价单1</w:t>
      </w:r>
    </w:p>
    <w:p>
      <w:pPr>
        <w:widowControl/>
        <w:jc w:val="center"/>
        <w:rPr>
          <w:rFonts w:ascii="宋体" w:hAnsi="宋体" w:cs="宋体"/>
          <w:bCs/>
          <w:kern w:val="0"/>
          <w:sz w:val="30"/>
          <w:szCs w:val="30"/>
          <w:highlight w:val="none"/>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单位 500g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86"/>
        <w:gridCol w:w="1572"/>
        <w:gridCol w:w="1108"/>
        <w:gridCol w:w="1272"/>
        <w:gridCol w:w="938"/>
        <w:gridCol w:w="126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0" w:type="auto"/>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0" w:type="auto"/>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品名</w:t>
            </w:r>
          </w:p>
        </w:tc>
        <w:tc>
          <w:tcPr>
            <w:tcW w:w="1572" w:type="dxa"/>
            <w:vAlign w:val="center"/>
          </w:tcPr>
          <w:p>
            <w:pPr>
              <w:widowControl/>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品牌</w:t>
            </w:r>
          </w:p>
        </w:tc>
        <w:tc>
          <w:tcPr>
            <w:tcW w:w="1108" w:type="dxa"/>
            <w:vAlign w:val="center"/>
          </w:tcPr>
          <w:p>
            <w:pPr>
              <w:widowControl/>
              <w:jc w:val="center"/>
              <w:rPr>
                <w:rFonts w:hint="eastAsia" w:ascii="宋体" w:hAnsi="宋体" w:eastAsia="宋体" w:cs="宋体"/>
                <w:bCs/>
                <w:sz w:val="21"/>
                <w:szCs w:val="21"/>
                <w:highlight w:val="none"/>
              </w:rPr>
            </w:pPr>
            <w:r>
              <w:rPr>
                <w:rFonts w:hint="eastAsia" w:ascii="宋体" w:hAnsi="宋体" w:eastAsia="宋体" w:cs="宋体"/>
                <w:bCs/>
                <w:kern w:val="0"/>
                <w:sz w:val="21"/>
                <w:szCs w:val="21"/>
                <w:highlight w:val="none"/>
              </w:rPr>
              <w:t>折扣率计算参考价</w:t>
            </w:r>
            <w:r>
              <w:rPr>
                <w:rFonts w:hint="eastAsia" w:ascii="宋体" w:hAnsi="宋体" w:cs="宋体"/>
                <w:bCs/>
                <w:sz w:val="21"/>
                <w:szCs w:val="21"/>
                <w:highlight w:val="none"/>
              </w:rPr>
              <w:t>（元）</w:t>
            </w:r>
          </w:p>
        </w:tc>
        <w:tc>
          <w:tcPr>
            <w:tcW w:w="1272"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采购报价（元）</w:t>
            </w:r>
          </w:p>
        </w:tc>
        <w:tc>
          <w:tcPr>
            <w:tcW w:w="938"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折扣率</w:t>
            </w:r>
          </w:p>
        </w:tc>
        <w:tc>
          <w:tcPr>
            <w:tcW w:w="0" w:type="auto"/>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平均折扣率</w:t>
            </w:r>
          </w:p>
        </w:tc>
        <w:tc>
          <w:tcPr>
            <w:tcW w:w="0" w:type="auto"/>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1</w:t>
            </w:r>
          </w:p>
        </w:tc>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去骨猪腿肉</w:t>
            </w:r>
          </w:p>
        </w:tc>
        <w:tc>
          <w:tcPr>
            <w:tcW w:w="1572" w:type="dxa"/>
          </w:tcPr>
          <w:p>
            <w:pPr>
              <w:jc w:val="center"/>
              <w:rPr>
                <w:rFonts w:hint="eastAsia" w:ascii="宋体" w:hAnsi="宋体" w:eastAsia="宋体" w:cs="宋体"/>
                <w:sz w:val="21"/>
                <w:szCs w:val="21"/>
                <w:highlight w:val="none"/>
              </w:rPr>
            </w:pPr>
          </w:p>
        </w:tc>
        <w:tc>
          <w:tcPr>
            <w:tcW w:w="110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272"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938"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Merge w:val="restart"/>
            <w:vAlign w:val="center"/>
          </w:tcPr>
          <w:p>
            <w:pPr>
              <w:spacing w:before="100" w:beforeAutospacing="1" w:after="100" w:afterAutospacing="1"/>
              <w:jc w:val="center"/>
              <w:rPr>
                <w:rFonts w:hint="default" w:ascii="宋体" w:hAnsi="宋体" w:eastAsia="宋体" w:cs="宋体"/>
                <w:sz w:val="21"/>
                <w:szCs w:val="21"/>
                <w:highlight w:val="none"/>
                <w:lang w:val="en-US" w:eastAsia="zh-CN"/>
              </w:rPr>
            </w:pPr>
          </w:p>
        </w:tc>
        <w:tc>
          <w:tcPr>
            <w:tcW w:w="0" w:type="auto"/>
            <w:vAlign w:val="center"/>
          </w:tcPr>
          <w:p>
            <w:pPr>
              <w:widowControl/>
              <w:spacing w:before="100" w:beforeAutospacing="1" w:after="100" w:afterAutospacing="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2</w:t>
            </w:r>
          </w:p>
        </w:tc>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五花肉（肋条）</w:t>
            </w:r>
          </w:p>
        </w:tc>
        <w:tc>
          <w:tcPr>
            <w:tcW w:w="1572" w:type="dxa"/>
          </w:tcPr>
          <w:p>
            <w:pPr>
              <w:jc w:val="center"/>
              <w:rPr>
                <w:rFonts w:hint="eastAsia" w:ascii="宋体" w:hAnsi="宋体" w:eastAsia="宋体" w:cs="宋体"/>
                <w:sz w:val="21"/>
                <w:szCs w:val="21"/>
                <w:highlight w:val="none"/>
              </w:rPr>
            </w:pPr>
          </w:p>
        </w:tc>
        <w:tc>
          <w:tcPr>
            <w:tcW w:w="110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14.3</w:t>
            </w:r>
          </w:p>
        </w:tc>
        <w:tc>
          <w:tcPr>
            <w:tcW w:w="1272"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938"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Merge w:val="continue"/>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Align w:val="center"/>
          </w:tcPr>
          <w:p>
            <w:pPr>
              <w:widowControl/>
              <w:spacing w:before="100" w:beforeAutospacing="1" w:after="100" w:afterAutospacing="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3</w:t>
            </w:r>
          </w:p>
        </w:tc>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猪肋排</w:t>
            </w:r>
          </w:p>
        </w:tc>
        <w:tc>
          <w:tcPr>
            <w:tcW w:w="1572" w:type="dxa"/>
          </w:tcPr>
          <w:p>
            <w:pPr>
              <w:jc w:val="center"/>
              <w:rPr>
                <w:rFonts w:hint="eastAsia" w:ascii="宋体" w:hAnsi="宋体" w:eastAsia="宋体" w:cs="宋体"/>
                <w:sz w:val="21"/>
                <w:szCs w:val="21"/>
                <w:highlight w:val="none"/>
              </w:rPr>
            </w:pPr>
          </w:p>
        </w:tc>
        <w:tc>
          <w:tcPr>
            <w:tcW w:w="110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24.9</w:t>
            </w:r>
          </w:p>
        </w:tc>
        <w:tc>
          <w:tcPr>
            <w:tcW w:w="1272"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938"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Merge w:val="continue"/>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Align w:val="center"/>
          </w:tcPr>
          <w:p>
            <w:pPr>
              <w:widowControl/>
              <w:spacing w:before="100" w:beforeAutospacing="1" w:after="100" w:afterAutospacing="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4</w:t>
            </w:r>
          </w:p>
        </w:tc>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精瘦肉</w:t>
            </w:r>
          </w:p>
        </w:tc>
        <w:tc>
          <w:tcPr>
            <w:tcW w:w="1572" w:type="dxa"/>
          </w:tcPr>
          <w:p>
            <w:pPr>
              <w:jc w:val="center"/>
              <w:rPr>
                <w:rFonts w:hint="eastAsia" w:ascii="宋体" w:hAnsi="宋体" w:eastAsia="宋体" w:cs="宋体"/>
                <w:sz w:val="21"/>
                <w:szCs w:val="21"/>
                <w:highlight w:val="none"/>
              </w:rPr>
            </w:pPr>
          </w:p>
        </w:tc>
        <w:tc>
          <w:tcPr>
            <w:tcW w:w="110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14.9</w:t>
            </w:r>
          </w:p>
        </w:tc>
        <w:tc>
          <w:tcPr>
            <w:tcW w:w="1272"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938"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Merge w:val="continue"/>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Align w:val="center"/>
          </w:tcPr>
          <w:p>
            <w:pPr>
              <w:widowControl/>
              <w:spacing w:before="100" w:beforeAutospacing="1" w:after="100" w:afterAutospacing="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5</w:t>
            </w:r>
          </w:p>
        </w:tc>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牛肉（牛腩）</w:t>
            </w:r>
          </w:p>
        </w:tc>
        <w:tc>
          <w:tcPr>
            <w:tcW w:w="1572" w:type="dxa"/>
          </w:tcPr>
          <w:p>
            <w:pPr>
              <w:jc w:val="center"/>
              <w:rPr>
                <w:rFonts w:hint="eastAsia" w:ascii="宋体" w:hAnsi="宋体" w:eastAsia="宋体" w:cs="宋体"/>
                <w:sz w:val="21"/>
                <w:szCs w:val="21"/>
                <w:highlight w:val="none"/>
              </w:rPr>
            </w:pPr>
          </w:p>
        </w:tc>
        <w:tc>
          <w:tcPr>
            <w:tcW w:w="110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45.8</w:t>
            </w:r>
          </w:p>
        </w:tc>
        <w:tc>
          <w:tcPr>
            <w:tcW w:w="1272"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938"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Merge w:val="continue"/>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Align w:val="center"/>
          </w:tcPr>
          <w:p>
            <w:pPr>
              <w:widowControl/>
              <w:spacing w:before="100" w:beforeAutospacing="1" w:after="100" w:afterAutospacing="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6</w:t>
            </w:r>
          </w:p>
        </w:tc>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牛肉（腱子肉）</w:t>
            </w:r>
          </w:p>
        </w:tc>
        <w:tc>
          <w:tcPr>
            <w:tcW w:w="1572" w:type="dxa"/>
          </w:tcPr>
          <w:p>
            <w:pPr>
              <w:jc w:val="center"/>
              <w:rPr>
                <w:rFonts w:hint="eastAsia" w:ascii="宋体" w:hAnsi="宋体" w:eastAsia="宋体" w:cs="宋体"/>
                <w:sz w:val="21"/>
                <w:szCs w:val="21"/>
                <w:highlight w:val="none"/>
              </w:rPr>
            </w:pPr>
          </w:p>
        </w:tc>
        <w:tc>
          <w:tcPr>
            <w:tcW w:w="110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49.3</w:t>
            </w:r>
          </w:p>
        </w:tc>
        <w:tc>
          <w:tcPr>
            <w:tcW w:w="1272"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938"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Merge w:val="continue"/>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Align w:val="center"/>
          </w:tcPr>
          <w:p>
            <w:pPr>
              <w:widowControl/>
              <w:spacing w:before="100" w:beforeAutospacing="1" w:after="100" w:afterAutospacing="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7</w:t>
            </w:r>
          </w:p>
        </w:tc>
        <w:tc>
          <w:tcPr>
            <w:tcW w:w="0" w:type="auto"/>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羊肉（带骨）</w:t>
            </w:r>
          </w:p>
        </w:tc>
        <w:tc>
          <w:tcPr>
            <w:tcW w:w="1572" w:type="dxa"/>
          </w:tcPr>
          <w:p>
            <w:pPr>
              <w:jc w:val="center"/>
              <w:rPr>
                <w:rFonts w:hint="eastAsia" w:ascii="宋体" w:hAnsi="宋体" w:eastAsia="宋体" w:cs="宋体"/>
                <w:sz w:val="21"/>
                <w:szCs w:val="21"/>
                <w:highlight w:val="none"/>
              </w:rPr>
            </w:pPr>
          </w:p>
        </w:tc>
        <w:tc>
          <w:tcPr>
            <w:tcW w:w="1108"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39.1</w:t>
            </w:r>
          </w:p>
        </w:tc>
        <w:tc>
          <w:tcPr>
            <w:tcW w:w="1272"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938" w:type="dxa"/>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Merge w:val="continue"/>
            <w:vAlign w:val="center"/>
          </w:tcPr>
          <w:p>
            <w:pPr>
              <w:spacing w:before="100" w:beforeAutospacing="1" w:after="100" w:afterAutospacing="1"/>
              <w:jc w:val="center"/>
              <w:rPr>
                <w:rFonts w:hint="eastAsia" w:ascii="宋体" w:hAnsi="宋体" w:eastAsia="宋体" w:cs="宋体"/>
                <w:sz w:val="21"/>
                <w:szCs w:val="21"/>
                <w:highlight w:val="none"/>
              </w:rPr>
            </w:pPr>
          </w:p>
        </w:tc>
        <w:tc>
          <w:tcPr>
            <w:tcW w:w="0" w:type="auto"/>
            <w:vAlign w:val="center"/>
          </w:tcPr>
          <w:p>
            <w:pPr>
              <w:widowControl/>
              <w:spacing w:before="100" w:beforeAutospacing="1" w:after="100" w:afterAutospacing="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0" w:type="auto"/>
            <w:gridSpan w:val="2"/>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所投品目平均折扣率</w:t>
            </w:r>
          </w:p>
        </w:tc>
        <w:tc>
          <w:tcPr>
            <w:tcW w:w="0" w:type="auto"/>
            <w:gridSpan w:val="6"/>
            <w:vAlign w:val="center"/>
          </w:tcPr>
          <w:p>
            <w:pPr>
              <w:widowControl/>
              <w:spacing w:before="100" w:beforeAutospacing="1" w:after="100" w:afterAutospacing="1"/>
              <w:jc w:val="center"/>
              <w:rPr>
                <w:rFonts w:hint="eastAsia" w:ascii="宋体" w:hAnsi="宋体" w:eastAsia="宋体" w:cs="宋体"/>
                <w:sz w:val="21"/>
                <w:szCs w:val="21"/>
                <w:highlight w:val="none"/>
              </w:rPr>
            </w:pPr>
          </w:p>
        </w:tc>
      </w:tr>
    </w:tbl>
    <w:p>
      <w:pPr>
        <w:rPr>
          <w:highlight w:val="none"/>
        </w:rPr>
      </w:pPr>
    </w:p>
    <w:p>
      <w:pPr>
        <w:widowControl/>
        <w:jc w:val="center"/>
        <w:rPr>
          <w:rFonts w:ascii="宋体" w:hAnsi="宋体" w:cs="宋体"/>
          <w:bCs/>
          <w:kern w:val="0"/>
          <w:sz w:val="28"/>
          <w:szCs w:val="28"/>
          <w:highlight w:val="none"/>
        </w:rPr>
      </w:pPr>
      <w:r>
        <w:rPr>
          <w:rFonts w:hint="eastAsia" w:ascii="宋体" w:hAnsi="宋体" w:cs="宋体"/>
          <w:bCs/>
          <w:kern w:val="0"/>
          <w:sz w:val="28"/>
          <w:szCs w:val="28"/>
          <w:highlight w:val="none"/>
          <w:lang w:val="en-US" w:eastAsia="zh-CN"/>
        </w:rPr>
        <w:t>冷鲜肉</w:t>
      </w:r>
      <w:r>
        <w:rPr>
          <w:rFonts w:hint="eastAsia" w:ascii="宋体" w:hAnsi="宋体" w:cs="宋体"/>
          <w:bCs/>
          <w:kern w:val="0"/>
          <w:sz w:val="28"/>
          <w:szCs w:val="28"/>
          <w:highlight w:val="none"/>
        </w:rPr>
        <w:t>产品报价单2</w:t>
      </w:r>
    </w:p>
    <w:p>
      <w:pPr>
        <w:widowControl/>
        <w:jc w:val="center"/>
        <w:rPr>
          <w:rFonts w:ascii="宋体" w:hAnsi="宋体" w:cs="宋体"/>
          <w:bCs/>
          <w:kern w:val="0"/>
          <w:sz w:val="30"/>
          <w:szCs w:val="30"/>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单位 500g </w:t>
      </w:r>
      <w:r>
        <w:rPr>
          <w:rFonts w:hint="eastAsia" w:ascii="宋体" w:hAnsi="宋体" w:cs="宋体"/>
          <w:bCs/>
          <w:kern w:val="0"/>
          <w:szCs w:val="21"/>
        </w:rPr>
        <w:t xml:space="preserve"> ）</w:t>
      </w:r>
    </w:p>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97"/>
        <w:gridCol w:w="1030"/>
        <w:gridCol w:w="1249"/>
        <w:gridCol w:w="1041"/>
        <w:gridCol w:w="990"/>
        <w:gridCol w:w="125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0" w:type="auto"/>
            <w:vAlign w:val="center"/>
          </w:tcPr>
          <w:p>
            <w:pPr>
              <w:widowControl/>
              <w:jc w:val="center"/>
              <w:rPr>
                <w:rFonts w:cs="Calibri"/>
                <w:kern w:val="0"/>
                <w:sz w:val="21"/>
                <w:szCs w:val="21"/>
              </w:rPr>
            </w:pPr>
            <w:r>
              <w:rPr>
                <w:rFonts w:hint="eastAsia" w:cs="宋体" w:asciiTheme="minorEastAsia" w:hAnsiTheme="minorEastAsia"/>
                <w:sz w:val="21"/>
                <w:szCs w:val="21"/>
              </w:rPr>
              <w:t>序号</w:t>
            </w:r>
          </w:p>
        </w:tc>
        <w:tc>
          <w:tcPr>
            <w:tcW w:w="0" w:type="auto"/>
            <w:vAlign w:val="center"/>
          </w:tcPr>
          <w:p>
            <w:pPr>
              <w:widowControl/>
              <w:jc w:val="center"/>
              <w:rPr>
                <w:rFonts w:ascii="宋体" w:hAnsi="宋体" w:cs="宋体"/>
                <w:kern w:val="0"/>
                <w:sz w:val="21"/>
                <w:szCs w:val="21"/>
              </w:rPr>
            </w:pPr>
            <w:r>
              <w:rPr>
                <w:rFonts w:hint="eastAsia" w:cs="宋体" w:asciiTheme="minorEastAsia" w:hAnsiTheme="minorEastAsia"/>
                <w:sz w:val="21"/>
                <w:szCs w:val="21"/>
              </w:rPr>
              <w:t>品名</w:t>
            </w:r>
          </w:p>
        </w:tc>
        <w:tc>
          <w:tcPr>
            <w:tcW w:w="1030" w:type="dxa"/>
            <w:vAlign w:val="center"/>
          </w:tcPr>
          <w:p>
            <w:pPr>
              <w:widowControl/>
              <w:jc w:val="center"/>
              <w:rPr>
                <w:rFonts w:ascii="宋体" w:hAnsi="宋体" w:cs="宋体"/>
                <w:sz w:val="21"/>
                <w:szCs w:val="21"/>
              </w:rPr>
            </w:pPr>
            <w:r>
              <w:rPr>
                <w:rFonts w:hint="eastAsia" w:cs="宋体" w:asciiTheme="minorEastAsia" w:hAnsiTheme="minorEastAsia"/>
                <w:bCs/>
                <w:kern w:val="0"/>
                <w:sz w:val="21"/>
                <w:szCs w:val="21"/>
              </w:rPr>
              <w:t>品牌</w:t>
            </w:r>
          </w:p>
        </w:tc>
        <w:tc>
          <w:tcPr>
            <w:tcW w:w="1249" w:type="dxa"/>
            <w:vAlign w:val="center"/>
          </w:tcPr>
          <w:p>
            <w:pPr>
              <w:widowControl/>
              <w:jc w:val="center"/>
              <w:rPr>
                <w:rFonts w:ascii="宋体" w:hAnsi="宋体" w:cs="宋体"/>
                <w:sz w:val="21"/>
                <w:szCs w:val="21"/>
              </w:rPr>
            </w:pPr>
            <w:r>
              <w:rPr>
                <w:rFonts w:hint="eastAsia" w:cs="宋体" w:asciiTheme="minorEastAsia" w:hAnsiTheme="minorEastAsia"/>
                <w:bCs/>
                <w:kern w:val="0"/>
                <w:sz w:val="21"/>
                <w:szCs w:val="21"/>
              </w:rPr>
              <w:t>折扣率计算参考价</w:t>
            </w:r>
            <w:r>
              <w:rPr>
                <w:rFonts w:hint="eastAsia" w:ascii="宋体" w:hAnsi="宋体" w:cs="宋体"/>
                <w:bCs/>
                <w:sz w:val="21"/>
                <w:szCs w:val="21"/>
              </w:rPr>
              <w:t>（元）</w:t>
            </w:r>
          </w:p>
        </w:tc>
        <w:tc>
          <w:tcPr>
            <w:tcW w:w="1041" w:type="dxa"/>
            <w:vAlign w:val="center"/>
          </w:tcPr>
          <w:p>
            <w:pPr>
              <w:jc w:val="center"/>
              <w:rPr>
                <w:rFonts w:cs="宋体" w:asciiTheme="minorEastAsia" w:hAnsiTheme="minorEastAsia"/>
                <w:sz w:val="21"/>
                <w:szCs w:val="21"/>
              </w:rPr>
            </w:pPr>
            <w:r>
              <w:rPr>
                <w:rFonts w:hint="eastAsia" w:ascii="宋体" w:hAnsi="宋体" w:cs="宋体"/>
                <w:bCs/>
                <w:sz w:val="21"/>
                <w:szCs w:val="21"/>
              </w:rPr>
              <w:t>采购报价（元）</w:t>
            </w:r>
          </w:p>
        </w:tc>
        <w:tc>
          <w:tcPr>
            <w:tcW w:w="990" w:type="dxa"/>
            <w:vAlign w:val="center"/>
          </w:tcPr>
          <w:p>
            <w:pPr>
              <w:jc w:val="center"/>
              <w:rPr>
                <w:rFonts w:cs="宋体" w:asciiTheme="minorEastAsia" w:hAnsiTheme="minorEastAsia"/>
                <w:sz w:val="21"/>
                <w:szCs w:val="21"/>
              </w:rPr>
            </w:pPr>
            <w:r>
              <w:rPr>
                <w:rFonts w:hint="eastAsia" w:ascii="宋体" w:hAnsi="宋体" w:cs="宋体"/>
                <w:bCs/>
                <w:sz w:val="21"/>
                <w:szCs w:val="21"/>
              </w:rPr>
              <w:t>折扣率</w:t>
            </w:r>
          </w:p>
        </w:tc>
        <w:tc>
          <w:tcPr>
            <w:tcW w:w="1250" w:type="dxa"/>
            <w:vAlign w:val="center"/>
          </w:tcPr>
          <w:p>
            <w:pPr>
              <w:jc w:val="center"/>
              <w:rPr>
                <w:rFonts w:cs="宋体" w:asciiTheme="minorEastAsia" w:hAnsiTheme="minorEastAsia"/>
                <w:sz w:val="21"/>
                <w:szCs w:val="21"/>
              </w:rPr>
            </w:pPr>
            <w:r>
              <w:rPr>
                <w:rFonts w:hint="eastAsia" w:ascii="宋体" w:hAnsi="宋体" w:cs="宋体"/>
                <w:bCs/>
                <w:sz w:val="21"/>
                <w:szCs w:val="21"/>
              </w:rPr>
              <w:t>平均折扣率</w:t>
            </w:r>
          </w:p>
        </w:tc>
        <w:tc>
          <w:tcPr>
            <w:tcW w:w="735" w:type="dxa"/>
            <w:vAlign w:val="center"/>
          </w:tcPr>
          <w:p>
            <w:pPr>
              <w:widowControl/>
              <w:jc w:val="center"/>
              <w:rPr>
                <w:rFonts w:cs="宋体" w:asciiTheme="minorEastAsia" w:hAnsiTheme="minorEastAsia"/>
                <w:sz w:val="21"/>
                <w:szCs w:val="21"/>
              </w:rPr>
            </w:pPr>
            <w:r>
              <w:rPr>
                <w:rFonts w:hint="eastAsia" w:cs="宋体" w:asciiTheme="minorEastAsia" w:hAnsi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8</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猪梅条肉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25.0</w:t>
            </w:r>
          </w:p>
        </w:tc>
        <w:tc>
          <w:tcPr>
            <w:tcW w:w="1041" w:type="dxa"/>
            <w:vAlign w:val="center"/>
          </w:tcPr>
          <w:p>
            <w:pPr>
              <w:spacing w:before="100" w:beforeAutospacing="1" w:after="100" w:afterAutospacing="1"/>
              <w:jc w:val="center"/>
              <w:rPr>
                <w:rFonts w:cs="宋体" w:asciiTheme="minorEastAsia" w:hAnsiTheme="minorEastAsia"/>
                <w:sz w:val="21"/>
                <w:szCs w:val="21"/>
              </w:rPr>
            </w:pPr>
          </w:p>
        </w:tc>
        <w:tc>
          <w:tcPr>
            <w:tcW w:w="990" w:type="dxa"/>
            <w:vAlign w:val="center"/>
          </w:tcPr>
          <w:p>
            <w:pPr>
              <w:spacing w:before="100" w:beforeAutospacing="1" w:after="100" w:afterAutospacing="1"/>
              <w:jc w:val="center"/>
              <w:rPr>
                <w:rFonts w:cs="宋体" w:asciiTheme="minorEastAsia" w:hAnsiTheme="minorEastAsia"/>
                <w:sz w:val="21"/>
                <w:szCs w:val="21"/>
              </w:rPr>
            </w:pPr>
          </w:p>
        </w:tc>
        <w:tc>
          <w:tcPr>
            <w:tcW w:w="1250" w:type="dxa"/>
            <w:vMerge w:val="restart"/>
            <w:vAlign w:val="center"/>
          </w:tcPr>
          <w:p>
            <w:pPr>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9</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猪里脊肉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20.0</w:t>
            </w:r>
          </w:p>
        </w:tc>
        <w:tc>
          <w:tcPr>
            <w:tcW w:w="1041" w:type="dxa"/>
            <w:vAlign w:val="center"/>
          </w:tcPr>
          <w:p>
            <w:pPr>
              <w:spacing w:before="100" w:beforeAutospacing="1" w:after="100" w:afterAutospacing="1"/>
              <w:jc w:val="center"/>
              <w:rPr>
                <w:rFonts w:cs="宋体" w:asciiTheme="minorEastAsia" w:hAnsiTheme="minorEastAsia"/>
                <w:sz w:val="21"/>
                <w:szCs w:val="21"/>
              </w:rPr>
            </w:pPr>
          </w:p>
        </w:tc>
        <w:tc>
          <w:tcPr>
            <w:tcW w:w="990" w:type="dxa"/>
            <w:vAlign w:val="center"/>
          </w:tcPr>
          <w:p>
            <w:pPr>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10</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猪夹心肉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18.5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11</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猪前腿夹心肉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17.5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12</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去皮猪前腿肉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15.5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13</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去皮猪后腿肉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16.0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14</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去皮猪五花肉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17.5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15</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带皮猪前腿肉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16</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带皮猪后腿肉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15.5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17</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带皮猪五花肉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17.0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18</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鲜猪大排</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16.0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19</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鲜猪小排</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19.0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20</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仔排</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32.0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21</w:t>
            </w:r>
          </w:p>
        </w:tc>
        <w:tc>
          <w:tcPr>
            <w:tcW w:w="0" w:type="auto"/>
            <w:vAlign w:val="center"/>
          </w:tcPr>
          <w:p>
            <w:pPr>
              <w:widowControl/>
              <w:jc w:val="center"/>
              <w:textAlignment w:val="center"/>
              <w:rPr>
                <w:rFonts w:ascii="宋体" w:hAnsi="宋体" w:cs="宋体"/>
                <w:sz w:val="21"/>
                <w:szCs w:val="21"/>
              </w:rPr>
            </w:pPr>
            <w:r>
              <w:rPr>
                <w:rFonts w:cs="Calibri"/>
                <w:kern w:val="0"/>
                <w:sz w:val="21"/>
                <w:szCs w:val="21"/>
              </w:rPr>
              <w:t>2:8</w:t>
            </w:r>
            <w:r>
              <w:rPr>
                <w:rFonts w:hint="eastAsia" w:ascii="宋体" w:hAnsi="宋体" w:cs="宋体"/>
                <w:kern w:val="0"/>
                <w:sz w:val="21"/>
                <w:szCs w:val="21"/>
              </w:rPr>
              <w:t>肉末（猪肉）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13.0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22</w:t>
            </w:r>
          </w:p>
        </w:tc>
        <w:tc>
          <w:tcPr>
            <w:tcW w:w="0" w:type="auto"/>
            <w:vAlign w:val="center"/>
          </w:tcPr>
          <w:p>
            <w:pPr>
              <w:widowControl/>
              <w:jc w:val="center"/>
              <w:textAlignment w:val="center"/>
              <w:rPr>
                <w:rFonts w:ascii="宋体" w:hAnsi="宋体" w:cs="宋体"/>
                <w:sz w:val="21"/>
                <w:szCs w:val="21"/>
              </w:rPr>
            </w:pPr>
            <w:r>
              <w:rPr>
                <w:rFonts w:cs="Calibri"/>
                <w:kern w:val="0"/>
                <w:sz w:val="21"/>
                <w:szCs w:val="21"/>
              </w:rPr>
              <w:t>3:7</w:t>
            </w:r>
            <w:r>
              <w:rPr>
                <w:rFonts w:hint="eastAsia" w:ascii="宋体" w:hAnsi="宋体" w:cs="宋体"/>
                <w:kern w:val="0"/>
                <w:sz w:val="21"/>
                <w:szCs w:val="21"/>
              </w:rPr>
              <w:t>肉末（猪肉）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12.0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23</w:t>
            </w:r>
          </w:p>
        </w:tc>
        <w:tc>
          <w:tcPr>
            <w:tcW w:w="0" w:type="auto"/>
            <w:vAlign w:val="center"/>
          </w:tcPr>
          <w:p>
            <w:pPr>
              <w:widowControl/>
              <w:jc w:val="center"/>
              <w:textAlignment w:val="center"/>
              <w:rPr>
                <w:rFonts w:ascii="宋体" w:hAnsi="宋体" w:cs="宋体"/>
                <w:sz w:val="21"/>
                <w:szCs w:val="21"/>
              </w:rPr>
            </w:pPr>
            <w:r>
              <w:rPr>
                <w:rFonts w:cs="Calibri"/>
                <w:kern w:val="0"/>
                <w:sz w:val="21"/>
                <w:szCs w:val="21"/>
              </w:rPr>
              <w:t>4:6</w:t>
            </w:r>
            <w:r>
              <w:rPr>
                <w:rFonts w:hint="eastAsia" w:ascii="宋体" w:hAnsi="宋体" w:cs="宋体"/>
                <w:kern w:val="0"/>
                <w:sz w:val="21"/>
                <w:szCs w:val="21"/>
              </w:rPr>
              <w:t>肉末（猪肉）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11.5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24</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筒子骨</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25</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蹄髈</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14.0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26</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带筋猪蹄</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28.0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27</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猪耳朵</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28</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猪尾巴</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40.0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29</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猪尾骨</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11.0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30</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猪舌</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28.0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31</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猪肝</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32</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生猪肚</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33</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猪心</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12.0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34</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猪腰（去内筋）</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35</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猪腰（整）</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28.0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36</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猪板油</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37</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生猪油网油</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12.0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38</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肥膘</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39</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牛腿肉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45.0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40</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牛里脊</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50.0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41</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牛柳</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50.0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42</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牛肉末</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44.0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43</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牛骨头</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44</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牛尾骨</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60.0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45</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牛百叶（白）</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46</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牛百叶（黑）</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33.0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47</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羊肉（去骨）</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40.0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48</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带皮羊腿</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49</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带皮羊肉</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38.5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50</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羊小排</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39.5</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51</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羊仔排</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45.0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52</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战斧羊排</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75.0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53</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羊棒骨</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54</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羊蝎子</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35.0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55</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生羊肚</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48.0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0" w:type="auto"/>
            <w:vAlign w:val="center"/>
          </w:tcPr>
          <w:p>
            <w:pPr>
              <w:widowControl/>
              <w:jc w:val="center"/>
              <w:textAlignment w:val="center"/>
              <w:rPr>
                <w:rFonts w:ascii="宋体" w:hAnsi="宋体" w:cs="宋体"/>
                <w:sz w:val="21"/>
                <w:szCs w:val="21"/>
              </w:rPr>
            </w:pPr>
            <w:r>
              <w:rPr>
                <w:rFonts w:cs="Calibri"/>
                <w:kern w:val="0"/>
                <w:sz w:val="21"/>
                <w:szCs w:val="21"/>
              </w:rPr>
              <w:t>56</w:t>
            </w:r>
          </w:p>
        </w:tc>
        <w:tc>
          <w:tcPr>
            <w:tcW w:w="0" w:type="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羊尾油</w:t>
            </w:r>
          </w:p>
        </w:tc>
        <w:tc>
          <w:tcPr>
            <w:tcW w:w="1030" w:type="dxa"/>
          </w:tcPr>
          <w:p>
            <w:pPr>
              <w:jc w:val="center"/>
              <w:rPr>
                <w:rFonts w:ascii="宋体" w:hAnsi="宋体" w:cs="宋体"/>
                <w:sz w:val="21"/>
                <w:szCs w:val="21"/>
              </w:rPr>
            </w:pPr>
          </w:p>
        </w:tc>
        <w:tc>
          <w:tcPr>
            <w:tcW w:w="1249" w:type="dxa"/>
            <w:vAlign w:val="center"/>
          </w:tcPr>
          <w:p>
            <w:pPr>
              <w:jc w:val="center"/>
              <w:rPr>
                <w:rFonts w:ascii="宋体" w:hAnsi="宋体" w:cs="宋体"/>
                <w:sz w:val="21"/>
                <w:szCs w:val="21"/>
              </w:rPr>
            </w:pPr>
            <w:r>
              <w:rPr>
                <w:rFonts w:hint="eastAsia" w:ascii="宋体" w:hAnsi="宋体" w:cs="宋体"/>
                <w:sz w:val="21"/>
                <w:szCs w:val="21"/>
              </w:rPr>
              <w:t>13.0</w:t>
            </w:r>
          </w:p>
        </w:tc>
        <w:tc>
          <w:tcPr>
            <w:tcW w:w="1041" w:type="dxa"/>
            <w:vAlign w:val="center"/>
          </w:tcPr>
          <w:p>
            <w:pPr>
              <w:widowControl/>
              <w:spacing w:before="100" w:beforeAutospacing="1" w:after="100" w:afterAutospacing="1"/>
              <w:jc w:val="center"/>
              <w:rPr>
                <w:rFonts w:cs="宋体" w:asciiTheme="minorEastAsia" w:hAnsiTheme="minorEastAsia"/>
                <w:sz w:val="21"/>
                <w:szCs w:val="21"/>
              </w:rPr>
            </w:pPr>
          </w:p>
        </w:tc>
        <w:tc>
          <w:tcPr>
            <w:tcW w:w="990" w:type="dxa"/>
            <w:vAlign w:val="center"/>
          </w:tcPr>
          <w:p>
            <w:pPr>
              <w:widowControl/>
              <w:spacing w:before="100" w:beforeAutospacing="1" w:after="100" w:afterAutospacing="1"/>
              <w:jc w:val="center"/>
              <w:rPr>
                <w:rFonts w:cs="宋体" w:asciiTheme="minorEastAsia" w:hAnsiTheme="minorEastAsia"/>
                <w:sz w:val="21"/>
                <w:szCs w:val="21"/>
              </w:rPr>
            </w:pPr>
          </w:p>
        </w:tc>
        <w:tc>
          <w:tcPr>
            <w:tcW w:w="1250" w:type="dxa"/>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735" w:type="dxa"/>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0" w:type="auto"/>
            <w:gridSpan w:val="2"/>
            <w:vAlign w:val="center"/>
          </w:tcPr>
          <w:p>
            <w:pPr>
              <w:jc w:val="center"/>
              <w:rPr>
                <w:rFonts w:ascii="宋体" w:hAnsi="宋体" w:cs="宋体"/>
                <w:sz w:val="21"/>
                <w:szCs w:val="21"/>
              </w:rPr>
            </w:pPr>
            <w:r>
              <w:rPr>
                <w:rFonts w:hint="eastAsia" w:ascii="宋体" w:hAnsi="宋体" w:cs="宋体"/>
                <w:bCs/>
                <w:kern w:val="0"/>
                <w:sz w:val="21"/>
                <w:szCs w:val="21"/>
              </w:rPr>
              <w:t>所投品目平均折扣率</w:t>
            </w:r>
          </w:p>
        </w:tc>
        <w:tc>
          <w:tcPr>
            <w:tcW w:w="0" w:type="auto"/>
            <w:gridSpan w:val="6"/>
          </w:tcPr>
          <w:p>
            <w:pPr>
              <w:widowControl/>
              <w:spacing w:before="100" w:beforeAutospacing="1" w:after="100" w:afterAutospacing="1"/>
              <w:jc w:val="center"/>
              <w:rPr>
                <w:rFonts w:cs="宋体" w:asciiTheme="minorEastAsia" w:hAnsiTheme="minorEastAsia"/>
                <w:sz w:val="21"/>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b/>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本公司承诺，</w:t>
      </w:r>
      <w:r>
        <w:rPr>
          <w:rFonts w:hint="eastAsia" w:asciiTheme="minorEastAsia" w:hAnsiTheme="minorEastAsia"/>
          <w:kern w:val="0"/>
          <w:sz w:val="24"/>
          <w:szCs w:val="24"/>
          <w:lang w:val="en-US" w:eastAsia="zh-CN"/>
        </w:rPr>
        <w:t>冷鲜肉</w:t>
      </w:r>
      <w:r>
        <w:rPr>
          <w:rFonts w:hint="eastAsia" w:asciiTheme="minorEastAsia" w:hAnsiTheme="minorEastAsia" w:eastAsiaTheme="minorEastAsia"/>
          <w:kern w:val="0"/>
          <w:sz w:val="24"/>
          <w:szCs w:val="24"/>
        </w:rPr>
        <w:t>1-7项所投品目平均折扣率（保留小数点后两位）为，8-56项所投品目平均折扣率（保留小数点后两位）为。</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本公司承诺，</w:t>
      </w:r>
      <w:r>
        <w:rPr>
          <w:rFonts w:hint="eastAsia" w:asciiTheme="minorEastAsia" w:hAnsiTheme="minorEastAsia"/>
          <w:kern w:val="0"/>
          <w:sz w:val="24"/>
          <w:szCs w:val="24"/>
          <w:lang w:val="en-US" w:eastAsia="zh-CN"/>
        </w:rPr>
        <w:t>冷鲜肉</w:t>
      </w:r>
      <w:r>
        <w:rPr>
          <w:rFonts w:hint="eastAsia" w:asciiTheme="minorEastAsia" w:hAnsiTheme="minorEastAsia" w:eastAsiaTheme="minorEastAsia"/>
          <w:kern w:val="0"/>
          <w:sz w:val="24"/>
          <w:szCs w:val="24"/>
        </w:rPr>
        <w:t>（品目8—56项）全年服务期限内，根据采购文件提供的折扣率计算参考价*（1-</w:t>
      </w:r>
      <w:r>
        <w:rPr>
          <w:rFonts w:hint="eastAsia" w:asciiTheme="minorEastAsia" w:hAnsiTheme="minorEastAsia" w:eastAsiaTheme="minorEastAsia"/>
          <w:kern w:val="0"/>
          <w:sz w:val="24"/>
          <w:szCs w:val="24"/>
          <w:lang w:val="en-US" w:eastAsia="zh-CN"/>
        </w:rPr>
        <w:t>冷鲜肉</w:t>
      </w:r>
      <w:r>
        <w:rPr>
          <w:rFonts w:hint="eastAsia" w:asciiTheme="minorEastAsia" w:hAnsiTheme="minorEastAsia" w:eastAsiaTheme="minorEastAsia"/>
          <w:kern w:val="0"/>
          <w:sz w:val="24"/>
          <w:szCs w:val="24"/>
        </w:rPr>
        <w:t>（品目8—56项）平均折扣率），若计算价格低于所投报价，则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w:t>
      </w:r>
      <w:r>
        <w:rPr>
          <w:rFonts w:hint="eastAsia" w:asciiTheme="minorEastAsia" w:hAnsiTheme="minorEastAsia" w:eastAsiaTheme="minorEastAsia"/>
          <w:kern w:val="0"/>
          <w:sz w:val="24"/>
          <w:szCs w:val="24"/>
          <w:lang w:val="en-US" w:eastAsia="zh-CN"/>
        </w:rPr>
        <w:t>冷鲜肉</w:t>
      </w:r>
      <w:r>
        <w:rPr>
          <w:rFonts w:hint="eastAsia" w:asciiTheme="minorEastAsia" w:hAnsiTheme="minorEastAsia" w:eastAsiaTheme="minorEastAsia"/>
          <w:kern w:val="0"/>
          <w:sz w:val="24"/>
          <w:szCs w:val="24"/>
        </w:rPr>
        <w:t>（品目8—56项）所投品目平均折扣率）”的价格为执行价；若计算价格高于等于所投报价，则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3、本公司承诺，</w:t>
      </w:r>
      <w:r>
        <w:rPr>
          <w:rFonts w:hint="eastAsia" w:asciiTheme="minorEastAsia" w:hAnsiTheme="minorEastAsia" w:eastAsiaTheme="minorEastAsia"/>
          <w:kern w:val="0"/>
          <w:sz w:val="24"/>
          <w:szCs w:val="24"/>
          <w:lang w:val="en-US" w:eastAsia="zh-CN"/>
        </w:rPr>
        <w:t>冷鲜肉</w:t>
      </w:r>
      <w:r>
        <w:rPr>
          <w:rFonts w:hint="eastAsia" w:asciiTheme="minorEastAsia" w:hAnsiTheme="minorEastAsia" w:eastAsiaTheme="minorEastAsia"/>
          <w:kern w:val="0"/>
          <w:sz w:val="24"/>
          <w:szCs w:val="24"/>
        </w:rPr>
        <w:t>品目1-7项在一定周期内（月），以南京市发改委网站公布的月平均价格乘以所报（1-</w:t>
      </w:r>
      <w:r>
        <w:rPr>
          <w:rFonts w:hint="eastAsia" w:asciiTheme="minorEastAsia" w:hAnsiTheme="minorEastAsia" w:eastAsiaTheme="minorEastAsia"/>
          <w:kern w:val="0"/>
          <w:sz w:val="24"/>
          <w:szCs w:val="24"/>
          <w:lang w:val="en-US" w:eastAsia="zh-CN"/>
        </w:rPr>
        <w:t>冷鲜肉</w:t>
      </w:r>
      <w:r>
        <w:rPr>
          <w:rFonts w:hint="eastAsia" w:asciiTheme="minorEastAsia" w:hAnsiTheme="minorEastAsia" w:eastAsiaTheme="minorEastAsia"/>
          <w:kern w:val="0"/>
          <w:sz w:val="24"/>
          <w:szCs w:val="24"/>
        </w:rPr>
        <w:t>品目1-7项所投品目平均折扣率）作为结算价，若结算价格高于南京市发改委网站公布的月平均价格*（1-所投品目折扣率）的价格，则按照南京市发改委网站公布的月平均价格*（1-所投品目折扣率）作为结算价。</w:t>
      </w:r>
    </w:p>
    <w:p>
      <w:pPr>
        <w:widowControl/>
        <w:spacing w:before="100" w:beforeAutospacing="1" w:after="100" w:afterAutospacing="1"/>
        <w:jc w:val="left"/>
        <w:rPr>
          <w:rFonts w:cs="宋体" w:asciiTheme="minorEastAsia" w:hAnsiTheme="minorEastAsia"/>
          <w:kern w:val="0"/>
          <w:sz w:val="24"/>
          <w:szCs w:val="24"/>
        </w:rPr>
      </w:pPr>
    </w:p>
    <w:p>
      <w:pPr>
        <w:widowControl/>
        <w:spacing w:before="100" w:beforeAutospacing="1" w:after="100" w:afterAutospacing="1"/>
        <w:jc w:val="right"/>
        <w:rPr>
          <w:rFonts w:ascii="宋体" w:hAnsi="宋体" w:cs="宋体"/>
          <w:bCs/>
          <w:kern w:val="0"/>
          <w:sz w:val="24"/>
          <w:szCs w:val="24"/>
        </w:rPr>
      </w:pPr>
      <w:r>
        <w:rPr>
          <w:rFonts w:hint="eastAsia" w:ascii="宋体" w:hAnsi="宋体" w:cs="宋体"/>
          <w:bCs/>
          <w:kern w:val="0"/>
          <w:sz w:val="24"/>
          <w:szCs w:val="24"/>
        </w:rPr>
        <w:t>供应商单位（盖章）：</w:t>
      </w:r>
    </w:p>
    <w:p>
      <w:pPr>
        <w:jc w:val="right"/>
        <w:rPr>
          <w:rFonts w:hint="eastAsia" w:ascii="宋体" w:hAnsi="宋体" w:cs="宋体"/>
          <w:bCs/>
          <w:kern w:val="0"/>
          <w:szCs w:val="21"/>
        </w:rPr>
      </w:pP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rPr>
          <w:rFonts w:hint="default"/>
          <w:lang w:val="en-US" w:eastAsia="zh-CN"/>
        </w:rPr>
      </w:pPr>
      <w:r>
        <w:rPr>
          <w:rFonts w:hint="default"/>
          <w:lang w:val="en-US" w:eastAsia="zh-CN"/>
        </w:rPr>
        <w:br w:type="page"/>
      </w:r>
    </w:p>
    <w:p>
      <w:pPr>
        <w:rPr>
          <w:rFonts w:hint="default"/>
          <w:b/>
          <w:bCs/>
          <w:sz w:val="28"/>
          <w:szCs w:val="28"/>
          <w:lang w:val="en-US" w:eastAsia="zh-CN"/>
        </w:rPr>
      </w:pPr>
      <w:r>
        <w:rPr>
          <w:rFonts w:hint="eastAsia"/>
          <w:b/>
          <w:bCs/>
          <w:sz w:val="28"/>
          <w:szCs w:val="28"/>
          <w:lang w:val="en-US" w:eastAsia="zh-CN"/>
        </w:rPr>
        <w:t>包六：冷冻制品及冷冻家禽</w:t>
      </w:r>
    </w:p>
    <w:p>
      <w:pPr>
        <w:jc w:val="center"/>
        <w:rPr>
          <w:rFonts w:hint="eastAsia"/>
          <w:sz w:val="28"/>
          <w:szCs w:val="28"/>
          <w:highlight w:val="none"/>
          <w:lang w:val="en-US" w:eastAsia="zh-CN"/>
        </w:rPr>
      </w:pPr>
      <w:r>
        <w:rPr>
          <w:rFonts w:hint="eastAsia"/>
          <w:sz w:val="28"/>
          <w:szCs w:val="28"/>
          <w:highlight w:val="none"/>
          <w:lang w:val="en-US" w:eastAsia="zh-CN"/>
        </w:rPr>
        <w:t>冷冻制品及冷冻家禽产品报价单</w:t>
      </w:r>
    </w:p>
    <w:p>
      <w:pPr>
        <w:jc w:val="center"/>
        <w:rPr>
          <w:rFonts w:hint="eastAsia" w:ascii="宋体" w:hAnsi="宋体" w:cs="宋体"/>
          <w:bCs/>
          <w:kern w:val="0"/>
          <w:szCs w:val="21"/>
          <w:highlight w:val="none"/>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单位 </w:t>
      </w:r>
      <w:r>
        <w:rPr>
          <w:rFonts w:hint="eastAsia" w:ascii="宋体" w:hAnsi="宋体" w:cs="宋体"/>
          <w:bCs/>
          <w:kern w:val="0"/>
          <w:szCs w:val="21"/>
          <w:highlight w:val="none"/>
          <w:lang w:val="en-US" w:eastAsia="zh-CN"/>
        </w:rPr>
        <w:t>500g</w:t>
      </w:r>
      <w:r>
        <w:rPr>
          <w:rFonts w:hint="eastAsia" w:ascii="宋体" w:hAnsi="宋体" w:cs="宋体"/>
          <w:bCs/>
          <w:kern w:val="0"/>
          <w:szCs w:val="21"/>
          <w:highlight w:val="none"/>
        </w:rPr>
        <w:t>）</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585"/>
        <w:gridCol w:w="1737"/>
        <w:gridCol w:w="1559"/>
        <w:gridCol w:w="1317"/>
        <w:gridCol w:w="1003"/>
        <w:gridCol w:w="76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362"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序号</w:t>
            </w:r>
          </w:p>
        </w:tc>
        <w:tc>
          <w:tcPr>
            <w:tcW w:w="853"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品名</w:t>
            </w:r>
          </w:p>
        </w:tc>
        <w:tc>
          <w:tcPr>
            <w:tcW w:w="935" w:type="pct"/>
            <w:vAlign w:val="center"/>
          </w:tcPr>
          <w:p>
            <w:pPr>
              <w:widowControl/>
              <w:jc w:val="center"/>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品牌</w:t>
            </w:r>
          </w:p>
        </w:tc>
        <w:tc>
          <w:tcPr>
            <w:tcW w:w="839" w:type="pct"/>
            <w:vAlign w:val="center"/>
          </w:tcPr>
          <w:p>
            <w:pPr>
              <w:widowControl/>
              <w:jc w:val="center"/>
              <w:rPr>
                <w:rFonts w:ascii="宋体" w:hAnsi="宋体" w:cs="宋体"/>
                <w:bCs/>
                <w:sz w:val="21"/>
                <w:szCs w:val="21"/>
                <w:highlight w:val="none"/>
              </w:rPr>
            </w:pPr>
            <w:r>
              <w:rPr>
                <w:rFonts w:hint="eastAsia" w:cs="宋体" w:asciiTheme="minorEastAsia" w:hAnsiTheme="minorEastAsia"/>
                <w:bCs/>
                <w:kern w:val="0"/>
                <w:sz w:val="21"/>
                <w:szCs w:val="21"/>
                <w:highlight w:val="none"/>
              </w:rPr>
              <w:t>折扣率计算参考价</w:t>
            </w:r>
            <w:r>
              <w:rPr>
                <w:rFonts w:hint="eastAsia" w:ascii="宋体" w:hAnsi="宋体" w:cs="宋体"/>
                <w:bCs/>
                <w:sz w:val="21"/>
                <w:szCs w:val="21"/>
                <w:highlight w:val="none"/>
              </w:rPr>
              <w:t>（元）</w:t>
            </w:r>
          </w:p>
        </w:tc>
        <w:tc>
          <w:tcPr>
            <w:tcW w:w="709"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采购报价（元）</w:t>
            </w:r>
          </w:p>
        </w:tc>
        <w:tc>
          <w:tcPr>
            <w:tcW w:w="540"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折扣率</w:t>
            </w:r>
          </w:p>
        </w:tc>
        <w:tc>
          <w:tcPr>
            <w:tcW w:w="413"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平均折扣率</w:t>
            </w:r>
          </w:p>
        </w:tc>
        <w:tc>
          <w:tcPr>
            <w:tcW w:w="347"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w:t>
            </w:r>
          </w:p>
        </w:tc>
        <w:tc>
          <w:tcPr>
            <w:tcW w:w="853" w:type="pct"/>
            <w:vAlign w:val="center"/>
          </w:tcPr>
          <w:p>
            <w:pPr>
              <w:jc w:val="center"/>
              <w:rPr>
                <w:rFonts w:ascii="宋体" w:hAnsi="宋体" w:cs="宋体"/>
                <w:kern w:val="0"/>
                <w:sz w:val="21"/>
                <w:szCs w:val="21"/>
              </w:rPr>
            </w:pPr>
            <w:r>
              <w:rPr>
                <w:rFonts w:hint="eastAsia"/>
                <w:sz w:val="21"/>
                <w:szCs w:val="21"/>
              </w:rPr>
              <w:t>鸡柳</w:t>
            </w:r>
          </w:p>
        </w:tc>
        <w:tc>
          <w:tcPr>
            <w:tcW w:w="935" w:type="pct"/>
          </w:tcPr>
          <w:p>
            <w:pPr>
              <w:jc w:val="center"/>
              <w:rPr>
                <w:rFonts w:ascii="宋体" w:hAnsi="宋体" w:cs="宋体"/>
                <w:sz w:val="21"/>
                <w:szCs w:val="21"/>
              </w:rPr>
            </w:pPr>
          </w:p>
        </w:tc>
        <w:tc>
          <w:tcPr>
            <w:tcW w:w="839" w:type="pct"/>
            <w:vAlign w:val="center"/>
          </w:tcPr>
          <w:p>
            <w:pPr>
              <w:jc w:val="center"/>
              <w:rPr>
                <w:rFonts w:ascii="宋体" w:hAnsi="宋体" w:cs="宋体"/>
                <w:sz w:val="21"/>
                <w:szCs w:val="21"/>
              </w:rPr>
            </w:pPr>
            <w:r>
              <w:rPr>
                <w:rFonts w:hint="eastAsia" w:ascii="宋体" w:hAnsi="宋体" w:cs="宋体"/>
                <w:sz w:val="21"/>
                <w:szCs w:val="21"/>
              </w:rPr>
              <w:t>11.0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restar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w:t>
            </w:r>
          </w:p>
        </w:tc>
        <w:tc>
          <w:tcPr>
            <w:tcW w:w="853" w:type="pct"/>
            <w:vAlign w:val="center"/>
          </w:tcPr>
          <w:p>
            <w:pPr>
              <w:jc w:val="center"/>
              <w:rPr>
                <w:rFonts w:ascii="宋体" w:hAnsi="宋体" w:cs="宋体"/>
                <w:kern w:val="0"/>
                <w:sz w:val="21"/>
                <w:szCs w:val="21"/>
              </w:rPr>
            </w:pPr>
            <w:r>
              <w:rPr>
                <w:rFonts w:hint="eastAsia"/>
                <w:sz w:val="21"/>
                <w:szCs w:val="21"/>
              </w:rPr>
              <w:t>牛柳</w:t>
            </w:r>
          </w:p>
        </w:tc>
        <w:tc>
          <w:tcPr>
            <w:tcW w:w="935" w:type="pct"/>
          </w:tcPr>
          <w:p>
            <w:pPr>
              <w:jc w:val="center"/>
              <w:rPr>
                <w:rFonts w:ascii="宋体" w:hAnsi="宋体" w:cs="宋体"/>
                <w:sz w:val="21"/>
                <w:szCs w:val="21"/>
              </w:rPr>
            </w:pPr>
          </w:p>
        </w:tc>
        <w:tc>
          <w:tcPr>
            <w:tcW w:w="839" w:type="pct"/>
            <w:vAlign w:val="center"/>
          </w:tcPr>
          <w:p>
            <w:pPr>
              <w:jc w:val="center"/>
              <w:rPr>
                <w:rFonts w:ascii="宋体" w:hAnsi="宋体" w:cs="宋体"/>
                <w:sz w:val="21"/>
                <w:szCs w:val="21"/>
              </w:rPr>
            </w:pPr>
            <w:r>
              <w:rPr>
                <w:rFonts w:hint="eastAsia" w:ascii="宋体" w:hAnsi="宋体" w:cs="宋体"/>
                <w:sz w:val="21"/>
                <w:szCs w:val="21"/>
              </w:rPr>
              <w:t>35.0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w:t>
            </w:r>
          </w:p>
        </w:tc>
        <w:tc>
          <w:tcPr>
            <w:tcW w:w="853" w:type="pct"/>
            <w:vAlign w:val="center"/>
          </w:tcPr>
          <w:p>
            <w:pPr>
              <w:jc w:val="center"/>
              <w:rPr>
                <w:rFonts w:ascii="宋体" w:hAnsi="宋体" w:cs="宋体"/>
                <w:kern w:val="0"/>
                <w:sz w:val="21"/>
                <w:szCs w:val="21"/>
              </w:rPr>
            </w:pPr>
            <w:r>
              <w:rPr>
                <w:rFonts w:hint="eastAsia"/>
                <w:sz w:val="21"/>
                <w:szCs w:val="21"/>
              </w:rPr>
              <w:t>肥牛卷</w:t>
            </w:r>
          </w:p>
        </w:tc>
        <w:tc>
          <w:tcPr>
            <w:tcW w:w="935" w:type="pct"/>
          </w:tcPr>
          <w:p>
            <w:pPr>
              <w:jc w:val="center"/>
              <w:rPr>
                <w:rFonts w:ascii="宋体" w:hAnsi="宋体" w:cs="宋体"/>
                <w:sz w:val="21"/>
                <w:szCs w:val="21"/>
              </w:rPr>
            </w:pPr>
          </w:p>
        </w:tc>
        <w:tc>
          <w:tcPr>
            <w:tcW w:w="839" w:type="pct"/>
            <w:vAlign w:val="center"/>
          </w:tcPr>
          <w:p>
            <w:pPr>
              <w:jc w:val="center"/>
              <w:rPr>
                <w:rFonts w:ascii="宋体" w:hAnsi="宋体" w:cs="宋体"/>
                <w:sz w:val="21"/>
                <w:szCs w:val="21"/>
              </w:rPr>
            </w:pPr>
            <w:r>
              <w:rPr>
                <w:rFonts w:hint="eastAsia" w:ascii="宋体" w:hAnsi="宋体" w:cs="宋体"/>
                <w:sz w:val="21"/>
                <w:szCs w:val="21"/>
              </w:rPr>
              <w:t>35.0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4</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鱼排（调理）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16.5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5</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掌中宝（调理）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34.0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6</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培根（调理）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7</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面筋塞肉（调理）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11.0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8</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玉米饼（调理）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11.5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9</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鱼饼（调理）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12.5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default" w:ascii="宋体" w:hAnsi="宋体" w:cs="宋体" w:eastAsiaTheme="minorEastAsia"/>
                <w:kern w:val="0"/>
                <w:sz w:val="21"/>
                <w:szCs w:val="21"/>
                <w:lang w:val="en-US" w:eastAsia="zh-CN"/>
              </w:rPr>
            </w:pPr>
            <w:r>
              <w:rPr>
                <w:rFonts w:hint="eastAsia" w:ascii="宋体" w:hAnsi="宋体" w:cs="宋体"/>
                <w:kern w:val="0"/>
                <w:sz w:val="21"/>
                <w:szCs w:val="21"/>
                <w:lang w:val="en-US" w:eastAsia="zh-CN"/>
              </w:rPr>
              <w:t>10</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牛肉饼（调理）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12.5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11</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百叶卷肉（调理）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12</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蛋饺（调理）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12.0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13</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里脊肉（调理）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11.0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14</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鸡中翅（调理）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24.0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15</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骨肉相连（调理）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14.5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16</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豌豆粒（调理）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4.5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17</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玉米粒（调理）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4.2</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18</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锅包肉（调理）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19</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狮子头（调理）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10.8</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20</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鸡丁（调理）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8.2</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21</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耗油肉片（调理）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9.5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22</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鱼丸（调理）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23</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肉丝（调理）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17.5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24</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肉片（调理）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17.5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25</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肉丁（调理）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17.5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26</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藤椒鸡排（调理）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12.5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27</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米香大排（调理）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12.0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28</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香辣翅根（调理）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15.5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Merge w:val="continue"/>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29</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耦合（调理）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30</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黑椒鸡块（调理）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8.8</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31</w:t>
            </w:r>
          </w:p>
        </w:tc>
        <w:tc>
          <w:tcPr>
            <w:tcW w:w="853" w:type="pct"/>
            <w:vAlign w:val="center"/>
          </w:tcPr>
          <w:p>
            <w:pPr>
              <w:jc w:val="center"/>
              <w:rPr>
                <w:rFonts w:ascii="宋体" w:hAnsi="宋体" w:cs="宋体" w:eastAsiaTheme="minorEastAsia"/>
                <w:kern w:val="0"/>
                <w:sz w:val="21"/>
                <w:szCs w:val="21"/>
                <w:lang w:val="en-US" w:eastAsia="zh-CN" w:bidi="ar-SA"/>
              </w:rPr>
            </w:pPr>
            <w:r>
              <w:rPr>
                <w:rFonts w:hint="eastAsia"/>
                <w:sz w:val="21"/>
                <w:szCs w:val="21"/>
              </w:rPr>
              <w:t>上校鸡块（调理）</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8.8</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32</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光鸡（肉鸡）</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9.5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33</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光鸡（三黄鸡）</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11.5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34</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鸡脯肉</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9.0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35</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鸡边腿</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8.0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36</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琵琶腿（60头）</w:t>
            </w:r>
          </w:p>
        </w:tc>
        <w:tc>
          <w:tcPr>
            <w:tcW w:w="935" w:type="pct"/>
            <w:vAlign w:val="center"/>
          </w:tcPr>
          <w:p>
            <w:pPr>
              <w:widowControl/>
              <w:jc w:val="center"/>
              <w:textAlignment w:val="center"/>
              <w:rPr>
                <w:rFonts w:ascii="宋体" w:hAnsi="宋体" w:cs="宋体" w:eastAsiaTheme="minorEastAsia"/>
                <w:kern w:val="0"/>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9.5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37</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琵琶腿（70头）</w:t>
            </w:r>
          </w:p>
        </w:tc>
        <w:tc>
          <w:tcPr>
            <w:tcW w:w="935" w:type="pct"/>
            <w:vAlign w:val="center"/>
          </w:tcPr>
          <w:p>
            <w:pPr>
              <w:widowControl/>
              <w:jc w:val="center"/>
              <w:textAlignment w:val="center"/>
              <w:rPr>
                <w:rFonts w:ascii="宋体" w:hAnsi="宋体" w:cs="宋体" w:eastAsiaTheme="minorEastAsia"/>
                <w:kern w:val="0"/>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ascii="宋体" w:hAnsi="宋体" w:cs="宋体"/>
                <w:kern w:val="0"/>
                <w:sz w:val="21"/>
                <w:szCs w:val="21"/>
              </w:rPr>
            </w:pPr>
            <w:r>
              <w:rPr>
                <w:rFonts w:hint="eastAsia"/>
                <w:sz w:val="21"/>
                <w:szCs w:val="21"/>
              </w:rPr>
              <w:t>38</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琵琶腿（80头）</w:t>
            </w:r>
          </w:p>
        </w:tc>
        <w:tc>
          <w:tcPr>
            <w:tcW w:w="935" w:type="pct"/>
            <w:vAlign w:val="center"/>
          </w:tcPr>
          <w:p>
            <w:pPr>
              <w:widowControl/>
              <w:jc w:val="center"/>
              <w:textAlignment w:val="center"/>
              <w:rPr>
                <w:rFonts w:ascii="宋体" w:hAnsi="宋体" w:cs="宋体" w:eastAsiaTheme="minorEastAsia"/>
                <w:kern w:val="0"/>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39</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琵琶腿（90头）</w:t>
            </w:r>
          </w:p>
        </w:tc>
        <w:tc>
          <w:tcPr>
            <w:tcW w:w="935" w:type="pct"/>
            <w:vAlign w:val="center"/>
          </w:tcPr>
          <w:p>
            <w:pPr>
              <w:widowControl/>
              <w:jc w:val="center"/>
              <w:textAlignment w:val="center"/>
              <w:rPr>
                <w:rFonts w:ascii="宋体" w:hAnsi="宋体" w:cs="宋体" w:eastAsiaTheme="minorEastAsia"/>
                <w:kern w:val="0"/>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11.0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40</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鸡大腿</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41</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鸡翅根</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9.7</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42</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鸡中翅</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25.0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43</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鸡心</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4.8</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44</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鸡杂</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12.5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45</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鸡胗</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11.5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46</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鸡爪</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23.0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47</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光鸭（鸭肉）</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7.8</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48</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鸭腿（M号）</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8.6</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49</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鸭腿（L号）</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8.2</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50</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鸭边腿</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7.0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51</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鸭翅根</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6.0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52</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鸭翅</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9.5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53</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鸭二节翅</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9.8</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54</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鸭心</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5.0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55</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鸭肝</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3.0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56</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鸭肫</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17.8</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57</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鸭肠</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13.0</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58</w:t>
            </w:r>
          </w:p>
        </w:tc>
        <w:tc>
          <w:tcPr>
            <w:tcW w:w="853" w:type="pct"/>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鸭爪</w:t>
            </w:r>
          </w:p>
        </w:tc>
        <w:tc>
          <w:tcPr>
            <w:tcW w:w="935" w:type="pct"/>
            <w:vAlign w:val="top"/>
          </w:tcPr>
          <w:p>
            <w:pPr>
              <w:jc w:val="center"/>
              <w:rPr>
                <w:rFonts w:ascii="宋体" w:hAnsi="宋体" w:cs="宋体" w:eastAsiaTheme="minorEastAsia"/>
                <w:kern w:val="2"/>
                <w:sz w:val="21"/>
                <w:szCs w:val="21"/>
                <w:lang w:val="en-US" w:eastAsia="zh-CN" w:bidi="ar-SA"/>
              </w:rPr>
            </w:pPr>
          </w:p>
        </w:tc>
        <w:tc>
          <w:tcPr>
            <w:tcW w:w="839" w:type="pct"/>
            <w:vAlign w:val="center"/>
          </w:tcPr>
          <w:p>
            <w:pPr>
              <w:jc w:val="center"/>
              <w:rPr>
                <w:rFonts w:ascii="宋体" w:hAnsi="宋体" w:cs="宋体" w:eastAsiaTheme="minorEastAsia"/>
                <w:kern w:val="2"/>
                <w:sz w:val="21"/>
                <w:szCs w:val="21"/>
                <w:lang w:val="en-US" w:eastAsia="zh-CN" w:bidi="ar-SA"/>
              </w:rPr>
            </w:pPr>
            <w:r>
              <w:rPr>
                <w:rFonts w:hint="eastAsia" w:ascii="宋体" w:hAnsi="宋体" w:cs="宋体"/>
                <w:sz w:val="21"/>
                <w:szCs w:val="21"/>
              </w:rPr>
              <w:t>18.5</w:t>
            </w:r>
          </w:p>
        </w:tc>
        <w:tc>
          <w:tcPr>
            <w:tcW w:w="709" w:type="pct"/>
            <w:vAlign w:val="center"/>
          </w:tcPr>
          <w:p>
            <w:pPr>
              <w:widowControl/>
              <w:spacing w:before="100" w:beforeAutospacing="1" w:after="100" w:afterAutospacing="1"/>
              <w:jc w:val="center"/>
              <w:rPr>
                <w:rFonts w:cs="宋体" w:asciiTheme="minorEastAsia" w:hAnsiTheme="minorEastAsia"/>
                <w:sz w:val="21"/>
                <w:szCs w:val="21"/>
              </w:rPr>
            </w:pPr>
          </w:p>
        </w:tc>
        <w:tc>
          <w:tcPr>
            <w:tcW w:w="540" w:type="pct"/>
            <w:vAlign w:val="center"/>
          </w:tcPr>
          <w:p>
            <w:pPr>
              <w:widowControl/>
              <w:spacing w:before="100" w:beforeAutospacing="1" w:after="100" w:afterAutospacing="1"/>
              <w:jc w:val="center"/>
              <w:rPr>
                <w:rFonts w:cs="宋体" w:asciiTheme="minorEastAsia" w:hAnsiTheme="minorEastAsia"/>
                <w:sz w:val="21"/>
                <w:szCs w:val="21"/>
              </w:rPr>
            </w:pPr>
          </w:p>
        </w:tc>
        <w:tc>
          <w:tcPr>
            <w:tcW w:w="413" w:type="pct"/>
            <w:vAlign w:val="center"/>
          </w:tcPr>
          <w:p>
            <w:pPr>
              <w:widowControl/>
              <w:spacing w:before="100" w:beforeAutospacing="1" w:after="100" w:afterAutospacing="1"/>
              <w:jc w:val="center"/>
              <w:rPr>
                <w:rFonts w:cs="宋体" w:asciiTheme="minorEastAsia" w:hAnsiTheme="minorEastAsia"/>
                <w:sz w:val="21"/>
                <w:szCs w:val="21"/>
              </w:rPr>
            </w:pPr>
          </w:p>
        </w:tc>
        <w:tc>
          <w:tcPr>
            <w:tcW w:w="34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215" w:type="pct"/>
            <w:gridSpan w:val="2"/>
            <w:vAlign w:val="center"/>
          </w:tcPr>
          <w:p>
            <w:pPr>
              <w:jc w:val="center"/>
              <w:rPr>
                <w:rFonts w:ascii="宋体" w:hAnsi="宋体" w:cs="宋体"/>
                <w:sz w:val="21"/>
                <w:szCs w:val="21"/>
              </w:rPr>
            </w:pPr>
            <w:r>
              <w:rPr>
                <w:rFonts w:hint="eastAsia" w:ascii="宋体" w:hAnsi="宋体" w:cs="宋体"/>
                <w:bCs/>
                <w:kern w:val="0"/>
                <w:sz w:val="21"/>
                <w:szCs w:val="21"/>
              </w:rPr>
              <w:t>平均折扣率</w:t>
            </w:r>
          </w:p>
        </w:tc>
        <w:tc>
          <w:tcPr>
            <w:tcW w:w="3784" w:type="pct"/>
            <w:gridSpan w:val="6"/>
          </w:tcPr>
          <w:p>
            <w:pPr>
              <w:widowControl/>
              <w:spacing w:before="100" w:beforeAutospacing="1" w:after="100" w:afterAutospacing="1"/>
              <w:jc w:val="center"/>
              <w:rPr>
                <w:rFonts w:cs="宋体" w:asciiTheme="minorEastAsia" w:hAnsiTheme="minorEastAsia"/>
                <w:sz w:val="21"/>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b/>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default" w:asciiTheme="minorEastAsia" w:hAnsiTheme="minorEastAsia" w:eastAsiaTheme="minorEastAsia"/>
          <w:kern w:val="0"/>
          <w:sz w:val="24"/>
          <w:szCs w:val="24"/>
          <w:u w:val="none"/>
          <w:lang w:val="en-US" w:eastAsia="zh-CN"/>
        </w:rPr>
      </w:pPr>
      <w:r>
        <w:rPr>
          <w:rFonts w:hint="eastAsia" w:asciiTheme="minorEastAsia" w:hAnsiTheme="minorEastAsia" w:eastAsiaTheme="minorEastAsia"/>
          <w:kern w:val="0"/>
          <w:sz w:val="24"/>
          <w:szCs w:val="24"/>
        </w:rPr>
        <w:t>1、本公司承诺，冷冻制品</w:t>
      </w:r>
      <w:r>
        <w:rPr>
          <w:rFonts w:hint="eastAsia" w:asciiTheme="minorEastAsia" w:hAnsiTheme="minorEastAsia"/>
          <w:kern w:val="0"/>
          <w:sz w:val="24"/>
          <w:szCs w:val="24"/>
          <w:lang w:val="en-US" w:eastAsia="zh-CN"/>
        </w:rPr>
        <w:t>及冷冻家禽</w:t>
      </w:r>
      <w:r>
        <w:rPr>
          <w:rFonts w:hint="eastAsia" w:asciiTheme="minorEastAsia" w:hAnsiTheme="minorEastAsia" w:eastAsiaTheme="minorEastAsia"/>
          <w:kern w:val="0"/>
          <w:sz w:val="24"/>
          <w:szCs w:val="24"/>
        </w:rPr>
        <w:t>所有品目平均折扣率（保留小数点后两位）为</w:t>
      </w:r>
      <w:r>
        <w:rPr>
          <w:rFonts w:hint="eastAsia" w:asciiTheme="minorEastAsia" w:hAnsiTheme="minorEastAsia"/>
          <w:kern w:val="0"/>
          <w:sz w:val="24"/>
          <w:szCs w:val="24"/>
          <w:u w:val="single"/>
          <w:lang w:val="en-US" w:eastAsia="zh-CN"/>
        </w:rPr>
        <w:t xml:space="preserve">     </w:t>
      </w:r>
      <w:r>
        <w:rPr>
          <w:rFonts w:hint="eastAsia" w:asciiTheme="minorEastAsia" w:hAnsiTheme="minorEastAsia"/>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2、本公司承诺，冷冻制品</w:t>
      </w:r>
      <w:r>
        <w:rPr>
          <w:rFonts w:hint="eastAsia" w:asciiTheme="minorEastAsia" w:hAnsiTheme="minorEastAsia"/>
          <w:kern w:val="0"/>
          <w:sz w:val="24"/>
          <w:szCs w:val="24"/>
          <w:lang w:val="en-US" w:eastAsia="zh-CN"/>
        </w:rPr>
        <w:t>及冷冻家禽</w:t>
      </w:r>
      <w:r>
        <w:rPr>
          <w:rFonts w:hint="eastAsia" w:asciiTheme="minorEastAsia" w:hAnsiTheme="minorEastAsia" w:eastAsiaTheme="minorEastAsia"/>
          <w:kern w:val="0"/>
          <w:sz w:val="24"/>
          <w:szCs w:val="24"/>
        </w:rPr>
        <w:t>在全年服务期限内，根据采购文件提供的折扣率计算参考价*（1-所投品目平均折扣率），若计算价格低于所投报价，则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kern w:val="0"/>
          <w:sz w:val="24"/>
          <w:szCs w:val="24"/>
          <w:lang w:val="en-US" w:eastAsia="zh-CN"/>
        </w:rPr>
        <w:t>3</w:t>
      </w:r>
      <w:r>
        <w:rPr>
          <w:rFonts w:hint="eastAsia" w:asciiTheme="minorEastAsia" w:hAnsiTheme="minorEastAsia" w:eastAsiaTheme="minorEastAsia"/>
          <w:kern w:val="0"/>
          <w:sz w:val="24"/>
          <w:szCs w:val="24"/>
        </w:rPr>
        <w:t>、本公司承诺，入选产品厂家实际包装确无此《报价单》上的规格，按同比例测算采购报价。</w:t>
      </w:r>
    </w:p>
    <w:p>
      <w:pPr>
        <w:widowControl/>
        <w:spacing w:before="100" w:beforeAutospacing="1" w:after="100" w:afterAutospacing="1"/>
        <w:jc w:val="right"/>
        <w:rPr>
          <w:rFonts w:ascii="宋体" w:hAnsi="宋体" w:cs="宋体"/>
          <w:bCs/>
          <w:kern w:val="0"/>
          <w:sz w:val="24"/>
          <w:szCs w:val="24"/>
        </w:rPr>
      </w:pPr>
      <w:r>
        <w:rPr>
          <w:rFonts w:hint="eastAsia" w:ascii="宋体" w:hAnsi="宋体" w:cs="宋体"/>
          <w:bCs/>
          <w:kern w:val="0"/>
          <w:sz w:val="24"/>
          <w:szCs w:val="24"/>
        </w:rPr>
        <w:t>供应商单位（盖章）：</w:t>
      </w:r>
    </w:p>
    <w:p>
      <w:pPr>
        <w:wordWrap w:val="0"/>
        <w:autoSpaceDE w:val="0"/>
        <w:autoSpaceDN w:val="0"/>
        <w:adjustRightInd w:val="0"/>
        <w:jc w:val="right"/>
        <w:rPr>
          <w:rFonts w:hint="eastAsia" w:ascii="宋体" w:hAnsi="宋体" w:cs="宋体"/>
          <w:bCs/>
          <w:kern w:val="0"/>
          <w:sz w:val="24"/>
          <w:szCs w:val="24"/>
        </w:rPr>
      </w:pPr>
      <w:r>
        <w:rPr>
          <w:rFonts w:hint="eastAsia" w:ascii="宋体" w:hAnsi="宋体" w:cs="宋体"/>
          <w:bCs/>
          <w:kern w:val="0"/>
          <w:sz w:val="24"/>
          <w:szCs w:val="24"/>
        </w:rPr>
        <w:t>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rPr>
          <w:rFonts w:hint="eastAsia" w:ascii="宋体" w:hAnsi="宋体" w:cs="宋体"/>
          <w:bCs/>
          <w:kern w:val="0"/>
          <w:sz w:val="24"/>
          <w:szCs w:val="24"/>
        </w:rPr>
      </w:pPr>
      <w:r>
        <w:rPr>
          <w:rFonts w:hint="eastAsia" w:ascii="宋体" w:hAnsi="宋体" w:cs="宋体"/>
          <w:bCs/>
          <w:kern w:val="0"/>
          <w:sz w:val="24"/>
          <w:szCs w:val="24"/>
        </w:rPr>
        <w:br w:type="page"/>
      </w:r>
    </w:p>
    <w:p>
      <w:pPr>
        <w:widowControl/>
        <w:jc w:val="left"/>
        <w:rPr>
          <w:rFonts w:hint="default" w:ascii="宋体" w:hAnsi="宋体" w:cs="宋体" w:eastAsiaTheme="minorEastAsia"/>
          <w:b/>
          <w:bCs w:val="0"/>
          <w:kern w:val="0"/>
          <w:sz w:val="28"/>
          <w:szCs w:val="28"/>
          <w:lang w:val="en-US" w:eastAsia="zh-CN"/>
        </w:rPr>
      </w:pPr>
      <w:r>
        <w:rPr>
          <w:rFonts w:hint="eastAsia" w:ascii="宋体" w:hAnsi="宋体" w:cs="宋体"/>
          <w:b/>
          <w:bCs w:val="0"/>
          <w:kern w:val="0"/>
          <w:sz w:val="28"/>
          <w:szCs w:val="28"/>
          <w:lang w:val="en-US" w:eastAsia="zh-CN"/>
        </w:rPr>
        <w:t>包七：蔬菜、蛋、豆制品</w:t>
      </w:r>
    </w:p>
    <w:p>
      <w:pPr>
        <w:widowControl/>
        <w:jc w:val="center"/>
        <w:rPr>
          <w:rFonts w:ascii="宋体" w:hAnsi="宋体" w:cs="宋体"/>
          <w:bCs/>
          <w:kern w:val="0"/>
          <w:sz w:val="28"/>
          <w:szCs w:val="28"/>
        </w:rPr>
      </w:pPr>
      <w:r>
        <w:rPr>
          <w:rFonts w:hint="eastAsia" w:ascii="宋体" w:hAnsi="宋体" w:cs="宋体"/>
          <w:bCs/>
          <w:kern w:val="0"/>
          <w:sz w:val="28"/>
          <w:szCs w:val="28"/>
          <w:lang w:val="en-US" w:eastAsia="zh-CN"/>
        </w:rPr>
        <w:t xml:space="preserve">蔬菜、蛋、豆制品 </w:t>
      </w:r>
      <w:r>
        <w:rPr>
          <w:rFonts w:hint="eastAsia" w:ascii="宋体" w:hAnsi="宋体" w:cs="宋体"/>
          <w:bCs/>
          <w:kern w:val="0"/>
          <w:sz w:val="28"/>
          <w:szCs w:val="28"/>
        </w:rPr>
        <w:t>产品报价单 1</w:t>
      </w:r>
    </w:p>
    <w:p>
      <w:pPr>
        <w:jc w:val="center"/>
        <w:rPr>
          <w:rFonts w:ascii="宋体" w:hAnsi="宋体" w:cs="宋体"/>
          <w:bCs/>
          <w:kern w:val="0"/>
          <w:sz w:val="30"/>
          <w:szCs w:val="30"/>
        </w:rPr>
      </w:pPr>
      <w:r>
        <w:rPr>
          <w:rFonts w:hint="eastAsia" w:ascii="宋体" w:hAnsi="宋体" w:cs="宋体"/>
          <w:bCs/>
          <w:kern w:val="0"/>
          <w:szCs w:val="21"/>
        </w:rPr>
        <w:t>（</w:t>
      </w: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w:t>
      </w:r>
      <w:r>
        <w:rPr>
          <w:rFonts w:hint="eastAsia" w:ascii="宋体" w:hAnsi="宋体" w:cs="宋体"/>
          <w:bCs/>
          <w:kern w:val="0"/>
          <w:szCs w:val="21"/>
          <w:highlight w:val="none"/>
          <w:lang w:val="en-US" w:eastAsia="zh-CN"/>
        </w:rPr>
        <w:t xml:space="preserve">   </w:t>
      </w:r>
      <w:r>
        <w:rPr>
          <w:rFonts w:hint="eastAsia" w:ascii="宋体" w:hAnsi="宋体" w:cs="宋体"/>
          <w:bCs/>
          <w:kern w:val="0"/>
          <w:szCs w:val="21"/>
        </w:rPr>
        <w:t>单位 500g）</w:t>
      </w:r>
    </w:p>
    <w:tbl>
      <w:tblPr>
        <w:tblStyle w:val="62"/>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349"/>
        <w:gridCol w:w="1161"/>
        <w:gridCol w:w="1358"/>
        <w:gridCol w:w="1228"/>
        <w:gridCol w:w="1115"/>
        <w:gridCol w:w="101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97" w:type="pct"/>
            <w:vAlign w:val="center"/>
          </w:tcPr>
          <w:p>
            <w:pPr>
              <w:widowControl/>
              <w:jc w:val="center"/>
              <w:rPr>
                <w:rFonts w:cs="宋体" w:asciiTheme="minorEastAsia" w:hAnsiTheme="minorEastAsia"/>
                <w:b w:val="0"/>
                <w:bCs w:val="0"/>
                <w:sz w:val="21"/>
                <w:szCs w:val="21"/>
              </w:rPr>
            </w:pPr>
            <w:r>
              <w:rPr>
                <w:rFonts w:hint="eastAsia" w:cs="宋体" w:asciiTheme="minorEastAsia" w:hAnsiTheme="minorEastAsia"/>
                <w:b w:val="0"/>
                <w:bCs w:val="0"/>
                <w:sz w:val="21"/>
                <w:szCs w:val="21"/>
              </w:rPr>
              <w:t>序号</w:t>
            </w:r>
          </w:p>
        </w:tc>
        <w:tc>
          <w:tcPr>
            <w:tcW w:w="766" w:type="pct"/>
            <w:vAlign w:val="center"/>
          </w:tcPr>
          <w:p>
            <w:pPr>
              <w:widowControl/>
              <w:jc w:val="center"/>
              <w:rPr>
                <w:rFonts w:cs="宋体" w:asciiTheme="minorEastAsia" w:hAnsiTheme="minorEastAsia"/>
                <w:b w:val="0"/>
                <w:bCs w:val="0"/>
                <w:sz w:val="21"/>
                <w:szCs w:val="21"/>
              </w:rPr>
            </w:pPr>
            <w:r>
              <w:rPr>
                <w:rFonts w:hint="eastAsia" w:cs="宋体" w:asciiTheme="minorEastAsia" w:hAnsiTheme="minorEastAsia"/>
                <w:b w:val="0"/>
                <w:bCs w:val="0"/>
                <w:sz w:val="21"/>
                <w:szCs w:val="21"/>
              </w:rPr>
              <w:t>品名</w:t>
            </w:r>
          </w:p>
        </w:tc>
        <w:tc>
          <w:tcPr>
            <w:tcW w:w="659" w:type="pct"/>
            <w:vAlign w:val="center"/>
          </w:tcPr>
          <w:p>
            <w:pPr>
              <w:widowControl/>
              <w:jc w:val="center"/>
              <w:rPr>
                <w:rFonts w:hint="eastAsia" w:eastAsia="宋体" w:cs="宋体" w:asciiTheme="minorEastAsia" w:hAnsiTheme="minorEastAsia"/>
                <w:b w:val="0"/>
                <w:bCs w:val="0"/>
                <w:sz w:val="21"/>
                <w:szCs w:val="21"/>
                <w:lang w:val="en-US" w:eastAsia="zh-CN"/>
              </w:rPr>
            </w:pPr>
            <w:r>
              <w:rPr>
                <w:rFonts w:hint="eastAsia" w:cs="宋体" w:asciiTheme="minorEastAsia" w:hAnsiTheme="minorEastAsia"/>
                <w:b w:val="0"/>
                <w:bCs w:val="0"/>
                <w:sz w:val="21"/>
                <w:szCs w:val="21"/>
                <w:lang w:val="en-US" w:eastAsia="zh-CN"/>
              </w:rPr>
              <w:t>品牌</w:t>
            </w:r>
          </w:p>
        </w:tc>
        <w:tc>
          <w:tcPr>
            <w:tcW w:w="771" w:type="pct"/>
            <w:vAlign w:val="center"/>
          </w:tcPr>
          <w:p>
            <w:pPr>
              <w:widowControl/>
              <w:jc w:val="center"/>
              <w:rPr>
                <w:rFonts w:ascii="宋体" w:hAnsi="宋体" w:cs="宋体"/>
                <w:b w:val="0"/>
                <w:bCs w:val="0"/>
                <w:sz w:val="21"/>
                <w:szCs w:val="21"/>
              </w:rPr>
            </w:pPr>
            <w:r>
              <w:rPr>
                <w:rFonts w:hint="eastAsia" w:cs="宋体" w:asciiTheme="minorEastAsia" w:hAnsiTheme="minorEastAsia"/>
                <w:b w:val="0"/>
                <w:bCs w:val="0"/>
                <w:kern w:val="0"/>
                <w:sz w:val="21"/>
                <w:szCs w:val="21"/>
              </w:rPr>
              <w:t>折扣率计算参考价</w:t>
            </w:r>
            <w:r>
              <w:rPr>
                <w:rFonts w:hint="eastAsia" w:ascii="宋体" w:hAnsi="宋体" w:cs="宋体"/>
                <w:bCs/>
                <w:sz w:val="21"/>
                <w:szCs w:val="21"/>
              </w:rPr>
              <w:t>（元）</w:t>
            </w:r>
          </w:p>
        </w:tc>
        <w:tc>
          <w:tcPr>
            <w:tcW w:w="697" w:type="pct"/>
            <w:vAlign w:val="center"/>
          </w:tcPr>
          <w:p>
            <w:pPr>
              <w:jc w:val="center"/>
              <w:rPr>
                <w:rFonts w:ascii="宋体" w:hAnsi="宋体" w:cs="宋体"/>
                <w:b w:val="0"/>
                <w:bCs w:val="0"/>
                <w:sz w:val="21"/>
                <w:szCs w:val="21"/>
              </w:rPr>
            </w:pPr>
            <w:r>
              <w:rPr>
                <w:rFonts w:hint="eastAsia" w:ascii="宋体" w:hAnsi="宋体" w:cs="宋体"/>
                <w:b w:val="0"/>
                <w:bCs w:val="0"/>
                <w:sz w:val="21"/>
                <w:szCs w:val="21"/>
              </w:rPr>
              <w:t>采购报价（元）</w:t>
            </w:r>
          </w:p>
        </w:tc>
        <w:tc>
          <w:tcPr>
            <w:tcW w:w="633" w:type="pct"/>
            <w:vAlign w:val="center"/>
          </w:tcPr>
          <w:p>
            <w:pPr>
              <w:jc w:val="center"/>
              <w:rPr>
                <w:rFonts w:ascii="宋体" w:hAnsi="宋体" w:cs="宋体"/>
                <w:b w:val="0"/>
                <w:bCs w:val="0"/>
                <w:sz w:val="21"/>
                <w:szCs w:val="21"/>
              </w:rPr>
            </w:pPr>
            <w:r>
              <w:rPr>
                <w:rFonts w:hint="eastAsia" w:ascii="宋体" w:hAnsi="宋体" w:cs="宋体"/>
                <w:b w:val="0"/>
                <w:bCs w:val="0"/>
                <w:sz w:val="21"/>
                <w:szCs w:val="21"/>
              </w:rPr>
              <w:t>折扣率</w:t>
            </w:r>
          </w:p>
        </w:tc>
        <w:tc>
          <w:tcPr>
            <w:tcW w:w="575" w:type="pct"/>
            <w:vAlign w:val="center"/>
          </w:tcPr>
          <w:p>
            <w:pPr>
              <w:jc w:val="center"/>
              <w:rPr>
                <w:rFonts w:ascii="宋体" w:hAnsi="宋体" w:cs="宋体"/>
                <w:b w:val="0"/>
                <w:bCs w:val="0"/>
                <w:sz w:val="21"/>
                <w:szCs w:val="21"/>
              </w:rPr>
            </w:pPr>
            <w:r>
              <w:rPr>
                <w:rFonts w:hint="eastAsia" w:ascii="宋体" w:hAnsi="宋体" w:cs="宋体"/>
                <w:b w:val="0"/>
                <w:bCs w:val="0"/>
                <w:sz w:val="21"/>
                <w:szCs w:val="21"/>
              </w:rPr>
              <w:t>平均折扣率</w:t>
            </w:r>
          </w:p>
        </w:tc>
        <w:tc>
          <w:tcPr>
            <w:tcW w:w="400" w:type="pct"/>
            <w:vAlign w:val="center"/>
          </w:tcPr>
          <w:p>
            <w:pPr>
              <w:widowControl/>
              <w:jc w:val="center"/>
              <w:rPr>
                <w:rFonts w:cs="宋体" w:asciiTheme="minorEastAsia" w:hAnsiTheme="minorEastAsia"/>
                <w:b w:val="0"/>
                <w:bCs w:val="0"/>
                <w:sz w:val="21"/>
                <w:szCs w:val="21"/>
              </w:rPr>
            </w:pPr>
            <w:r>
              <w:rPr>
                <w:rFonts w:hint="eastAsia" w:cs="宋体" w:asciiTheme="minorEastAsia" w:hAnsiTheme="minorEastAsia"/>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青菜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3.0</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restart"/>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白萝卜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1.8</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大白菜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2.0</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4</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小白菜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3.3</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5</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西红柿</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3.9</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6</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土豆</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3.4</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7</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黄瓜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3.0</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8</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青椒</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3.7</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9</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茄子</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4.1</w:t>
            </w:r>
          </w:p>
        </w:tc>
        <w:tc>
          <w:tcPr>
            <w:tcW w:w="697" w:type="pct"/>
            <w:vAlign w:val="center"/>
          </w:tcPr>
          <w:p>
            <w:pPr>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10</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芹菜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11</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包菜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2.3</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12</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洋葱</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2.6</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13</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冬瓜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2.1</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14</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花菜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5.3</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15</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山药</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7.9</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16</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胡萝卜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2.9</w:t>
            </w:r>
          </w:p>
          <w:p>
            <w:pPr>
              <w:widowControl/>
              <w:spacing w:before="100" w:beforeAutospacing="1" w:after="100" w:afterAutospacing="1"/>
              <w:jc w:val="center"/>
              <w:rPr>
                <w:rFonts w:ascii="宋体" w:hAnsi="宋体" w:cs="宋体"/>
                <w:b w:val="0"/>
                <w:bCs w:val="0"/>
                <w:sz w:val="21"/>
                <w:szCs w:val="21"/>
              </w:rPr>
            </w:pP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17</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生菜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18</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西兰花</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6.9</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19</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生瓜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3.7</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20</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莴笋</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3.6</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21</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藕</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9.1</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22</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黄豆芽</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2.5</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23</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韭菜</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3.2</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97" w:type="pct"/>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24</w:t>
            </w:r>
          </w:p>
        </w:tc>
        <w:tc>
          <w:tcPr>
            <w:tcW w:w="766" w:type="pct"/>
            <w:vAlign w:val="center"/>
          </w:tcPr>
          <w:p>
            <w:pPr>
              <w:widowControl/>
              <w:jc w:val="center"/>
              <w:textAlignment w:val="center"/>
              <w:rPr>
                <w:rFonts w:ascii="宋体" w:hAnsi="宋体" w:cs="宋体"/>
                <w:b w:val="0"/>
                <w:bCs w:val="0"/>
                <w:sz w:val="21"/>
                <w:szCs w:val="21"/>
              </w:rPr>
            </w:pPr>
            <w:r>
              <w:rPr>
                <w:rStyle w:val="407"/>
                <w:rFonts w:hint="default"/>
                <w:b w:val="0"/>
                <w:bCs w:val="0"/>
                <w:color w:val="auto"/>
                <w:sz w:val="21"/>
                <w:szCs w:val="21"/>
              </w:rPr>
              <w:t>红辣椒</w:t>
            </w:r>
          </w:p>
        </w:tc>
        <w:tc>
          <w:tcPr>
            <w:tcW w:w="659" w:type="pct"/>
            <w:vAlign w:val="center"/>
          </w:tcPr>
          <w:p>
            <w:pPr>
              <w:widowControl/>
              <w:jc w:val="center"/>
              <w:textAlignment w:val="center"/>
              <w:rPr>
                <w:rStyle w:val="407"/>
                <w:rFonts w:hint="default"/>
                <w:b w:val="0"/>
                <w:bCs w:val="0"/>
                <w:color w:val="auto"/>
                <w:sz w:val="21"/>
                <w:szCs w:val="21"/>
              </w:rPr>
            </w:pPr>
          </w:p>
        </w:tc>
        <w:tc>
          <w:tcPr>
            <w:tcW w:w="771" w:type="pct"/>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6.2</w:t>
            </w:r>
          </w:p>
        </w:tc>
        <w:tc>
          <w:tcPr>
            <w:tcW w:w="697"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633" w:type="pc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575" w:type="pct"/>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400" w:type="pct"/>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1263" w:type="pct"/>
            <w:gridSpan w:val="2"/>
            <w:vAlign w:val="center"/>
          </w:tcPr>
          <w:p>
            <w:pPr>
              <w:widowControl/>
              <w:jc w:val="center"/>
              <w:textAlignment w:val="center"/>
              <w:rPr>
                <w:rStyle w:val="407"/>
                <w:rFonts w:hint="default"/>
                <w:b w:val="0"/>
                <w:bCs w:val="0"/>
                <w:color w:val="auto"/>
                <w:sz w:val="21"/>
                <w:szCs w:val="21"/>
              </w:rPr>
            </w:pPr>
            <w:r>
              <w:rPr>
                <w:rStyle w:val="407"/>
                <w:rFonts w:hint="default"/>
                <w:b w:val="0"/>
                <w:bCs w:val="0"/>
                <w:color w:val="auto"/>
                <w:sz w:val="21"/>
                <w:szCs w:val="21"/>
              </w:rPr>
              <w:t>平均折扣率</w:t>
            </w:r>
          </w:p>
        </w:tc>
        <w:tc>
          <w:tcPr>
            <w:tcW w:w="3736" w:type="pct"/>
            <w:gridSpan w:val="6"/>
            <w:vAlign w:val="center"/>
          </w:tcPr>
          <w:p>
            <w:pPr>
              <w:widowControl/>
              <w:spacing w:before="100" w:beforeAutospacing="1" w:after="100" w:afterAutospacing="1"/>
              <w:jc w:val="center"/>
              <w:rPr>
                <w:rFonts w:cs="宋体" w:asciiTheme="minorEastAsia" w:hAnsiTheme="minorEastAsia"/>
                <w:b w:val="0"/>
                <w:bCs w:val="0"/>
                <w:sz w:val="21"/>
                <w:szCs w:val="21"/>
              </w:rPr>
            </w:pPr>
          </w:p>
        </w:tc>
      </w:tr>
    </w:tbl>
    <w:p/>
    <w:p>
      <w:pPr>
        <w:widowControl/>
        <w:jc w:val="center"/>
        <w:rPr>
          <w:rFonts w:ascii="宋体" w:hAnsi="宋体" w:cs="宋体"/>
          <w:bCs/>
          <w:kern w:val="0"/>
          <w:sz w:val="28"/>
          <w:szCs w:val="28"/>
        </w:rPr>
      </w:pPr>
      <w:r>
        <w:rPr>
          <w:rFonts w:hint="eastAsia" w:ascii="宋体" w:hAnsi="宋体" w:cs="宋体"/>
          <w:bCs/>
          <w:kern w:val="0"/>
          <w:sz w:val="28"/>
          <w:szCs w:val="28"/>
          <w:lang w:val="en-US" w:eastAsia="zh-CN"/>
        </w:rPr>
        <w:t xml:space="preserve">蔬菜、蛋、豆制品 </w:t>
      </w:r>
      <w:r>
        <w:rPr>
          <w:rFonts w:hint="eastAsia" w:ascii="宋体" w:hAnsi="宋体" w:cs="宋体"/>
          <w:bCs/>
          <w:kern w:val="0"/>
          <w:sz w:val="28"/>
          <w:szCs w:val="28"/>
        </w:rPr>
        <w:t>产品报价单 2</w:t>
      </w:r>
    </w:p>
    <w:p>
      <w:pPr>
        <w:jc w:val="center"/>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w:t>
      </w:r>
      <w:r>
        <w:rPr>
          <w:rFonts w:hint="eastAsia" w:ascii="宋体" w:hAnsi="宋体" w:cs="宋体"/>
          <w:bCs/>
          <w:kern w:val="0"/>
          <w:szCs w:val="21"/>
          <w:highlight w:val="none"/>
          <w:lang w:val="en-US" w:eastAsia="zh-CN"/>
        </w:rPr>
        <w:t xml:space="preserve">  </w:t>
      </w:r>
      <w:r>
        <w:rPr>
          <w:rFonts w:hint="eastAsia" w:ascii="宋体" w:hAnsi="宋体" w:cs="宋体"/>
          <w:bCs/>
          <w:kern w:val="0"/>
          <w:szCs w:val="21"/>
        </w:rPr>
        <w:t>单位 500g）</w:t>
      </w:r>
    </w:p>
    <w:p/>
    <w:tbl>
      <w:tblPr>
        <w:tblStyle w:val="62"/>
        <w:tblW w:w="4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650"/>
        <w:gridCol w:w="980"/>
        <w:gridCol w:w="1326"/>
        <w:gridCol w:w="1096"/>
        <w:gridCol w:w="1057"/>
        <w:gridCol w:w="108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725" w:type="dxa"/>
            <w:vAlign w:val="center"/>
          </w:tcPr>
          <w:p>
            <w:pPr>
              <w:widowControl/>
              <w:jc w:val="center"/>
              <w:rPr>
                <w:rFonts w:ascii="宋体" w:hAnsi="宋体" w:cs="宋体"/>
                <w:b w:val="0"/>
                <w:bCs w:val="0"/>
                <w:kern w:val="0"/>
                <w:sz w:val="21"/>
                <w:szCs w:val="21"/>
              </w:rPr>
            </w:pPr>
            <w:r>
              <w:rPr>
                <w:rFonts w:hint="eastAsia" w:cs="宋体" w:asciiTheme="minorEastAsia" w:hAnsiTheme="minorEastAsia"/>
                <w:b w:val="0"/>
                <w:bCs w:val="0"/>
                <w:sz w:val="21"/>
                <w:szCs w:val="21"/>
              </w:rPr>
              <w:t>序号</w:t>
            </w:r>
          </w:p>
        </w:tc>
        <w:tc>
          <w:tcPr>
            <w:tcW w:w="1650" w:type="dxa"/>
            <w:vAlign w:val="center"/>
          </w:tcPr>
          <w:p>
            <w:pPr>
              <w:widowControl/>
              <w:jc w:val="center"/>
              <w:rPr>
                <w:rFonts w:ascii="宋体" w:hAnsi="宋体" w:cs="宋体"/>
                <w:b w:val="0"/>
                <w:bCs w:val="0"/>
                <w:kern w:val="0"/>
                <w:sz w:val="21"/>
                <w:szCs w:val="21"/>
              </w:rPr>
            </w:pPr>
            <w:r>
              <w:rPr>
                <w:rFonts w:hint="eastAsia" w:cs="宋体" w:asciiTheme="minorEastAsia" w:hAnsiTheme="minorEastAsia"/>
                <w:b w:val="0"/>
                <w:bCs w:val="0"/>
                <w:sz w:val="21"/>
                <w:szCs w:val="21"/>
              </w:rPr>
              <w:t>品名</w:t>
            </w:r>
          </w:p>
        </w:tc>
        <w:tc>
          <w:tcPr>
            <w:tcW w:w="980" w:type="dxa"/>
            <w:vAlign w:val="center"/>
          </w:tcPr>
          <w:p>
            <w:pPr>
              <w:widowControl/>
              <w:jc w:val="center"/>
              <w:rPr>
                <w:rFonts w:hint="eastAsia" w:eastAsia="宋体" w:cs="宋体" w:asciiTheme="minorEastAsia" w:hAnsiTheme="minorEastAsia"/>
                <w:b w:val="0"/>
                <w:bCs w:val="0"/>
                <w:sz w:val="21"/>
                <w:szCs w:val="21"/>
                <w:lang w:val="en-US" w:eastAsia="zh-CN"/>
              </w:rPr>
            </w:pPr>
            <w:r>
              <w:rPr>
                <w:rFonts w:hint="eastAsia" w:cs="宋体" w:asciiTheme="minorEastAsia" w:hAnsiTheme="minorEastAsia"/>
                <w:b w:val="0"/>
                <w:bCs w:val="0"/>
                <w:sz w:val="21"/>
                <w:szCs w:val="21"/>
                <w:lang w:val="en-US" w:eastAsia="zh-CN"/>
              </w:rPr>
              <w:t>品牌</w:t>
            </w:r>
          </w:p>
        </w:tc>
        <w:tc>
          <w:tcPr>
            <w:tcW w:w="1326" w:type="dxa"/>
            <w:vAlign w:val="center"/>
          </w:tcPr>
          <w:p>
            <w:pPr>
              <w:widowControl/>
              <w:jc w:val="center"/>
              <w:rPr>
                <w:rFonts w:ascii="宋体" w:hAnsi="宋体" w:cs="宋体"/>
                <w:b w:val="0"/>
                <w:bCs w:val="0"/>
                <w:sz w:val="21"/>
                <w:szCs w:val="21"/>
              </w:rPr>
            </w:pPr>
            <w:r>
              <w:rPr>
                <w:rFonts w:hint="eastAsia" w:cs="宋体" w:asciiTheme="minorEastAsia" w:hAnsiTheme="minorEastAsia"/>
                <w:b w:val="0"/>
                <w:bCs w:val="0"/>
                <w:kern w:val="0"/>
                <w:sz w:val="21"/>
                <w:szCs w:val="21"/>
              </w:rPr>
              <w:t>折扣率计算参考价</w:t>
            </w:r>
            <w:r>
              <w:rPr>
                <w:rFonts w:hint="eastAsia" w:ascii="宋体" w:hAnsi="宋体" w:cs="宋体"/>
                <w:b w:val="0"/>
                <w:bCs w:val="0"/>
                <w:sz w:val="21"/>
                <w:szCs w:val="21"/>
              </w:rPr>
              <w:t>（元）</w:t>
            </w:r>
          </w:p>
        </w:tc>
        <w:tc>
          <w:tcPr>
            <w:tcW w:w="1096" w:type="dxa"/>
            <w:vAlign w:val="center"/>
          </w:tcPr>
          <w:p>
            <w:pPr>
              <w:jc w:val="center"/>
              <w:rPr>
                <w:rFonts w:cs="宋体" w:asciiTheme="minorEastAsia" w:hAnsiTheme="minorEastAsia"/>
                <w:b w:val="0"/>
                <w:bCs w:val="0"/>
                <w:sz w:val="21"/>
                <w:szCs w:val="21"/>
              </w:rPr>
            </w:pPr>
            <w:r>
              <w:rPr>
                <w:rFonts w:hint="eastAsia" w:ascii="宋体" w:hAnsi="宋体" w:cs="宋体"/>
                <w:b w:val="0"/>
                <w:bCs w:val="0"/>
                <w:sz w:val="21"/>
                <w:szCs w:val="21"/>
              </w:rPr>
              <w:t>采购报价（元）</w:t>
            </w:r>
          </w:p>
        </w:tc>
        <w:tc>
          <w:tcPr>
            <w:tcW w:w="1057" w:type="dxa"/>
            <w:vAlign w:val="center"/>
          </w:tcPr>
          <w:p>
            <w:pPr>
              <w:jc w:val="center"/>
              <w:rPr>
                <w:rFonts w:cs="宋体" w:asciiTheme="minorEastAsia" w:hAnsiTheme="minorEastAsia"/>
                <w:b w:val="0"/>
                <w:bCs w:val="0"/>
                <w:sz w:val="21"/>
                <w:szCs w:val="21"/>
              </w:rPr>
            </w:pPr>
            <w:r>
              <w:rPr>
                <w:rFonts w:hint="eastAsia" w:ascii="宋体" w:hAnsi="宋体" w:cs="宋体"/>
                <w:b w:val="0"/>
                <w:bCs w:val="0"/>
                <w:sz w:val="21"/>
                <w:szCs w:val="21"/>
              </w:rPr>
              <w:t>折扣率</w:t>
            </w:r>
          </w:p>
        </w:tc>
        <w:tc>
          <w:tcPr>
            <w:tcW w:w="1087" w:type="dxa"/>
            <w:vAlign w:val="center"/>
          </w:tcPr>
          <w:p>
            <w:pPr>
              <w:jc w:val="center"/>
              <w:rPr>
                <w:rFonts w:cs="宋体" w:asciiTheme="minorEastAsia" w:hAnsiTheme="minorEastAsia"/>
                <w:b w:val="0"/>
                <w:bCs w:val="0"/>
                <w:sz w:val="21"/>
                <w:szCs w:val="21"/>
              </w:rPr>
            </w:pPr>
            <w:r>
              <w:rPr>
                <w:rFonts w:hint="eastAsia" w:ascii="宋体" w:hAnsi="宋体" w:cs="宋体"/>
                <w:b w:val="0"/>
                <w:bCs w:val="0"/>
                <w:sz w:val="21"/>
                <w:szCs w:val="21"/>
              </w:rPr>
              <w:t>平均折扣率</w:t>
            </w:r>
          </w:p>
        </w:tc>
        <w:tc>
          <w:tcPr>
            <w:tcW w:w="747" w:type="dxa"/>
            <w:vAlign w:val="center"/>
          </w:tcPr>
          <w:p>
            <w:pPr>
              <w:widowControl/>
              <w:jc w:val="center"/>
              <w:rPr>
                <w:rFonts w:cs="宋体" w:asciiTheme="minorEastAsia" w:hAnsiTheme="minorEastAsia"/>
                <w:b w:val="0"/>
                <w:bCs w:val="0"/>
                <w:sz w:val="21"/>
                <w:szCs w:val="21"/>
              </w:rPr>
            </w:pPr>
            <w:r>
              <w:rPr>
                <w:rFonts w:hint="eastAsia" w:cs="宋体" w:asciiTheme="minorEastAsia" w:hAnsiTheme="minorEastAsia"/>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25</w:t>
            </w:r>
          </w:p>
        </w:tc>
        <w:tc>
          <w:tcPr>
            <w:tcW w:w="1650" w:type="dxa"/>
            <w:vAlign w:val="center"/>
          </w:tcPr>
          <w:p>
            <w:pPr>
              <w:widowControl/>
              <w:jc w:val="center"/>
              <w:textAlignment w:val="center"/>
              <w:rPr>
                <w:rFonts w:ascii="宋体" w:hAnsi="宋体" w:cs="宋体"/>
                <w:b w:val="0"/>
                <w:bCs w:val="0"/>
                <w:sz w:val="21"/>
                <w:szCs w:val="21"/>
              </w:rPr>
            </w:pPr>
            <w:r>
              <w:rPr>
                <w:rFonts w:hint="eastAsia" w:ascii="宋体" w:hAnsi="宋体" w:cs="宋体"/>
                <w:b w:val="0"/>
                <w:bCs w:val="0"/>
                <w:kern w:val="0"/>
                <w:sz w:val="21"/>
                <w:szCs w:val="21"/>
              </w:rPr>
              <w:t>上海青</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restart"/>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矮脚黄青菜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27</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白梗青菜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1.9</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28</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鸡毛菜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29</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菜秧</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30</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广东菜心</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4.2</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31</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油菜心</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3.4</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青菜苔</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4.7</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33</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油麦菜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杭白菜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4.4</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台湾小白菜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36</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娃娃菜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2.7</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空心菜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黑体" w:hAnsi="黑体" w:eastAsia="黑体" w:cs="Tahoma"/>
                <w:b w:val="0"/>
                <w:bCs w:val="0"/>
                <w:sz w:val="21"/>
                <w:szCs w:val="21"/>
              </w:rPr>
            </w:pPr>
            <w:r>
              <w:rPr>
                <w:rFonts w:hint="eastAsia" w:ascii="宋体" w:hAnsi="宋体" w:cs="宋体"/>
                <w:b w:val="0"/>
                <w:bCs w:val="0"/>
                <w:kern w:val="0"/>
                <w:sz w:val="21"/>
                <w:szCs w:val="21"/>
              </w:rPr>
              <w:t>38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菠菜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39</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苋菜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40</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青苋菜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4.2</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41</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红苋菜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芥菜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8.5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43</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荠菜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新土豆</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粉西红柿</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水果黄瓜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苦瓜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丝瓜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49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笋瓜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3.3</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50</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佛手瓜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51</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圆茄</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52</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瓠子</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53</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茭白</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54</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薄皮青椒</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55</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圆椒</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3.4</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56</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美人椒</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4.7</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57</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保鲜花椒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58</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彩椒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4.4</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59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红椒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60</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红甜椒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61</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杭椒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黄甜椒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63</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螺丝椒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青甜椒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小米椒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线椒</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67</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白芹</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香芹</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69</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侉芹</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70</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西芹</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71</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水芹</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本芹</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73</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牛心包菜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3.3</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74</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紫包菜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抱子甘蓝</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球生菜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77</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小包莱</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78</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小胡萝卜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79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杨花萝卜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80</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水果萝卜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4.7</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81</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红萝卜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青萝卜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83</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壳豌豆</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2.4</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84</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茼蒿</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85</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芦蒿</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86</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蒜黄</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蒜苗</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韭黄</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12.0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89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韭菜苔</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8.0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90</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劲葱</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91</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大葱</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92</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香葱</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93</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蒜头</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8.5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94</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大蒜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青蒜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蒜米</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生姜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香菜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99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水果洋葱</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1.9</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100</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春笋</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101</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冬笋</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102</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芦笋</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10.5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103</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百合</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25.0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104</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芥兰</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4.7</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荸荠</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枸杞头</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4.4</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107</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橄榄包</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2.4</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木耳菜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109</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马兰头</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110</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菊叶</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111</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苦菊</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溜溜菜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113</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番薯叶</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3.7</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豌豆苗</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豌豆米</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116</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毛豆角</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毛豆米</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15.0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绿豆芽</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119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黑豆芽</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120</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甜玉米</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5.5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121</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糯玉米</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板栗</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8.0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123</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南瓜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贝贝南瓜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板栗南瓜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小南瓜</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茨菇</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山芋</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129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芋头</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130</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荔浦芋头</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131</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紫薯</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香薯</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133</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蜜薯</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3.8</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香芋</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4.6</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135</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地瓜</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4.0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136</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铁棍山药</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香菇</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9.0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138</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金针菇</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6.2</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139</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平菇</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140</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蘑菇</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11.5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141</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杏鲍菇</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鸡腿菇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143</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新鲜虫草花</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18.0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白玉菇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6.5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145</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海鲜菇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8.5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146</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冬菇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12.0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147</w:t>
            </w:r>
          </w:p>
        </w:tc>
        <w:tc>
          <w:tcPr>
            <w:tcW w:w="1650"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草菇</w:t>
            </w:r>
          </w:p>
        </w:tc>
        <w:tc>
          <w:tcPr>
            <w:tcW w:w="980" w:type="dxa"/>
            <w:vAlign w:val="center"/>
          </w:tcPr>
          <w:p>
            <w:pPr>
              <w:widowControl/>
              <w:jc w:val="center"/>
              <w:textAlignment w:val="center"/>
              <w:rPr>
                <w:rFonts w:hint="eastAsia"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18.5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149</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草头</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150</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茶树菇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11.0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151</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鸡枞菇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30.0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152</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松茸菇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32.0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153</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蟹味菇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28.0</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ascii="宋体" w:hAnsi="宋体" w:cs="宋体"/>
                <w:b w:val="0"/>
                <w:bCs w:val="0"/>
                <w:kern w:val="0"/>
                <w:sz w:val="21"/>
                <w:szCs w:val="21"/>
              </w:rPr>
            </w:pPr>
            <w:r>
              <w:rPr>
                <w:rFonts w:hint="eastAsia" w:ascii="宋体" w:hAnsi="宋体" w:cs="宋体"/>
                <w:b w:val="0"/>
                <w:bCs w:val="0"/>
                <w:kern w:val="0"/>
                <w:sz w:val="21"/>
                <w:szCs w:val="21"/>
              </w:rPr>
              <w:t>154</w:t>
            </w:r>
          </w:p>
        </w:tc>
        <w:tc>
          <w:tcPr>
            <w:tcW w:w="1650" w:type="dxa"/>
            <w:vAlign w:val="center"/>
          </w:tcPr>
          <w:p>
            <w:pPr>
              <w:widowControl/>
              <w:jc w:val="center"/>
              <w:textAlignment w:val="center"/>
              <w:rPr>
                <w:rFonts w:ascii="宋体" w:hAnsi="宋体" w:cs="宋体"/>
                <w:b w:val="0"/>
                <w:bCs w:val="0"/>
                <w:kern w:val="0"/>
                <w:sz w:val="21"/>
                <w:szCs w:val="21"/>
              </w:rPr>
            </w:pPr>
            <w:r>
              <w:rPr>
                <w:rFonts w:ascii="宋体" w:hAnsi="宋体" w:cs="宋体"/>
                <w:b w:val="0"/>
                <w:bCs w:val="0"/>
                <w:kern w:val="0"/>
                <w:sz w:val="21"/>
                <w:szCs w:val="21"/>
              </w:rPr>
              <w:t>秀珍菇</w:t>
            </w:r>
          </w:p>
        </w:tc>
        <w:tc>
          <w:tcPr>
            <w:tcW w:w="980" w:type="dxa"/>
            <w:vAlign w:val="center"/>
          </w:tcPr>
          <w:p>
            <w:pPr>
              <w:widowControl/>
              <w:jc w:val="center"/>
              <w:textAlignment w:val="center"/>
              <w:rPr>
                <w:rFonts w:ascii="宋体" w:hAnsi="宋体" w:cs="宋体"/>
                <w:b w:val="0"/>
                <w:bCs w:val="0"/>
                <w:kern w:val="0"/>
                <w:sz w:val="21"/>
                <w:szCs w:val="21"/>
              </w:rPr>
            </w:pPr>
          </w:p>
        </w:tc>
        <w:tc>
          <w:tcPr>
            <w:tcW w:w="1326" w:type="dxa"/>
            <w:vAlign w:val="center"/>
          </w:tcPr>
          <w:p>
            <w:pPr>
              <w:widowControl/>
              <w:spacing w:before="100" w:beforeAutospacing="1" w:after="100" w:afterAutospacing="1"/>
              <w:jc w:val="center"/>
              <w:rPr>
                <w:rFonts w:ascii="宋体" w:hAnsi="宋体" w:cs="宋体"/>
                <w:b w:val="0"/>
                <w:bCs w:val="0"/>
                <w:sz w:val="21"/>
                <w:szCs w:val="21"/>
              </w:rPr>
            </w:pPr>
            <w:r>
              <w:rPr>
                <w:rFonts w:hint="eastAsia" w:ascii="宋体" w:hAnsi="宋体" w:cs="宋体"/>
                <w:b w:val="0"/>
                <w:bCs w:val="0"/>
                <w:sz w:val="21"/>
                <w:szCs w:val="21"/>
              </w:rPr>
              <w:t>7.5</w:t>
            </w:r>
          </w:p>
        </w:tc>
        <w:tc>
          <w:tcPr>
            <w:tcW w:w="1096"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156</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净西芹（去叶，切段）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157</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净冬瓜（去皮，切片）</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4.5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158</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净垮芹（去叶，切段）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159</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白萝卜（去皮，切段/片/丝）</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2.8</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160</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净菊叶</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8.0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161</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土豆（去皮，切丁/片/丝）</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4.2</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162</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净菠菜</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8.0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163</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有机花菜（去根，切块）</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6.8</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164</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绿豆芽</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2.6</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165</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黄豆芽</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2.6</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166</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香芹（去根，去老叶，切段）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167</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净莴笋(切片/丝/丁）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168</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净包菜(切片/丝/丁）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3.0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169</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净丝瓜(切片/丝/丁）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170</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胡萝卜（去根，切片/丝/丁）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2.9</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171</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净莴苣（去根，去皮，切片/丝/丁）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172</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净山药（去皮，切片/丝/丁/段）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173</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南瓜(去皮，切片/丝/丁）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4.2</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174</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西兰花（去根切块）</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175</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青豆</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176</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藕（去皮，去节，切片/丝/丁/段）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177</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净瓠子（去皮，切片/丝/段）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178</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净韭菜</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4.0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179</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青甜椒（切片/丝/段）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180</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净糯玉米</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181</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净百合</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182</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净荔浦芋头（去皮，切片/丝/丁）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12.0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183</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净荠菜</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8.0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184</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净茼蒿</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185</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净苋菜</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186</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净紫薯（去皮，切片/丝/丁）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187</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海鲜菇</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188</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金针菇</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7.5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189</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茶树菇</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12.0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190</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虫草花</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18.0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191</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竹荪</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130.0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192</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净菜秧</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193</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净茭白（去皮，切片/丝/段）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8.8</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194</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净白菜</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195</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净娃娃菜</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196</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净茄子（切片/丝/段）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3.5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197</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净洋葱（切片/丝/段）</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2.8</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198</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净空心菜</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199</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净毛豆米</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200</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净马兰头</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201</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净韭黄</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13.5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202</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净蒜黄</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7.5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203</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净茨菇</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4.0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204</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净荸荠（去皮，切片/丝/丁）</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205</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荷兰豆</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206</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净山芋</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3.8</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207</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净芦笋</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16.0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208</w:t>
            </w:r>
          </w:p>
        </w:tc>
        <w:tc>
          <w:tcPr>
            <w:tcW w:w="1650" w:type="dxa"/>
            <w:vAlign w:val="center"/>
          </w:tcPr>
          <w:p>
            <w:pPr>
              <w:widowControl/>
              <w:jc w:val="center"/>
              <w:textAlignment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净板栗</w:t>
            </w:r>
          </w:p>
        </w:tc>
        <w:tc>
          <w:tcPr>
            <w:tcW w:w="980" w:type="dxa"/>
            <w:vAlign w:val="center"/>
          </w:tcPr>
          <w:p>
            <w:pPr>
              <w:widowControl/>
              <w:jc w:val="center"/>
              <w:textAlignment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16.0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209</w:t>
            </w:r>
          </w:p>
        </w:tc>
        <w:tc>
          <w:tcPr>
            <w:tcW w:w="1650" w:type="dxa"/>
            <w:vAlign w:val="center"/>
          </w:tcPr>
          <w:p>
            <w:pPr>
              <w:widowControl/>
              <w:jc w:val="center"/>
              <w:rPr>
                <w:rFonts w:ascii="宋体" w:hAnsi="宋体" w:cs="宋体" w:eastAsiaTheme="minorEastAsia"/>
                <w:kern w:val="2"/>
                <w:sz w:val="21"/>
                <w:szCs w:val="21"/>
                <w:lang w:val="en-US" w:eastAsia="zh-CN" w:bidi="ar-SA"/>
              </w:rPr>
            </w:pPr>
            <w:r>
              <w:rPr>
                <w:rFonts w:hint="eastAsia" w:ascii="宋体" w:hAnsi="宋体" w:cs="宋体"/>
                <w:sz w:val="21"/>
                <w:szCs w:val="21"/>
              </w:rPr>
              <w:t>保洁鸡蛋</w:t>
            </w:r>
          </w:p>
        </w:tc>
        <w:tc>
          <w:tcPr>
            <w:tcW w:w="980" w:type="dxa"/>
            <w:vAlign w:val="center"/>
          </w:tcPr>
          <w:p>
            <w:pPr>
              <w:widowControl/>
              <w:jc w:val="center"/>
              <w:rPr>
                <w:rFonts w:hint="eastAsia" w:ascii="宋体" w:hAnsi="宋体" w:cs="宋体"/>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8.8</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210</w:t>
            </w:r>
          </w:p>
        </w:tc>
        <w:tc>
          <w:tcPr>
            <w:tcW w:w="1650" w:type="dxa"/>
            <w:vAlign w:val="center"/>
          </w:tcPr>
          <w:p>
            <w:pPr>
              <w:widowControl/>
              <w:jc w:val="center"/>
              <w:rPr>
                <w:rFonts w:ascii="宋体" w:hAnsi="宋体" w:cs="宋体" w:eastAsiaTheme="minorEastAsia"/>
                <w:kern w:val="2"/>
                <w:sz w:val="21"/>
                <w:szCs w:val="21"/>
                <w:lang w:val="en-US" w:eastAsia="zh-CN" w:bidi="ar-SA"/>
              </w:rPr>
            </w:pPr>
            <w:r>
              <w:rPr>
                <w:rFonts w:hint="eastAsia" w:ascii="宋体" w:hAnsi="宋体" w:cs="宋体"/>
                <w:sz w:val="21"/>
                <w:szCs w:val="21"/>
              </w:rPr>
              <w:t>保洁鸭蛋</w:t>
            </w:r>
          </w:p>
        </w:tc>
        <w:tc>
          <w:tcPr>
            <w:tcW w:w="980" w:type="dxa"/>
            <w:vAlign w:val="center"/>
          </w:tcPr>
          <w:p>
            <w:pPr>
              <w:widowControl/>
              <w:jc w:val="center"/>
              <w:rPr>
                <w:rFonts w:hint="eastAsia" w:ascii="宋体" w:hAnsi="宋体" w:cs="宋体"/>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13.5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211</w:t>
            </w:r>
          </w:p>
        </w:tc>
        <w:tc>
          <w:tcPr>
            <w:tcW w:w="1650" w:type="dxa"/>
            <w:vAlign w:val="center"/>
          </w:tcPr>
          <w:p>
            <w:pPr>
              <w:widowControl/>
              <w:jc w:val="center"/>
              <w:rPr>
                <w:rFonts w:ascii="宋体" w:hAnsi="宋体" w:cs="宋体" w:eastAsiaTheme="minorEastAsia"/>
                <w:kern w:val="2"/>
                <w:sz w:val="21"/>
                <w:szCs w:val="21"/>
                <w:lang w:val="en-US" w:eastAsia="zh-CN" w:bidi="ar-SA"/>
              </w:rPr>
            </w:pPr>
            <w:r>
              <w:rPr>
                <w:rFonts w:hint="eastAsia" w:ascii="宋体" w:hAnsi="宋体" w:cs="宋体"/>
                <w:sz w:val="21"/>
                <w:szCs w:val="21"/>
              </w:rPr>
              <w:t>无菌蛋</w:t>
            </w:r>
          </w:p>
        </w:tc>
        <w:tc>
          <w:tcPr>
            <w:tcW w:w="980" w:type="dxa"/>
            <w:vAlign w:val="center"/>
          </w:tcPr>
          <w:p>
            <w:pPr>
              <w:widowControl/>
              <w:jc w:val="center"/>
              <w:rPr>
                <w:rFonts w:hint="eastAsia" w:ascii="宋体" w:hAnsi="宋体" w:cs="宋体"/>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14.5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212</w:t>
            </w:r>
          </w:p>
        </w:tc>
        <w:tc>
          <w:tcPr>
            <w:tcW w:w="1650" w:type="dxa"/>
            <w:vAlign w:val="center"/>
          </w:tcPr>
          <w:p>
            <w:pPr>
              <w:widowControl/>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鹌鹑蛋</w:t>
            </w:r>
          </w:p>
        </w:tc>
        <w:tc>
          <w:tcPr>
            <w:tcW w:w="980" w:type="dxa"/>
            <w:vAlign w:val="center"/>
          </w:tcPr>
          <w:p>
            <w:pPr>
              <w:widowControl/>
              <w:jc w:val="center"/>
              <w:rPr>
                <w:rFonts w:hint="eastAsia" w:ascii="宋体" w:hAnsi="宋体" w:cs="宋体"/>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13.0</w:t>
            </w:r>
          </w:p>
        </w:tc>
        <w:tc>
          <w:tcPr>
            <w:tcW w:w="1096" w:type="dxa"/>
            <w:vAlign w:val="center"/>
          </w:tcPr>
          <w:p>
            <w:pPr>
              <w:widowControl/>
              <w:jc w:val="center"/>
              <w:rPr>
                <w:rFonts w:hint="eastAsia" w:ascii="宋体" w:hAnsi="宋体" w:cs="宋体" w:eastAsiaTheme="minorEastAsia"/>
                <w:kern w:val="2"/>
                <w:sz w:val="21"/>
                <w:szCs w:val="21"/>
                <w:lang w:val="en-US" w:eastAsia="zh-CN" w:bidi="ar-SA"/>
              </w:rPr>
            </w:pPr>
          </w:p>
        </w:tc>
        <w:tc>
          <w:tcPr>
            <w:tcW w:w="1057" w:type="dxa"/>
            <w:vAlign w:val="center"/>
          </w:tcPr>
          <w:p>
            <w:pPr>
              <w:jc w:val="center"/>
              <w:rPr>
                <w:rFonts w:hint="eastAsia" w:ascii="宋体" w:hAnsi="宋体" w:cs="宋体" w:eastAsiaTheme="minorEastAsia"/>
                <w:kern w:val="2"/>
                <w:sz w:val="21"/>
                <w:szCs w:val="21"/>
                <w:lang w:val="en-US" w:eastAsia="zh-CN" w:bidi="ar-SA"/>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eastAsia"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213</w:t>
            </w:r>
          </w:p>
        </w:tc>
        <w:tc>
          <w:tcPr>
            <w:tcW w:w="1650" w:type="dxa"/>
            <w:vAlign w:val="center"/>
          </w:tcPr>
          <w:p>
            <w:pPr>
              <w:widowControl/>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咸鸭蛋</w:t>
            </w:r>
          </w:p>
        </w:tc>
        <w:tc>
          <w:tcPr>
            <w:tcW w:w="980" w:type="dxa"/>
            <w:vAlign w:val="center"/>
          </w:tcPr>
          <w:p>
            <w:pPr>
              <w:widowControl/>
              <w:jc w:val="center"/>
              <w:rPr>
                <w:rFonts w:hint="eastAsia" w:ascii="宋体" w:hAnsi="宋体" w:cs="宋体"/>
                <w:sz w:val="21"/>
                <w:szCs w:val="21"/>
                <w:lang w:val="en-US" w:eastAsia="zh-CN"/>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20</w:t>
            </w:r>
          </w:p>
        </w:tc>
        <w:tc>
          <w:tcPr>
            <w:tcW w:w="1096" w:type="dxa"/>
            <w:vAlign w:val="center"/>
          </w:tcPr>
          <w:p>
            <w:pPr>
              <w:widowControl/>
              <w:jc w:val="center"/>
              <w:rPr>
                <w:rFonts w:hint="default" w:ascii="宋体" w:hAnsi="宋体" w:cs="宋体" w:eastAsiaTheme="minorEastAsia"/>
                <w:kern w:val="2"/>
                <w:sz w:val="21"/>
                <w:szCs w:val="21"/>
                <w:lang w:val="en-US" w:eastAsia="zh-CN" w:bidi="ar-SA"/>
              </w:rPr>
            </w:pPr>
          </w:p>
        </w:tc>
        <w:tc>
          <w:tcPr>
            <w:tcW w:w="1057" w:type="dxa"/>
            <w:vAlign w:val="center"/>
          </w:tcPr>
          <w:p>
            <w:pPr>
              <w:jc w:val="center"/>
              <w:rPr>
                <w:rFonts w:hint="eastAsia" w:ascii="宋体" w:hAnsi="宋体" w:cs="宋体" w:eastAsiaTheme="minorEastAsia"/>
                <w:kern w:val="2"/>
                <w:sz w:val="21"/>
                <w:szCs w:val="21"/>
                <w:lang w:val="en-US" w:eastAsia="zh-CN" w:bidi="ar-SA"/>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eastAsia"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214</w:t>
            </w:r>
          </w:p>
        </w:tc>
        <w:tc>
          <w:tcPr>
            <w:tcW w:w="1650" w:type="dxa"/>
            <w:vAlign w:val="center"/>
          </w:tcPr>
          <w:p>
            <w:pPr>
              <w:widowControl/>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lang w:val="en-US" w:eastAsia="zh-CN"/>
              </w:rPr>
              <w:t>皮蛋</w:t>
            </w:r>
          </w:p>
        </w:tc>
        <w:tc>
          <w:tcPr>
            <w:tcW w:w="980" w:type="dxa"/>
            <w:vAlign w:val="center"/>
          </w:tcPr>
          <w:p>
            <w:pPr>
              <w:widowControl/>
              <w:jc w:val="center"/>
              <w:rPr>
                <w:rFonts w:hint="eastAsia" w:ascii="宋体" w:hAnsi="宋体" w:cs="宋体"/>
                <w:sz w:val="21"/>
                <w:szCs w:val="21"/>
                <w:lang w:val="en-US" w:eastAsia="zh-CN"/>
              </w:rPr>
            </w:pPr>
          </w:p>
        </w:tc>
        <w:tc>
          <w:tcPr>
            <w:tcW w:w="1326" w:type="dxa"/>
            <w:vAlign w:val="center"/>
          </w:tcPr>
          <w:p>
            <w:pPr>
              <w:jc w:val="center"/>
              <w:rPr>
                <w:rFonts w:hint="default" w:ascii="宋体" w:hAnsi="宋体" w:cs="宋体" w:eastAsiaTheme="minorEastAsia"/>
                <w:kern w:val="2"/>
                <w:sz w:val="21"/>
                <w:szCs w:val="21"/>
                <w:lang w:val="en-US" w:eastAsia="zh-CN" w:bidi="ar-SA"/>
              </w:rPr>
            </w:pPr>
            <w:r>
              <w:rPr>
                <w:rFonts w:hint="eastAsia" w:ascii="宋体" w:hAnsi="宋体" w:cs="宋体"/>
                <w:sz w:val="21"/>
                <w:szCs w:val="21"/>
                <w:lang w:val="en-US" w:eastAsia="zh-CN"/>
              </w:rPr>
              <w:t>32</w:t>
            </w:r>
          </w:p>
        </w:tc>
        <w:tc>
          <w:tcPr>
            <w:tcW w:w="1096" w:type="dxa"/>
            <w:vAlign w:val="center"/>
          </w:tcPr>
          <w:p>
            <w:pPr>
              <w:widowControl/>
              <w:jc w:val="center"/>
              <w:rPr>
                <w:rFonts w:ascii="宋体" w:hAnsi="宋体" w:cs="宋体" w:eastAsiaTheme="minorEastAsia"/>
                <w:kern w:val="2"/>
                <w:sz w:val="21"/>
                <w:szCs w:val="21"/>
                <w:lang w:val="en-US" w:eastAsia="zh-CN" w:bidi="ar-SA"/>
              </w:rPr>
            </w:pPr>
          </w:p>
        </w:tc>
        <w:tc>
          <w:tcPr>
            <w:tcW w:w="1057" w:type="dxa"/>
            <w:vAlign w:val="center"/>
          </w:tcPr>
          <w:p>
            <w:pPr>
              <w:jc w:val="center"/>
              <w:rPr>
                <w:rFonts w:hint="eastAsia" w:ascii="宋体" w:hAnsi="宋体" w:cs="宋体" w:eastAsiaTheme="minorEastAsia"/>
                <w:kern w:val="2"/>
                <w:sz w:val="21"/>
                <w:szCs w:val="21"/>
                <w:lang w:val="en-US" w:eastAsia="zh-CN" w:bidi="ar-SA"/>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215</w:t>
            </w:r>
          </w:p>
        </w:tc>
        <w:tc>
          <w:tcPr>
            <w:tcW w:w="1650" w:type="dxa"/>
            <w:vAlign w:val="center"/>
          </w:tcPr>
          <w:p>
            <w:pPr>
              <w:widowControl/>
              <w:spacing w:before="100" w:beforeAutospacing="1" w:after="100" w:afterAutospacing="1"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高钙豆腐</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3.5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216</w:t>
            </w:r>
          </w:p>
        </w:tc>
        <w:tc>
          <w:tcPr>
            <w:tcW w:w="1650" w:type="dxa"/>
            <w:vAlign w:val="center"/>
          </w:tcPr>
          <w:p>
            <w:pPr>
              <w:widowControl/>
              <w:spacing w:before="100" w:beforeAutospacing="1" w:after="100" w:afterAutospacing="1"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板豆腐</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217</w:t>
            </w:r>
          </w:p>
        </w:tc>
        <w:tc>
          <w:tcPr>
            <w:tcW w:w="1650" w:type="dxa"/>
            <w:vAlign w:val="center"/>
          </w:tcPr>
          <w:p>
            <w:pPr>
              <w:widowControl/>
              <w:spacing w:before="100" w:beforeAutospacing="1" w:after="100" w:afterAutospacing="1"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千层干</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9.0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218</w:t>
            </w:r>
          </w:p>
        </w:tc>
        <w:tc>
          <w:tcPr>
            <w:tcW w:w="1650" w:type="dxa"/>
            <w:vAlign w:val="center"/>
          </w:tcPr>
          <w:p>
            <w:pPr>
              <w:widowControl/>
              <w:spacing w:before="100" w:beforeAutospacing="1" w:after="100" w:afterAutospacing="1"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白干</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7.5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219</w:t>
            </w:r>
          </w:p>
        </w:tc>
        <w:tc>
          <w:tcPr>
            <w:tcW w:w="1650" w:type="dxa"/>
            <w:vAlign w:val="center"/>
          </w:tcPr>
          <w:p>
            <w:pPr>
              <w:widowControl/>
              <w:spacing w:before="100" w:beforeAutospacing="1" w:after="100" w:afterAutospacing="1"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香干皮</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7.5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220</w:t>
            </w:r>
          </w:p>
        </w:tc>
        <w:tc>
          <w:tcPr>
            <w:tcW w:w="1650" w:type="dxa"/>
            <w:vAlign w:val="center"/>
          </w:tcPr>
          <w:p>
            <w:pPr>
              <w:widowControl/>
              <w:spacing w:before="100" w:beforeAutospacing="1" w:after="100" w:afterAutospacing="1"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香干</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7.5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221</w:t>
            </w:r>
          </w:p>
        </w:tc>
        <w:tc>
          <w:tcPr>
            <w:tcW w:w="1650" w:type="dxa"/>
            <w:vAlign w:val="center"/>
          </w:tcPr>
          <w:p>
            <w:pPr>
              <w:widowControl/>
              <w:spacing w:before="100" w:beforeAutospacing="1" w:after="100" w:afterAutospacing="1"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千张结</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222</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素鸡</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8.2</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223</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千叶豆腐</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8.9</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224</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干丝</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225</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豆皮</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33.6</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226</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老豆腐</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227</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年糕</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5.2</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228</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鲜腐竹</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30.0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229</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鱼豆腐</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7.0</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230</w:t>
            </w:r>
          </w:p>
        </w:tc>
        <w:tc>
          <w:tcPr>
            <w:tcW w:w="1650" w:type="dxa"/>
            <w:vAlign w:val="center"/>
          </w:tcPr>
          <w:p>
            <w:pPr>
              <w:spacing w:line="312" w:lineRule="auto"/>
              <w:jc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rPr>
              <w:t>内酯豆腐</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2.5</w:t>
            </w:r>
          </w:p>
        </w:tc>
        <w:tc>
          <w:tcPr>
            <w:tcW w:w="1096" w:type="dxa"/>
            <w:vAlign w:val="center"/>
          </w:tcPr>
          <w:p>
            <w:pPr>
              <w:jc w:val="center"/>
              <w:rPr>
                <w:rFonts w:hint="eastAsia"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231</w:t>
            </w:r>
          </w:p>
        </w:tc>
        <w:tc>
          <w:tcPr>
            <w:tcW w:w="1650" w:type="dxa"/>
            <w:vAlign w:val="center"/>
          </w:tcPr>
          <w:p>
            <w:pPr>
              <w:spacing w:line="312" w:lineRule="auto"/>
              <w:jc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rPr>
              <w:t>兰花干</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14.5</w:t>
            </w:r>
          </w:p>
        </w:tc>
        <w:tc>
          <w:tcPr>
            <w:tcW w:w="1096" w:type="dxa"/>
            <w:vAlign w:val="center"/>
          </w:tcPr>
          <w:p>
            <w:pPr>
              <w:jc w:val="center"/>
              <w:rPr>
                <w:rFonts w:hint="eastAsia"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232</w:t>
            </w:r>
          </w:p>
        </w:tc>
        <w:tc>
          <w:tcPr>
            <w:tcW w:w="1650" w:type="dxa"/>
            <w:vAlign w:val="center"/>
          </w:tcPr>
          <w:p>
            <w:pPr>
              <w:widowControl/>
              <w:spacing w:before="100" w:beforeAutospacing="1" w:after="100" w:afterAutospacing="1" w:line="312" w:lineRule="auto"/>
              <w:jc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rPr>
              <w:t>油果</w:t>
            </w:r>
          </w:p>
        </w:tc>
        <w:tc>
          <w:tcPr>
            <w:tcW w:w="980" w:type="dxa"/>
            <w:vAlign w:val="center"/>
          </w:tcPr>
          <w:p>
            <w:pPr>
              <w:widowControl/>
              <w:spacing w:before="100" w:beforeAutospacing="1" w:after="100" w:afterAutospacing="1"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10.5</w:t>
            </w:r>
          </w:p>
        </w:tc>
        <w:tc>
          <w:tcPr>
            <w:tcW w:w="1096" w:type="dxa"/>
            <w:vAlign w:val="center"/>
          </w:tcPr>
          <w:p>
            <w:pPr>
              <w:jc w:val="center"/>
              <w:rPr>
                <w:rFonts w:hint="eastAsia"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233</w:t>
            </w:r>
          </w:p>
        </w:tc>
        <w:tc>
          <w:tcPr>
            <w:tcW w:w="1650" w:type="dxa"/>
            <w:vAlign w:val="center"/>
          </w:tcPr>
          <w:p>
            <w:pPr>
              <w:spacing w:line="312" w:lineRule="auto"/>
              <w:jc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rPr>
              <w:t>油面筋</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23.0</w:t>
            </w:r>
          </w:p>
        </w:tc>
        <w:tc>
          <w:tcPr>
            <w:tcW w:w="1096" w:type="dxa"/>
            <w:vAlign w:val="center"/>
          </w:tcPr>
          <w:p>
            <w:pPr>
              <w:jc w:val="center"/>
              <w:rPr>
                <w:rFonts w:hint="eastAsia"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bidi="ar-SA"/>
              </w:rPr>
            </w:pPr>
            <w:r>
              <w:rPr>
                <w:rFonts w:hint="eastAsia" w:ascii="宋体" w:hAnsi="宋体" w:cs="宋体"/>
                <w:b w:val="0"/>
                <w:bCs w:val="0"/>
                <w:kern w:val="0"/>
                <w:sz w:val="21"/>
                <w:szCs w:val="21"/>
                <w:lang w:val="en-US" w:eastAsia="zh-CN"/>
              </w:rPr>
              <w:t>234</w:t>
            </w:r>
          </w:p>
        </w:tc>
        <w:tc>
          <w:tcPr>
            <w:tcW w:w="1650" w:type="dxa"/>
            <w:vAlign w:val="center"/>
          </w:tcPr>
          <w:p>
            <w:pPr>
              <w:spacing w:line="312" w:lineRule="auto"/>
              <w:jc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rPr>
              <w:t>水面筋</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6.9</w:t>
            </w:r>
          </w:p>
        </w:tc>
        <w:tc>
          <w:tcPr>
            <w:tcW w:w="1096" w:type="dxa"/>
            <w:vAlign w:val="center"/>
          </w:tcPr>
          <w:p>
            <w:pPr>
              <w:jc w:val="center"/>
              <w:rPr>
                <w:rFonts w:hint="eastAsia"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235</w:t>
            </w:r>
          </w:p>
        </w:tc>
        <w:tc>
          <w:tcPr>
            <w:tcW w:w="1650" w:type="dxa"/>
            <w:vAlign w:val="center"/>
          </w:tcPr>
          <w:p>
            <w:pPr>
              <w:spacing w:line="312" w:lineRule="auto"/>
              <w:jc w:val="center"/>
              <w:rPr>
                <w:rFonts w:hint="eastAsia" w:ascii="宋体" w:hAnsi="宋体" w:cs="宋体" w:eastAsiaTheme="minorEastAsia"/>
                <w:kern w:val="0"/>
                <w:sz w:val="21"/>
                <w:szCs w:val="21"/>
                <w:lang w:val="en-US" w:eastAsia="zh-CN" w:bidi="ar-SA"/>
              </w:rPr>
            </w:pPr>
            <w:r>
              <w:rPr>
                <w:rFonts w:hint="eastAsia" w:ascii="宋体" w:hAnsi="宋体" w:cs="宋体"/>
                <w:kern w:val="0"/>
                <w:sz w:val="21"/>
                <w:szCs w:val="21"/>
              </w:rPr>
              <w:t>面筋球</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7.8</w:t>
            </w:r>
          </w:p>
        </w:tc>
        <w:tc>
          <w:tcPr>
            <w:tcW w:w="1096" w:type="dxa"/>
            <w:vAlign w:val="center"/>
          </w:tcPr>
          <w:p>
            <w:pPr>
              <w:jc w:val="center"/>
              <w:rPr>
                <w:rFonts w:hint="eastAsia"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25" w:type="dxa"/>
            <w:vAlign w:val="center"/>
          </w:tcPr>
          <w:p>
            <w:pPr>
              <w:widowControl/>
              <w:jc w:val="center"/>
              <w:textAlignment w:val="center"/>
              <w:rPr>
                <w:rFonts w:hint="default" w:ascii="宋体" w:hAnsi="宋体" w:cs="宋体" w:eastAsiaTheme="minorEastAsia"/>
                <w:b w:val="0"/>
                <w:bCs w:val="0"/>
                <w:kern w:val="0"/>
                <w:sz w:val="21"/>
                <w:szCs w:val="21"/>
                <w:lang w:val="en-US" w:eastAsia="zh-CN"/>
              </w:rPr>
            </w:pPr>
            <w:r>
              <w:rPr>
                <w:rFonts w:hint="eastAsia" w:ascii="宋体" w:hAnsi="宋体" w:cs="宋体"/>
                <w:b w:val="0"/>
                <w:bCs w:val="0"/>
                <w:kern w:val="0"/>
                <w:sz w:val="21"/>
                <w:szCs w:val="21"/>
                <w:lang w:val="en-US" w:eastAsia="zh-CN"/>
              </w:rPr>
              <w:t>236</w:t>
            </w:r>
          </w:p>
        </w:tc>
        <w:tc>
          <w:tcPr>
            <w:tcW w:w="1650" w:type="dxa"/>
            <w:vAlign w:val="center"/>
          </w:tcPr>
          <w:p>
            <w:pPr>
              <w:spacing w:line="312" w:lineRule="auto"/>
              <w:jc w:val="center"/>
              <w:rPr>
                <w:rFonts w:ascii="宋体" w:hAnsi="宋体" w:cs="宋体" w:eastAsiaTheme="minorEastAsia"/>
                <w:kern w:val="0"/>
                <w:sz w:val="21"/>
                <w:szCs w:val="21"/>
                <w:lang w:val="en-US" w:eastAsia="zh-CN" w:bidi="ar-SA"/>
              </w:rPr>
            </w:pPr>
            <w:r>
              <w:rPr>
                <w:rFonts w:hint="eastAsia" w:ascii="宋体" w:hAnsi="宋体" w:cs="宋体"/>
                <w:kern w:val="0"/>
                <w:sz w:val="21"/>
                <w:szCs w:val="21"/>
              </w:rPr>
              <w:t>油三角</w:t>
            </w:r>
          </w:p>
        </w:tc>
        <w:tc>
          <w:tcPr>
            <w:tcW w:w="980" w:type="dxa"/>
            <w:vAlign w:val="center"/>
          </w:tcPr>
          <w:p>
            <w:pPr>
              <w:spacing w:line="312" w:lineRule="auto"/>
              <w:jc w:val="center"/>
              <w:rPr>
                <w:rFonts w:hint="eastAsia" w:ascii="宋体" w:hAnsi="宋体" w:cs="宋体"/>
                <w:kern w:val="0"/>
                <w:sz w:val="21"/>
                <w:szCs w:val="21"/>
              </w:rPr>
            </w:pPr>
          </w:p>
        </w:tc>
        <w:tc>
          <w:tcPr>
            <w:tcW w:w="1326" w:type="dxa"/>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10.8</w:t>
            </w:r>
          </w:p>
        </w:tc>
        <w:tc>
          <w:tcPr>
            <w:tcW w:w="1096" w:type="dxa"/>
            <w:vAlign w:val="center"/>
          </w:tcPr>
          <w:p>
            <w:pPr>
              <w:jc w:val="center"/>
              <w:rPr>
                <w:rFonts w:ascii="宋体" w:hAnsi="宋体" w:cs="宋体" w:eastAsiaTheme="minorEastAsia"/>
                <w:kern w:val="2"/>
                <w:sz w:val="21"/>
                <w:szCs w:val="21"/>
                <w:lang w:val="en-US" w:eastAsia="zh-CN" w:bidi="ar-SA"/>
              </w:rPr>
            </w:pPr>
          </w:p>
        </w:tc>
        <w:tc>
          <w:tcPr>
            <w:tcW w:w="1057" w:type="dxa"/>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1087" w:type="dxa"/>
            <w:vMerge w:val="continue"/>
            <w:vAlign w:val="center"/>
          </w:tcPr>
          <w:p>
            <w:pPr>
              <w:widowControl/>
              <w:spacing w:before="100" w:beforeAutospacing="1" w:after="100" w:afterAutospacing="1"/>
              <w:jc w:val="center"/>
              <w:rPr>
                <w:rFonts w:cs="宋体" w:asciiTheme="minorEastAsia" w:hAnsiTheme="minorEastAsia"/>
                <w:b w:val="0"/>
                <w:bCs w:val="0"/>
                <w:sz w:val="21"/>
                <w:szCs w:val="21"/>
              </w:rPr>
            </w:pPr>
          </w:p>
        </w:tc>
        <w:tc>
          <w:tcPr>
            <w:tcW w:w="747" w:type="dxa"/>
            <w:vAlign w:val="center"/>
          </w:tcPr>
          <w:p>
            <w:pPr>
              <w:widowControl/>
              <w:spacing w:before="100" w:beforeAutospacing="1" w:after="100" w:afterAutospacing="1"/>
              <w:jc w:val="center"/>
              <w:rPr>
                <w:rFonts w:cs="宋体" w:asciiTheme="minorEastAsia" w:hAnsi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2375" w:type="dxa"/>
            <w:gridSpan w:val="2"/>
            <w:vAlign w:val="center"/>
          </w:tcPr>
          <w:p>
            <w:pPr>
              <w:jc w:val="center"/>
              <w:rPr>
                <w:rFonts w:ascii="宋体" w:hAnsi="宋体" w:cs="宋体"/>
                <w:b w:val="0"/>
                <w:bCs w:val="0"/>
                <w:sz w:val="21"/>
                <w:szCs w:val="21"/>
              </w:rPr>
            </w:pPr>
            <w:r>
              <w:rPr>
                <w:rFonts w:hint="eastAsia" w:ascii="宋体" w:hAnsi="宋体" w:cs="宋体"/>
                <w:b w:val="0"/>
                <w:bCs w:val="0"/>
                <w:kern w:val="0"/>
                <w:sz w:val="21"/>
                <w:szCs w:val="21"/>
              </w:rPr>
              <w:t>平均折扣率</w:t>
            </w:r>
          </w:p>
        </w:tc>
        <w:tc>
          <w:tcPr>
            <w:tcW w:w="6293" w:type="dxa"/>
            <w:gridSpan w:val="6"/>
            <w:vAlign w:val="center"/>
          </w:tcPr>
          <w:p>
            <w:pPr>
              <w:widowControl/>
              <w:spacing w:before="100" w:beforeAutospacing="1" w:after="100" w:afterAutospacing="1"/>
              <w:jc w:val="center"/>
              <w:rPr>
                <w:rFonts w:cs="宋体" w:asciiTheme="minorEastAsia" w:hAnsiTheme="minorEastAsia"/>
                <w:b w:val="0"/>
                <w:bCs w:val="0"/>
                <w:sz w:val="21"/>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b/>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1、本公司承诺，</w:t>
      </w:r>
      <w:r>
        <w:rPr>
          <w:rFonts w:hint="eastAsia" w:asciiTheme="minorEastAsia" w:hAnsiTheme="minorEastAsia" w:eastAsiaTheme="minorEastAsia"/>
          <w:kern w:val="0"/>
          <w:sz w:val="24"/>
          <w:szCs w:val="24"/>
          <w:lang w:val="en-US" w:eastAsia="zh-CN"/>
        </w:rPr>
        <w:t>蔬菜、蛋、豆制品</w:t>
      </w:r>
      <w:r>
        <w:rPr>
          <w:rFonts w:hint="eastAsia" w:asciiTheme="minorEastAsia" w:hAnsiTheme="minorEastAsia" w:eastAsiaTheme="minorEastAsia"/>
          <w:kern w:val="0"/>
          <w:sz w:val="24"/>
          <w:szCs w:val="24"/>
        </w:rPr>
        <w:t>1-24项所投品目平均折扣率（保留小数点后两位）为，25-</w:t>
      </w:r>
      <w:r>
        <w:rPr>
          <w:rFonts w:hint="eastAsia" w:asciiTheme="minorEastAsia" w:hAnsiTheme="minorEastAsia"/>
          <w:kern w:val="0"/>
          <w:sz w:val="24"/>
          <w:szCs w:val="24"/>
          <w:lang w:val="en-US" w:eastAsia="zh-CN"/>
        </w:rPr>
        <w:t>236</w:t>
      </w:r>
      <w:r>
        <w:rPr>
          <w:rFonts w:hint="eastAsia" w:asciiTheme="minorEastAsia" w:hAnsiTheme="minorEastAsia" w:eastAsiaTheme="minorEastAsia"/>
          <w:kern w:val="0"/>
          <w:sz w:val="24"/>
          <w:szCs w:val="24"/>
        </w:rPr>
        <w:t>项所投品目平均折扣率（保留小数点后两位）为。</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2、本公司承诺，</w:t>
      </w:r>
      <w:r>
        <w:rPr>
          <w:rFonts w:hint="eastAsia" w:asciiTheme="minorEastAsia" w:hAnsiTheme="minorEastAsia" w:eastAsiaTheme="minorEastAsia"/>
          <w:kern w:val="0"/>
          <w:sz w:val="24"/>
          <w:szCs w:val="24"/>
          <w:lang w:val="en-US" w:eastAsia="zh-CN"/>
        </w:rPr>
        <w:t>蔬菜、蛋、豆制品</w:t>
      </w:r>
      <w:r>
        <w:rPr>
          <w:rFonts w:hint="eastAsia" w:asciiTheme="minorEastAsia" w:hAnsiTheme="minorEastAsia" w:eastAsiaTheme="minorEastAsia"/>
          <w:kern w:val="0"/>
          <w:sz w:val="24"/>
          <w:szCs w:val="24"/>
        </w:rPr>
        <w:t>（品目25—</w:t>
      </w:r>
      <w:r>
        <w:rPr>
          <w:rFonts w:hint="eastAsia" w:asciiTheme="minorEastAsia" w:hAnsiTheme="minorEastAsia"/>
          <w:kern w:val="0"/>
          <w:sz w:val="24"/>
          <w:szCs w:val="24"/>
          <w:lang w:val="en-US" w:eastAsia="zh-CN"/>
        </w:rPr>
        <w:t>236</w:t>
      </w:r>
      <w:r>
        <w:rPr>
          <w:rFonts w:hint="eastAsia" w:asciiTheme="minorEastAsia" w:hAnsiTheme="minorEastAsia" w:eastAsiaTheme="minorEastAsia"/>
          <w:kern w:val="0"/>
          <w:sz w:val="24"/>
          <w:szCs w:val="24"/>
        </w:rPr>
        <w:t>项）全年服务期限内，根据采购文件提供的折扣率计算参考价*（1-</w:t>
      </w:r>
      <w:r>
        <w:rPr>
          <w:rFonts w:hint="eastAsia" w:asciiTheme="minorEastAsia" w:hAnsiTheme="minorEastAsia" w:eastAsiaTheme="minorEastAsia"/>
          <w:kern w:val="0"/>
          <w:sz w:val="24"/>
          <w:szCs w:val="24"/>
          <w:lang w:val="en-US" w:eastAsia="zh-CN"/>
        </w:rPr>
        <w:t>蔬菜、蛋、豆制品</w:t>
      </w:r>
      <w:r>
        <w:rPr>
          <w:rFonts w:hint="eastAsia" w:asciiTheme="minorEastAsia" w:hAnsiTheme="minorEastAsia" w:eastAsiaTheme="minorEastAsia"/>
          <w:kern w:val="0"/>
          <w:sz w:val="24"/>
          <w:szCs w:val="24"/>
        </w:rPr>
        <w:t>（品目25—</w:t>
      </w:r>
      <w:r>
        <w:rPr>
          <w:rFonts w:hint="eastAsia" w:asciiTheme="minorEastAsia" w:hAnsiTheme="minorEastAsia"/>
          <w:kern w:val="0"/>
          <w:sz w:val="24"/>
          <w:szCs w:val="24"/>
          <w:lang w:val="en-US" w:eastAsia="zh-CN"/>
        </w:rPr>
        <w:t>236</w:t>
      </w:r>
      <w:r>
        <w:rPr>
          <w:rFonts w:hint="eastAsia" w:asciiTheme="minorEastAsia" w:hAnsiTheme="minorEastAsia" w:eastAsiaTheme="minorEastAsia"/>
          <w:kern w:val="0"/>
          <w:sz w:val="24"/>
          <w:szCs w:val="24"/>
        </w:rPr>
        <w:t>项）平均折扣率），若计算价格低于所投报价，则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w:t>
      </w:r>
      <w:r>
        <w:rPr>
          <w:rFonts w:hint="eastAsia" w:asciiTheme="minorEastAsia" w:hAnsiTheme="minorEastAsia" w:eastAsiaTheme="minorEastAsia"/>
          <w:kern w:val="0"/>
          <w:sz w:val="24"/>
          <w:szCs w:val="24"/>
          <w:lang w:val="en-US" w:eastAsia="zh-CN"/>
        </w:rPr>
        <w:t>蔬菜、蛋、豆制品</w:t>
      </w:r>
      <w:r>
        <w:rPr>
          <w:rFonts w:hint="eastAsia" w:asciiTheme="minorEastAsia" w:hAnsiTheme="minorEastAsia" w:eastAsiaTheme="minorEastAsia"/>
          <w:kern w:val="0"/>
          <w:sz w:val="24"/>
          <w:szCs w:val="24"/>
        </w:rPr>
        <w:t>（品目25—</w:t>
      </w:r>
      <w:r>
        <w:rPr>
          <w:rFonts w:hint="eastAsia" w:asciiTheme="minorEastAsia" w:hAnsiTheme="minorEastAsia"/>
          <w:kern w:val="0"/>
          <w:sz w:val="24"/>
          <w:szCs w:val="24"/>
          <w:lang w:val="en-US" w:eastAsia="zh-CN"/>
        </w:rPr>
        <w:t>236</w:t>
      </w:r>
      <w:r>
        <w:rPr>
          <w:rFonts w:hint="eastAsia" w:asciiTheme="minorEastAsia" w:hAnsiTheme="minorEastAsia" w:eastAsiaTheme="minorEastAsia"/>
          <w:kern w:val="0"/>
          <w:sz w:val="24"/>
          <w:szCs w:val="24"/>
        </w:rPr>
        <w:t>项）所投品目平均折扣率）”的价格为执行价；若计算价格高于等于所投报价，则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kinsoku/>
        <w:wordWrap/>
        <w:overflowPunct/>
        <w:topLinePunct w:val="0"/>
        <w:autoSpaceDE/>
        <w:autoSpaceDN/>
        <w:bidi w:val="0"/>
        <w:adjustRightInd/>
        <w:snapToGrid/>
        <w:spacing w:beforeAutospacing="0" w:afterAutospacing="0" w:line="440" w:lineRule="exact"/>
        <w:jc w:val="left"/>
        <w:textAlignment w:val="auto"/>
        <w:rPr>
          <w:rFonts w:asciiTheme="minorEastAsia" w:hAnsiTheme="minorEastAsia" w:eastAsiaTheme="minorEastAsia"/>
          <w:kern w:val="0"/>
          <w:sz w:val="24"/>
          <w:szCs w:val="24"/>
        </w:rPr>
      </w:pPr>
      <w:r>
        <w:rPr>
          <w:rFonts w:hint="eastAsia" w:asciiTheme="minorEastAsia" w:hAnsiTheme="minorEastAsia"/>
          <w:kern w:val="0"/>
          <w:sz w:val="24"/>
          <w:szCs w:val="24"/>
          <w:lang w:val="en-US" w:eastAsia="zh-CN"/>
        </w:rPr>
        <w:t>3</w:t>
      </w:r>
      <w:r>
        <w:rPr>
          <w:rFonts w:hint="eastAsia" w:asciiTheme="minorEastAsia" w:hAnsiTheme="minorEastAsia" w:eastAsiaTheme="minorEastAsia"/>
          <w:kern w:val="0"/>
          <w:sz w:val="24"/>
          <w:szCs w:val="24"/>
        </w:rPr>
        <w:t>、本公司承诺，</w:t>
      </w:r>
      <w:r>
        <w:rPr>
          <w:rFonts w:hint="eastAsia" w:asciiTheme="minorEastAsia" w:hAnsiTheme="minorEastAsia" w:eastAsiaTheme="minorEastAsia"/>
          <w:kern w:val="0"/>
          <w:sz w:val="24"/>
          <w:szCs w:val="24"/>
          <w:lang w:val="en-US" w:eastAsia="zh-CN"/>
        </w:rPr>
        <w:t>蔬菜、蛋、豆制品</w:t>
      </w:r>
      <w:r>
        <w:rPr>
          <w:rFonts w:hint="eastAsia" w:asciiTheme="minorEastAsia" w:hAnsiTheme="minorEastAsia" w:eastAsiaTheme="minorEastAsia"/>
          <w:kern w:val="0"/>
          <w:sz w:val="24"/>
          <w:szCs w:val="24"/>
        </w:rPr>
        <w:t>品目1-24项在一定周期内（月），以南京市发改委网站公布的月平均价格乘以所报（1-</w:t>
      </w:r>
      <w:r>
        <w:rPr>
          <w:rFonts w:hint="eastAsia" w:asciiTheme="minorEastAsia" w:hAnsiTheme="minorEastAsia" w:eastAsiaTheme="minorEastAsia"/>
          <w:kern w:val="0"/>
          <w:sz w:val="24"/>
          <w:szCs w:val="24"/>
          <w:lang w:val="en-US" w:eastAsia="zh-CN"/>
        </w:rPr>
        <w:t>蔬菜、蛋、豆制品</w:t>
      </w:r>
      <w:r>
        <w:rPr>
          <w:rFonts w:hint="eastAsia" w:asciiTheme="minorEastAsia" w:hAnsiTheme="minorEastAsia" w:eastAsiaTheme="minorEastAsia"/>
          <w:kern w:val="0"/>
          <w:sz w:val="24"/>
          <w:szCs w:val="24"/>
        </w:rPr>
        <w:t>品目1-24项所投品目平均折扣率）作为结算价，若结算价格高于南京市发改委网站公布的月平均价格*（1-所投品目折扣率）的价格，则按照南京市发改委网站公布的月平均价格*（1-所投品目折扣率）作为结算价。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right"/>
        <w:textAlignment w:val="auto"/>
        <w:rPr>
          <w:rFonts w:hint="eastAsia" w:ascii="宋体" w:hAnsi="宋体" w:cs="宋体"/>
          <w:bCs/>
          <w:kern w:val="0"/>
          <w:sz w:val="24"/>
          <w:szCs w:val="24"/>
        </w:rPr>
      </w:pPr>
      <w:r>
        <w:rPr>
          <w:rFonts w:hint="eastAsia" w:ascii="宋体" w:hAnsi="宋体" w:cs="宋体"/>
          <w:bCs/>
          <w:kern w:val="0"/>
          <w:sz w:val="24"/>
          <w:szCs w:val="24"/>
        </w:rPr>
        <w:t>供应商单位（盖章）：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right"/>
        <w:textAlignment w:val="auto"/>
        <w:rPr>
          <w:rFonts w:ascii="宋体" w:hAnsi="宋体" w:cs="宋体"/>
          <w:bCs/>
          <w:kern w:val="0"/>
          <w:sz w:val="24"/>
          <w:szCs w:val="24"/>
        </w:rPr>
      </w:pPr>
      <w:r>
        <w:rPr>
          <w:rFonts w:hint="eastAsia" w:ascii="宋体" w:hAnsi="宋体" w:cs="宋体"/>
          <w:bCs/>
          <w:kern w:val="0"/>
          <w:sz w:val="24"/>
          <w:szCs w:val="24"/>
        </w:rPr>
        <w:t>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keepNext w:val="0"/>
        <w:keepLines w:val="0"/>
        <w:pageBreakBefore w:val="0"/>
        <w:widowControl/>
        <w:kinsoku/>
        <w:overflowPunct/>
        <w:topLinePunct w:val="0"/>
        <w:bidi w:val="0"/>
        <w:snapToGrid/>
        <w:spacing w:line="440" w:lineRule="exact"/>
        <w:jc w:val="left"/>
        <w:textAlignment w:val="auto"/>
        <w:rPr>
          <w:rFonts w:ascii="宋体" w:hAnsi="宋体" w:cs="宋体"/>
          <w:bCs/>
          <w:kern w:val="0"/>
          <w:szCs w:val="21"/>
        </w:rPr>
      </w:pPr>
      <w:r>
        <w:rPr>
          <w:rFonts w:ascii="宋体" w:hAnsi="宋体" w:cs="宋体"/>
          <w:bCs/>
          <w:kern w:val="0"/>
          <w:szCs w:val="21"/>
        </w:rPr>
        <w:br w:type="page"/>
      </w:r>
    </w:p>
    <w:p>
      <w:pPr>
        <w:rPr>
          <w:rFonts w:hint="eastAsia"/>
          <w:lang w:val="en-US" w:eastAsia="zh-CN"/>
        </w:rPr>
      </w:pPr>
      <w:r>
        <w:rPr>
          <w:rFonts w:hint="eastAsia"/>
          <w:b/>
          <w:bCs/>
          <w:sz w:val="28"/>
          <w:szCs w:val="28"/>
          <w:lang w:val="en-US" w:eastAsia="zh-CN"/>
        </w:rPr>
        <w:t xml:space="preserve">包八：水果   </w:t>
      </w:r>
      <w:r>
        <w:rPr>
          <w:rFonts w:hint="eastAsia"/>
          <w:lang w:val="en-US" w:eastAsia="zh-CN"/>
        </w:rPr>
        <w:t xml:space="preserve">                         </w:t>
      </w:r>
    </w:p>
    <w:p>
      <w:pPr>
        <w:jc w:val="center"/>
        <w:rPr>
          <w:rFonts w:hint="eastAsia"/>
          <w:sz w:val="28"/>
          <w:szCs w:val="28"/>
          <w:highlight w:val="none"/>
          <w:lang w:val="en-US" w:eastAsia="zh-CN"/>
        </w:rPr>
      </w:pPr>
      <w:r>
        <w:rPr>
          <w:rFonts w:hint="eastAsia"/>
          <w:sz w:val="28"/>
          <w:szCs w:val="28"/>
          <w:highlight w:val="none"/>
          <w:lang w:val="en-US" w:eastAsia="zh-CN"/>
        </w:rPr>
        <w:t>水果产品报价单</w:t>
      </w:r>
    </w:p>
    <w:p>
      <w:pPr>
        <w:jc w:val="center"/>
        <w:rPr>
          <w:rFonts w:hint="eastAsia" w:ascii="宋体" w:hAnsi="宋体" w:cs="宋体"/>
          <w:bCs/>
          <w:kern w:val="0"/>
          <w:szCs w:val="21"/>
          <w:highlight w:val="none"/>
        </w:rPr>
      </w:pPr>
      <w:r>
        <w:rPr>
          <w:rFonts w:hint="eastAsia" w:ascii="宋体" w:hAnsi="宋体" w:cs="宋体"/>
          <w:bCs/>
          <w:kern w:val="0"/>
          <w:szCs w:val="21"/>
          <w:highlight w:val="none"/>
        </w:rPr>
        <w:t>（一个报价单、</w:t>
      </w:r>
      <w:r>
        <w:rPr>
          <w:rFonts w:hint="eastAsia" w:ascii="宋体" w:hAnsi="宋体" w:cs="宋体"/>
          <w:bCs/>
          <w:strike w:val="0"/>
          <w:dstrike w:val="0"/>
          <w:kern w:val="0"/>
          <w:szCs w:val="21"/>
          <w:highlight w:val="none"/>
        </w:rPr>
        <w:t>每个品种限</w:t>
      </w:r>
      <w:r>
        <w:rPr>
          <w:rFonts w:hint="eastAsia" w:ascii="宋体" w:hAnsi="宋体" w:cs="宋体"/>
          <w:bCs/>
          <w:strike w:val="0"/>
          <w:dstrike w:val="0"/>
          <w:kern w:val="0"/>
          <w:szCs w:val="21"/>
          <w:highlight w:val="none"/>
          <w:lang w:val="en-US" w:eastAsia="zh-CN"/>
        </w:rPr>
        <w:t>2</w:t>
      </w:r>
      <w:r>
        <w:rPr>
          <w:rFonts w:hint="eastAsia" w:ascii="宋体" w:hAnsi="宋体" w:cs="宋体"/>
          <w:bCs/>
          <w:strike w:val="0"/>
          <w:dstrike w:val="0"/>
          <w:kern w:val="0"/>
          <w:szCs w:val="21"/>
          <w:highlight w:val="none"/>
        </w:rPr>
        <w:t>个</w:t>
      </w:r>
      <w:r>
        <w:rPr>
          <w:rFonts w:hint="eastAsia" w:ascii="宋体" w:hAnsi="宋体" w:cs="宋体"/>
          <w:bCs/>
          <w:strike w:val="0"/>
          <w:dstrike w:val="0"/>
          <w:kern w:val="0"/>
          <w:szCs w:val="21"/>
          <w:highlight w:val="none"/>
          <w:lang w:val="en-US" w:eastAsia="zh-CN"/>
        </w:rPr>
        <w:t>同等级</w:t>
      </w:r>
      <w:r>
        <w:rPr>
          <w:rFonts w:hint="eastAsia" w:ascii="宋体" w:hAnsi="宋体" w:cs="宋体"/>
          <w:bCs/>
          <w:strike w:val="0"/>
          <w:dstrike w:val="0"/>
          <w:kern w:val="0"/>
          <w:szCs w:val="21"/>
          <w:highlight w:val="none"/>
        </w:rPr>
        <w:t>品牌</w:t>
      </w:r>
      <w:r>
        <w:rPr>
          <w:rFonts w:hint="eastAsia" w:ascii="宋体" w:hAnsi="宋体" w:cs="宋体"/>
          <w:bCs/>
          <w:kern w:val="0"/>
          <w:szCs w:val="21"/>
          <w:highlight w:val="none"/>
        </w:rPr>
        <w:t xml:space="preserve">      单位 </w:t>
      </w:r>
      <w:r>
        <w:rPr>
          <w:rFonts w:hint="eastAsia" w:ascii="宋体" w:hAnsi="宋体" w:cs="宋体"/>
          <w:bCs/>
          <w:kern w:val="0"/>
          <w:szCs w:val="21"/>
          <w:highlight w:val="none"/>
          <w:lang w:val="en-US" w:eastAsia="zh-CN"/>
        </w:rPr>
        <w:t>500g</w:t>
      </w:r>
      <w:r>
        <w:rPr>
          <w:rFonts w:hint="eastAsia" w:ascii="宋体" w:hAnsi="宋体" w:cs="宋体"/>
          <w:bCs/>
          <w:kern w:val="0"/>
          <w:szCs w:val="21"/>
          <w:highlight w:val="none"/>
        </w:rPr>
        <w:t>）</w:t>
      </w:r>
    </w:p>
    <w:tbl>
      <w:tblPr>
        <w:tblStyle w:val="62"/>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527"/>
        <w:gridCol w:w="1668"/>
        <w:gridCol w:w="1315"/>
        <w:gridCol w:w="1156"/>
        <w:gridCol w:w="926"/>
        <w:gridCol w:w="1053"/>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355"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序号</w:t>
            </w:r>
          </w:p>
        </w:tc>
        <w:tc>
          <w:tcPr>
            <w:tcW w:w="856"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品名</w:t>
            </w:r>
          </w:p>
        </w:tc>
        <w:tc>
          <w:tcPr>
            <w:tcW w:w="935" w:type="pct"/>
            <w:vAlign w:val="center"/>
          </w:tcPr>
          <w:p>
            <w:pPr>
              <w:widowControl/>
              <w:jc w:val="center"/>
              <w:rPr>
                <w:rFonts w:cs="宋体" w:asciiTheme="minorEastAsia" w:hAnsiTheme="minorEastAsia"/>
                <w:bCs/>
                <w:kern w:val="0"/>
                <w:sz w:val="21"/>
                <w:szCs w:val="21"/>
                <w:highlight w:val="none"/>
              </w:rPr>
            </w:pPr>
            <w:r>
              <w:rPr>
                <w:rFonts w:hint="eastAsia" w:cs="宋体" w:asciiTheme="minorEastAsia" w:hAnsiTheme="minorEastAsia"/>
                <w:bCs/>
                <w:kern w:val="0"/>
                <w:sz w:val="21"/>
                <w:szCs w:val="21"/>
                <w:highlight w:val="none"/>
              </w:rPr>
              <w:t>品牌</w:t>
            </w:r>
          </w:p>
        </w:tc>
        <w:tc>
          <w:tcPr>
            <w:tcW w:w="737" w:type="pct"/>
            <w:vAlign w:val="center"/>
          </w:tcPr>
          <w:p>
            <w:pPr>
              <w:widowControl/>
              <w:jc w:val="center"/>
              <w:rPr>
                <w:rFonts w:ascii="宋体" w:hAnsi="宋体" w:cs="宋体"/>
                <w:bCs/>
                <w:sz w:val="21"/>
                <w:szCs w:val="21"/>
                <w:highlight w:val="none"/>
              </w:rPr>
            </w:pPr>
            <w:r>
              <w:rPr>
                <w:rFonts w:hint="eastAsia" w:cs="宋体" w:asciiTheme="minorEastAsia" w:hAnsiTheme="minorEastAsia"/>
                <w:bCs/>
                <w:kern w:val="0"/>
                <w:sz w:val="21"/>
                <w:szCs w:val="21"/>
                <w:highlight w:val="none"/>
              </w:rPr>
              <w:t>折扣率计算参考价</w:t>
            </w:r>
            <w:r>
              <w:rPr>
                <w:rFonts w:hint="eastAsia" w:ascii="宋体" w:hAnsi="宋体" w:cs="宋体"/>
                <w:bCs/>
                <w:sz w:val="21"/>
                <w:szCs w:val="21"/>
                <w:highlight w:val="none"/>
              </w:rPr>
              <w:t>（元）</w:t>
            </w:r>
          </w:p>
        </w:tc>
        <w:tc>
          <w:tcPr>
            <w:tcW w:w="648"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采购报价（元）</w:t>
            </w:r>
          </w:p>
        </w:tc>
        <w:tc>
          <w:tcPr>
            <w:tcW w:w="519"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折扣率</w:t>
            </w:r>
          </w:p>
        </w:tc>
        <w:tc>
          <w:tcPr>
            <w:tcW w:w="590" w:type="pct"/>
            <w:vAlign w:val="center"/>
          </w:tcPr>
          <w:p>
            <w:pPr>
              <w:jc w:val="center"/>
              <w:rPr>
                <w:rFonts w:ascii="宋体" w:hAnsi="宋体" w:cs="宋体"/>
                <w:bCs/>
                <w:sz w:val="21"/>
                <w:szCs w:val="21"/>
                <w:highlight w:val="none"/>
              </w:rPr>
            </w:pPr>
            <w:r>
              <w:rPr>
                <w:rFonts w:hint="eastAsia" w:ascii="宋体" w:hAnsi="宋体" w:cs="宋体"/>
                <w:bCs/>
                <w:sz w:val="21"/>
                <w:szCs w:val="21"/>
                <w:highlight w:val="none"/>
              </w:rPr>
              <w:t>平均折扣率</w:t>
            </w:r>
          </w:p>
        </w:tc>
        <w:tc>
          <w:tcPr>
            <w:tcW w:w="357" w:type="pct"/>
            <w:vAlign w:val="center"/>
          </w:tcPr>
          <w:p>
            <w:pPr>
              <w:widowControl/>
              <w:jc w:val="center"/>
              <w:rPr>
                <w:rFonts w:cs="宋体" w:asciiTheme="minorEastAsia" w:hAnsiTheme="minorEastAsia"/>
                <w:sz w:val="21"/>
                <w:szCs w:val="21"/>
                <w:highlight w:val="none"/>
              </w:rPr>
            </w:pPr>
            <w:r>
              <w:rPr>
                <w:rFonts w:hint="eastAsia" w:cs="宋体" w:asciiTheme="minorEastAsia" w:hAnsi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ascii="宋体" w:hAnsi="宋体"/>
                <w:kern w:val="0"/>
                <w:sz w:val="21"/>
                <w:szCs w:val="21"/>
              </w:rPr>
            </w:pPr>
            <w:r>
              <w:rPr>
                <w:rFonts w:hint="eastAsia" w:ascii="宋体" w:hAnsi="宋体"/>
                <w:kern w:val="0"/>
                <w:sz w:val="21"/>
                <w:szCs w:val="21"/>
              </w:rPr>
              <w:t>1</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红富士苹果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6.9</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restar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2</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苹果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5.1</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3</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梨</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5.3</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4</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香梨</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11.7</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5</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贡梨</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9.4</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6</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脆桃</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5.4</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7</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油桃</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5.3</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8</w:t>
            </w:r>
          </w:p>
        </w:tc>
        <w:tc>
          <w:tcPr>
            <w:tcW w:w="856" w:type="pct"/>
            <w:vAlign w:val="center"/>
          </w:tcPr>
          <w:p>
            <w:pPr>
              <w:spacing w:line="30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水蜜桃</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6.3</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9</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脐橙</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7.4</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10</w:t>
            </w:r>
          </w:p>
        </w:tc>
        <w:tc>
          <w:tcPr>
            <w:tcW w:w="856" w:type="pct"/>
            <w:vAlign w:val="center"/>
          </w:tcPr>
          <w:p>
            <w:pPr>
              <w:spacing w:line="300" w:lineRule="auto"/>
              <w:jc w:val="center"/>
              <w:rPr>
                <w:rFonts w:hint="default" w:ascii="宋体" w:hAnsi="宋体" w:eastAsiaTheme="minorEastAsia" w:cstheme="minorBidi"/>
                <w:kern w:val="0"/>
                <w:sz w:val="21"/>
                <w:szCs w:val="21"/>
                <w:lang w:val="en-US" w:eastAsia="zh-CN" w:bidi="ar-SA"/>
              </w:rPr>
            </w:pPr>
            <w:r>
              <w:rPr>
                <w:rFonts w:hint="eastAsia" w:ascii="宋体" w:hAnsi="宋体" w:cstheme="minorBidi"/>
                <w:kern w:val="0"/>
                <w:sz w:val="21"/>
                <w:szCs w:val="21"/>
                <w:lang w:val="en-US" w:eastAsia="zh-CN" w:bidi="ar-SA"/>
              </w:rPr>
              <w:t>蜜桔</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6.8</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11</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粑粑柑</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5.5</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12</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葡萄</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9.8</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13</w:t>
            </w:r>
          </w:p>
        </w:tc>
        <w:tc>
          <w:tcPr>
            <w:tcW w:w="856" w:type="pct"/>
            <w:vAlign w:val="center"/>
          </w:tcPr>
          <w:p>
            <w:pPr>
              <w:spacing w:line="300" w:lineRule="auto"/>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无籽红提</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14.9</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14</w:t>
            </w:r>
          </w:p>
        </w:tc>
        <w:tc>
          <w:tcPr>
            <w:tcW w:w="856" w:type="pct"/>
            <w:vAlign w:val="center"/>
          </w:tcPr>
          <w:p>
            <w:pPr>
              <w:spacing w:line="30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阳光玫瑰</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24</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eastAsiaTheme="minorEastAsia" w:cstheme="minorBidi"/>
                <w:kern w:val="0"/>
                <w:sz w:val="21"/>
                <w:szCs w:val="21"/>
                <w:lang w:val="en-US" w:eastAsia="zh-CN" w:bidi="ar-SA"/>
              </w:rPr>
            </w:pPr>
            <w:r>
              <w:rPr>
                <w:rFonts w:hint="eastAsia" w:ascii="宋体" w:hAnsi="宋体"/>
                <w:kern w:val="0"/>
                <w:sz w:val="21"/>
                <w:szCs w:val="21"/>
                <w:lang w:val="en-US" w:eastAsia="zh-CN"/>
              </w:rPr>
              <w:t>15</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香蕉</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4.2</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16</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哈密瓜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5</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17</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西瓜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3.7</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18</w:t>
            </w:r>
          </w:p>
        </w:tc>
        <w:tc>
          <w:tcPr>
            <w:tcW w:w="856" w:type="pct"/>
            <w:vAlign w:val="center"/>
          </w:tcPr>
          <w:p>
            <w:pPr>
              <w:spacing w:line="300" w:lineRule="auto"/>
              <w:jc w:val="center"/>
              <w:rPr>
                <w:rFonts w:hint="eastAsia" w:ascii="宋体" w:hAnsi="宋体" w:eastAsiaTheme="minorEastAsia" w:cstheme="minorBidi"/>
                <w:kern w:val="0"/>
                <w:sz w:val="21"/>
                <w:szCs w:val="21"/>
                <w:lang w:val="en-US" w:eastAsia="zh-CN" w:bidi="ar-SA"/>
              </w:rPr>
            </w:pPr>
            <w:r>
              <w:rPr>
                <w:rFonts w:hint="eastAsia" w:ascii="宋体" w:hAnsi="宋体"/>
                <w:kern w:val="0"/>
                <w:sz w:val="21"/>
                <w:szCs w:val="21"/>
              </w:rPr>
              <w:t>圣女果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eastAsiaTheme="minorEastAsia"/>
                <w:color w:val="FF0000"/>
                <w:kern w:val="0"/>
                <w:sz w:val="21"/>
                <w:szCs w:val="21"/>
                <w:lang w:val="en-US" w:eastAsia="zh-CN"/>
              </w:rPr>
            </w:pPr>
            <w:r>
              <w:rPr>
                <w:rFonts w:hint="eastAsia" w:ascii="宋体" w:hAnsi="宋体"/>
                <w:color w:val="FF0000"/>
                <w:kern w:val="0"/>
                <w:sz w:val="21"/>
                <w:szCs w:val="21"/>
                <w:lang w:val="en-US" w:eastAsia="zh-CN"/>
              </w:rPr>
              <w:t>5.5</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Merge w:val="continue"/>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19</w:t>
            </w:r>
          </w:p>
        </w:tc>
        <w:tc>
          <w:tcPr>
            <w:tcW w:w="856" w:type="pct"/>
            <w:vAlign w:val="center"/>
          </w:tcPr>
          <w:p>
            <w:pPr>
              <w:spacing w:line="30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千禧</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15</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20</w:t>
            </w:r>
          </w:p>
        </w:tc>
        <w:tc>
          <w:tcPr>
            <w:tcW w:w="856" w:type="pct"/>
            <w:vAlign w:val="center"/>
          </w:tcPr>
          <w:p>
            <w:pPr>
              <w:spacing w:line="300" w:lineRule="auto"/>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水果黄瓜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12</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21</w:t>
            </w:r>
          </w:p>
        </w:tc>
        <w:tc>
          <w:tcPr>
            <w:tcW w:w="856" w:type="pct"/>
            <w:vAlign w:val="center"/>
          </w:tcPr>
          <w:p>
            <w:pPr>
              <w:spacing w:line="30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羊角蜜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4.9</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22</w:t>
            </w:r>
          </w:p>
        </w:tc>
        <w:tc>
          <w:tcPr>
            <w:tcW w:w="856" w:type="pct"/>
            <w:vAlign w:val="center"/>
          </w:tcPr>
          <w:p>
            <w:pPr>
              <w:spacing w:line="30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菠萝</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3.9</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23</w:t>
            </w:r>
          </w:p>
        </w:tc>
        <w:tc>
          <w:tcPr>
            <w:tcW w:w="856" w:type="pct"/>
            <w:vAlign w:val="center"/>
          </w:tcPr>
          <w:p>
            <w:pPr>
              <w:spacing w:line="30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荔枝</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12</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24</w:t>
            </w:r>
          </w:p>
        </w:tc>
        <w:tc>
          <w:tcPr>
            <w:tcW w:w="856" w:type="pct"/>
            <w:vAlign w:val="center"/>
          </w:tcPr>
          <w:p>
            <w:pPr>
              <w:spacing w:line="30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龙眼</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10</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25</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猕猴桃（翠香）</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6</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26</w:t>
            </w:r>
          </w:p>
        </w:tc>
        <w:tc>
          <w:tcPr>
            <w:tcW w:w="856" w:type="pct"/>
            <w:vAlign w:val="center"/>
          </w:tcPr>
          <w:p>
            <w:pPr>
              <w:spacing w:line="30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枇杷</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6</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27</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火龙果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7</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28</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红心火龙果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7.7</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29</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砂糖橘</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10</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30</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蓝莓</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67</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31</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草莓</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20</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32</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冬枣</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11</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33</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菠萝蜜</w:t>
            </w:r>
          </w:p>
        </w:tc>
        <w:tc>
          <w:tcPr>
            <w:tcW w:w="935" w:type="pct"/>
          </w:tcPr>
          <w:p>
            <w:pPr>
              <w:jc w:val="center"/>
              <w:rPr>
                <w:rFonts w:ascii="宋体" w:hAnsi="宋体" w:cs="宋体"/>
                <w:sz w:val="21"/>
                <w:szCs w:val="21"/>
              </w:rPr>
            </w:pPr>
          </w:p>
        </w:tc>
        <w:tc>
          <w:tcPr>
            <w:tcW w:w="737" w:type="pct"/>
            <w:vAlign w:val="center"/>
          </w:tcPr>
          <w:p>
            <w:pPr>
              <w:spacing w:line="300" w:lineRule="auto"/>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20</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34</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kern w:val="0"/>
                <w:sz w:val="21"/>
                <w:szCs w:val="21"/>
                <w:lang w:val="en-US" w:eastAsia="zh-CN"/>
              </w:rPr>
            </w:pPr>
            <w:r>
              <w:rPr>
                <w:rFonts w:hint="eastAsia" w:ascii="宋体" w:hAnsi="宋体"/>
                <w:color w:val="auto"/>
                <w:kern w:val="0"/>
                <w:sz w:val="21"/>
                <w:szCs w:val="21"/>
                <w:lang w:val="en-US" w:eastAsia="zh-CN"/>
              </w:rPr>
              <w:t>爱媛橙</w:t>
            </w:r>
          </w:p>
        </w:tc>
        <w:tc>
          <w:tcPr>
            <w:tcW w:w="935" w:type="pct"/>
          </w:tcPr>
          <w:p>
            <w:pPr>
              <w:jc w:val="center"/>
              <w:rPr>
                <w:rFonts w:ascii="宋体" w:hAnsi="宋体" w:cs="宋体"/>
                <w:color w:val="0000FF"/>
                <w:sz w:val="21"/>
                <w:szCs w:val="21"/>
              </w:rPr>
            </w:pPr>
          </w:p>
        </w:tc>
        <w:tc>
          <w:tcPr>
            <w:tcW w:w="737" w:type="pct"/>
            <w:vAlign w:val="center"/>
          </w:tcPr>
          <w:p>
            <w:pPr>
              <w:spacing w:line="300" w:lineRule="auto"/>
              <w:jc w:val="center"/>
              <w:rPr>
                <w:rFonts w:hint="default" w:ascii="宋体" w:hAnsi="宋体"/>
                <w:color w:val="0000FF"/>
                <w:kern w:val="0"/>
                <w:sz w:val="21"/>
                <w:szCs w:val="21"/>
                <w:lang w:val="en-US" w:eastAsia="zh-CN"/>
              </w:rPr>
            </w:pPr>
            <w:r>
              <w:rPr>
                <w:rFonts w:hint="eastAsia" w:ascii="宋体" w:hAnsi="宋体"/>
                <w:color w:val="0000FF"/>
                <w:kern w:val="0"/>
                <w:sz w:val="21"/>
                <w:szCs w:val="21"/>
                <w:lang w:val="en-US" w:eastAsia="zh-CN"/>
              </w:rPr>
              <w:t>9.2</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35</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kern w:val="0"/>
                <w:sz w:val="21"/>
                <w:szCs w:val="21"/>
                <w:lang w:val="en-US" w:eastAsia="zh-CN"/>
              </w:rPr>
            </w:pPr>
            <w:r>
              <w:rPr>
                <w:rFonts w:hint="eastAsia" w:ascii="宋体" w:hAnsi="宋体"/>
                <w:color w:val="auto"/>
                <w:kern w:val="0"/>
                <w:sz w:val="21"/>
                <w:szCs w:val="21"/>
                <w:lang w:val="en-US" w:eastAsia="zh-CN"/>
              </w:rPr>
              <w:t>奇异果</w:t>
            </w:r>
          </w:p>
        </w:tc>
        <w:tc>
          <w:tcPr>
            <w:tcW w:w="935" w:type="pct"/>
          </w:tcPr>
          <w:p>
            <w:pPr>
              <w:jc w:val="center"/>
              <w:rPr>
                <w:rFonts w:ascii="宋体" w:hAnsi="宋体" w:cs="宋体"/>
                <w:color w:val="0000FF"/>
                <w:sz w:val="21"/>
                <w:szCs w:val="21"/>
              </w:rPr>
            </w:pPr>
          </w:p>
        </w:tc>
        <w:tc>
          <w:tcPr>
            <w:tcW w:w="737" w:type="pct"/>
            <w:vAlign w:val="center"/>
          </w:tcPr>
          <w:p>
            <w:pPr>
              <w:spacing w:line="300" w:lineRule="auto"/>
              <w:jc w:val="center"/>
              <w:rPr>
                <w:rFonts w:hint="default" w:ascii="宋体" w:hAnsi="宋体"/>
                <w:color w:val="0000FF"/>
                <w:kern w:val="0"/>
                <w:sz w:val="21"/>
                <w:szCs w:val="21"/>
                <w:lang w:val="en-US" w:eastAsia="zh-CN"/>
              </w:rPr>
            </w:pPr>
            <w:r>
              <w:rPr>
                <w:rFonts w:hint="eastAsia" w:ascii="宋体" w:hAnsi="宋体"/>
                <w:color w:val="0000FF"/>
                <w:kern w:val="0"/>
                <w:sz w:val="21"/>
                <w:szCs w:val="21"/>
                <w:lang w:val="en-US" w:eastAsia="zh-CN"/>
              </w:rPr>
              <w:t>44.2</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36</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kern w:val="0"/>
                <w:sz w:val="21"/>
                <w:szCs w:val="21"/>
                <w:lang w:val="en-US" w:eastAsia="zh-CN"/>
              </w:rPr>
            </w:pPr>
            <w:r>
              <w:rPr>
                <w:rFonts w:hint="eastAsia" w:ascii="宋体" w:hAnsi="宋体"/>
                <w:color w:val="auto"/>
                <w:kern w:val="0"/>
                <w:sz w:val="21"/>
                <w:szCs w:val="21"/>
                <w:lang w:val="en-US" w:eastAsia="zh-CN"/>
              </w:rPr>
              <w:t>车厘子JJ</w:t>
            </w:r>
          </w:p>
        </w:tc>
        <w:tc>
          <w:tcPr>
            <w:tcW w:w="935" w:type="pct"/>
          </w:tcPr>
          <w:p>
            <w:pPr>
              <w:jc w:val="center"/>
              <w:rPr>
                <w:rFonts w:ascii="宋体" w:hAnsi="宋体" w:cs="宋体"/>
                <w:color w:val="0000FF"/>
                <w:sz w:val="21"/>
                <w:szCs w:val="21"/>
              </w:rPr>
            </w:pPr>
          </w:p>
        </w:tc>
        <w:tc>
          <w:tcPr>
            <w:tcW w:w="737" w:type="pct"/>
            <w:vAlign w:val="center"/>
          </w:tcPr>
          <w:p>
            <w:pPr>
              <w:spacing w:line="300" w:lineRule="auto"/>
              <w:jc w:val="center"/>
              <w:rPr>
                <w:rFonts w:hint="default" w:ascii="宋体" w:hAnsi="宋体"/>
                <w:color w:val="0000FF"/>
                <w:kern w:val="0"/>
                <w:sz w:val="21"/>
                <w:szCs w:val="21"/>
                <w:lang w:val="en-US" w:eastAsia="zh-CN"/>
              </w:rPr>
            </w:pPr>
            <w:r>
              <w:rPr>
                <w:rFonts w:hint="eastAsia" w:ascii="宋体" w:hAnsi="宋体"/>
                <w:color w:val="0000FF"/>
                <w:kern w:val="0"/>
                <w:sz w:val="21"/>
                <w:szCs w:val="21"/>
                <w:lang w:val="en-US" w:eastAsia="zh-CN"/>
              </w:rPr>
              <w:t>77.7</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37</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kern w:val="0"/>
                <w:sz w:val="21"/>
                <w:szCs w:val="21"/>
                <w:lang w:val="en-US" w:eastAsia="zh-CN"/>
              </w:rPr>
            </w:pPr>
            <w:r>
              <w:rPr>
                <w:rFonts w:hint="eastAsia" w:ascii="宋体" w:hAnsi="宋体"/>
                <w:color w:val="auto"/>
                <w:kern w:val="0"/>
                <w:sz w:val="21"/>
                <w:szCs w:val="21"/>
                <w:lang w:val="en-US" w:eastAsia="zh-CN"/>
              </w:rPr>
              <w:t>车厘子JJJ</w:t>
            </w:r>
          </w:p>
        </w:tc>
        <w:tc>
          <w:tcPr>
            <w:tcW w:w="935" w:type="pct"/>
          </w:tcPr>
          <w:p>
            <w:pPr>
              <w:jc w:val="center"/>
              <w:rPr>
                <w:rFonts w:ascii="宋体" w:hAnsi="宋体" w:cs="宋体"/>
                <w:color w:val="0000FF"/>
                <w:sz w:val="21"/>
                <w:szCs w:val="21"/>
              </w:rPr>
            </w:pPr>
          </w:p>
        </w:tc>
        <w:tc>
          <w:tcPr>
            <w:tcW w:w="737" w:type="pct"/>
            <w:vAlign w:val="center"/>
          </w:tcPr>
          <w:p>
            <w:pPr>
              <w:spacing w:line="300" w:lineRule="auto"/>
              <w:jc w:val="center"/>
              <w:rPr>
                <w:rFonts w:hint="default" w:ascii="宋体" w:hAnsi="宋体"/>
                <w:color w:val="0000FF"/>
                <w:kern w:val="0"/>
                <w:sz w:val="21"/>
                <w:szCs w:val="21"/>
                <w:lang w:val="en-US" w:eastAsia="zh-CN"/>
              </w:rPr>
            </w:pPr>
            <w:r>
              <w:rPr>
                <w:rFonts w:hint="eastAsia" w:ascii="宋体" w:hAnsi="宋体"/>
                <w:color w:val="0000FF"/>
                <w:kern w:val="0"/>
                <w:sz w:val="21"/>
                <w:szCs w:val="21"/>
                <w:lang w:val="en-US" w:eastAsia="zh-CN"/>
              </w:rPr>
              <w:t>99.8</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38</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kern w:val="0"/>
                <w:sz w:val="21"/>
                <w:szCs w:val="21"/>
                <w:lang w:val="en-US" w:eastAsia="zh-CN"/>
              </w:rPr>
            </w:pPr>
            <w:r>
              <w:rPr>
                <w:rFonts w:hint="eastAsia" w:ascii="宋体" w:hAnsi="宋体"/>
                <w:color w:val="auto"/>
                <w:kern w:val="0"/>
                <w:sz w:val="21"/>
                <w:szCs w:val="21"/>
                <w:lang w:val="en-US" w:eastAsia="zh-CN"/>
              </w:rPr>
              <w:t>人参果</w:t>
            </w:r>
          </w:p>
        </w:tc>
        <w:tc>
          <w:tcPr>
            <w:tcW w:w="935" w:type="pct"/>
          </w:tcPr>
          <w:p>
            <w:pPr>
              <w:jc w:val="center"/>
              <w:rPr>
                <w:rFonts w:ascii="宋体" w:hAnsi="宋体" w:cs="宋体"/>
                <w:color w:val="0000FF"/>
                <w:sz w:val="21"/>
                <w:szCs w:val="21"/>
              </w:rPr>
            </w:pPr>
          </w:p>
        </w:tc>
        <w:tc>
          <w:tcPr>
            <w:tcW w:w="737" w:type="pct"/>
            <w:vAlign w:val="center"/>
          </w:tcPr>
          <w:p>
            <w:pPr>
              <w:spacing w:line="300" w:lineRule="auto"/>
              <w:jc w:val="center"/>
              <w:rPr>
                <w:rFonts w:hint="default" w:ascii="宋体" w:hAnsi="宋体"/>
                <w:color w:val="0000FF"/>
                <w:kern w:val="0"/>
                <w:sz w:val="21"/>
                <w:szCs w:val="21"/>
                <w:lang w:val="en-US" w:eastAsia="zh-CN"/>
              </w:rPr>
            </w:pPr>
            <w:r>
              <w:rPr>
                <w:rFonts w:hint="eastAsia" w:ascii="宋体" w:hAnsi="宋体"/>
                <w:color w:val="0000FF"/>
                <w:kern w:val="0"/>
                <w:sz w:val="21"/>
                <w:szCs w:val="21"/>
                <w:lang w:val="en-US" w:eastAsia="zh-CN"/>
              </w:rPr>
              <w:t>16.9</w:t>
            </w:r>
          </w:p>
        </w:tc>
        <w:tc>
          <w:tcPr>
            <w:tcW w:w="648" w:type="pct"/>
            <w:vAlign w:val="center"/>
          </w:tcPr>
          <w:p>
            <w:pPr>
              <w:spacing w:before="100" w:beforeAutospacing="1" w:after="100" w:afterAutospacing="1"/>
              <w:jc w:val="center"/>
              <w:rPr>
                <w:rFonts w:cs="宋体" w:asciiTheme="minorEastAsia" w:hAnsiTheme="minorEastAsia"/>
                <w:sz w:val="21"/>
                <w:szCs w:val="21"/>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355" w:type="pct"/>
            <w:vAlign w:val="center"/>
          </w:tcPr>
          <w:p>
            <w:pPr>
              <w:spacing w:line="360" w:lineRule="auto"/>
              <w:jc w:val="center"/>
              <w:rPr>
                <w:rFonts w:hint="default" w:ascii="宋体" w:hAnsi="宋体"/>
                <w:kern w:val="0"/>
                <w:sz w:val="21"/>
                <w:szCs w:val="21"/>
                <w:lang w:val="en-US" w:eastAsia="zh-CN"/>
              </w:rPr>
            </w:pPr>
            <w:r>
              <w:rPr>
                <w:rFonts w:hint="eastAsia" w:ascii="宋体" w:hAnsi="宋体"/>
                <w:kern w:val="0"/>
                <w:sz w:val="21"/>
                <w:szCs w:val="21"/>
                <w:lang w:val="en-US" w:eastAsia="zh-CN"/>
              </w:rPr>
              <w:t>39</w:t>
            </w:r>
          </w:p>
        </w:tc>
        <w:tc>
          <w:tcPr>
            <w:tcW w:w="85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kern w:val="0"/>
                <w:sz w:val="21"/>
                <w:szCs w:val="21"/>
                <w:lang w:val="en-US" w:eastAsia="zh-CN"/>
              </w:rPr>
            </w:pPr>
            <w:r>
              <w:rPr>
                <w:rFonts w:hint="eastAsia" w:ascii="宋体" w:hAnsi="宋体"/>
                <w:color w:val="auto"/>
                <w:kern w:val="0"/>
                <w:sz w:val="21"/>
                <w:szCs w:val="21"/>
                <w:lang w:val="en-US" w:eastAsia="zh-CN"/>
              </w:rPr>
              <w:t>柠檬</w:t>
            </w:r>
          </w:p>
        </w:tc>
        <w:tc>
          <w:tcPr>
            <w:tcW w:w="935" w:type="pct"/>
          </w:tcPr>
          <w:p>
            <w:pPr>
              <w:jc w:val="center"/>
              <w:rPr>
                <w:rFonts w:ascii="宋体" w:hAnsi="宋体" w:cs="宋体"/>
                <w:color w:val="0000FF"/>
                <w:sz w:val="21"/>
                <w:szCs w:val="21"/>
              </w:rPr>
            </w:pPr>
          </w:p>
        </w:tc>
        <w:tc>
          <w:tcPr>
            <w:tcW w:w="737" w:type="pct"/>
            <w:vAlign w:val="center"/>
          </w:tcPr>
          <w:p>
            <w:pPr>
              <w:spacing w:line="300" w:lineRule="auto"/>
              <w:jc w:val="center"/>
              <w:rPr>
                <w:rFonts w:hint="default" w:ascii="宋体" w:hAnsi="宋体"/>
                <w:color w:val="0000FF"/>
                <w:kern w:val="0"/>
                <w:sz w:val="21"/>
                <w:szCs w:val="21"/>
                <w:lang w:val="en-US" w:eastAsia="zh-CN"/>
              </w:rPr>
            </w:pPr>
            <w:r>
              <w:rPr>
                <w:rFonts w:hint="eastAsia" w:ascii="宋体" w:hAnsi="宋体"/>
                <w:color w:val="0000FF"/>
                <w:kern w:val="0"/>
                <w:sz w:val="21"/>
                <w:szCs w:val="21"/>
                <w:lang w:val="en-US" w:eastAsia="zh-CN"/>
              </w:rPr>
              <w:t>12</w:t>
            </w:r>
          </w:p>
        </w:tc>
        <w:tc>
          <w:tcPr>
            <w:tcW w:w="648" w:type="pct"/>
            <w:vAlign w:val="center"/>
          </w:tcPr>
          <w:p>
            <w:pPr>
              <w:spacing w:before="100" w:beforeAutospacing="1" w:after="100" w:afterAutospacing="1"/>
              <w:jc w:val="center"/>
              <w:rPr>
                <w:rFonts w:hint="default" w:cs="宋体" w:asciiTheme="minorEastAsia" w:hAnsiTheme="minorEastAsia" w:eastAsiaTheme="minorEastAsia"/>
                <w:sz w:val="21"/>
                <w:szCs w:val="21"/>
                <w:lang w:val="en-US" w:eastAsia="zh-CN"/>
              </w:rPr>
            </w:pPr>
          </w:p>
        </w:tc>
        <w:tc>
          <w:tcPr>
            <w:tcW w:w="519" w:type="pct"/>
            <w:vAlign w:val="center"/>
          </w:tcPr>
          <w:p>
            <w:pPr>
              <w:spacing w:before="100" w:beforeAutospacing="1" w:after="100" w:afterAutospacing="1"/>
              <w:jc w:val="center"/>
              <w:rPr>
                <w:rFonts w:cs="宋体" w:asciiTheme="minorEastAsia" w:hAnsiTheme="minorEastAsia"/>
                <w:sz w:val="21"/>
                <w:szCs w:val="21"/>
              </w:rPr>
            </w:pPr>
          </w:p>
        </w:tc>
        <w:tc>
          <w:tcPr>
            <w:tcW w:w="590" w:type="pct"/>
            <w:vAlign w:val="center"/>
          </w:tcPr>
          <w:p>
            <w:pPr>
              <w:spacing w:before="100" w:beforeAutospacing="1" w:after="100" w:afterAutospacing="1"/>
              <w:jc w:val="center"/>
              <w:rPr>
                <w:rFonts w:cs="宋体" w:asciiTheme="minorEastAsia" w:hAnsiTheme="minorEastAsia"/>
                <w:sz w:val="21"/>
                <w:szCs w:val="21"/>
              </w:rPr>
            </w:pPr>
          </w:p>
        </w:tc>
        <w:tc>
          <w:tcPr>
            <w:tcW w:w="357" w:type="pct"/>
            <w:vAlign w:val="center"/>
          </w:tcPr>
          <w:p>
            <w:pPr>
              <w:widowControl/>
              <w:spacing w:before="100" w:beforeAutospacing="1" w:after="100" w:afterAutospacing="1"/>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211" w:type="pct"/>
            <w:gridSpan w:val="2"/>
            <w:vAlign w:val="center"/>
          </w:tcPr>
          <w:p>
            <w:pPr>
              <w:jc w:val="center"/>
              <w:rPr>
                <w:rFonts w:ascii="宋体" w:hAnsi="宋体" w:cs="宋体"/>
                <w:sz w:val="21"/>
                <w:szCs w:val="21"/>
              </w:rPr>
            </w:pPr>
            <w:r>
              <w:rPr>
                <w:rFonts w:hint="eastAsia" w:ascii="宋体" w:hAnsi="宋体" w:cs="宋体"/>
                <w:bCs/>
                <w:kern w:val="0"/>
                <w:sz w:val="21"/>
                <w:szCs w:val="21"/>
              </w:rPr>
              <w:t>平均折扣率</w:t>
            </w:r>
          </w:p>
        </w:tc>
        <w:tc>
          <w:tcPr>
            <w:tcW w:w="3788" w:type="pct"/>
            <w:gridSpan w:val="6"/>
          </w:tcPr>
          <w:p>
            <w:pPr>
              <w:widowControl/>
              <w:spacing w:before="100" w:beforeAutospacing="1" w:after="100" w:afterAutospacing="1"/>
              <w:jc w:val="center"/>
              <w:rPr>
                <w:rFonts w:hint="default" w:cs="宋体" w:asciiTheme="minorEastAsia" w:hAnsiTheme="minorEastAsia" w:eastAsiaTheme="minorEastAsia"/>
                <w:sz w:val="21"/>
                <w:szCs w:val="21"/>
                <w:lang w:val="en-US" w:eastAsia="zh-CN"/>
              </w:rPr>
            </w:pP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备注：</w:t>
      </w:r>
      <w:r>
        <w:rPr>
          <w:rFonts w:hint="eastAsia"/>
          <w:b/>
          <w:sz w:val="24"/>
          <w:szCs w:val="24"/>
        </w:rPr>
        <w:t>所列单位量是为便于比较供应商综合报价所设，非采购人的最终需求。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价格承诺</w:t>
      </w:r>
      <w:r>
        <w:rPr>
          <w:rFonts w:hint="eastAsia" w:asciiTheme="minorEastAsia" w:hAnsiTheme="minorEastAsia" w:eastAsiaTheme="minorEastAsia"/>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default" w:asciiTheme="minorEastAsia" w:hAnsiTheme="minorEastAsia" w:eastAsiaTheme="minorEastAsia"/>
          <w:kern w:val="0"/>
          <w:sz w:val="24"/>
          <w:szCs w:val="24"/>
          <w:u w:val="none"/>
          <w:lang w:val="en-US" w:eastAsia="zh-CN"/>
        </w:rPr>
      </w:pPr>
      <w:r>
        <w:rPr>
          <w:rFonts w:hint="eastAsia" w:asciiTheme="minorEastAsia" w:hAnsiTheme="minorEastAsia" w:eastAsiaTheme="minorEastAsia"/>
          <w:kern w:val="0"/>
          <w:sz w:val="24"/>
          <w:szCs w:val="24"/>
        </w:rPr>
        <w:t>1、本公司承诺，</w:t>
      </w:r>
      <w:r>
        <w:rPr>
          <w:rFonts w:hint="eastAsia" w:asciiTheme="minorEastAsia" w:hAnsiTheme="minorEastAsia"/>
          <w:kern w:val="0"/>
          <w:sz w:val="24"/>
          <w:szCs w:val="24"/>
          <w:lang w:val="en-US" w:eastAsia="zh-CN"/>
        </w:rPr>
        <w:t>水果</w:t>
      </w:r>
      <w:r>
        <w:rPr>
          <w:rFonts w:hint="eastAsia" w:asciiTheme="minorEastAsia" w:hAnsiTheme="minorEastAsia" w:eastAsiaTheme="minorEastAsia"/>
          <w:kern w:val="0"/>
          <w:sz w:val="24"/>
          <w:szCs w:val="24"/>
        </w:rPr>
        <w:t>所有品目平均折扣率（保留小数点后两位）为</w:t>
      </w:r>
      <w:r>
        <w:rPr>
          <w:rFonts w:hint="eastAsia" w:asciiTheme="minorEastAsia" w:hAnsiTheme="minorEastAsia"/>
          <w:kern w:val="0"/>
          <w:sz w:val="24"/>
          <w:szCs w:val="24"/>
          <w:u w:val="single"/>
          <w:lang w:val="en-US" w:eastAsia="zh-CN"/>
        </w:rPr>
        <w:t xml:space="preserve">     </w:t>
      </w:r>
      <w:r>
        <w:rPr>
          <w:rFonts w:hint="eastAsia" w:asciiTheme="minorEastAsia" w:hAnsiTheme="minorEastAsia"/>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2、本公司承诺，</w:t>
      </w:r>
      <w:r>
        <w:rPr>
          <w:rFonts w:hint="eastAsia" w:asciiTheme="minorEastAsia" w:hAnsiTheme="minorEastAsia"/>
          <w:kern w:val="0"/>
          <w:sz w:val="24"/>
          <w:szCs w:val="24"/>
          <w:lang w:val="en-US" w:eastAsia="zh-CN"/>
        </w:rPr>
        <w:t>水果</w:t>
      </w:r>
      <w:r>
        <w:rPr>
          <w:rFonts w:hint="eastAsia" w:asciiTheme="minorEastAsia" w:hAnsiTheme="minorEastAsia" w:eastAsiaTheme="minorEastAsia"/>
          <w:kern w:val="0"/>
          <w:sz w:val="24"/>
          <w:szCs w:val="24"/>
        </w:rPr>
        <w:t>在全年服务期限内，根据采购文件提供的折扣率计算参考价*（1-所投品目平均折扣率），若计算价格低于所投报价，则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“折扣率计算参考价*（1-所投品目平均折扣率）”的价格为执行价；若计算价格高于等于所投报价，则</w:t>
      </w:r>
      <w:r>
        <w:rPr>
          <w:rFonts w:hint="eastAsia" w:asciiTheme="minorEastAsia" w:hAnsiTheme="minorEastAsia"/>
          <w:kern w:val="0"/>
          <w:sz w:val="24"/>
          <w:szCs w:val="24"/>
          <w:lang w:val="en-US" w:eastAsia="zh-CN"/>
        </w:rPr>
        <w:t>以</w:t>
      </w:r>
      <w:r>
        <w:rPr>
          <w:rFonts w:hint="eastAsia" w:asciiTheme="minorEastAsia" w:hAnsiTheme="minorEastAsia" w:eastAsiaTheme="minorEastAsia"/>
          <w:kern w:val="0"/>
          <w:sz w:val="24"/>
          <w:szCs w:val="24"/>
        </w:rPr>
        <w:t>所投报价的价格为执行价。无论市场如何变动，供应价格按招标文件要求保持不变。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3、本公司承诺，入选产品厂家实际包装确无此《报价单》上的规格，按同比例测算采购报价。</w:t>
      </w:r>
    </w:p>
    <w:p>
      <w:pPr>
        <w:widowControl/>
        <w:spacing w:before="100" w:beforeAutospacing="1" w:after="100" w:afterAutospacing="1"/>
        <w:jc w:val="right"/>
        <w:rPr>
          <w:rFonts w:ascii="宋体" w:hAnsi="宋体" w:cs="宋体"/>
          <w:bCs/>
          <w:kern w:val="0"/>
          <w:sz w:val="24"/>
          <w:szCs w:val="24"/>
        </w:rPr>
      </w:pPr>
      <w:r>
        <w:rPr>
          <w:rFonts w:hint="eastAsia" w:ascii="宋体" w:hAnsi="宋体" w:cs="宋体"/>
          <w:bCs/>
          <w:kern w:val="0"/>
          <w:sz w:val="24"/>
          <w:szCs w:val="24"/>
        </w:rPr>
        <w:t>供应商单位（盖章）：</w:t>
      </w:r>
    </w:p>
    <w:p>
      <w:pPr>
        <w:ind w:firstLine="11280" w:firstLineChars="4700"/>
        <w:jc w:val="right"/>
        <w:rPr>
          <w:rFonts w:hint="eastAsia" w:ascii="宋体" w:hAnsi="宋体" w:cs="宋体"/>
          <w:bCs/>
          <w:kern w:val="0"/>
          <w:sz w:val="24"/>
          <w:szCs w:val="24"/>
        </w:rPr>
      </w:pPr>
      <w:r>
        <w:rPr>
          <w:rFonts w:hint="eastAsia" w:ascii="宋体" w:hAnsi="宋体" w:cs="宋体"/>
          <w:bCs/>
          <w:kern w:val="0"/>
          <w:sz w:val="24"/>
          <w:szCs w:val="24"/>
        </w:rPr>
        <w:t>二二〇二三年</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月</w:t>
      </w: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日</w:t>
      </w:r>
    </w:p>
    <w:p>
      <w:pPr>
        <w:rPr>
          <w:rFonts w:hint="default"/>
          <w:lang w:val="en-US" w:eastAsia="zh-CN"/>
        </w:rPr>
      </w:pPr>
    </w:p>
    <w:p>
      <w:pPr>
        <w:autoSpaceDE w:val="0"/>
        <w:autoSpaceDN w:val="0"/>
        <w:adjustRightInd w:val="0"/>
        <w:spacing w:line="360" w:lineRule="auto"/>
        <w:jc w:val="both"/>
        <w:outlineLvl w:val="0"/>
        <w:rPr>
          <w:rFonts w:hint="eastAsia" w:ascii="宋体" w:hAnsi="宋体" w:eastAsia="宋体" w:cs="宋体"/>
          <w:color w:val="auto"/>
          <w:highlight w:val="none"/>
        </w:rPr>
      </w:pPr>
    </w:p>
    <w:sectPr>
      <w:footerReference r:id="rId6" w:type="default"/>
      <w:pgSz w:w="11906" w:h="16838"/>
      <w:pgMar w:top="1418" w:right="1418" w:bottom="1418" w:left="1418" w:header="851" w:footer="680" w:gutter="0"/>
      <w:pgNumType w:fmt="decimal"/>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HYDaHeiJ">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r>
      <w:fldChar w:fldCharType="begin"/>
    </w:r>
    <w:r>
      <w:rPr>
        <w:rStyle w:val="67"/>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7A81F"/>
    <w:multiLevelType w:val="singleLevel"/>
    <w:tmpl w:val="A227A81F"/>
    <w:lvl w:ilvl="0" w:tentative="0">
      <w:start w:val="4"/>
      <w:numFmt w:val="chineseCounting"/>
      <w:suff w:val="nothing"/>
      <w:lvlText w:val="%1、"/>
      <w:lvlJc w:val="left"/>
      <w:rPr>
        <w:rFonts w:hint="eastAsia"/>
      </w:rPr>
    </w:lvl>
  </w:abstractNum>
  <w:abstractNum w:abstractNumId="1">
    <w:nsid w:val="A8EBA13B"/>
    <w:multiLevelType w:val="singleLevel"/>
    <w:tmpl w:val="A8EBA13B"/>
    <w:lvl w:ilvl="0" w:tentative="0">
      <w:start w:val="1"/>
      <w:numFmt w:val="decimal"/>
      <w:suff w:val="nothing"/>
      <w:lvlText w:val="%1、"/>
      <w:lvlJc w:val="left"/>
    </w:lvl>
  </w:abstractNum>
  <w:abstractNum w:abstractNumId="2">
    <w:nsid w:val="B6BB7CB7"/>
    <w:multiLevelType w:val="singleLevel"/>
    <w:tmpl w:val="B6BB7CB7"/>
    <w:lvl w:ilvl="0" w:tentative="0">
      <w:start w:val="2"/>
      <w:numFmt w:val="chineseCounting"/>
      <w:suff w:val="nothing"/>
      <w:lvlText w:val="（%1）"/>
      <w:lvlJc w:val="left"/>
      <w:rPr>
        <w:rFonts w:hint="eastAsia"/>
      </w:rPr>
    </w:lvl>
  </w:abstractNum>
  <w:abstractNum w:abstractNumId="3">
    <w:nsid w:val="BE3BA05E"/>
    <w:multiLevelType w:val="singleLevel"/>
    <w:tmpl w:val="BE3BA05E"/>
    <w:lvl w:ilvl="0" w:tentative="0">
      <w:start w:val="8"/>
      <w:numFmt w:val="chineseCounting"/>
      <w:suff w:val="space"/>
      <w:lvlText w:val="第%1条"/>
      <w:lvlJc w:val="left"/>
      <w:rPr>
        <w:rFonts w:hint="eastAsia"/>
      </w:rPr>
    </w:lvl>
  </w:abstractNum>
  <w:abstractNum w:abstractNumId="4">
    <w:nsid w:val="E666EDD2"/>
    <w:multiLevelType w:val="singleLevel"/>
    <w:tmpl w:val="E666EDD2"/>
    <w:lvl w:ilvl="0" w:tentative="0">
      <w:start w:val="1"/>
      <w:numFmt w:val="decimal"/>
      <w:suff w:val="nothing"/>
      <w:lvlText w:val="%1、"/>
      <w:lvlJc w:val="left"/>
    </w:lvl>
  </w:abstractNum>
  <w:abstractNum w:abstractNumId="5">
    <w:nsid w:val="20620658"/>
    <w:multiLevelType w:val="multilevel"/>
    <w:tmpl w:val="20620658"/>
    <w:lvl w:ilvl="0" w:tentative="0">
      <w:start w:val="1"/>
      <w:numFmt w:val="bullet"/>
      <w:pStyle w:val="18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4121AA6"/>
    <w:multiLevelType w:val="multilevel"/>
    <w:tmpl w:val="44121AA6"/>
    <w:lvl w:ilvl="0" w:tentative="0">
      <w:start w:val="1"/>
      <w:numFmt w:val="decimal"/>
      <w:pStyle w:val="11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C885191"/>
    <w:multiLevelType w:val="singleLevel"/>
    <w:tmpl w:val="4C885191"/>
    <w:lvl w:ilvl="0" w:tentative="0">
      <w:start w:val="3"/>
      <w:numFmt w:val="chineseCounting"/>
      <w:suff w:val="space"/>
      <w:lvlText w:val="第%1章"/>
      <w:lvlJc w:val="left"/>
      <w:rPr>
        <w:rFonts w:hint="eastAsia"/>
      </w:rPr>
    </w:lvl>
  </w:abstractNum>
  <w:abstractNum w:abstractNumId="8">
    <w:nsid w:val="51002338"/>
    <w:multiLevelType w:val="singleLevel"/>
    <w:tmpl w:val="51002338"/>
    <w:lvl w:ilvl="0" w:tentative="0">
      <w:start w:val="1"/>
      <w:numFmt w:val="bullet"/>
      <w:pStyle w:val="116"/>
      <w:lvlText w:val=""/>
      <w:lvlJc w:val="left"/>
      <w:pPr>
        <w:tabs>
          <w:tab w:val="left" w:pos="360"/>
        </w:tabs>
        <w:ind w:left="360" w:hanging="360"/>
      </w:pPr>
      <w:rPr>
        <w:rFonts w:hint="default" w:ascii="Symbol" w:hAnsi="Symbol"/>
      </w:rPr>
    </w:lvl>
  </w:abstractNum>
  <w:abstractNum w:abstractNumId="9">
    <w:nsid w:val="581D2BC5"/>
    <w:multiLevelType w:val="multilevel"/>
    <w:tmpl w:val="581D2BC5"/>
    <w:lvl w:ilvl="0" w:tentative="0">
      <w:start w:val="1"/>
      <w:numFmt w:val="decimal"/>
      <w:pStyle w:val="201"/>
      <w:lvlText w:val="%1"/>
      <w:lvlJc w:val="left"/>
      <w:pPr>
        <w:tabs>
          <w:tab w:val="left" w:pos="567"/>
        </w:tabs>
        <w:ind w:left="567" w:hanging="567"/>
      </w:pPr>
      <w:rPr>
        <w:rFonts w:hint="eastAsia"/>
      </w:rPr>
    </w:lvl>
    <w:lvl w:ilvl="1" w:tentative="0">
      <w:start w:val="1"/>
      <w:numFmt w:val="decimal"/>
      <w:pStyle w:val="113"/>
      <w:lvlText w:val="%1.%2"/>
      <w:lvlJc w:val="left"/>
      <w:pPr>
        <w:tabs>
          <w:tab w:val="left" w:pos="1004"/>
        </w:tabs>
        <w:ind w:left="567" w:hanging="283"/>
      </w:pPr>
      <w:rPr>
        <w:rFonts w:hint="eastAsia"/>
      </w:rPr>
    </w:lvl>
    <w:lvl w:ilvl="2" w:tentative="0">
      <w:start w:val="1"/>
      <w:numFmt w:val="decimal"/>
      <w:pStyle w:val="11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0">
    <w:nsid w:val="616F1709"/>
    <w:multiLevelType w:val="singleLevel"/>
    <w:tmpl w:val="616F1709"/>
    <w:lvl w:ilvl="0" w:tentative="0">
      <w:start w:val="1"/>
      <w:numFmt w:val="decimal"/>
      <w:suff w:val="nothing"/>
      <w:lvlText w:val="%1、"/>
      <w:lvlJc w:val="left"/>
    </w:lvl>
  </w:abstractNum>
  <w:num w:numId="1">
    <w:abstractNumId w:val="9"/>
  </w:num>
  <w:num w:numId="2">
    <w:abstractNumId w:val="6"/>
  </w:num>
  <w:num w:numId="3">
    <w:abstractNumId w:val="8"/>
  </w:num>
  <w:num w:numId="4">
    <w:abstractNumId w:val="5"/>
  </w:num>
  <w:num w:numId="5">
    <w:abstractNumId w:val="7"/>
  </w:num>
  <w:num w:numId="6">
    <w:abstractNumId w:val="4"/>
  </w:num>
  <w:num w:numId="7">
    <w:abstractNumId w:val="1"/>
  </w:num>
  <w:num w:numId="8">
    <w:abstractNumId w:val="3"/>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WU1ODNhMjI2MjU4ZTRlNjQ3M2U2ZWEwMzNjYmQifQ=="/>
    <w:docVar w:name="KGWebUrl" w:val="http://jszfcg.jsczt.cn/jszc/gateWay/joffice/office?access_token=b765c637-c148-41a6-81cd-218d20dc23b6"/>
  </w:docVars>
  <w:rsids>
    <w:rsidRoot w:val="000550A8"/>
    <w:rsid w:val="00000137"/>
    <w:rsid w:val="00001E8F"/>
    <w:rsid w:val="00002496"/>
    <w:rsid w:val="00002D6C"/>
    <w:rsid w:val="000032FA"/>
    <w:rsid w:val="000053B2"/>
    <w:rsid w:val="00005EC1"/>
    <w:rsid w:val="0000618A"/>
    <w:rsid w:val="00007C6F"/>
    <w:rsid w:val="000101E3"/>
    <w:rsid w:val="00010617"/>
    <w:rsid w:val="00012008"/>
    <w:rsid w:val="00013037"/>
    <w:rsid w:val="00013F70"/>
    <w:rsid w:val="0001446F"/>
    <w:rsid w:val="00014EE9"/>
    <w:rsid w:val="0001636D"/>
    <w:rsid w:val="0001667A"/>
    <w:rsid w:val="000170D0"/>
    <w:rsid w:val="00017F34"/>
    <w:rsid w:val="0002240F"/>
    <w:rsid w:val="000225D8"/>
    <w:rsid w:val="00025241"/>
    <w:rsid w:val="00031F32"/>
    <w:rsid w:val="00032346"/>
    <w:rsid w:val="000328A9"/>
    <w:rsid w:val="00034E79"/>
    <w:rsid w:val="00041943"/>
    <w:rsid w:val="00041E4F"/>
    <w:rsid w:val="00042D7B"/>
    <w:rsid w:val="000437D2"/>
    <w:rsid w:val="00045907"/>
    <w:rsid w:val="00050D80"/>
    <w:rsid w:val="00051064"/>
    <w:rsid w:val="000550A8"/>
    <w:rsid w:val="0005568D"/>
    <w:rsid w:val="00057BC3"/>
    <w:rsid w:val="00060B8C"/>
    <w:rsid w:val="000620F5"/>
    <w:rsid w:val="000626BB"/>
    <w:rsid w:val="00064EC3"/>
    <w:rsid w:val="00065820"/>
    <w:rsid w:val="000677CC"/>
    <w:rsid w:val="000752A0"/>
    <w:rsid w:val="00075BD0"/>
    <w:rsid w:val="00076267"/>
    <w:rsid w:val="00077124"/>
    <w:rsid w:val="00077999"/>
    <w:rsid w:val="00077C58"/>
    <w:rsid w:val="000853E6"/>
    <w:rsid w:val="00085760"/>
    <w:rsid w:val="00085F6E"/>
    <w:rsid w:val="00087755"/>
    <w:rsid w:val="00087C52"/>
    <w:rsid w:val="00090162"/>
    <w:rsid w:val="00090BED"/>
    <w:rsid w:val="000919E4"/>
    <w:rsid w:val="000929C3"/>
    <w:rsid w:val="0009352D"/>
    <w:rsid w:val="00097290"/>
    <w:rsid w:val="000977C0"/>
    <w:rsid w:val="000A0F26"/>
    <w:rsid w:val="000A1612"/>
    <w:rsid w:val="000A2E6D"/>
    <w:rsid w:val="000A37BD"/>
    <w:rsid w:val="000A3DB8"/>
    <w:rsid w:val="000A4222"/>
    <w:rsid w:val="000A52DF"/>
    <w:rsid w:val="000A590A"/>
    <w:rsid w:val="000A5EF3"/>
    <w:rsid w:val="000A73B5"/>
    <w:rsid w:val="000B0474"/>
    <w:rsid w:val="000B1AD5"/>
    <w:rsid w:val="000B3040"/>
    <w:rsid w:val="000B3934"/>
    <w:rsid w:val="000B3D99"/>
    <w:rsid w:val="000B7FB3"/>
    <w:rsid w:val="000C1D10"/>
    <w:rsid w:val="000C6094"/>
    <w:rsid w:val="000C71C3"/>
    <w:rsid w:val="000D1D7D"/>
    <w:rsid w:val="000D20CE"/>
    <w:rsid w:val="000D30B9"/>
    <w:rsid w:val="000D3670"/>
    <w:rsid w:val="000D4F27"/>
    <w:rsid w:val="000D6AAB"/>
    <w:rsid w:val="000E1449"/>
    <w:rsid w:val="000E1B71"/>
    <w:rsid w:val="000E453A"/>
    <w:rsid w:val="000E5EEB"/>
    <w:rsid w:val="000E616C"/>
    <w:rsid w:val="000E65E4"/>
    <w:rsid w:val="000E6A38"/>
    <w:rsid w:val="000E725A"/>
    <w:rsid w:val="000F0630"/>
    <w:rsid w:val="000F0CD9"/>
    <w:rsid w:val="000F15FF"/>
    <w:rsid w:val="000F1F27"/>
    <w:rsid w:val="000F28BB"/>
    <w:rsid w:val="000F32A9"/>
    <w:rsid w:val="000F4486"/>
    <w:rsid w:val="000F7858"/>
    <w:rsid w:val="00100901"/>
    <w:rsid w:val="00100B0B"/>
    <w:rsid w:val="00104C20"/>
    <w:rsid w:val="00104D7C"/>
    <w:rsid w:val="001069CC"/>
    <w:rsid w:val="0010705A"/>
    <w:rsid w:val="001078CF"/>
    <w:rsid w:val="0011071D"/>
    <w:rsid w:val="00110961"/>
    <w:rsid w:val="001114A5"/>
    <w:rsid w:val="00111918"/>
    <w:rsid w:val="00111F1B"/>
    <w:rsid w:val="00112179"/>
    <w:rsid w:val="00113071"/>
    <w:rsid w:val="0011597E"/>
    <w:rsid w:val="00115DEA"/>
    <w:rsid w:val="001167BE"/>
    <w:rsid w:val="00116CFE"/>
    <w:rsid w:val="00120D36"/>
    <w:rsid w:val="00123102"/>
    <w:rsid w:val="00123664"/>
    <w:rsid w:val="001246EF"/>
    <w:rsid w:val="00124767"/>
    <w:rsid w:val="00124C70"/>
    <w:rsid w:val="00125D85"/>
    <w:rsid w:val="0013208D"/>
    <w:rsid w:val="00132651"/>
    <w:rsid w:val="00132BC1"/>
    <w:rsid w:val="00147A4D"/>
    <w:rsid w:val="00150695"/>
    <w:rsid w:val="00152808"/>
    <w:rsid w:val="00152DC1"/>
    <w:rsid w:val="001534CE"/>
    <w:rsid w:val="00153E4F"/>
    <w:rsid w:val="00154618"/>
    <w:rsid w:val="0015670E"/>
    <w:rsid w:val="00156BAD"/>
    <w:rsid w:val="00160597"/>
    <w:rsid w:val="001613D3"/>
    <w:rsid w:val="001661E9"/>
    <w:rsid w:val="001669D8"/>
    <w:rsid w:val="001705FD"/>
    <w:rsid w:val="00170A6B"/>
    <w:rsid w:val="00172DE7"/>
    <w:rsid w:val="00172E6E"/>
    <w:rsid w:val="0017543B"/>
    <w:rsid w:val="0017564A"/>
    <w:rsid w:val="00175831"/>
    <w:rsid w:val="001758FA"/>
    <w:rsid w:val="001764AC"/>
    <w:rsid w:val="00176D5A"/>
    <w:rsid w:val="00183729"/>
    <w:rsid w:val="001857C0"/>
    <w:rsid w:val="00185A01"/>
    <w:rsid w:val="00186B4F"/>
    <w:rsid w:val="00186F02"/>
    <w:rsid w:val="0018785B"/>
    <w:rsid w:val="001919D2"/>
    <w:rsid w:val="00196CFB"/>
    <w:rsid w:val="00196F54"/>
    <w:rsid w:val="001A0807"/>
    <w:rsid w:val="001A1119"/>
    <w:rsid w:val="001A1489"/>
    <w:rsid w:val="001A14B7"/>
    <w:rsid w:val="001A1DC9"/>
    <w:rsid w:val="001A1E99"/>
    <w:rsid w:val="001A6462"/>
    <w:rsid w:val="001A652E"/>
    <w:rsid w:val="001A6D29"/>
    <w:rsid w:val="001A76AD"/>
    <w:rsid w:val="001A7CCC"/>
    <w:rsid w:val="001B0DBA"/>
    <w:rsid w:val="001B13B1"/>
    <w:rsid w:val="001B2FBF"/>
    <w:rsid w:val="001B3A84"/>
    <w:rsid w:val="001B4F37"/>
    <w:rsid w:val="001B4F53"/>
    <w:rsid w:val="001B54BF"/>
    <w:rsid w:val="001C2FD2"/>
    <w:rsid w:val="001C3021"/>
    <w:rsid w:val="001C4529"/>
    <w:rsid w:val="001C5189"/>
    <w:rsid w:val="001C6221"/>
    <w:rsid w:val="001C6DEC"/>
    <w:rsid w:val="001C74D3"/>
    <w:rsid w:val="001D027C"/>
    <w:rsid w:val="001D0C04"/>
    <w:rsid w:val="001D17B0"/>
    <w:rsid w:val="001D1CC6"/>
    <w:rsid w:val="001D28DF"/>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5AF8"/>
    <w:rsid w:val="00206ADF"/>
    <w:rsid w:val="00210194"/>
    <w:rsid w:val="002101E7"/>
    <w:rsid w:val="002102AB"/>
    <w:rsid w:val="002143C6"/>
    <w:rsid w:val="002171A9"/>
    <w:rsid w:val="0022004C"/>
    <w:rsid w:val="00220783"/>
    <w:rsid w:val="0022286B"/>
    <w:rsid w:val="00224B79"/>
    <w:rsid w:val="00226897"/>
    <w:rsid w:val="00227961"/>
    <w:rsid w:val="00227CE9"/>
    <w:rsid w:val="00230F3B"/>
    <w:rsid w:val="002369E2"/>
    <w:rsid w:val="00242701"/>
    <w:rsid w:val="00242C02"/>
    <w:rsid w:val="0024466C"/>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EFE"/>
    <w:rsid w:val="00261F66"/>
    <w:rsid w:val="002625A5"/>
    <w:rsid w:val="002630A8"/>
    <w:rsid w:val="002632A9"/>
    <w:rsid w:val="00264D72"/>
    <w:rsid w:val="002659D6"/>
    <w:rsid w:val="00267ADE"/>
    <w:rsid w:val="002743C6"/>
    <w:rsid w:val="0027499D"/>
    <w:rsid w:val="00275C53"/>
    <w:rsid w:val="00280843"/>
    <w:rsid w:val="00281EDF"/>
    <w:rsid w:val="002824FC"/>
    <w:rsid w:val="00283245"/>
    <w:rsid w:val="002832BB"/>
    <w:rsid w:val="0028451D"/>
    <w:rsid w:val="0028568E"/>
    <w:rsid w:val="00286872"/>
    <w:rsid w:val="002876B5"/>
    <w:rsid w:val="00293DF4"/>
    <w:rsid w:val="00295698"/>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0303"/>
    <w:rsid w:val="002C1110"/>
    <w:rsid w:val="002C125E"/>
    <w:rsid w:val="002C29CA"/>
    <w:rsid w:val="002C2DDD"/>
    <w:rsid w:val="002C39A2"/>
    <w:rsid w:val="002C3FB5"/>
    <w:rsid w:val="002C418F"/>
    <w:rsid w:val="002C4A3A"/>
    <w:rsid w:val="002C4CD0"/>
    <w:rsid w:val="002C5518"/>
    <w:rsid w:val="002C778E"/>
    <w:rsid w:val="002C7C45"/>
    <w:rsid w:val="002D03EA"/>
    <w:rsid w:val="002D051D"/>
    <w:rsid w:val="002D0ED9"/>
    <w:rsid w:val="002D0FCB"/>
    <w:rsid w:val="002D174E"/>
    <w:rsid w:val="002D3C9B"/>
    <w:rsid w:val="002D57F7"/>
    <w:rsid w:val="002D718B"/>
    <w:rsid w:val="002E2063"/>
    <w:rsid w:val="002E6283"/>
    <w:rsid w:val="002F06DC"/>
    <w:rsid w:val="002F0CDD"/>
    <w:rsid w:val="002F117A"/>
    <w:rsid w:val="002F15F0"/>
    <w:rsid w:val="002F222F"/>
    <w:rsid w:val="002F27B1"/>
    <w:rsid w:val="002F3BE0"/>
    <w:rsid w:val="002F4336"/>
    <w:rsid w:val="002F4F0C"/>
    <w:rsid w:val="002F6321"/>
    <w:rsid w:val="002F63C6"/>
    <w:rsid w:val="002F7E3C"/>
    <w:rsid w:val="00300BFB"/>
    <w:rsid w:val="00301380"/>
    <w:rsid w:val="00302084"/>
    <w:rsid w:val="00302733"/>
    <w:rsid w:val="0030358E"/>
    <w:rsid w:val="00303879"/>
    <w:rsid w:val="00306CD2"/>
    <w:rsid w:val="003078D9"/>
    <w:rsid w:val="00307D16"/>
    <w:rsid w:val="00310DB9"/>
    <w:rsid w:val="00311C3B"/>
    <w:rsid w:val="003121D0"/>
    <w:rsid w:val="00313B91"/>
    <w:rsid w:val="0031432C"/>
    <w:rsid w:val="00316FA1"/>
    <w:rsid w:val="003202FF"/>
    <w:rsid w:val="00321114"/>
    <w:rsid w:val="003240A8"/>
    <w:rsid w:val="00325833"/>
    <w:rsid w:val="003258E6"/>
    <w:rsid w:val="003308B9"/>
    <w:rsid w:val="003329E7"/>
    <w:rsid w:val="00333870"/>
    <w:rsid w:val="00333BBB"/>
    <w:rsid w:val="003345F3"/>
    <w:rsid w:val="00335690"/>
    <w:rsid w:val="003356E6"/>
    <w:rsid w:val="00336537"/>
    <w:rsid w:val="00341344"/>
    <w:rsid w:val="003415B1"/>
    <w:rsid w:val="003424F9"/>
    <w:rsid w:val="00344938"/>
    <w:rsid w:val="00345037"/>
    <w:rsid w:val="003468D4"/>
    <w:rsid w:val="00346931"/>
    <w:rsid w:val="00347F07"/>
    <w:rsid w:val="00350A2C"/>
    <w:rsid w:val="00350CB5"/>
    <w:rsid w:val="003523F9"/>
    <w:rsid w:val="00355E84"/>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34FE"/>
    <w:rsid w:val="00383970"/>
    <w:rsid w:val="00383A22"/>
    <w:rsid w:val="0038432D"/>
    <w:rsid w:val="00384943"/>
    <w:rsid w:val="00384D85"/>
    <w:rsid w:val="00387A98"/>
    <w:rsid w:val="00387E8D"/>
    <w:rsid w:val="003909EF"/>
    <w:rsid w:val="0039250E"/>
    <w:rsid w:val="0039268C"/>
    <w:rsid w:val="003930E0"/>
    <w:rsid w:val="00393F7C"/>
    <w:rsid w:val="003944A2"/>
    <w:rsid w:val="0039665A"/>
    <w:rsid w:val="00397B53"/>
    <w:rsid w:val="003A0086"/>
    <w:rsid w:val="003A10E7"/>
    <w:rsid w:val="003A3C30"/>
    <w:rsid w:val="003A4164"/>
    <w:rsid w:val="003A47D0"/>
    <w:rsid w:val="003A4AD6"/>
    <w:rsid w:val="003A5CDC"/>
    <w:rsid w:val="003A735B"/>
    <w:rsid w:val="003B01A4"/>
    <w:rsid w:val="003B18CB"/>
    <w:rsid w:val="003B1F4C"/>
    <w:rsid w:val="003B289C"/>
    <w:rsid w:val="003B2D74"/>
    <w:rsid w:val="003B2E57"/>
    <w:rsid w:val="003B3ACB"/>
    <w:rsid w:val="003B52FC"/>
    <w:rsid w:val="003B549A"/>
    <w:rsid w:val="003B54CB"/>
    <w:rsid w:val="003B5A0E"/>
    <w:rsid w:val="003B708F"/>
    <w:rsid w:val="003C10A4"/>
    <w:rsid w:val="003C132B"/>
    <w:rsid w:val="003C1440"/>
    <w:rsid w:val="003C178E"/>
    <w:rsid w:val="003C2D80"/>
    <w:rsid w:val="003C2FEA"/>
    <w:rsid w:val="003C4034"/>
    <w:rsid w:val="003C4516"/>
    <w:rsid w:val="003C4C3B"/>
    <w:rsid w:val="003C71A1"/>
    <w:rsid w:val="003C76A5"/>
    <w:rsid w:val="003D2159"/>
    <w:rsid w:val="003D2B1C"/>
    <w:rsid w:val="003D3F6C"/>
    <w:rsid w:val="003D460A"/>
    <w:rsid w:val="003D5540"/>
    <w:rsid w:val="003D6C47"/>
    <w:rsid w:val="003D71F7"/>
    <w:rsid w:val="003D7EBF"/>
    <w:rsid w:val="003D7F6F"/>
    <w:rsid w:val="003E2065"/>
    <w:rsid w:val="003E20CB"/>
    <w:rsid w:val="003E26E2"/>
    <w:rsid w:val="003E36FA"/>
    <w:rsid w:val="003E49FF"/>
    <w:rsid w:val="003F10F4"/>
    <w:rsid w:val="003F18EA"/>
    <w:rsid w:val="003F22E0"/>
    <w:rsid w:val="003F2401"/>
    <w:rsid w:val="003F334C"/>
    <w:rsid w:val="003F3F0A"/>
    <w:rsid w:val="003F5534"/>
    <w:rsid w:val="003F5992"/>
    <w:rsid w:val="003F59AB"/>
    <w:rsid w:val="003F5CAC"/>
    <w:rsid w:val="003F67BA"/>
    <w:rsid w:val="004010C3"/>
    <w:rsid w:val="00402FC1"/>
    <w:rsid w:val="00403A18"/>
    <w:rsid w:val="004051A4"/>
    <w:rsid w:val="00407335"/>
    <w:rsid w:val="00407A5D"/>
    <w:rsid w:val="004103D4"/>
    <w:rsid w:val="00410D63"/>
    <w:rsid w:val="004110E9"/>
    <w:rsid w:val="004138CC"/>
    <w:rsid w:val="00413FBA"/>
    <w:rsid w:val="00414DED"/>
    <w:rsid w:val="00415991"/>
    <w:rsid w:val="00417429"/>
    <w:rsid w:val="004200BC"/>
    <w:rsid w:val="0042038D"/>
    <w:rsid w:val="00420E21"/>
    <w:rsid w:val="00422760"/>
    <w:rsid w:val="00423BAA"/>
    <w:rsid w:val="00425F2A"/>
    <w:rsid w:val="00427C31"/>
    <w:rsid w:val="004339CB"/>
    <w:rsid w:val="0043572A"/>
    <w:rsid w:val="00436670"/>
    <w:rsid w:val="004366C2"/>
    <w:rsid w:val="00437348"/>
    <w:rsid w:val="00437799"/>
    <w:rsid w:val="00437DC1"/>
    <w:rsid w:val="00440046"/>
    <w:rsid w:val="00443B1B"/>
    <w:rsid w:val="0044432E"/>
    <w:rsid w:val="0044448A"/>
    <w:rsid w:val="00446B7F"/>
    <w:rsid w:val="004500C5"/>
    <w:rsid w:val="00450621"/>
    <w:rsid w:val="00451444"/>
    <w:rsid w:val="00451BEF"/>
    <w:rsid w:val="004547A6"/>
    <w:rsid w:val="0045493A"/>
    <w:rsid w:val="00456211"/>
    <w:rsid w:val="00460DA9"/>
    <w:rsid w:val="00461850"/>
    <w:rsid w:val="004659E7"/>
    <w:rsid w:val="00466794"/>
    <w:rsid w:val="00470469"/>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86EF6"/>
    <w:rsid w:val="0049161E"/>
    <w:rsid w:val="00491C71"/>
    <w:rsid w:val="00493D3E"/>
    <w:rsid w:val="00496885"/>
    <w:rsid w:val="004A081C"/>
    <w:rsid w:val="004A2CD0"/>
    <w:rsid w:val="004A2D11"/>
    <w:rsid w:val="004A372B"/>
    <w:rsid w:val="004A409D"/>
    <w:rsid w:val="004A6B37"/>
    <w:rsid w:val="004A72F3"/>
    <w:rsid w:val="004B0111"/>
    <w:rsid w:val="004B17AE"/>
    <w:rsid w:val="004B2236"/>
    <w:rsid w:val="004B269B"/>
    <w:rsid w:val="004B2B17"/>
    <w:rsid w:val="004B358E"/>
    <w:rsid w:val="004C0A85"/>
    <w:rsid w:val="004C3922"/>
    <w:rsid w:val="004C4CF2"/>
    <w:rsid w:val="004C6960"/>
    <w:rsid w:val="004C6F12"/>
    <w:rsid w:val="004C717B"/>
    <w:rsid w:val="004D092A"/>
    <w:rsid w:val="004D0CD2"/>
    <w:rsid w:val="004D3320"/>
    <w:rsid w:val="004D359A"/>
    <w:rsid w:val="004D582C"/>
    <w:rsid w:val="004D5A0C"/>
    <w:rsid w:val="004D6DD7"/>
    <w:rsid w:val="004D7124"/>
    <w:rsid w:val="004E09C1"/>
    <w:rsid w:val="004E1F76"/>
    <w:rsid w:val="004E2870"/>
    <w:rsid w:val="004E2FE4"/>
    <w:rsid w:val="004E347C"/>
    <w:rsid w:val="004E60E6"/>
    <w:rsid w:val="004E6DA7"/>
    <w:rsid w:val="004E789E"/>
    <w:rsid w:val="004F0097"/>
    <w:rsid w:val="004F0F2A"/>
    <w:rsid w:val="004F3087"/>
    <w:rsid w:val="004F32FC"/>
    <w:rsid w:val="004F3607"/>
    <w:rsid w:val="004F3CBC"/>
    <w:rsid w:val="004F3D5F"/>
    <w:rsid w:val="004F463F"/>
    <w:rsid w:val="004F5B7F"/>
    <w:rsid w:val="004F5C81"/>
    <w:rsid w:val="004F6906"/>
    <w:rsid w:val="004F71FD"/>
    <w:rsid w:val="00500391"/>
    <w:rsid w:val="00502B04"/>
    <w:rsid w:val="005049E4"/>
    <w:rsid w:val="00505D49"/>
    <w:rsid w:val="005074C8"/>
    <w:rsid w:val="00510700"/>
    <w:rsid w:val="00510AD8"/>
    <w:rsid w:val="00511088"/>
    <w:rsid w:val="00512189"/>
    <w:rsid w:val="005127B8"/>
    <w:rsid w:val="00512CD7"/>
    <w:rsid w:val="00513D67"/>
    <w:rsid w:val="0051774A"/>
    <w:rsid w:val="00517BD7"/>
    <w:rsid w:val="00517C1F"/>
    <w:rsid w:val="00517DAA"/>
    <w:rsid w:val="0052016C"/>
    <w:rsid w:val="005205E9"/>
    <w:rsid w:val="0052297F"/>
    <w:rsid w:val="0052746F"/>
    <w:rsid w:val="00527CBF"/>
    <w:rsid w:val="00530C72"/>
    <w:rsid w:val="00531C93"/>
    <w:rsid w:val="0053572D"/>
    <w:rsid w:val="0053698B"/>
    <w:rsid w:val="00537638"/>
    <w:rsid w:val="00540650"/>
    <w:rsid w:val="005422A8"/>
    <w:rsid w:val="00543C9F"/>
    <w:rsid w:val="00544446"/>
    <w:rsid w:val="005445E2"/>
    <w:rsid w:val="00544F92"/>
    <w:rsid w:val="005455F4"/>
    <w:rsid w:val="00546C0A"/>
    <w:rsid w:val="005479A5"/>
    <w:rsid w:val="00551522"/>
    <w:rsid w:val="00551C41"/>
    <w:rsid w:val="005522C4"/>
    <w:rsid w:val="00552557"/>
    <w:rsid w:val="0055442E"/>
    <w:rsid w:val="00556B95"/>
    <w:rsid w:val="00556FE7"/>
    <w:rsid w:val="00560C25"/>
    <w:rsid w:val="00561E7B"/>
    <w:rsid w:val="00562CE7"/>
    <w:rsid w:val="00564082"/>
    <w:rsid w:val="00567152"/>
    <w:rsid w:val="00570AB4"/>
    <w:rsid w:val="00571191"/>
    <w:rsid w:val="00572EE6"/>
    <w:rsid w:val="00573CFC"/>
    <w:rsid w:val="005740C8"/>
    <w:rsid w:val="0057447A"/>
    <w:rsid w:val="0057549B"/>
    <w:rsid w:val="00576907"/>
    <w:rsid w:val="00581A62"/>
    <w:rsid w:val="00583088"/>
    <w:rsid w:val="0058365E"/>
    <w:rsid w:val="0058482C"/>
    <w:rsid w:val="00584939"/>
    <w:rsid w:val="0058608E"/>
    <w:rsid w:val="005862E2"/>
    <w:rsid w:val="005877CD"/>
    <w:rsid w:val="005878E6"/>
    <w:rsid w:val="00593A46"/>
    <w:rsid w:val="00593DFB"/>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F17"/>
    <w:rsid w:val="005C3253"/>
    <w:rsid w:val="005C3E08"/>
    <w:rsid w:val="005C48E0"/>
    <w:rsid w:val="005C55C5"/>
    <w:rsid w:val="005C65ED"/>
    <w:rsid w:val="005C66F8"/>
    <w:rsid w:val="005C7B39"/>
    <w:rsid w:val="005D04BB"/>
    <w:rsid w:val="005D2B61"/>
    <w:rsid w:val="005D2B9C"/>
    <w:rsid w:val="005D4F8C"/>
    <w:rsid w:val="005D4FED"/>
    <w:rsid w:val="005D586A"/>
    <w:rsid w:val="005D61CD"/>
    <w:rsid w:val="005D6982"/>
    <w:rsid w:val="005E0535"/>
    <w:rsid w:val="005E0546"/>
    <w:rsid w:val="005E303F"/>
    <w:rsid w:val="005E435B"/>
    <w:rsid w:val="005E4697"/>
    <w:rsid w:val="005E47CC"/>
    <w:rsid w:val="005E50F2"/>
    <w:rsid w:val="005E5108"/>
    <w:rsid w:val="005E57B2"/>
    <w:rsid w:val="005E7004"/>
    <w:rsid w:val="005F02F8"/>
    <w:rsid w:val="005F20CB"/>
    <w:rsid w:val="005F34F4"/>
    <w:rsid w:val="005F4239"/>
    <w:rsid w:val="005F620C"/>
    <w:rsid w:val="00600272"/>
    <w:rsid w:val="006025DC"/>
    <w:rsid w:val="00605776"/>
    <w:rsid w:val="00605C05"/>
    <w:rsid w:val="0060613D"/>
    <w:rsid w:val="00610161"/>
    <w:rsid w:val="006105E2"/>
    <w:rsid w:val="00612A1F"/>
    <w:rsid w:val="00615BC7"/>
    <w:rsid w:val="00616188"/>
    <w:rsid w:val="00616441"/>
    <w:rsid w:val="00616FF8"/>
    <w:rsid w:val="00617E5C"/>
    <w:rsid w:val="0062066D"/>
    <w:rsid w:val="00621535"/>
    <w:rsid w:val="00621828"/>
    <w:rsid w:val="00622750"/>
    <w:rsid w:val="00623277"/>
    <w:rsid w:val="00624D36"/>
    <w:rsid w:val="00624EEF"/>
    <w:rsid w:val="00625C20"/>
    <w:rsid w:val="0062701F"/>
    <w:rsid w:val="00630142"/>
    <w:rsid w:val="00631880"/>
    <w:rsid w:val="0063613A"/>
    <w:rsid w:val="0064055C"/>
    <w:rsid w:val="00643A60"/>
    <w:rsid w:val="0065064B"/>
    <w:rsid w:val="006516DB"/>
    <w:rsid w:val="00652A50"/>
    <w:rsid w:val="006549AA"/>
    <w:rsid w:val="00655C17"/>
    <w:rsid w:val="00656349"/>
    <w:rsid w:val="0066149E"/>
    <w:rsid w:val="00661B5F"/>
    <w:rsid w:val="00661C84"/>
    <w:rsid w:val="00662D45"/>
    <w:rsid w:val="00662F00"/>
    <w:rsid w:val="00664B47"/>
    <w:rsid w:val="0066663E"/>
    <w:rsid w:val="006708CE"/>
    <w:rsid w:val="00670A49"/>
    <w:rsid w:val="00670CD6"/>
    <w:rsid w:val="00671CDA"/>
    <w:rsid w:val="00673025"/>
    <w:rsid w:val="00674A68"/>
    <w:rsid w:val="0067517E"/>
    <w:rsid w:val="00675240"/>
    <w:rsid w:val="00676A47"/>
    <w:rsid w:val="00676CE4"/>
    <w:rsid w:val="0068157A"/>
    <w:rsid w:val="006819EE"/>
    <w:rsid w:val="00682BFC"/>
    <w:rsid w:val="00683755"/>
    <w:rsid w:val="00686CBF"/>
    <w:rsid w:val="0068705B"/>
    <w:rsid w:val="00690CBD"/>
    <w:rsid w:val="00690FAE"/>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2A1"/>
    <w:rsid w:val="006C1B0B"/>
    <w:rsid w:val="006C24EE"/>
    <w:rsid w:val="006C459A"/>
    <w:rsid w:val="006C735E"/>
    <w:rsid w:val="006C7CED"/>
    <w:rsid w:val="006D125F"/>
    <w:rsid w:val="006D184B"/>
    <w:rsid w:val="006D1C02"/>
    <w:rsid w:val="006D2575"/>
    <w:rsid w:val="006D3ABE"/>
    <w:rsid w:val="006D4C72"/>
    <w:rsid w:val="006D5ACB"/>
    <w:rsid w:val="006D6E14"/>
    <w:rsid w:val="006E0BEA"/>
    <w:rsid w:val="006E1C60"/>
    <w:rsid w:val="006E2CDA"/>
    <w:rsid w:val="006E331E"/>
    <w:rsid w:val="006E5248"/>
    <w:rsid w:val="006E54D1"/>
    <w:rsid w:val="006E71F3"/>
    <w:rsid w:val="006E78A3"/>
    <w:rsid w:val="006E798D"/>
    <w:rsid w:val="006F0121"/>
    <w:rsid w:val="006F0BEB"/>
    <w:rsid w:val="006F1A56"/>
    <w:rsid w:val="006F34C5"/>
    <w:rsid w:val="006F515A"/>
    <w:rsid w:val="006F6468"/>
    <w:rsid w:val="006F69B5"/>
    <w:rsid w:val="006F767E"/>
    <w:rsid w:val="0070115A"/>
    <w:rsid w:val="00702A22"/>
    <w:rsid w:val="00703602"/>
    <w:rsid w:val="00703806"/>
    <w:rsid w:val="00703926"/>
    <w:rsid w:val="00703D34"/>
    <w:rsid w:val="007048C9"/>
    <w:rsid w:val="0070497C"/>
    <w:rsid w:val="00705BC9"/>
    <w:rsid w:val="00707835"/>
    <w:rsid w:val="007103B9"/>
    <w:rsid w:val="0071215D"/>
    <w:rsid w:val="007139E8"/>
    <w:rsid w:val="00714D9A"/>
    <w:rsid w:val="00715166"/>
    <w:rsid w:val="007160D5"/>
    <w:rsid w:val="00717209"/>
    <w:rsid w:val="007172A9"/>
    <w:rsid w:val="007228A8"/>
    <w:rsid w:val="0072550E"/>
    <w:rsid w:val="00726DDE"/>
    <w:rsid w:val="0072734D"/>
    <w:rsid w:val="00727A5C"/>
    <w:rsid w:val="00730675"/>
    <w:rsid w:val="00731C74"/>
    <w:rsid w:val="00732C7C"/>
    <w:rsid w:val="0073478C"/>
    <w:rsid w:val="00735DE1"/>
    <w:rsid w:val="00736C2C"/>
    <w:rsid w:val="00740036"/>
    <w:rsid w:val="00740D1D"/>
    <w:rsid w:val="00741A7E"/>
    <w:rsid w:val="007459BA"/>
    <w:rsid w:val="007467D6"/>
    <w:rsid w:val="00753231"/>
    <w:rsid w:val="00755926"/>
    <w:rsid w:val="00756BD8"/>
    <w:rsid w:val="00756C82"/>
    <w:rsid w:val="0075785D"/>
    <w:rsid w:val="00760A7F"/>
    <w:rsid w:val="007619C5"/>
    <w:rsid w:val="00762D3D"/>
    <w:rsid w:val="00763645"/>
    <w:rsid w:val="00764724"/>
    <w:rsid w:val="00764DB1"/>
    <w:rsid w:val="00767002"/>
    <w:rsid w:val="00770E5E"/>
    <w:rsid w:val="007717A7"/>
    <w:rsid w:val="007717CC"/>
    <w:rsid w:val="00771CB5"/>
    <w:rsid w:val="007720E0"/>
    <w:rsid w:val="00772561"/>
    <w:rsid w:val="0077395B"/>
    <w:rsid w:val="00774A52"/>
    <w:rsid w:val="0077534B"/>
    <w:rsid w:val="0077589D"/>
    <w:rsid w:val="00775B16"/>
    <w:rsid w:val="0077691B"/>
    <w:rsid w:val="007831E4"/>
    <w:rsid w:val="007832E9"/>
    <w:rsid w:val="0078377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A3"/>
    <w:rsid w:val="007C48CB"/>
    <w:rsid w:val="007C6696"/>
    <w:rsid w:val="007C6B1A"/>
    <w:rsid w:val="007D1685"/>
    <w:rsid w:val="007D29F7"/>
    <w:rsid w:val="007D3301"/>
    <w:rsid w:val="007D35E2"/>
    <w:rsid w:val="007D3EE4"/>
    <w:rsid w:val="007D5257"/>
    <w:rsid w:val="007D5871"/>
    <w:rsid w:val="007D5E55"/>
    <w:rsid w:val="007D617C"/>
    <w:rsid w:val="007E0318"/>
    <w:rsid w:val="007E03D3"/>
    <w:rsid w:val="007E06AA"/>
    <w:rsid w:val="007E0D31"/>
    <w:rsid w:val="007E144D"/>
    <w:rsid w:val="007E248A"/>
    <w:rsid w:val="007E6641"/>
    <w:rsid w:val="007F2020"/>
    <w:rsid w:val="007F521C"/>
    <w:rsid w:val="007F5AB0"/>
    <w:rsid w:val="007F63D1"/>
    <w:rsid w:val="008004B0"/>
    <w:rsid w:val="00801CC1"/>
    <w:rsid w:val="0080208D"/>
    <w:rsid w:val="00803391"/>
    <w:rsid w:val="00804F56"/>
    <w:rsid w:val="0080513C"/>
    <w:rsid w:val="0080589A"/>
    <w:rsid w:val="00805BC3"/>
    <w:rsid w:val="00806085"/>
    <w:rsid w:val="00806BA0"/>
    <w:rsid w:val="00807280"/>
    <w:rsid w:val="00810302"/>
    <w:rsid w:val="0081173E"/>
    <w:rsid w:val="00812D46"/>
    <w:rsid w:val="008136D1"/>
    <w:rsid w:val="00813E5B"/>
    <w:rsid w:val="008144E2"/>
    <w:rsid w:val="00814ABB"/>
    <w:rsid w:val="0081674D"/>
    <w:rsid w:val="00816B72"/>
    <w:rsid w:val="00817732"/>
    <w:rsid w:val="00817B1B"/>
    <w:rsid w:val="00820B9E"/>
    <w:rsid w:val="00820BED"/>
    <w:rsid w:val="00820F09"/>
    <w:rsid w:val="008220D3"/>
    <w:rsid w:val="0082384C"/>
    <w:rsid w:val="008252B1"/>
    <w:rsid w:val="0082553A"/>
    <w:rsid w:val="00825EAE"/>
    <w:rsid w:val="0082673F"/>
    <w:rsid w:val="0083064B"/>
    <w:rsid w:val="00830AE6"/>
    <w:rsid w:val="008310AD"/>
    <w:rsid w:val="00831729"/>
    <w:rsid w:val="00831E08"/>
    <w:rsid w:val="00834EDB"/>
    <w:rsid w:val="00836DB2"/>
    <w:rsid w:val="00841228"/>
    <w:rsid w:val="00841A70"/>
    <w:rsid w:val="00842117"/>
    <w:rsid w:val="008422C0"/>
    <w:rsid w:val="008423C8"/>
    <w:rsid w:val="00845BD6"/>
    <w:rsid w:val="0084645A"/>
    <w:rsid w:val="00846AFC"/>
    <w:rsid w:val="00852821"/>
    <w:rsid w:val="00860948"/>
    <w:rsid w:val="008631CA"/>
    <w:rsid w:val="00863655"/>
    <w:rsid w:val="00865B67"/>
    <w:rsid w:val="0086603B"/>
    <w:rsid w:val="0087118F"/>
    <w:rsid w:val="0087141A"/>
    <w:rsid w:val="008714D5"/>
    <w:rsid w:val="00871AC7"/>
    <w:rsid w:val="008722A1"/>
    <w:rsid w:val="00873A80"/>
    <w:rsid w:val="00875318"/>
    <w:rsid w:val="00876DE7"/>
    <w:rsid w:val="008803A2"/>
    <w:rsid w:val="0088165A"/>
    <w:rsid w:val="0088217C"/>
    <w:rsid w:val="00882DDF"/>
    <w:rsid w:val="00884C3C"/>
    <w:rsid w:val="0088509E"/>
    <w:rsid w:val="00885736"/>
    <w:rsid w:val="00885AAC"/>
    <w:rsid w:val="008865E9"/>
    <w:rsid w:val="0088777F"/>
    <w:rsid w:val="0088797E"/>
    <w:rsid w:val="00887B7E"/>
    <w:rsid w:val="00890ACA"/>
    <w:rsid w:val="00890E94"/>
    <w:rsid w:val="0089298E"/>
    <w:rsid w:val="00893128"/>
    <w:rsid w:val="008932ED"/>
    <w:rsid w:val="008946B4"/>
    <w:rsid w:val="00894738"/>
    <w:rsid w:val="00894853"/>
    <w:rsid w:val="00894959"/>
    <w:rsid w:val="00895DE0"/>
    <w:rsid w:val="008966C4"/>
    <w:rsid w:val="008A01C2"/>
    <w:rsid w:val="008A1638"/>
    <w:rsid w:val="008A507A"/>
    <w:rsid w:val="008A5455"/>
    <w:rsid w:val="008A6614"/>
    <w:rsid w:val="008A68D3"/>
    <w:rsid w:val="008A7581"/>
    <w:rsid w:val="008A7880"/>
    <w:rsid w:val="008B006C"/>
    <w:rsid w:val="008B26C2"/>
    <w:rsid w:val="008B4113"/>
    <w:rsid w:val="008B6512"/>
    <w:rsid w:val="008B6721"/>
    <w:rsid w:val="008C0D47"/>
    <w:rsid w:val="008C126A"/>
    <w:rsid w:val="008C2611"/>
    <w:rsid w:val="008C277F"/>
    <w:rsid w:val="008C28D3"/>
    <w:rsid w:val="008C3AE2"/>
    <w:rsid w:val="008C4383"/>
    <w:rsid w:val="008C4C68"/>
    <w:rsid w:val="008C52FA"/>
    <w:rsid w:val="008C581C"/>
    <w:rsid w:val="008C7E56"/>
    <w:rsid w:val="008D0688"/>
    <w:rsid w:val="008D0B6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6D27"/>
    <w:rsid w:val="0090041D"/>
    <w:rsid w:val="0090302C"/>
    <w:rsid w:val="00903C04"/>
    <w:rsid w:val="00906776"/>
    <w:rsid w:val="009072BC"/>
    <w:rsid w:val="00907433"/>
    <w:rsid w:val="00910782"/>
    <w:rsid w:val="00911F77"/>
    <w:rsid w:val="00911FB9"/>
    <w:rsid w:val="009138B4"/>
    <w:rsid w:val="00913E1D"/>
    <w:rsid w:val="009153EE"/>
    <w:rsid w:val="009157B8"/>
    <w:rsid w:val="00917409"/>
    <w:rsid w:val="00920363"/>
    <w:rsid w:val="00923A8A"/>
    <w:rsid w:val="0093339F"/>
    <w:rsid w:val="00934487"/>
    <w:rsid w:val="0093635C"/>
    <w:rsid w:val="00937A0F"/>
    <w:rsid w:val="00937B25"/>
    <w:rsid w:val="00940E33"/>
    <w:rsid w:val="009439E2"/>
    <w:rsid w:val="00943DF5"/>
    <w:rsid w:val="00945393"/>
    <w:rsid w:val="009465E4"/>
    <w:rsid w:val="0095080F"/>
    <w:rsid w:val="00950A19"/>
    <w:rsid w:val="009516F5"/>
    <w:rsid w:val="0095405E"/>
    <w:rsid w:val="00957A9F"/>
    <w:rsid w:val="009617BC"/>
    <w:rsid w:val="00961D8B"/>
    <w:rsid w:val="00963753"/>
    <w:rsid w:val="009660C4"/>
    <w:rsid w:val="0096649E"/>
    <w:rsid w:val="00966DF0"/>
    <w:rsid w:val="00970827"/>
    <w:rsid w:val="00973D50"/>
    <w:rsid w:val="009756C1"/>
    <w:rsid w:val="00975804"/>
    <w:rsid w:val="009758BC"/>
    <w:rsid w:val="0097601C"/>
    <w:rsid w:val="00980490"/>
    <w:rsid w:val="009808C9"/>
    <w:rsid w:val="00980D48"/>
    <w:rsid w:val="00981FC7"/>
    <w:rsid w:val="00982B06"/>
    <w:rsid w:val="0098630A"/>
    <w:rsid w:val="00987726"/>
    <w:rsid w:val="00987921"/>
    <w:rsid w:val="00987A6A"/>
    <w:rsid w:val="009952A3"/>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62E8"/>
    <w:rsid w:val="009D7A20"/>
    <w:rsid w:val="009D7AFA"/>
    <w:rsid w:val="009E28A2"/>
    <w:rsid w:val="009E3459"/>
    <w:rsid w:val="009E4819"/>
    <w:rsid w:val="009E4FDA"/>
    <w:rsid w:val="009E657D"/>
    <w:rsid w:val="009E6BF2"/>
    <w:rsid w:val="009E749F"/>
    <w:rsid w:val="009F1626"/>
    <w:rsid w:val="009F1811"/>
    <w:rsid w:val="009F3046"/>
    <w:rsid w:val="009F374F"/>
    <w:rsid w:val="009F3E99"/>
    <w:rsid w:val="009F4026"/>
    <w:rsid w:val="009F6B30"/>
    <w:rsid w:val="009F6CEF"/>
    <w:rsid w:val="009F6D70"/>
    <w:rsid w:val="009F750A"/>
    <w:rsid w:val="00A01427"/>
    <w:rsid w:val="00A02A88"/>
    <w:rsid w:val="00A03075"/>
    <w:rsid w:val="00A0318C"/>
    <w:rsid w:val="00A04207"/>
    <w:rsid w:val="00A04FED"/>
    <w:rsid w:val="00A062AB"/>
    <w:rsid w:val="00A06EB8"/>
    <w:rsid w:val="00A07C4A"/>
    <w:rsid w:val="00A1347A"/>
    <w:rsid w:val="00A15E9E"/>
    <w:rsid w:val="00A174E5"/>
    <w:rsid w:val="00A204EA"/>
    <w:rsid w:val="00A26D16"/>
    <w:rsid w:val="00A26DE2"/>
    <w:rsid w:val="00A27D10"/>
    <w:rsid w:val="00A31148"/>
    <w:rsid w:val="00A311FC"/>
    <w:rsid w:val="00A32DC9"/>
    <w:rsid w:val="00A33CA4"/>
    <w:rsid w:val="00A3441A"/>
    <w:rsid w:val="00A357D7"/>
    <w:rsid w:val="00A36A62"/>
    <w:rsid w:val="00A36C41"/>
    <w:rsid w:val="00A36D80"/>
    <w:rsid w:val="00A400C5"/>
    <w:rsid w:val="00A405F6"/>
    <w:rsid w:val="00A4284D"/>
    <w:rsid w:val="00A45187"/>
    <w:rsid w:val="00A45437"/>
    <w:rsid w:val="00A4556E"/>
    <w:rsid w:val="00A457D7"/>
    <w:rsid w:val="00A46CDB"/>
    <w:rsid w:val="00A470B9"/>
    <w:rsid w:val="00A503B7"/>
    <w:rsid w:val="00A51989"/>
    <w:rsid w:val="00A541AF"/>
    <w:rsid w:val="00A54B41"/>
    <w:rsid w:val="00A55500"/>
    <w:rsid w:val="00A55691"/>
    <w:rsid w:val="00A57CA6"/>
    <w:rsid w:val="00A61451"/>
    <w:rsid w:val="00A62CE0"/>
    <w:rsid w:val="00A634B9"/>
    <w:rsid w:val="00A645E5"/>
    <w:rsid w:val="00A6641D"/>
    <w:rsid w:val="00A6799B"/>
    <w:rsid w:val="00A72938"/>
    <w:rsid w:val="00A72AAC"/>
    <w:rsid w:val="00A732B0"/>
    <w:rsid w:val="00A7439D"/>
    <w:rsid w:val="00A80259"/>
    <w:rsid w:val="00A80304"/>
    <w:rsid w:val="00A8060E"/>
    <w:rsid w:val="00A80D28"/>
    <w:rsid w:val="00A8235B"/>
    <w:rsid w:val="00A8443A"/>
    <w:rsid w:val="00A8760C"/>
    <w:rsid w:val="00A92E4B"/>
    <w:rsid w:val="00A935AB"/>
    <w:rsid w:val="00A93C24"/>
    <w:rsid w:val="00A944C3"/>
    <w:rsid w:val="00A94EE9"/>
    <w:rsid w:val="00A95CD8"/>
    <w:rsid w:val="00A95D26"/>
    <w:rsid w:val="00A9797C"/>
    <w:rsid w:val="00AA0808"/>
    <w:rsid w:val="00AA0C1A"/>
    <w:rsid w:val="00AA10F8"/>
    <w:rsid w:val="00AA25F2"/>
    <w:rsid w:val="00AA526B"/>
    <w:rsid w:val="00AA5333"/>
    <w:rsid w:val="00AA60AB"/>
    <w:rsid w:val="00AA6621"/>
    <w:rsid w:val="00AA7F00"/>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30DF"/>
    <w:rsid w:val="00AD3693"/>
    <w:rsid w:val="00AD5484"/>
    <w:rsid w:val="00AD6735"/>
    <w:rsid w:val="00AD750A"/>
    <w:rsid w:val="00AD7E0E"/>
    <w:rsid w:val="00AE2E75"/>
    <w:rsid w:val="00AE4E00"/>
    <w:rsid w:val="00AE5EBC"/>
    <w:rsid w:val="00AE6EB1"/>
    <w:rsid w:val="00AE7728"/>
    <w:rsid w:val="00AE793D"/>
    <w:rsid w:val="00AF1241"/>
    <w:rsid w:val="00AF2C53"/>
    <w:rsid w:val="00AF362E"/>
    <w:rsid w:val="00AF39A9"/>
    <w:rsid w:val="00AF4B7F"/>
    <w:rsid w:val="00AF5A34"/>
    <w:rsid w:val="00AF61BB"/>
    <w:rsid w:val="00B0073A"/>
    <w:rsid w:val="00B015F9"/>
    <w:rsid w:val="00B03DF9"/>
    <w:rsid w:val="00B0410B"/>
    <w:rsid w:val="00B068CE"/>
    <w:rsid w:val="00B0735D"/>
    <w:rsid w:val="00B103F9"/>
    <w:rsid w:val="00B11776"/>
    <w:rsid w:val="00B11A09"/>
    <w:rsid w:val="00B122E1"/>
    <w:rsid w:val="00B125B8"/>
    <w:rsid w:val="00B12908"/>
    <w:rsid w:val="00B12914"/>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3C2F"/>
    <w:rsid w:val="00B54726"/>
    <w:rsid w:val="00B552CE"/>
    <w:rsid w:val="00B57A52"/>
    <w:rsid w:val="00B601B8"/>
    <w:rsid w:val="00B6498E"/>
    <w:rsid w:val="00B64A6C"/>
    <w:rsid w:val="00B6551D"/>
    <w:rsid w:val="00B66560"/>
    <w:rsid w:val="00B70124"/>
    <w:rsid w:val="00B735F6"/>
    <w:rsid w:val="00B74E06"/>
    <w:rsid w:val="00B756BF"/>
    <w:rsid w:val="00B7781F"/>
    <w:rsid w:val="00B77B93"/>
    <w:rsid w:val="00B8304C"/>
    <w:rsid w:val="00B8440B"/>
    <w:rsid w:val="00B85F25"/>
    <w:rsid w:val="00B87C8E"/>
    <w:rsid w:val="00B91290"/>
    <w:rsid w:val="00B91FF8"/>
    <w:rsid w:val="00B944A3"/>
    <w:rsid w:val="00B94AF9"/>
    <w:rsid w:val="00B94FB7"/>
    <w:rsid w:val="00B9541A"/>
    <w:rsid w:val="00B95604"/>
    <w:rsid w:val="00B96504"/>
    <w:rsid w:val="00B978F7"/>
    <w:rsid w:val="00BA0039"/>
    <w:rsid w:val="00BA0122"/>
    <w:rsid w:val="00BA03D9"/>
    <w:rsid w:val="00BA20F1"/>
    <w:rsid w:val="00BA53F2"/>
    <w:rsid w:val="00BA5553"/>
    <w:rsid w:val="00BA5C60"/>
    <w:rsid w:val="00BA7014"/>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694"/>
    <w:rsid w:val="00BD1BE4"/>
    <w:rsid w:val="00BD3187"/>
    <w:rsid w:val="00BD3C16"/>
    <w:rsid w:val="00BD400E"/>
    <w:rsid w:val="00BD405A"/>
    <w:rsid w:val="00BD640A"/>
    <w:rsid w:val="00BD67E1"/>
    <w:rsid w:val="00BD6BC1"/>
    <w:rsid w:val="00BE0654"/>
    <w:rsid w:val="00BE0F1C"/>
    <w:rsid w:val="00BE1F87"/>
    <w:rsid w:val="00BE48BB"/>
    <w:rsid w:val="00BE7F80"/>
    <w:rsid w:val="00BF010B"/>
    <w:rsid w:val="00BF0700"/>
    <w:rsid w:val="00BF26CD"/>
    <w:rsid w:val="00BF2DE4"/>
    <w:rsid w:val="00BF3CEF"/>
    <w:rsid w:val="00BF4CFE"/>
    <w:rsid w:val="00BF4EB0"/>
    <w:rsid w:val="00BF4F0B"/>
    <w:rsid w:val="00BF5601"/>
    <w:rsid w:val="00C002B4"/>
    <w:rsid w:val="00C02075"/>
    <w:rsid w:val="00C028E4"/>
    <w:rsid w:val="00C02C94"/>
    <w:rsid w:val="00C06D3F"/>
    <w:rsid w:val="00C10598"/>
    <w:rsid w:val="00C126F6"/>
    <w:rsid w:val="00C13AC4"/>
    <w:rsid w:val="00C14F53"/>
    <w:rsid w:val="00C16360"/>
    <w:rsid w:val="00C16659"/>
    <w:rsid w:val="00C233F2"/>
    <w:rsid w:val="00C23687"/>
    <w:rsid w:val="00C24942"/>
    <w:rsid w:val="00C262E5"/>
    <w:rsid w:val="00C26E60"/>
    <w:rsid w:val="00C341CF"/>
    <w:rsid w:val="00C345CC"/>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5CC0"/>
    <w:rsid w:val="00C56D3E"/>
    <w:rsid w:val="00C60068"/>
    <w:rsid w:val="00C6235B"/>
    <w:rsid w:val="00C625B6"/>
    <w:rsid w:val="00C63019"/>
    <w:rsid w:val="00C639C7"/>
    <w:rsid w:val="00C63CA6"/>
    <w:rsid w:val="00C63DEA"/>
    <w:rsid w:val="00C67295"/>
    <w:rsid w:val="00C6744E"/>
    <w:rsid w:val="00C704A9"/>
    <w:rsid w:val="00C70AE4"/>
    <w:rsid w:val="00C7176A"/>
    <w:rsid w:val="00C73068"/>
    <w:rsid w:val="00C73EEA"/>
    <w:rsid w:val="00C74683"/>
    <w:rsid w:val="00C7578D"/>
    <w:rsid w:val="00C75E67"/>
    <w:rsid w:val="00C7612E"/>
    <w:rsid w:val="00C76947"/>
    <w:rsid w:val="00C80380"/>
    <w:rsid w:val="00C80859"/>
    <w:rsid w:val="00C83FFE"/>
    <w:rsid w:val="00C84372"/>
    <w:rsid w:val="00C86611"/>
    <w:rsid w:val="00C90790"/>
    <w:rsid w:val="00C9118A"/>
    <w:rsid w:val="00C93331"/>
    <w:rsid w:val="00C944C0"/>
    <w:rsid w:val="00C944D5"/>
    <w:rsid w:val="00C96F89"/>
    <w:rsid w:val="00CA0DE8"/>
    <w:rsid w:val="00CA4385"/>
    <w:rsid w:val="00CA4776"/>
    <w:rsid w:val="00CA778F"/>
    <w:rsid w:val="00CB0811"/>
    <w:rsid w:val="00CB0FAF"/>
    <w:rsid w:val="00CB143C"/>
    <w:rsid w:val="00CB21D0"/>
    <w:rsid w:val="00CB2751"/>
    <w:rsid w:val="00CB3061"/>
    <w:rsid w:val="00CB6E7A"/>
    <w:rsid w:val="00CC1789"/>
    <w:rsid w:val="00CC361B"/>
    <w:rsid w:val="00CC479C"/>
    <w:rsid w:val="00CC5563"/>
    <w:rsid w:val="00CC55BA"/>
    <w:rsid w:val="00CC57CC"/>
    <w:rsid w:val="00CC6633"/>
    <w:rsid w:val="00CC6B58"/>
    <w:rsid w:val="00CC7A09"/>
    <w:rsid w:val="00CD017B"/>
    <w:rsid w:val="00CD0544"/>
    <w:rsid w:val="00CD587D"/>
    <w:rsid w:val="00CD5D7A"/>
    <w:rsid w:val="00CD6465"/>
    <w:rsid w:val="00CD66C9"/>
    <w:rsid w:val="00CE20DC"/>
    <w:rsid w:val="00CE5AF2"/>
    <w:rsid w:val="00CE6871"/>
    <w:rsid w:val="00CE6BA3"/>
    <w:rsid w:val="00CE7DFC"/>
    <w:rsid w:val="00CF044F"/>
    <w:rsid w:val="00CF1156"/>
    <w:rsid w:val="00CF49E5"/>
    <w:rsid w:val="00CF6D8B"/>
    <w:rsid w:val="00CF6E03"/>
    <w:rsid w:val="00CF7400"/>
    <w:rsid w:val="00D0012B"/>
    <w:rsid w:val="00D00231"/>
    <w:rsid w:val="00D015F6"/>
    <w:rsid w:val="00D02211"/>
    <w:rsid w:val="00D06B9E"/>
    <w:rsid w:val="00D07E1F"/>
    <w:rsid w:val="00D12C12"/>
    <w:rsid w:val="00D14C0C"/>
    <w:rsid w:val="00D164EA"/>
    <w:rsid w:val="00D17339"/>
    <w:rsid w:val="00D1741E"/>
    <w:rsid w:val="00D2011F"/>
    <w:rsid w:val="00D208DE"/>
    <w:rsid w:val="00D22DB5"/>
    <w:rsid w:val="00D2382D"/>
    <w:rsid w:val="00D24042"/>
    <w:rsid w:val="00D248E0"/>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2D"/>
    <w:rsid w:val="00D57060"/>
    <w:rsid w:val="00D602CD"/>
    <w:rsid w:val="00D616B2"/>
    <w:rsid w:val="00D63270"/>
    <w:rsid w:val="00D64102"/>
    <w:rsid w:val="00D6411C"/>
    <w:rsid w:val="00D65A97"/>
    <w:rsid w:val="00D65C40"/>
    <w:rsid w:val="00D67988"/>
    <w:rsid w:val="00D70319"/>
    <w:rsid w:val="00D709BB"/>
    <w:rsid w:val="00D70D5C"/>
    <w:rsid w:val="00D71D8B"/>
    <w:rsid w:val="00D72068"/>
    <w:rsid w:val="00D721D5"/>
    <w:rsid w:val="00D75173"/>
    <w:rsid w:val="00D813EB"/>
    <w:rsid w:val="00D82EFD"/>
    <w:rsid w:val="00D8339A"/>
    <w:rsid w:val="00D83DF9"/>
    <w:rsid w:val="00D868DC"/>
    <w:rsid w:val="00D90636"/>
    <w:rsid w:val="00D907AA"/>
    <w:rsid w:val="00D929AE"/>
    <w:rsid w:val="00D92AF3"/>
    <w:rsid w:val="00D93564"/>
    <w:rsid w:val="00D95A45"/>
    <w:rsid w:val="00D95CEB"/>
    <w:rsid w:val="00D97B86"/>
    <w:rsid w:val="00DA0637"/>
    <w:rsid w:val="00DA07D3"/>
    <w:rsid w:val="00DA2B6A"/>
    <w:rsid w:val="00DA556B"/>
    <w:rsid w:val="00DA5DF0"/>
    <w:rsid w:val="00DA5F7C"/>
    <w:rsid w:val="00DB1C50"/>
    <w:rsid w:val="00DB24E8"/>
    <w:rsid w:val="00DB2F5C"/>
    <w:rsid w:val="00DB33D6"/>
    <w:rsid w:val="00DB3CDB"/>
    <w:rsid w:val="00DB3E0A"/>
    <w:rsid w:val="00DB57FB"/>
    <w:rsid w:val="00DB6162"/>
    <w:rsid w:val="00DB6794"/>
    <w:rsid w:val="00DB69EA"/>
    <w:rsid w:val="00DB70EE"/>
    <w:rsid w:val="00DC0A01"/>
    <w:rsid w:val="00DC0DA4"/>
    <w:rsid w:val="00DC1AC9"/>
    <w:rsid w:val="00DC1FA9"/>
    <w:rsid w:val="00DC245E"/>
    <w:rsid w:val="00DC33B2"/>
    <w:rsid w:val="00DD5029"/>
    <w:rsid w:val="00DD70AE"/>
    <w:rsid w:val="00DD7FE7"/>
    <w:rsid w:val="00DE1577"/>
    <w:rsid w:val="00DE273D"/>
    <w:rsid w:val="00DE2971"/>
    <w:rsid w:val="00DE3D50"/>
    <w:rsid w:val="00DE6CC4"/>
    <w:rsid w:val="00DF0D89"/>
    <w:rsid w:val="00DF1944"/>
    <w:rsid w:val="00DF1B7F"/>
    <w:rsid w:val="00DF2474"/>
    <w:rsid w:val="00DF2620"/>
    <w:rsid w:val="00DF49EE"/>
    <w:rsid w:val="00DF688D"/>
    <w:rsid w:val="00DF6931"/>
    <w:rsid w:val="00DF74A8"/>
    <w:rsid w:val="00E00476"/>
    <w:rsid w:val="00E00CBA"/>
    <w:rsid w:val="00E03F57"/>
    <w:rsid w:val="00E04F2C"/>
    <w:rsid w:val="00E05E35"/>
    <w:rsid w:val="00E06B93"/>
    <w:rsid w:val="00E06D8E"/>
    <w:rsid w:val="00E06ED2"/>
    <w:rsid w:val="00E07241"/>
    <w:rsid w:val="00E07D28"/>
    <w:rsid w:val="00E1038C"/>
    <w:rsid w:val="00E1281B"/>
    <w:rsid w:val="00E145D1"/>
    <w:rsid w:val="00E14A26"/>
    <w:rsid w:val="00E155A5"/>
    <w:rsid w:val="00E15CA0"/>
    <w:rsid w:val="00E15E07"/>
    <w:rsid w:val="00E168C7"/>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4440E"/>
    <w:rsid w:val="00E46128"/>
    <w:rsid w:val="00E47A72"/>
    <w:rsid w:val="00E47B6F"/>
    <w:rsid w:val="00E50226"/>
    <w:rsid w:val="00E51A7A"/>
    <w:rsid w:val="00E53363"/>
    <w:rsid w:val="00E57500"/>
    <w:rsid w:val="00E602C1"/>
    <w:rsid w:val="00E64C69"/>
    <w:rsid w:val="00E67408"/>
    <w:rsid w:val="00E71507"/>
    <w:rsid w:val="00E72121"/>
    <w:rsid w:val="00E741BE"/>
    <w:rsid w:val="00E743FE"/>
    <w:rsid w:val="00E74A31"/>
    <w:rsid w:val="00E75439"/>
    <w:rsid w:val="00E76422"/>
    <w:rsid w:val="00E76A74"/>
    <w:rsid w:val="00E76AF6"/>
    <w:rsid w:val="00E809BE"/>
    <w:rsid w:val="00E80F5C"/>
    <w:rsid w:val="00E81D82"/>
    <w:rsid w:val="00E859AE"/>
    <w:rsid w:val="00E90A88"/>
    <w:rsid w:val="00E90E14"/>
    <w:rsid w:val="00E921F2"/>
    <w:rsid w:val="00E924DD"/>
    <w:rsid w:val="00E92C6E"/>
    <w:rsid w:val="00E93AB7"/>
    <w:rsid w:val="00E93D74"/>
    <w:rsid w:val="00E9561F"/>
    <w:rsid w:val="00E95CCC"/>
    <w:rsid w:val="00E96A45"/>
    <w:rsid w:val="00E978CF"/>
    <w:rsid w:val="00E97B6A"/>
    <w:rsid w:val="00EA0FBA"/>
    <w:rsid w:val="00EA1067"/>
    <w:rsid w:val="00EA1856"/>
    <w:rsid w:val="00EA2FAD"/>
    <w:rsid w:val="00EA3FF7"/>
    <w:rsid w:val="00EA5727"/>
    <w:rsid w:val="00EA6177"/>
    <w:rsid w:val="00EA7BAC"/>
    <w:rsid w:val="00EB1114"/>
    <w:rsid w:val="00EB2056"/>
    <w:rsid w:val="00EB3C5D"/>
    <w:rsid w:val="00EB401F"/>
    <w:rsid w:val="00EB560E"/>
    <w:rsid w:val="00EB7E71"/>
    <w:rsid w:val="00EC0465"/>
    <w:rsid w:val="00EC1225"/>
    <w:rsid w:val="00EC179E"/>
    <w:rsid w:val="00EC199E"/>
    <w:rsid w:val="00EC228D"/>
    <w:rsid w:val="00EC3A29"/>
    <w:rsid w:val="00EC50F3"/>
    <w:rsid w:val="00EC6A4C"/>
    <w:rsid w:val="00EC6B3F"/>
    <w:rsid w:val="00EC711A"/>
    <w:rsid w:val="00EC7A42"/>
    <w:rsid w:val="00ED0D73"/>
    <w:rsid w:val="00ED20A3"/>
    <w:rsid w:val="00ED4DE7"/>
    <w:rsid w:val="00ED542F"/>
    <w:rsid w:val="00ED596E"/>
    <w:rsid w:val="00ED7B3E"/>
    <w:rsid w:val="00EE2591"/>
    <w:rsid w:val="00EE4FB2"/>
    <w:rsid w:val="00EE515C"/>
    <w:rsid w:val="00EE682E"/>
    <w:rsid w:val="00EE77D2"/>
    <w:rsid w:val="00EF041B"/>
    <w:rsid w:val="00EF06AE"/>
    <w:rsid w:val="00EF15FE"/>
    <w:rsid w:val="00EF177D"/>
    <w:rsid w:val="00EF30C3"/>
    <w:rsid w:val="00EF40FE"/>
    <w:rsid w:val="00EF4BC1"/>
    <w:rsid w:val="00EF50F5"/>
    <w:rsid w:val="00EF610C"/>
    <w:rsid w:val="00EF6872"/>
    <w:rsid w:val="00EF7293"/>
    <w:rsid w:val="00EF7345"/>
    <w:rsid w:val="00F009E6"/>
    <w:rsid w:val="00F00FA3"/>
    <w:rsid w:val="00F019FF"/>
    <w:rsid w:val="00F022A1"/>
    <w:rsid w:val="00F0257F"/>
    <w:rsid w:val="00F02D34"/>
    <w:rsid w:val="00F02E33"/>
    <w:rsid w:val="00F031CE"/>
    <w:rsid w:val="00F05B1C"/>
    <w:rsid w:val="00F073FD"/>
    <w:rsid w:val="00F107DF"/>
    <w:rsid w:val="00F10850"/>
    <w:rsid w:val="00F10E40"/>
    <w:rsid w:val="00F1110D"/>
    <w:rsid w:val="00F11921"/>
    <w:rsid w:val="00F13499"/>
    <w:rsid w:val="00F15EFF"/>
    <w:rsid w:val="00F163D1"/>
    <w:rsid w:val="00F16980"/>
    <w:rsid w:val="00F22A13"/>
    <w:rsid w:val="00F2374E"/>
    <w:rsid w:val="00F24098"/>
    <w:rsid w:val="00F25349"/>
    <w:rsid w:val="00F2538C"/>
    <w:rsid w:val="00F25A18"/>
    <w:rsid w:val="00F25B9A"/>
    <w:rsid w:val="00F268A2"/>
    <w:rsid w:val="00F31B21"/>
    <w:rsid w:val="00F31C72"/>
    <w:rsid w:val="00F31F62"/>
    <w:rsid w:val="00F32CB7"/>
    <w:rsid w:val="00F32E9E"/>
    <w:rsid w:val="00F3390F"/>
    <w:rsid w:val="00F36A7E"/>
    <w:rsid w:val="00F36CD6"/>
    <w:rsid w:val="00F41F04"/>
    <w:rsid w:val="00F42F89"/>
    <w:rsid w:val="00F446CF"/>
    <w:rsid w:val="00F470AC"/>
    <w:rsid w:val="00F47436"/>
    <w:rsid w:val="00F4763B"/>
    <w:rsid w:val="00F47782"/>
    <w:rsid w:val="00F478E8"/>
    <w:rsid w:val="00F47E5C"/>
    <w:rsid w:val="00F5071B"/>
    <w:rsid w:val="00F51A90"/>
    <w:rsid w:val="00F532E1"/>
    <w:rsid w:val="00F53953"/>
    <w:rsid w:val="00F543A6"/>
    <w:rsid w:val="00F60133"/>
    <w:rsid w:val="00F603A5"/>
    <w:rsid w:val="00F60E33"/>
    <w:rsid w:val="00F617C7"/>
    <w:rsid w:val="00F6351B"/>
    <w:rsid w:val="00F65C4E"/>
    <w:rsid w:val="00F676EC"/>
    <w:rsid w:val="00F6792A"/>
    <w:rsid w:val="00F71992"/>
    <w:rsid w:val="00F7208C"/>
    <w:rsid w:val="00F73AF5"/>
    <w:rsid w:val="00F764BC"/>
    <w:rsid w:val="00F7651D"/>
    <w:rsid w:val="00F76740"/>
    <w:rsid w:val="00F77352"/>
    <w:rsid w:val="00F77AC3"/>
    <w:rsid w:val="00F8352D"/>
    <w:rsid w:val="00F872B8"/>
    <w:rsid w:val="00F87514"/>
    <w:rsid w:val="00F93E4B"/>
    <w:rsid w:val="00F952B7"/>
    <w:rsid w:val="00F974B3"/>
    <w:rsid w:val="00F979B6"/>
    <w:rsid w:val="00FA17BB"/>
    <w:rsid w:val="00FA6756"/>
    <w:rsid w:val="00FA766E"/>
    <w:rsid w:val="00FB1AA0"/>
    <w:rsid w:val="00FB1F43"/>
    <w:rsid w:val="00FB239E"/>
    <w:rsid w:val="00FB564E"/>
    <w:rsid w:val="00FB56E4"/>
    <w:rsid w:val="00FB5CB2"/>
    <w:rsid w:val="00FB5D0D"/>
    <w:rsid w:val="00FB7F59"/>
    <w:rsid w:val="00FC0F68"/>
    <w:rsid w:val="00FC2EA1"/>
    <w:rsid w:val="00FC30B8"/>
    <w:rsid w:val="00FC3B06"/>
    <w:rsid w:val="00FC3F9D"/>
    <w:rsid w:val="00FC5BB6"/>
    <w:rsid w:val="00FC5C5F"/>
    <w:rsid w:val="00FD0BBF"/>
    <w:rsid w:val="00FD1064"/>
    <w:rsid w:val="00FD351E"/>
    <w:rsid w:val="00FD4E4A"/>
    <w:rsid w:val="00FD71ED"/>
    <w:rsid w:val="00FD78BD"/>
    <w:rsid w:val="00FE0A4A"/>
    <w:rsid w:val="00FE2163"/>
    <w:rsid w:val="00FE3844"/>
    <w:rsid w:val="00FE692E"/>
    <w:rsid w:val="00FF0289"/>
    <w:rsid w:val="00FF0629"/>
    <w:rsid w:val="00FF3A77"/>
    <w:rsid w:val="00FF40DD"/>
    <w:rsid w:val="00FF5843"/>
    <w:rsid w:val="00FF5ACC"/>
    <w:rsid w:val="00FF662E"/>
    <w:rsid w:val="00FF6688"/>
    <w:rsid w:val="00FF68C0"/>
    <w:rsid w:val="00FF7C08"/>
    <w:rsid w:val="00FF7D5D"/>
    <w:rsid w:val="013113E8"/>
    <w:rsid w:val="013435B5"/>
    <w:rsid w:val="01AB3518"/>
    <w:rsid w:val="01AE1885"/>
    <w:rsid w:val="02061BC6"/>
    <w:rsid w:val="02D82E99"/>
    <w:rsid w:val="03EB6276"/>
    <w:rsid w:val="04C74894"/>
    <w:rsid w:val="05121010"/>
    <w:rsid w:val="05493A93"/>
    <w:rsid w:val="064A6981"/>
    <w:rsid w:val="07336A41"/>
    <w:rsid w:val="081504E0"/>
    <w:rsid w:val="085E53BC"/>
    <w:rsid w:val="08B80C8B"/>
    <w:rsid w:val="08DD5D16"/>
    <w:rsid w:val="08E7621E"/>
    <w:rsid w:val="0A4C3B4A"/>
    <w:rsid w:val="0B516023"/>
    <w:rsid w:val="0C2D690B"/>
    <w:rsid w:val="0D984AC6"/>
    <w:rsid w:val="0F161A73"/>
    <w:rsid w:val="0F6079D1"/>
    <w:rsid w:val="0FEB505A"/>
    <w:rsid w:val="12AC6607"/>
    <w:rsid w:val="137513ED"/>
    <w:rsid w:val="13EE2C05"/>
    <w:rsid w:val="146C769D"/>
    <w:rsid w:val="154647E8"/>
    <w:rsid w:val="15E9679B"/>
    <w:rsid w:val="16100AA4"/>
    <w:rsid w:val="16117A8B"/>
    <w:rsid w:val="163E0CE2"/>
    <w:rsid w:val="17993D3B"/>
    <w:rsid w:val="183D76F0"/>
    <w:rsid w:val="198D6EB0"/>
    <w:rsid w:val="19B56208"/>
    <w:rsid w:val="1AAF2FC0"/>
    <w:rsid w:val="1C0C2FB3"/>
    <w:rsid w:val="1C6A545F"/>
    <w:rsid w:val="1D9733FB"/>
    <w:rsid w:val="1FA231AA"/>
    <w:rsid w:val="20CA3418"/>
    <w:rsid w:val="21276531"/>
    <w:rsid w:val="221465D9"/>
    <w:rsid w:val="227F4334"/>
    <w:rsid w:val="23056932"/>
    <w:rsid w:val="23174F72"/>
    <w:rsid w:val="232553E1"/>
    <w:rsid w:val="23584F43"/>
    <w:rsid w:val="238907D4"/>
    <w:rsid w:val="257156AC"/>
    <w:rsid w:val="26166B62"/>
    <w:rsid w:val="26330C76"/>
    <w:rsid w:val="26B93D34"/>
    <w:rsid w:val="26DE2A11"/>
    <w:rsid w:val="27D83414"/>
    <w:rsid w:val="27EB20A2"/>
    <w:rsid w:val="28507DF9"/>
    <w:rsid w:val="297B1ADE"/>
    <w:rsid w:val="29A848F2"/>
    <w:rsid w:val="29ED028D"/>
    <w:rsid w:val="2A0846A6"/>
    <w:rsid w:val="2B1C49B0"/>
    <w:rsid w:val="2C012802"/>
    <w:rsid w:val="2C053DA1"/>
    <w:rsid w:val="2DA47A44"/>
    <w:rsid w:val="2DA524ED"/>
    <w:rsid w:val="2DCF72F0"/>
    <w:rsid w:val="2DFF7F51"/>
    <w:rsid w:val="2E0510AA"/>
    <w:rsid w:val="2E877275"/>
    <w:rsid w:val="2F144DB0"/>
    <w:rsid w:val="2F5327C7"/>
    <w:rsid w:val="301E4257"/>
    <w:rsid w:val="3039260A"/>
    <w:rsid w:val="307B532F"/>
    <w:rsid w:val="308E187C"/>
    <w:rsid w:val="314719C3"/>
    <w:rsid w:val="3169743C"/>
    <w:rsid w:val="31F60BC9"/>
    <w:rsid w:val="32F53FB6"/>
    <w:rsid w:val="330C40CB"/>
    <w:rsid w:val="343B47C5"/>
    <w:rsid w:val="34676A2A"/>
    <w:rsid w:val="34EE069B"/>
    <w:rsid w:val="36506F7D"/>
    <w:rsid w:val="36815381"/>
    <w:rsid w:val="368734BA"/>
    <w:rsid w:val="36CF0013"/>
    <w:rsid w:val="384327D9"/>
    <w:rsid w:val="38A24A9E"/>
    <w:rsid w:val="38B877D8"/>
    <w:rsid w:val="393A6945"/>
    <w:rsid w:val="395E3EEA"/>
    <w:rsid w:val="39DF0664"/>
    <w:rsid w:val="3A0143A2"/>
    <w:rsid w:val="3A097E26"/>
    <w:rsid w:val="3A1C1382"/>
    <w:rsid w:val="3A204FFD"/>
    <w:rsid w:val="3A5714A2"/>
    <w:rsid w:val="3AEB7B55"/>
    <w:rsid w:val="3B3D214C"/>
    <w:rsid w:val="3BBF102C"/>
    <w:rsid w:val="3CA44055"/>
    <w:rsid w:val="3CED4597"/>
    <w:rsid w:val="3DC11ABB"/>
    <w:rsid w:val="3E371B24"/>
    <w:rsid w:val="3EDF0B0F"/>
    <w:rsid w:val="40D52DB5"/>
    <w:rsid w:val="418B7932"/>
    <w:rsid w:val="42CC1E19"/>
    <w:rsid w:val="439E2535"/>
    <w:rsid w:val="44065390"/>
    <w:rsid w:val="446324E6"/>
    <w:rsid w:val="44BB4DDC"/>
    <w:rsid w:val="44BC765A"/>
    <w:rsid w:val="44DB71A3"/>
    <w:rsid w:val="455378F6"/>
    <w:rsid w:val="45AD343E"/>
    <w:rsid w:val="462536AC"/>
    <w:rsid w:val="46452726"/>
    <w:rsid w:val="46827649"/>
    <w:rsid w:val="46EF76CA"/>
    <w:rsid w:val="46F65075"/>
    <w:rsid w:val="4793494B"/>
    <w:rsid w:val="49337FFF"/>
    <w:rsid w:val="4B3E26CF"/>
    <w:rsid w:val="4B3F0745"/>
    <w:rsid w:val="4BB122EE"/>
    <w:rsid w:val="4BE8152B"/>
    <w:rsid w:val="4CE76320"/>
    <w:rsid w:val="4D4434DF"/>
    <w:rsid w:val="4D6470AD"/>
    <w:rsid w:val="4E197078"/>
    <w:rsid w:val="4F030912"/>
    <w:rsid w:val="4F130F69"/>
    <w:rsid w:val="4F5732BD"/>
    <w:rsid w:val="4F671004"/>
    <w:rsid w:val="4FF80178"/>
    <w:rsid w:val="503C7C44"/>
    <w:rsid w:val="51FC6025"/>
    <w:rsid w:val="52420A6F"/>
    <w:rsid w:val="526769BC"/>
    <w:rsid w:val="544C4D8E"/>
    <w:rsid w:val="55556352"/>
    <w:rsid w:val="564F42B8"/>
    <w:rsid w:val="577B1CB8"/>
    <w:rsid w:val="57FB49CA"/>
    <w:rsid w:val="582D2BD1"/>
    <w:rsid w:val="593C4197"/>
    <w:rsid w:val="5B9A7AA8"/>
    <w:rsid w:val="5BCE57B7"/>
    <w:rsid w:val="5D574434"/>
    <w:rsid w:val="5D901FF3"/>
    <w:rsid w:val="5DE97C11"/>
    <w:rsid w:val="5E7B7A68"/>
    <w:rsid w:val="60834FED"/>
    <w:rsid w:val="60BA73B8"/>
    <w:rsid w:val="611610FD"/>
    <w:rsid w:val="61714EC7"/>
    <w:rsid w:val="62596FE2"/>
    <w:rsid w:val="62A41D6A"/>
    <w:rsid w:val="64731F01"/>
    <w:rsid w:val="64D70A05"/>
    <w:rsid w:val="64F53B4D"/>
    <w:rsid w:val="65E213F5"/>
    <w:rsid w:val="66AD3DEF"/>
    <w:rsid w:val="67612AEB"/>
    <w:rsid w:val="683D0754"/>
    <w:rsid w:val="6A9A0832"/>
    <w:rsid w:val="6ADD5B53"/>
    <w:rsid w:val="6BA602F0"/>
    <w:rsid w:val="6BF53577"/>
    <w:rsid w:val="6C235C6E"/>
    <w:rsid w:val="6C452B7D"/>
    <w:rsid w:val="6D272E21"/>
    <w:rsid w:val="6D450D52"/>
    <w:rsid w:val="6EF73260"/>
    <w:rsid w:val="6F245284"/>
    <w:rsid w:val="6F2C38BE"/>
    <w:rsid w:val="6F4C7B1A"/>
    <w:rsid w:val="6FDB11F4"/>
    <w:rsid w:val="709C6023"/>
    <w:rsid w:val="70F46311"/>
    <w:rsid w:val="71710CA2"/>
    <w:rsid w:val="71755109"/>
    <w:rsid w:val="71771825"/>
    <w:rsid w:val="71A8760B"/>
    <w:rsid w:val="71E511AB"/>
    <w:rsid w:val="72526EDC"/>
    <w:rsid w:val="727257A6"/>
    <w:rsid w:val="72760768"/>
    <w:rsid w:val="73572EAE"/>
    <w:rsid w:val="73994C05"/>
    <w:rsid w:val="74060F79"/>
    <w:rsid w:val="75774E55"/>
    <w:rsid w:val="759C0507"/>
    <w:rsid w:val="75A52113"/>
    <w:rsid w:val="77445A35"/>
    <w:rsid w:val="79376E11"/>
    <w:rsid w:val="79B77D49"/>
    <w:rsid w:val="79CE5FEF"/>
    <w:rsid w:val="7A165BD9"/>
    <w:rsid w:val="7A412AB0"/>
    <w:rsid w:val="7A5A261B"/>
    <w:rsid w:val="7B821BC4"/>
    <w:rsid w:val="7BF12354"/>
    <w:rsid w:val="7C58632B"/>
    <w:rsid w:val="7C9F4C4A"/>
    <w:rsid w:val="7E4A5A32"/>
    <w:rsid w:val="7EE52354"/>
    <w:rsid w:val="7F4219EB"/>
    <w:rsid w:val="7FC1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83"/>
    <w:autoRedefine/>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5">
    <w:name w:val="heading 2"/>
    <w:basedOn w:val="1"/>
    <w:next w:val="6"/>
    <w:link w:val="84"/>
    <w:autoRedefine/>
    <w:qFormat/>
    <w:uiPriority w:val="0"/>
    <w:pPr>
      <w:keepNext/>
      <w:keepLines/>
      <w:spacing w:before="120" w:after="120"/>
      <w:jc w:val="left"/>
      <w:outlineLvl w:val="1"/>
    </w:pPr>
    <w:rPr>
      <w:rFonts w:ascii="宋体" w:hAnsi="宋体"/>
      <w:b/>
      <w:szCs w:val="24"/>
    </w:rPr>
  </w:style>
  <w:style w:type="paragraph" w:styleId="7">
    <w:name w:val="heading 3"/>
    <w:basedOn w:val="1"/>
    <w:next w:val="8"/>
    <w:link w:val="85"/>
    <w:autoRedefine/>
    <w:qFormat/>
    <w:uiPriority w:val="0"/>
    <w:pPr>
      <w:keepNext/>
      <w:keepLines/>
      <w:shd w:val="clear" w:color="auto" w:fill="FFFFFF"/>
      <w:wordWrap w:val="0"/>
      <w:spacing w:line="390" w:lineRule="atLeast"/>
      <w:outlineLvl w:val="2"/>
    </w:pPr>
    <w:rPr>
      <w:rFonts w:ascii="宋体" w:hAnsi="宋体"/>
      <w:b/>
      <w:szCs w:val="21"/>
    </w:rPr>
  </w:style>
  <w:style w:type="paragraph" w:styleId="9">
    <w:name w:val="heading 4"/>
    <w:basedOn w:val="1"/>
    <w:next w:val="10"/>
    <w:link w:val="82"/>
    <w:autoRedefine/>
    <w:qFormat/>
    <w:uiPriority w:val="0"/>
    <w:pPr>
      <w:keepNext/>
      <w:keepLines/>
      <w:spacing w:before="120" w:after="120"/>
      <w:outlineLvl w:val="3"/>
    </w:pPr>
    <w:rPr>
      <w:rFonts w:ascii="Arial" w:hAnsi="Arial" w:eastAsia="黑体"/>
      <w:b/>
      <w:sz w:val="28"/>
    </w:rPr>
  </w:style>
  <w:style w:type="paragraph" w:styleId="11">
    <w:name w:val="heading 5"/>
    <w:basedOn w:val="1"/>
    <w:next w:val="8"/>
    <w:link w:val="86"/>
    <w:autoRedefine/>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12">
    <w:name w:val="heading 6"/>
    <w:basedOn w:val="1"/>
    <w:next w:val="1"/>
    <w:link w:val="87"/>
    <w:autoRedefine/>
    <w:qFormat/>
    <w:uiPriority w:val="0"/>
    <w:pPr>
      <w:keepNext/>
      <w:keepLines/>
      <w:spacing w:before="240" w:after="64" w:line="320" w:lineRule="auto"/>
      <w:outlineLvl w:val="5"/>
    </w:pPr>
    <w:rPr>
      <w:rFonts w:ascii="Arial" w:hAnsi="Arial" w:eastAsia="黑体"/>
      <w:b/>
      <w:bCs/>
      <w:sz w:val="24"/>
      <w:szCs w:val="24"/>
    </w:rPr>
  </w:style>
  <w:style w:type="paragraph" w:styleId="13">
    <w:name w:val="heading 7"/>
    <w:basedOn w:val="1"/>
    <w:next w:val="1"/>
    <w:link w:val="88"/>
    <w:autoRedefine/>
    <w:qFormat/>
    <w:uiPriority w:val="0"/>
    <w:pPr>
      <w:keepNext/>
      <w:keepLines/>
      <w:spacing w:before="240" w:after="64" w:line="320" w:lineRule="auto"/>
      <w:outlineLvl w:val="6"/>
    </w:pPr>
    <w:rPr>
      <w:b/>
      <w:bCs/>
      <w:sz w:val="24"/>
      <w:szCs w:val="24"/>
    </w:rPr>
  </w:style>
  <w:style w:type="paragraph" w:styleId="14">
    <w:name w:val="heading 8"/>
    <w:basedOn w:val="1"/>
    <w:next w:val="1"/>
    <w:link w:val="89"/>
    <w:autoRedefine/>
    <w:qFormat/>
    <w:uiPriority w:val="0"/>
    <w:pPr>
      <w:keepNext/>
      <w:keepLines/>
      <w:spacing w:before="240" w:after="64" w:line="320" w:lineRule="auto"/>
      <w:outlineLvl w:val="7"/>
    </w:pPr>
    <w:rPr>
      <w:rFonts w:ascii="Arial" w:hAnsi="Arial" w:eastAsia="黑体"/>
      <w:sz w:val="24"/>
      <w:szCs w:val="24"/>
    </w:rPr>
  </w:style>
  <w:style w:type="paragraph" w:styleId="15">
    <w:name w:val="heading 9"/>
    <w:basedOn w:val="1"/>
    <w:next w:val="1"/>
    <w:link w:val="90"/>
    <w:autoRedefine/>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1"/>
    <w:link w:val="93"/>
    <w:autoRedefine/>
    <w:qFormat/>
    <w:uiPriority w:val="0"/>
    <w:pPr>
      <w:ind w:firstLine="645"/>
    </w:pPr>
    <w:rPr>
      <w:rFonts w:ascii="楷体_GB2312" w:eastAsia="楷体_GB2312"/>
      <w:sz w:val="32"/>
    </w:rPr>
  </w:style>
  <w:style w:type="paragraph" w:customStyle="1" w:styleId="6">
    <w:name w:val="正文首行缩进2字符"/>
    <w:basedOn w:val="1"/>
    <w:autoRedefine/>
    <w:qFormat/>
    <w:uiPriority w:val="0"/>
    <w:pPr>
      <w:widowControl/>
      <w:adjustRightInd w:val="0"/>
    </w:pPr>
  </w:style>
  <w:style w:type="paragraph" w:styleId="8">
    <w:name w:val="Normal Indent"/>
    <w:basedOn w:val="1"/>
    <w:autoRedefine/>
    <w:qFormat/>
    <w:uiPriority w:val="0"/>
    <w:pPr>
      <w:ind w:firstLine="420"/>
    </w:pPr>
  </w:style>
  <w:style w:type="paragraph" w:customStyle="1" w:styleId="10">
    <w:name w:val="正文首缩两字"/>
    <w:basedOn w:val="1"/>
    <w:autoRedefine/>
    <w:qFormat/>
    <w:uiPriority w:val="0"/>
    <w:pPr>
      <w:spacing w:afterLines="30" w:line="360" w:lineRule="auto"/>
      <w:ind w:left="210" w:right="210" w:firstLine="480" w:firstLineChars="200"/>
      <w:jc w:val="left"/>
    </w:pPr>
    <w:rPr>
      <w:rFonts w:ascii="宋体" w:hAnsi="宋体" w:eastAsia="仿宋_GB2312"/>
      <w:kern w:val="0"/>
      <w:sz w:val="24"/>
    </w:rPr>
  </w:style>
  <w:style w:type="paragraph" w:styleId="16">
    <w:name w:val="List 3"/>
    <w:basedOn w:val="1"/>
    <w:autoRedefine/>
    <w:qFormat/>
    <w:uiPriority w:val="0"/>
    <w:pPr>
      <w:ind w:left="1260" w:hanging="420"/>
    </w:pPr>
  </w:style>
  <w:style w:type="paragraph" w:styleId="17">
    <w:name w:val="toc 7"/>
    <w:basedOn w:val="1"/>
    <w:next w:val="1"/>
    <w:autoRedefine/>
    <w:semiHidden/>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semiHidden/>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semiHidden/>
    <w:qFormat/>
    <w:uiPriority w:val="0"/>
    <w:pPr>
      <w:ind w:left="1680"/>
    </w:pPr>
  </w:style>
  <w:style w:type="paragraph" w:styleId="22">
    <w:name w:val="Document Map"/>
    <w:basedOn w:val="1"/>
    <w:link w:val="91"/>
    <w:autoRedefine/>
    <w:semiHidden/>
    <w:qFormat/>
    <w:uiPriority w:val="0"/>
    <w:pPr>
      <w:shd w:val="clear" w:color="auto" w:fill="000080"/>
    </w:pPr>
  </w:style>
  <w:style w:type="paragraph" w:styleId="23">
    <w:name w:val="annotation text"/>
    <w:basedOn w:val="1"/>
    <w:link w:val="92"/>
    <w:autoRedefine/>
    <w:qFormat/>
    <w:uiPriority w:val="99"/>
    <w:pPr>
      <w:jc w:val="left"/>
    </w:pPr>
  </w:style>
  <w:style w:type="paragraph" w:styleId="24">
    <w:name w:val="index 6"/>
    <w:basedOn w:val="1"/>
    <w:next w:val="1"/>
    <w:autoRedefine/>
    <w:semiHidden/>
    <w:qFormat/>
    <w:uiPriority w:val="0"/>
    <w:pPr>
      <w:ind w:left="2100"/>
    </w:pPr>
  </w:style>
  <w:style w:type="paragraph" w:styleId="25">
    <w:name w:val="Salutation"/>
    <w:basedOn w:val="1"/>
    <w:next w:val="1"/>
    <w:autoRedefine/>
    <w:qFormat/>
    <w:uiPriority w:val="0"/>
    <w:rPr>
      <w:rFonts w:ascii="仿宋_GB2312" w:eastAsia="仿宋_GB2312"/>
      <w:sz w:val="28"/>
    </w:rPr>
  </w:style>
  <w:style w:type="paragraph" w:styleId="26">
    <w:name w:val="Body Text 3"/>
    <w:basedOn w:val="1"/>
    <w:autoRedefine/>
    <w:qFormat/>
    <w:uiPriority w:val="0"/>
    <w:rPr>
      <w:rFonts w:ascii="仿宋_GB2312" w:hAnsi="Arial" w:eastAsia="仿宋_GB2312"/>
      <w:sz w:val="32"/>
    </w:rPr>
  </w:style>
  <w:style w:type="paragraph" w:styleId="27">
    <w:name w:val="Body Text"/>
    <w:basedOn w:val="1"/>
    <w:next w:val="1"/>
    <w:autoRedefine/>
    <w:qFormat/>
    <w:uiPriority w:val="0"/>
    <w:rPr>
      <w:rFonts w:ascii="楷体_GB2312" w:hAnsi="Arial" w:eastAsia="楷体_GB2312"/>
      <w:sz w:val="28"/>
    </w:rPr>
  </w:style>
  <w:style w:type="paragraph" w:styleId="28">
    <w:name w:val="index 4"/>
    <w:basedOn w:val="1"/>
    <w:next w:val="1"/>
    <w:autoRedefine/>
    <w:semiHidden/>
    <w:qFormat/>
    <w:uiPriority w:val="0"/>
    <w:pPr>
      <w:ind w:left="1260"/>
    </w:pPr>
  </w:style>
  <w:style w:type="paragraph" w:styleId="29">
    <w:name w:val="toc 5"/>
    <w:basedOn w:val="1"/>
    <w:next w:val="1"/>
    <w:autoRedefine/>
    <w:semiHidden/>
    <w:qFormat/>
    <w:uiPriority w:val="0"/>
    <w:pPr>
      <w:ind w:left="840"/>
      <w:jc w:val="left"/>
    </w:pPr>
    <w:rPr>
      <w:sz w:val="18"/>
    </w:rPr>
  </w:style>
  <w:style w:type="paragraph" w:styleId="30">
    <w:name w:val="toc 3"/>
    <w:basedOn w:val="1"/>
    <w:next w:val="1"/>
    <w:autoRedefine/>
    <w:semiHidden/>
    <w:qFormat/>
    <w:uiPriority w:val="0"/>
    <w:pPr>
      <w:ind w:left="420"/>
      <w:jc w:val="left"/>
    </w:pPr>
    <w:rPr>
      <w:i/>
      <w:sz w:val="20"/>
    </w:rPr>
  </w:style>
  <w:style w:type="paragraph" w:styleId="31">
    <w:name w:val="Plain Text"/>
    <w:basedOn w:val="1"/>
    <w:link w:val="94"/>
    <w:autoRedefine/>
    <w:qFormat/>
    <w:uiPriority w:val="0"/>
    <w:rPr>
      <w:rFonts w:ascii="宋体" w:hAnsi="Courier New"/>
    </w:rPr>
  </w:style>
  <w:style w:type="paragraph" w:styleId="32">
    <w:name w:val="toc 8"/>
    <w:basedOn w:val="1"/>
    <w:next w:val="1"/>
    <w:autoRedefine/>
    <w:semiHidden/>
    <w:qFormat/>
    <w:uiPriority w:val="0"/>
    <w:pPr>
      <w:ind w:left="1470"/>
      <w:jc w:val="left"/>
    </w:pPr>
    <w:rPr>
      <w:sz w:val="18"/>
    </w:rPr>
  </w:style>
  <w:style w:type="paragraph" w:styleId="33">
    <w:name w:val="index 3"/>
    <w:basedOn w:val="1"/>
    <w:next w:val="1"/>
    <w:autoRedefine/>
    <w:semiHidden/>
    <w:qFormat/>
    <w:uiPriority w:val="0"/>
    <w:pPr>
      <w:ind w:left="840"/>
    </w:pPr>
  </w:style>
  <w:style w:type="paragraph" w:styleId="34">
    <w:name w:val="Date"/>
    <w:basedOn w:val="1"/>
    <w:next w:val="1"/>
    <w:autoRedefine/>
    <w:qFormat/>
    <w:uiPriority w:val="0"/>
    <w:pPr>
      <w:ind w:left="100" w:leftChars="2500"/>
    </w:pPr>
    <w:rPr>
      <w:sz w:val="28"/>
    </w:rPr>
  </w:style>
  <w:style w:type="paragraph" w:styleId="35">
    <w:name w:val="Body Text Indent 2"/>
    <w:basedOn w:val="1"/>
    <w:link w:val="95"/>
    <w:autoRedefine/>
    <w:qFormat/>
    <w:uiPriority w:val="0"/>
    <w:pPr>
      <w:ind w:left="630" w:firstLine="645"/>
    </w:pPr>
    <w:rPr>
      <w:rFonts w:ascii="Arial" w:hAnsi="Arial" w:eastAsia="仿宋_GB2312"/>
      <w:sz w:val="32"/>
    </w:rPr>
  </w:style>
  <w:style w:type="paragraph" w:styleId="36">
    <w:name w:val="endnote text"/>
    <w:basedOn w:val="1"/>
    <w:autoRedefine/>
    <w:qFormat/>
    <w:uiPriority w:val="0"/>
    <w:pPr>
      <w:snapToGrid w:val="0"/>
      <w:jc w:val="left"/>
    </w:pPr>
    <w:rPr>
      <w:kern w:val="0"/>
      <w:sz w:val="20"/>
      <w:szCs w:val="24"/>
    </w:rPr>
  </w:style>
  <w:style w:type="paragraph" w:styleId="37">
    <w:name w:val="Balloon Text"/>
    <w:basedOn w:val="1"/>
    <w:autoRedefine/>
    <w:semiHidden/>
    <w:qFormat/>
    <w:uiPriority w:val="0"/>
    <w:rPr>
      <w:sz w:val="18"/>
      <w:szCs w:val="18"/>
    </w:rPr>
  </w:style>
  <w:style w:type="paragraph" w:styleId="38">
    <w:name w:val="footer"/>
    <w:basedOn w:val="1"/>
    <w:link w:val="96"/>
    <w:autoRedefine/>
    <w:qFormat/>
    <w:uiPriority w:val="0"/>
    <w:pPr>
      <w:tabs>
        <w:tab w:val="center" w:pos="4153"/>
        <w:tab w:val="right" w:pos="8306"/>
      </w:tabs>
      <w:snapToGrid w:val="0"/>
      <w:jc w:val="left"/>
    </w:pPr>
    <w:rPr>
      <w:sz w:val="18"/>
    </w:rPr>
  </w:style>
  <w:style w:type="paragraph" w:styleId="39">
    <w:name w:val="envelope return"/>
    <w:basedOn w:val="1"/>
    <w:autoRedefine/>
    <w:qFormat/>
    <w:uiPriority w:val="0"/>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1">
    <w:name w:val="Signature"/>
    <w:basedOn w:val="1"/>
    <w:autoRedefine/>
    <w:qFormat/>
    <w:uiPriority w:val="0"/>
    <w:pPr>
      <w:adjustRightInd w:val="0"/>
      <w:spacing w:after="600" w:line="312" w:lineRule="atLeast"/>
      <w:jc w:val="center"/>
      <w:textAlignment w:val="baseline"/>
    </w:pPr>
    <w:rPr>
      <w:rFonts w:eastAsia="仿宋_GB2312"/>
      <w:kern w:val="0"/>
      <w:sz w:val="24"/>
    </w:rPr>
  </w:style>
  <w:style w:type="paragraph" w:styleId="42">
    <w:name w:val="toc 1"/>
    <w:basedOn w:val="1"/>
    <w:next w:val="1"/>
    <w:autoRedefine/>
    <w:semiHidden/>
    <w:qFormat/>
    <w:uiPriority w:val="0"/>
    <w:pPr>
      <w:spacing w:before="120" w:after="120"/>
      <w:jc w:val="left"/>
    </w:pPr>
    <w:rPr>
      <w:b/>
      <w:caps/>
      <w:sz w:val="20"/>
    </w:rPr>
  </w:style>
  <w:style w:type="paragraph" w:styleId="43">
    <w:name w:val="toc 4"/>
    <w:basedOn w:val="1"/>
    <w:next w:val="1"/>
    <w:autoRedefine/>
    <w:semiHidden/>
    <w:qFormat/>
    <w:uiPriority w:val="0"/>
    <w:pPr>
      <w:ind w:left="630"/>
      <w:jc w:val="left"/>
    </w:pPr>
    <w:rPr>
      <w:sz w:val="18"/>
    </w:rPr>
  </w:style>
  <w:style w:type="paragraph" w:styleId="44">
    <w:name w:val="index heading"/>
    <w:basedOn w:val="1"/>
    <w:next w:val="45"/>
    <w:autoRedefine/>
    <w:semiHidden/>
    <w:qFormat/>
    <w:uiPriority w:val="0"/>
  </w:style>
  <w:style w:type="paragraph" w:styleId="45">
    <w:name w:val="index 1"/>
    <w:basedOn w:val="1"/>
    <w:next w:val="1"/>
    <w:autoRedefine/>
    <w:semiHidden/>
    <w:qFormat/>
    <w:uiPriority w:val="0"/>
    <w:rPr>
      <w:rFonts w:ascii="仿宋_GB2312" w:hAnsi="宋体" w:eastAsia="仿宋_GB2312"/>
      <w:sz w:val="30"/>
      <w:szCs w:val="24"/>
    </w:rPr>
  </w:style>
  <w:style w:type="paragraph" w:styleId="46">
    <w:name w:val="Subtitle"/>
    <w:basedOn w:val="1"/>
    <w:next w:val="1"/>
    <w:autoRedefine/>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7">
    <w:name w:val="footnote text"/>
    <w:basedOn w:val="1"/>
    <w:autoRedefine/>
    <w:qFormat/>
    <w:uiPriority w:val="0"/>
    <w:pPr>
      <w:snapToGrid w:val="0"/>
      <w:jc w:val="left"/>
    </w:pPr>
    <w:rPr>
      <w:sz w:val="18"/>
      <w:szCs w:val="18"/>
    </w:rPr>
  </w:style>
  <w:style w:type="paragraph" w:styleId="48">
    <w:name w:val="toc 6"/>
    <w:basedOn w:val="1"/>
    <w:next w:val="1"/>
    <w:autoRedefine/>
    <w:semiHidden/>
    <w:qFormat/>
    <w:uiPriority w:val="0"/>
    <w:pPr>
      <w:ind w:left="1050"/>
      <w:jc w:val="left"/>
    </w:pPr>
    <w:rPr>
      <w:sz w:val="18"/>
    </w:rPr>
  </w:style>
  <w:style w:type="paragraph" w:styleId="49">
    <w:name w:val="Body Text Indent 3"/>
    <w:basedOn w:val="1"/>
    <w:link w:val="97"/>
    <w:autoRedefine/>
    <w:qFormat/>
    <w:uiPriority w:val="0"/>
    <w:pPr>
      <w:ind w:left="645" w:firstLine="645"/>
    </w:pPr>
    <w:rPr>
      <w:rFonts w:ascii="Arial" w:hAnsi="Arial" w:eastAsia="仿宋_GB2312"/>
      <w:color w:val="FFFF00"/>
      <w:sz w:val="32"/>
    </w:rPr>
  </w:style>
  <w:style w:type="paragraph" w:styleId="50">
    <w:name w:val="index 7"/>
    <w:basedOn w:val="1"/>
    <w:next w:val="1"/>
    <w:autoRedefine/>
    <w:semiHidden/>
    <w:qFormat/>
    <w:uiPriority w:val="0"/>
    <w:pPr>
      <w:ind w:left="2520"/>
    </w:pPr>
  </w:style>
  <w:style w:type="paragraph" w:styleId="51">
    <w:name w:val="index 9"/>
    <w:basedOn w:val="1"/>
    <w:next w:val="1"/>
    <w:autoRedefine/>
    <w:semiHidden/>
    <w:qFormat/>
    <w:uiPriority w:val="0"/>
    <w:pPr>
      <w:ind w:left="3360"/>
    </w:pPr>
  </w:style>
  <w:style w:type="paragraph" w:styleId="52">
    <w:name w:val="table of figures"/>
    <w:basedOn w:val="1"/>
    <w:next w:val="1"/>
    <w:autoRedefine/>
    <w:semiHidden/>
    <w:qFormat/>
    <w:uiPriority w:val="0"/>
    <w:pPr>
      <w:ind w:left="840" w:hanging="420"/>
    </w:pPr>
  </w:style>
  <w:style w:type="paragraph" w:styleId="53">
    <w:name w:val="toc 2"/>
    <w:basedOn w:val="1"/>
    <w:next w:val="1"/>
    <w:autoRedefine/>
    <w:semiHidden/>
    <w:qFormat/>
    <w:uiPriority w:val="0"/>
    <w:pPr>
      <w:ind w:left="210"/>
      <w:jc w:val="left"/>
    </w:pPr>
    <w:rPr>
      <w:smallCaps/>
      <w:sz w:val="20"/>
    </w:rPr>
  </w:style>
  <w:style w:type="paragraph" w:styleId="54">
    <w:name w:val="toc 9"/>
    <w:basedOn w:val="1"/>
    <w:next w:val="1"/>
    <w:autoRedefine/>
    <w:semiHidden/>
    <w:qFormat/>
    <w:uiPriority w:val="0"/>
    <w:pPr>
      <w:ind w:left="1680"/>
      <w:jc w:val="left"/>
    </w:pPr>
    <w:rPr>
      <w:sz w:val="18"/>
    </w:rPr>
  </w:style>
  <w:style w:type="paragraph" w:styleId="55">
    <w:name w:val="Body Text 2"/>
    <w:basedOn w:val="1"/>
    <w:autoRedefine/>
    <w:qFormat/>
    <w:uiPriority w:val="0"/>
    <w:pPr>
      <w:widowControl/>
      <w:jc w:val="center"/>
    </w:pPr>
    <w:rPr>
      <w:rFonts w:ascii="楷体_GB2312" w:eastAsia="楷体_GB2312"/>
      <w:sz w:val="28"/>
    </w:rPr>
  </w:style>
  <w:style w:type="paragraph" w:styleId="56">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7">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autoRedefine/>
    <w:semiHidden/>
    <w:qFormat/>
    <w:uiPriority w:val="0"/>
    <w:pPr>
      <w:ind w:left="420"/>
    </w:pPr>
  </w:style>
  <w:style w:type="paragraph" w:styleId="59">
    <w:name w:val="Title"/>
    <w:basedOn w:val="1"/>
    <w:link w:val="99"/>
    <w:autoRedefine/>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60">
    <w:name w:val="annotation subject"/>
    <w:basedOn w:val="23"/>
    <w:next w:val="23"/>
    <w:link w:val="100"/>
    <w:autoRedefine/>
    <w:semiHidden/>
    <w:qFormat/>
    <w:uiPriority w:val="0"/>
    <w:rPr>
      <w:b/>
      <w:bCs/>
    </w:rPr>
  </w:style>
  <w:style w:type="paragraph" w:styleId="61">
    <w:name w:val="Body Text First Indent"/>
    <w:basedOn w:val="27"/>
    <w:autoRedefine/>
    <w:qFormat/>
    <w:uiPriority w:val="0"/>
    <w:pPr>
      <w:spacing w:after="120"/>
      <w:ind w:firstLine="420" w:firstLineChars="100"/>
    </w:pPr>
    <w:rPr>
      <w:rFonts w:ascii="Times New Roman" w:hAnsi="Times New Roman" w:eastAsia="宋体"/>
      <w:sz w:val="21"/>
      <w:szCs w:val="24"/>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65">
    <w:name w:val="Strong"/>
    <w:autoRedefine/>
    <w:qFormat/>
    <w:uiPriority w:val="0"/>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0"/>
    <w:rPr>
      <w:color w:val="800080"/>
      <w:u w:val="none"/>
    </w:rPr>
  </w:style>
  <w:style w:type="character" w:styleId="69">
    <w:name w:val="Emphasis"/>
    <w:autoRedefine/>
    <w:qFormat/>
    <w:uiPriority w:val="0"/>
    <w:rPr>
      <w:b/>
      <w:bCs/>
      <w:i/>
      <w:iCs/>
      <w:spacing w:val="10"/>
      <w:shd w:val="clear" w:color="auto" w:fill="auto"/>
    </w:rPr>
  </w:style>
  <w:style w:type="character" w:styleId="70">
    <w:name w:val="line number"/>
    <w:autoRedefine/>
    <w:qFormat/>
    <w:uiPriority w:val="0"/>
  </w:style>
  <w:style w:type="character" w:styleId="71">
    <w:name w:val="HTML Typewriter"/>
    <w:autoRedefine/>
    <w:qFormat/>
    <w:uiPriority w:val="0"/>
    <w:rPr>
      <w:rFonts w:ascii="宋体" w:hAnsi="宋体" w:eastAsia="宋体" w:cs="宋体"/>
      <w:sz w:val="24"/>
      <w:szCs w:val="24"/>
    </w:rPr>
  </w:style>
  <w:style w:type="character" w:styleId="72">
    <w:name w:val="HTML Acronym"/>
    <w:autoRedefine/>
    <w:qFormat/>
    <w:uiPriority w:val="0"/>
  </w:style>
  <w:style w:type="character" w:styleId="73">
    <w:name w:val="Hyperlink"/>
    <w:basedOn w:val="64"/>
    <w:autoRedefine/>
    <w:qFormat/>
    <w:uiPriority w:val="0"/>
    <w:rPr>
      <w:color w:val="0000FF"/>
      <w:u w:val="none"/>
    </w:rPr>
  </w:style>
  <w:style w:type="character" w:styleId="74">
    <w:name w:val="HTML Code"/>
    <w:autoRedefine/>
    <w:qFormat/>
    <w:uiPriority w:val="0"/>
    <w:rPr>
      <w:rFonts w:hint="default" w:ascii="monospace" w:hAnsi="monospace" w:eastAsia="monospace" w:cs="monospace"/>
      <w:sz w:val="20"/>
    </w:rPr>
  </w:style>
  <w:style w:type="character" w:styleId="75">
    <w:name w:val="annotation reference"/>
    <w:autoRedefine/>
    <w:qFormat/>
    <w:uiPriority w:val="0"/>
    <w:rPr>
      <w:sz w:val="21"/>
    </w:rPr>
  </w:style>
  <w:style w:type="character" w:styleId="76">
    <w:name w:val="footnote reference"/>
    <w:autoRedefine/>
    <w:qFormat/>
    <w:uiPriority w:val="0"/>
    <w:rPr>
      <w:vertAlign w:val="superscript"/>
    </w:rPr>
  </w:style>
  <w:style w:type="character" w:styleId="77">
    <w:name w:val="HTML Keyboard"/>
    <w:autoRedefine/>
    <w:qFormat/>
    <w:uiPriority w:val="0"/>
    <w:rPr>
      <w:rFonts w:hint="default" w:ascii="monospace" w:hAnsi="monospace" w:eastAsia="monospace" w:cs="monospace"/>
      <w:sz w:val="20"/>
    </w:rPr>
  </w:style>
  <w:style w:type="character" w:styleId="78">
    <w:name w:val="HTML Sample"/>
    <w:autoRedefine/>
    <w:qFormat/>
    <w:uiPriority w:val="0"/>
    <w:rPr>
      <w:rFonts w:ascii="Courier New" w:hAnsi="宋体" w:eastAsia="宋体" w:cs="Courier New"/>
    </w:rPr>
  </w:style>
  <w:style w:type="paragraph" w:customStyle="1" w:styleId="79">
    <w:name w:val="BodyText"/>
    <w:basedOn w:val="1"/>
    <w:autoRedefine/>
    <w:qFormat/>
    <w:uiPriority w:val="0"/>
    <w:pPr>
      <w:spacing w:line="500" w:lineRule="exact"/>
    </w:pPr>
    <w:rPr>
      <w:rFonts w:ascii="Calibri" w:hAnsi="Calibri" w:eastAsia="楷体_GB2312"/>
      <w:kern w:val="0"/>
      <w:sz w:val="30"/>
      <w:szCs w:val="30"/>
    </w:rPr>
  </w:style>
  <w:style w:type="paragraph" w:customStyle="1" w:styleId="80">
    <w:name w:val="默认段落字体 Para Char Char Char Char Char Char Char"/>
    <w:basedOn w:val="1"/>
    <w:autoRedefine/>
    <w:qFormat/>
    <w:uiPriority w:val="0"/>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2">
    <w:name w:val="标题 4 字符"/>
    <w:link w:val="9"/>
    <w:autoRedefine/>
    <w:qFormat/>
    <w:uiPriority w:val="0"/>
    <w:rPr>
      <w:rFonts w:ascii="Arial" w:hAnsi="Arial" w:eastAsia="黑体"/>
      <w:b/>
      <w:kern w:val="2"/>
      <w:sz w:val="28"/>
      <w:lang w:val="en-US" w:eastAsia="zh-CN" w:bidi="ar-SA"/>
    </w:rPr>
  </w:style>
  <w:style w:type="character" w:customStyle="1" w:styleId="83">
    <w:name w:val="标题 1 字符"/>
    <w:link w:val="4"/>
    <w:autoRedefine/>
    <w:qFormat/>
    <w:uiPriority w:val="0"/>
    <w:rPr>
      <w:rFonts w:ascii="黑体" w:eastAsia="黑体"/>
      <w:b/>
      <w:kern w:val="44"/>
      <w:sz w:val="24"/>
      <w:szCs w:val="28"/>
      <w:lang w:val="en-US" w:eastAsia="zh-CN" w:bidi="ar-SA"/>
    </w:rPr>
  </w:style>
  <w:style w:type="character" w:customStyle="1" w:styleId="84">
    <w:name w:val="标题 2 字符"/>
    <w:link w:val="5"/>
    <w:autoRedefine/>
    <w:qFormat/>
    <w:uiPriority w:val="0"/>
    <w:rPr>
      <w:rFonts w:ascii="宋体" w:hAnsi="宋体" w:eastAsia="宋体"/>
      <w:b/>
      <w:kern w:val="2"/>
      <w:sz w:val="21"/>
      <w:szCs w:val="24"/>
      <w:lang w:val="en-US" w:eastAsia="zh-CN" w:bidi="ar-SA"/>
    </w:rPr>
  </w:style>
  <w:style w:type="character" w:customStyle="1" w:styleId="85">
    <w:name w:val="标题 3 字符"/>
    <w:link w:val="7"/>
    <w:autoRedefine/>
    <w:qFormat/>
    <w:uiPriority w:val="0"/>
    <w:rPr>
      <w:rFonts w:ascii="宋体" w:hAnsi="宋体" w:eastAsia="宋体"/>
      <w:b/>
      <w:kern w:val="2"/>
      <w:sz w:val="21"/>
      <w:szCs w:val="21"/>
      <w:shd w:val="clear" w:color="auto" w:fill="FFFFFF"/>
    </w:rPr>
  </w:style>
  <w:style w:type="character" w:customStyle="1" w:styleId="86">
    <w:name w:val="标题 5 字符"/>
    <w:link w:val="11"/>
    <w:autoRedefine/>
    <w:qFormat/>
    <w:uiPriority w:val="0"/>
    <w:rPr>
      <w:rFonts w:ascii="黑体" w:eastAsia="黑体"/>
      <w:b/>
      <w:color w:val="000000"/>
      <w:sz w:val="28"/>
      <w:lang w:val="en-US" w:eastAsia="zh-CN" w:bidi="ar-SA"/>
    </w:rPr>
  </w:style>
  <w:style w:type="character" w:customStyle="1" w:styleId="87">
    <w:name w:val="标题 6 字符"/>
    <w:link w:val="12"/>
    <w:autoRedefine/>
    <w:qFormat/>
    <w:uiPriority w:val="0"/>
    <w:rPr>
      <w:rFonts w:ascii="Arial" w:hAnsi="Arial" w:eastAsia="黑体"/>
      <w:b/>
      <w:bCs/>
      <w:kern w:val="2"/>
      <w:sz w:val="24"/>
      <w:szCs w:val="24"/>
      <w:lang w:val="en-US" w:eastAsia="zh-CN" w:bidi="ar-SA"/>
    </w:rPr>
  </w:style>
  <w:style w:type="character" w:customStyle="1" w:styleId="88">
    <w:name w:val="标题 7 字符"/>
    <w:link w:val="13"/>
    <w:autoRedefine/>
    <w:qFormat/>
    <w:uiPriority w:val="0"/>
    <w:rPr>
      <w:rFonts w:eastAsia="宋体"/>
      <w:b/>
      <w:bCs/>
      <w:kern w:val="2"/>
      <w:sz w:val="24"/>
      <w:szCs w:val="24"/>
      <w:lang w:val="en-US" w:eastAsia="zh-CN" w:bidi="ar-SA"/>
    </w:rPr>
  </w:style>
  <w:style w:type="character" w:customStyle="1" w:styleId="89">
    <w:name w:val="标题 8 字符"/>
    <w:link w:val="14"/>
    <w:autoRedefine/>
    <w:qFormat/>
    <w:uiPriority w:val="0"/>
    <w:rPr>
      <w:rFonts w:ascii="Arial" w:hAnsi="Arial" w:eastAsia="黑体"/>
      <w:kern w:val="2"/>
      <w:sz w:val="24"/>
      <w:szCs w:val="24"/>
      <w:lang w:val="en-US" w:eastAsia="zh-CN" w:bidi="ar-SA"/>
    </w:rPr>
  </w:style>
  <w:style w:type="character" w:customStyle="1" w:styleId="90">
    <w:name w:val="标题 9 字符"/>
    <w:link w:val="15"/>
    <w:autoRedefine/>
    <w:qFormat/>
    <w:uiPriority w:val="0"/>
    <w:rPr>
      <w:rFonts w:ascii="Arial" w:hAnsi="Arial" w:eastAsia="黑体"/>
      <w:kern w:val="2"/>
      <w:sz w:val="21"/>
      <w:szCs w:val="21"/>
      <w:lang w:val="en-US" w:eastAsia="zh-CN" w:bidi="ar-SA"/>
    </w:rPr>
  </w:style>
  <w:style w:type="character" w:customStyle="1" w:styleId="91">
    <w:name w:val="文档结构图 字符"/>
    <w:link w:val="22"/>
    <w:autoRedefine/>
    <w:qFormat/>
    <w:uiPriority w:val="0"/>
    <w:rPr>
      <w:rFonts w:eastAsia="宋体"/>
      <w:kern w:val="2"/>
      <w:sz w:val="21"/>
      <w:lang w:val="en-US" w:eastAsia="zh-CN" w:bidi="ar-SA"/>
    </w:rPr>
  </w:style>
  <w:style w:type="character" w:customStyle="1" w:styleId="92">
    <w:name w:val="批注文字 字符"/>
    <w:link w:val="23"/>
    <w:autoRedefine/>
    <w:qFormat/>
    <w:uiPriority w:val="99"/>
    <w:rPr>
      <w:rFonts w:eastAsia="宋体"/>
      <w:kern w:val="2"/>
      <w:sz w:val="21"/>
      <w:lang w:val="en-US" w:eastAsia="zh-CN" w:bidi="ar-SA"/>
    </w:rPr>
  </w:style>
  <w:style w:type="character" w:customStyle="1" w:styleId="93">
    <w:name w:val="正文文本缩进 字符"/>
    <w:link w:val="3"/>
    <w:autoRedefine/>
    <w:qFormat/>
    <w:uiPriority w:val="0"/>
    <w:rPr>
      <w:rFonts w:ascii="楷体_GB2312" w:eastAsia="楷体_GB2312"/>
      <w:kern w:val="2"/>
      <w:sz w:val="32"/>
      <w:lang w:val="en-US" w:eastAsia="zh-CN" w:bidi="ar-SA"/>
    </w:rPr>
  </w:style>
  <w:style w:type="character" w:customStyle="1" w:styleId="94">
    <w:name w:val="纯文本 字符"/>
    <w:link w:val="31"/>
    <w:autoRedefine/>
    <w:qFormat/>
    <w:uiPriority w:val="0"/>
    <w:rPr>
      <w:rFonts w:ascii="宋体" w:hAnsi="Courier New" w:eastAsia="宋体"/>
      <w:kern w:val="2"/>
      <w:sz w:val="21"/>
      <w:lang w:val="en-US" w:eastAsia="zh-CN" w:bidi="ar-SA"/>
    </w:rPr>
  </w:style>
  <w:style w:type="character" w:customStyle="1" w:styleId="95">
    <w:name w:val="正文文本缩进 2 字符"/>
    <w:link w:val="35"/>
    <w:autoRedefine/>
    <w:qFormat/>
    <w:uiPriority w:val="0"/>
    <w:rPr>
      <w:rFonts w:ascii="Arial" w:hAnsi="Arial" w:eastAsia="仿宋_GB2312"/>
      <w:kern w:val="2"/>
      <w:sz w:val="32"/>
      <w:lang w:val="en-US" w:eastAsia="zh-CN" w:bidi="ar-SA"/>
    </w:rPr>
  </w:style>
  <w:style w:type="character" w:customStyle="1" w:styleId="96">
    <w:name w:val="页脚 字符"/>
    <w:link w:val="38"/>
    <w:autoRedefine/>
    <w:qFormat/>
    <w:uiPriority w:val="0"/>
    <w:rPr>
      <w:kern w:val="2"/>
      <w:sz w:val="18"/>
    </w:rPr>
  </w:style>
  <w:style w:type="character" w:customStyle="1" w:styleId="97">
    <w:name w:val="正文文本缩进 3 字符"/>
    <w:link w:val="49"/>
    <w:autoRedefine/>
    <w:qFormat/>
    <w:uiPriority w:val="0"/>
    <w:rPr>
      <w:rFonts w:ascii="Arial" w:hAnsi="Arial" w:eastAsia="仿宋_GB2312"/>
      <w:color w:val="FFFF00"/>
      <w:kern w:val="2"/>
      <w:sz w:val="32"/>
      <w:lang w:val="en-US" w:eastAsia="zh-CN" w:bidi="ar-SA"/>
    </w:rPr>
  </w:style>
  <w:style w:type="character" w:customStyle="1" w:styleId="98">
    <w:name w:val="HTML 预设格式 字符"/>
    <w:link w:val="56"/>
    <w:autoRedefine/>
    <w:qFormat/>
    <w:uiPriority w:val="0"/>
    <w:rPr>
      <w:rFonts w:ascii="黑体" w:hAnsi="Courier New" w:eastAsia="黑体" w:cs="Courier New"/>
      <w:lang w:val="en-US" w:eastAsia="zh-CN" w:bidi="ar-SA"/>
    </w:rPr>
  </w:style>
  <w:style w:type="character" w:customStyle="1" w:styleId="99">
    <w:name w:val="标题 字符"/>
    <w:link w:val="59"/>
    <w:autoRedefine/>
    <w:qFormat/>
    <w:uiPriority w:val="0"/>
    <w:rPr>
      <w:rFonts w:eastAsia="黑体"/>
      <w:b/>
      <w:sz w:val="28"/>
      <w:lang w:val="en-GB" w:eastAsia="zh-CN" w:bidi="ar-SA"/>
    </w:rPr>
  </w:style>
  <w:style w:type="character" w:customStyle="1" w:styleId="100">
    <w:name w:val="批注主题 字符"/>
    <w:link w:val="60"/>
    <w:autoRedefine/>
    <w:qFormat/>
    <w:uiPriority w:val="0"/>
    <w:rPr>
      <w:rFonts w:eastAsia="宋体"/>
      <w:b/>
      <w:bCs/>
      <w:kern w:val="2"/>
      <w:sz w:val="21"/>
      <w:lang w:val="en-US" w:eastAsia="zh-CN" w:bidi="ar-SA"/>
    </w:rPr>
  </w:style>
  <w:style w:type="paragraph" w:customStyle="1" w:styleId="101">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styleId="102">
    <w:name w:val="List Paragraph"/>
    <w:basedOn w:val="1"/>
    <w:autoRedefine/>
    <w:qFormat/>
    <w:uiPriority w:val="34"/>
    <w:pPr>
      <w:ind w:firstLine="420" w:firstLineChars="200"/>
    </w:pPr>
    <w:rPr>
      <w:szCs w:val="24"/>
    </w:rPr>
  </w:style>
  <w:style w:type="paragraph" w:customStyle="1" w:styleId="103">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04">
    <w:name w:val="_Style 65"/>
    <w:basedOn w:val="1"/>
    <w:next w:val="27"/>
    <w:autoRedefine/>
    <w:qFormat/>
    <w:uiPriority w:val="0"/>
    <w:rPr>
      <w:rFonts w:ascii="楷体_GB2312" w:hAnsi="Arial" w:eastAsia="楷体_GB2312"/>
      <w:sz w:val="28"/>
    </w:rPr>
  </w:style>
  <w:style w:type="paragraph" w:customStyle="1" w:styleId="105">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106">
    <w:name w:val="表格1"/>
    <w:basedOn w:val="1"/>
    <w:autoRedefine/>
    <w:qFormat/>
    <w:uiPriority w:val="0"/>
    <w:pPr>
      <w:adjustRightInd w:val="0"/>
      <w:textAlignment w:val="baseline"/>
    </w:pPr>
    <w:rPr>
      <w:rFonts w:ascii="宋体"/>
      <w:kern w:val="24"/>
      <w:szCs w:val="21"/>
    </w:rPr>
  </w:style>
  <w:style w:type="paragraph" w:customStyle="1" w:styleId="107">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character" w:customStyle="1" w:styleId="108">
    <w:name w:val="point_normal1"/>
    <w:autoRedefine/>
    <w:qFormat/>
    <w:uiPriority w:val="0"/>
    <w:rPr>
      <w:rFonts w:hint="default" w:ascii="Arial" w:hAnsi="Arial" w:cs="Arial"/>
      <w:sz w:val="18"/>
      <w:szCs w:val="18"/>
    </w:rPr>
  </w:style>
  <w:style w:type="character" w:customStyle="1" w:styleId="109">
    <w:name w:val="para_small"/>
    <w:autoRedefine/>
    <w:qFormat/>
    <w:uiPriority w:val="0"/>
  </w:style>
  <w:style w:type="paragraph" w:customStyle="1" w:styleId="110">
    <w:name w:val="论文正文"/>
    <w:basedOn w:val="35"/>
    <w:autoRedefine/>
    <w:qFormat/>
    <w:uiPriority w:val="0"/>
    <w:pPr>
      <w:spacing w:line="360" w:lineRule="auto"/>
      <w:ind w:left="0" w:firstLine="200" w:firstLineChars="200"/>
      <w:jc w:val="left"/>
    </w:pPr>
    <w:rPr>
      <w:rFonts w:ascii="Times New Roman" w:hAnsi="Times New Roman"/>
      <w:sz w:val="28"/>
      <w:szCs w:val="24"/>
    </w:rPr>
  </w:style>
  <w:style w:type="paragraph" w:customStyle="1" w:styleId="111">
    <w:name w:val="丁华标题1"/>
    <w:basedOn w:val="4"/>
    <w:next w:val="112"/>
    <w:autoRedefine/>
    <w:qFormat/>
    <w:uiPriority w:val="0"/>
    <w:pPr>
      <w:keepLines/>
      <w:tabs>
        <w:tab w:val="left" w:pos="567"/>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112">
    <w:name w:val="丁华正文"/>
    <w:basedOn w:val="49"/>
    <w:autoRedefine/>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13">
    <w:name w:val="丁华标题2"/>
    <w:basedOn w:val="5"/>
    <w:next w:val="112"/>
    <w:autoRedefine/>
    <w:qFormat/>
    <w:uiPriority w:val="0"/>
    <w:pPr>
      <w:numPr>
        <w:ilvl w:val="1"/>
        <w:numId w:val="1"/>
      </w:numPr>
      <w:spacing w:line="415" w:lineRule="auto"/>
    </w:pPr>
    <w:rPr>
      <w:rFonts w:ascii="Arial" w:hAnsi="Arial" w:eastAsia="黑体"/>
      <w:b w:val="0"/>
      <w:sz w:val="28"/>
      <w:szCs w:val="20"/>
    </w:rPr>
  </w:style>
  <w:style w:type="paragraph" w:customStyle="1" w:styleId="114">
    <w:name w:val="丁华标题3"/>
    <w:basedOn w:val="113"/>
    <w:next w:val="112"/>
    <w:autoRedefine/>
    <w:qFormat/>
    <w:uiPriority w:val="0"/>
    <w:pPr>
      <w:numPr>
        <w:ilvl w:val="2"/>
      </w:numPr>
      <w:tabs>
        <w:tab w:val="left" w:pos="1470"/>
        <w:tab w:val="left" w:pos="1980"/>
      </w:tabs>
      <w:spacing w:after="0"/>
      <w:ind w:left="1980" w:hanging="420"/>
      <w:outlineLvl w:val="2"/>
    </w:pPr>
    <w:rPr>
      <w:sz w:val="24"/>
    </w:rPr>
  </w:style>
  <w:style w:type="paragraph" w:customStyle="1" w:styleId="115">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116">
    <w:name w:val="Bullets L1"/>
    <w:basedOn w:val="1"/>
    <w:autoRedefine/>
    <w:qFormat/>
    <w:uiPriority w:val="0"/>
    <w:pPr>
      <w:widowControl/>
      <w:numPr>
        <w:ilvl w:val="0"/>
        <w:numId w:val="3"/>
      </w:numPr>
      <w:spacing w:before="60" w:after="60"/>
      <w:jc w:val="left"/>
    </w:pPr>
    <w:rPr>
      <w:rFonts w:ascii="Arial" w:hAnsi="Arial"/>
      <w:kern w:val="0"/>
      <w:sz w:val="20"/>
    </w:rPr>
  </w:style>
  <w:style w:type="paragraph" w:customStyle="1" w:styleId="117">
    <w:name w:val="段落"/>
    <w:basedOn w:val="1"/>
    <w:autoRedefine/>
    <w:qFormat/>
    <w:uiPriority w:val="0"/>
    <w:pPr>
      <w:spacing w:line="460" w:lineRule="exact"/>
      <w:ind w:firstLine="480"/>
    </w:pPr>
    <w:rPr>
      <w:sz w:val="24"/>
    </w:rPr>
  </w:style>
  <w:style w:type="character" w:customStyle="1" w:styleId="118">
    <w:name w:val="标题 3 Char"/>
    <w:autoRedefine/>
    <w:qFormat/>
    <w:uiPriority w:val="0"/>
    <w:rPr>
      <w:rFonts w:ascii="宋体" w:hAnsi="宋体" w:eastAsia="宋体"/>
      <w:b/>
      <w:bCs/>
      <w:kern w:val="2"/>
      <w:sz w:val="24"/>
      <w:szCs w:val="32"/>
      <w:lang w:val="en-US" w:eastAsia="zh-CN" w:bidi="ar-SA"/>
    </w:rPr>
  </w:style>
  <w:style w:type="paragraph" w:customStyle="1" w:styleId="119">
    <w:name w:val="Char Char Char Char"/>
    <w:basedOn w:val="22"/>
    <w:autoRedefine/>
    <w:qFormat/>
    <w:uiPriority w:val="0"/>
    <w:pPr>
      <w:adjustRightInd w:val="0"/>
      <w:snapToGrid w:val="0"/>
      <w:spacing w:line="360" w:lineRule="auto"/>
    </w:pPr>
    <w:rPr>
      <w:rFonts w:ascii="Tahoma" w:hAnsi="Tahoma"/>
      <w:sz w:val="24"/>
      <w:szCs w:val="24"/>
    </w:rPr>
  </w:style>
  <w:style w:type="paragraph" w:customStyle="1" w:styleId="120">
    <w:name w:val="Char Char Char Char Char Char Char Char Char Char Char Char Char"/>
    <w:basedOn w:val="22"/>
    <w:autoRedefine/>
    <w:qFormat/>
    <w:uiPriority w:val="0"/>
    <w:rPr>
      <w:rFonts w:ascii="Tahoma" w:hAnsi="Tahoma"/>
      <w:sz w:val="24"/>
      <w:szCs w:val="24"/>
    </w:rPr>
  </w:style>
  <w:style w:type="paragraph" w:customStyle="1" w:styleId="121">
    <w:name w:val="默认段落字体 Para Char"/>
    <w:basedOn w:val="1"/>
    <w:autoRedefine/>
    <w:qFormat/>
    <w:uiPriority w:val="0"/>
    <w:rPr>
      <w:sz w:val="24"/>
      <w:szCs w:val="24"/>
    </w:rPr>
  </w:style>
  <w:style w:type="paragraph" w:customStyle="1" w:styleId="122">
    <w:name w:val="Char Char Char Char Char Char Char Char Char Char Char1 Char Char Char1"/>
    <w:basedOn w:val="1"/>
    <w:autoRedefine/>
    <w:semiHidden/>
    <w:qFormat/>
    <w:uiPriority w:val="0"/>
    <w:pPr>
      <w:ind w:firstLine="200" w:firstLineChars="200"/>
      <w:jc w:val="left"/>
    </w:pPr>
    <w:rPr>
      <w:rFonts w:ascii="Tahoma" w:hAnsi="Tahoma"/>
      <w:sz w:val="24"/>
      <w:szCs w:val="24"/>
    </w:rPr>
  </w:style>
  <w:style w:type="paragraph" w:customStyle="1" w:styleId="123">
    <w:name w:val="Char"/>
    <w:basedOn w:val="1"/>
    <w:autoRedefine/>
    <w:semiHidden/>
    <w:qFormat/>
    <w:uiPriority w:val="0"/>
    <w:rPr>
      <w:rFonts w:ascii="Tahoma" w:hAnsi="Tahoma" w:cs="仿宋_GB2312"/>
      <w:sz w:val="24"/>
      <w:szCs w:val="28"/>
    </w:rPr>
  </w:style>
  <w:style w:type="paragraph" w:customStyle="1" w:styleId="124">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12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126">
    <w:name w:val="List Paragraph1"/>
    <w:basedOn w:val="1"/>
    <w:autoRedefine/>
    <w:qFormat/>
    <w:uiPriority w:val="0"/>
    <w:pPr>
      <w:widowControl/>
      <w:ind w:left="720"/>
      <w:contextualSpacing/>
      <w:jc w:val="left"/>
    </w:pPr>
    <w:rPr>
      <w:rFonts w:ascii="Arial" w:hAnsi="Arial" w:eastAsia="黑体"/>
      <w:kern w:val="0"/>
      <w:sz w:val="24"/>
      <w:szCs w:val="24"/>
      <w:lang w:eastAsia="en-US"/>
    </w:rPr>
  </w:style>
  <w:style w:type="character" w:customStyle="1" w:styleId="127">
    <w:name w:val="style13"/>
    <w:autoRedefine/>
    <w:qFormat/>
    <w:uiPriority w:val="0"/>
    <w:rPr>
      <w:sz w:val="18"/>
      <w:szCs w:val="18"/>
    </w:rPr>
  </w:style>
  <w:style w:type="character" w:customStyle="1" w:styleId="128">
    <w:name w:val="标准文本 Char Char"/>
    <w:autoRedefine/>
    <w:qFormat/>
    <w:uiPriority w:val="0"/>
    <w:rPr>
      <w:rFonts w:eastAsia="宋体" w:cs="宋体"/>
      <w:kern w:val="2"/>
      <w:sz w:val="24"/>
      <w:szCs w:val="24"/>
      <w:lang w:val="en-US" w:eastAsia="zh-CN" w:bidi="ar-SA"/>
    </w:rPr>
  </w:style>
  <w:style w:type="character" w:customStyle="1" w:styleId="129">
    <w:name w:val="小四 段落 宋体 Char Char Char1"/>
    <w:autoRedefine/>
    <w:qFormat/>
    <w:uiPriority w:val="0"/>
    <w:rPr>
      <w:rFonts w:ascii="宋体" w:hAnsi="宋体" w:eastAsia="宋体"/>
      <w:kern w:val="2"/>
      <w:sz w:val="24"/>
      <w:szCs w:val="24"/>
      <w:lang w:val="en-US" w:eastAsia="zh-CN" w:bidi="ar-SA"/>
    </w:rPr>
  </w:style>
  <w:style w:type="character" w:customStyle="1" w:styleId="130">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31">
    <w:name w:val="华宇段落1 Char Char Char"/>
    <w:autoRedefine/>
    <w:qFormat/>
    <w:uiPriority w:val="0"/>
    <w:rPr>
      <w:rFonts w:eastAsia="宋体"/>
      <w:bCs/>
      <w:kern w:val="2"/>
      <w:sz w:val="24"/>
      <w:szCs w:val="24"/>
      <w:lang w:val="en-US" w:eastAsia="zh-CN" w:bidi="ar-SA"/>
    </w:rPr>
  </w:style>
  <w:style w:type="character" w:customStyle="1" w:styleId="132">
    <w:name w:val="2nd level Char"/>
    <w:autoRedefine/>
    <w:qFormat/>
    <w:uiPriority w:val="0"/>
    <w:rPr>
      <w:rFonts w:ascii="Arial" w:hAnsi="Arial" w:eastAsia="黑体"/>
      <w:b/>
      <w:bCs/>
      <w:kern w:val="2"/>
      <w:sz w:val="32"/>
      <w:szCs w:val="32"/>
      <w:lang w:val="en-US" w:eastAsia="zh-CN" w:bidi="ar-SA"/>
    </w:rPr>
  </w:style>
  <w:style w:type="character" w:customStyle="1" w:styleId="133">
    <w:name w:val="Title1 Char"/>
    <w:autoRedefine/>
    <w:qFormat/>
    <w:uiPriority w:val="0"/>
    <w:rPr>
      <w:rFonts w:eastAsia="宋体"/>
      <w:b/>
      <w:bCs/>
      <w:kern w:val="44"/>
      <w:sz w:val="44"/>
      <w:szCs w:val="44"/>
      <w:lang w:val="en-US" w:eastAsia="zh-CN" w:bidi="ar-SA"/>
    </w:rPr>
  </w:style>
  <w:style w:type="character" w:customStyle="1" w:styleId="134">
    <w:name w:val="textcontents"/>
    <w:autoRedefine/>
    <w:qFormat/>
    <w:uiPriority w:val="0"/>
  </w:style>
  <w:style w:type="character" w:customStyle="1" w:styleId="135">
    <w:name w:val="style131"/>
    <w:autoRedefine/>
    <w:qFormat/>
    <w:uiPriority w:val="0"/>
    <w:rPr>
      <w:rFonts w:cs="Times New Roman"/>
      <w:sz w:val="18"/>
      <w:szCs w:val="18"/>
    </w:rPr>
  </w:style>
  <w:style w:type="character" w:customStyle="1" w:styleId="136">
    <w:name w:val="ih151"/>
    <w:autoRedefine/>
    <w:qFormat/>
    <w:uiPriority w:val="0"/>
    <w:rPr>
      <w:color w:val="666666"/>
      <w:sz w:val="18"/>
      <w:szCs w:val="18"/>
      <w:u w:val="none"/>
    </w:rPr>
  </w:style>
  <w:style w:type="character" w:customStyle="1" w:styleId="137">
    <w:name w:val="小四 段落 宋体 Char1"/>
    <w:autoRedefine/>
    <w:qFormat/>
    <w:uiPriority w:val="0"/>
    <w:rPr>
      <w:rFonts w:eastAsia="宋体"/>
      <w:kern w:val="2"/>
      <w:sz w:val="24"/>
      <w:szCs w:val="24"/>
      <w:lang w:val="en-US" w:eastAsia="zh-CN" w:bidi="ar-SA"/>
    </w:rPr>
  </w:style>
  <w:style w:type="character" w:customStyle="1" w:styleId="138">
    <w:name w:val="subtitle1"/>
    <w:autoRedefine/>
    <w:qFormat/>
    <w:uiPriority w:val="0"/>
    <w:rPr>
      <w:rFonts w:hint="default" w:ascii="Georgia" w:hAnsi="Georgia"/>
      <w:b/>
      <w:bCs/>
      <w:color w:val="666666"/>
      <w:sz w:val="18"/>
      <w:szCs w:val="18"/>
    </w:rPr>
  </w:style>
  <w:style w:type="character" w:customStyle="1" w:styleId="139">
    <w:name w:val="特点 Char1"/>
    <w:autoRedefine/>
    <w:qFormat/>
    <w:uiPriority w:val="0"/>
    <w:rPr>
      <w:rFonts w:eastAsia="宋体"/>
      <w:kern w:val="2"/>
      <w:sz w:val="21"/>
      <w:lang w:val="en-US" w:eastAsia="zh-CN" w:bidi="ar-SA"/>
    </w:rPr>
  </w:style>
  <w:style w:type="character" w:customStyle="1" w:styleId="140">
    <w:name w:val="normalfont1"/>
    <w:autoRedefine/>
    <w:qFormat/>
    <w:uiPriority w:val="0"/>
    <w:rPr>
      <w:rFonts w:hint="default" w:ascii="ˎ̥" w:hAnsi="ˎ̥"/>
      <w:sz w:val="18"/>
      <w:szCs w:val="18"/>
      <w:u w:val="none"/>
    </w:rPr>
  </w:style>
  <w:style w:type="character" w:customStyle="1" w:styleId="141">
    <w:name w:val="样式 宋体 小四"/>
    <w:autoRedefine/>
    <w:qFormat/>
    <w:uiPriority w:val="0"/>
    <w:rPr>
      <w:rFonts w:ascii="宋体" w:hAnsi="宋体"/>
      <w:sz w:val="24"/>
    </w:rPr>
  </w:style>
  <w:style w:type="character" w:customStyle="1" w:styleId="142">
    <w:name w:val="content_lineheight1"/>
    <w:autoRedefine/>
    <w:qFormat/>
    <w:uiPriority w:val="0"/>
  </w:style>
  <w:style w:type="character" w:customStyle="1" w:styleId="143">
    <w:name w:val="Char Char2"/>
    <w:autoRedefine/>
    <w:qFormat/>
    <w:uiPriority w:val="0"/>
    <w:rPr>
      <w:rFonts w:ascii="宋体" w:hAnsi="Courier New" w:eastAsia="宋体"/>
      <w:kern w:val="2"/>
      <w:sz w:val="21"/>
      <w:szCs w:val="21"/>
      <w:lang w:val="en-US" w:eastAsia="zh-CN" w:bidi="ar-SA"/>
    </w:rPr>
  </w:style>
  <w:style w:type="character" w:customStyle="1" w:styleId="144">
    <w:name w:val="标准小四 Char Char"/>
    <w:autoRedefine/>
    <w:qFormat/>
    <w:uiPriority w:val="0"/>
    <w:rPr>
      <w:rFonts w:ascii="Arial" w:hAnsi="Arial" w:eastAsia="宋体"/>
      <w:kern w:val="2"/>
      <w:sz w:val="24"/>
      <w:szCs w:val="21"/>
      <w:lang w:val="en-US" w:eastAsia="zh-CN" w:bidi="ar-SA"/>
    </w:rPr>
  </w:style>
  <w:style w:type="character" w:customStyle="1" w:styleId="145">
    <w:name w:val="小四 段落 宋体 Char Char Char Char Char Char"/>
    <w:autoRedefine/>
    <w:qFormat/>
    <w:uiPriority w:val="0"/>
    <w:rPr>
      <w:rFonts w:eastAsia="宋体"/>
      <w:kern w:val="2"/>
      <w:sz w:val="24"/>
      <w:szCs w:val="24"/>
      <w:lang w:val="en-US" w:eastAsia="zh-CN" w:bidi="ar-SA"/>
    </w:rPr>
  </w:style>
  <w:style w:type="character" w:customStyle="1" w:styleId="146">
    <w:name w:val="小四 段落 宋体 Char Char Char Char1"/>
    <w:autoRedefine/>
    <w:qFormat/>
    <w:uiPriority w:val="0"/>
    <w:rPr>
      <w:rFonts w:eastAsia="宋体"/>
      <w:kern w:val="2"/>
      <w:sz w:val="24"/>
      <w:szCs w:val="24"/>
      <w:lang w:val="en-US" w:eastAsia="zh-CN" w:bidi="ar-SA"/>
    </w:rPr>
  </w:style>
  <w:style w:type="character" w:customStyle="1" w:styleId="147">
    <w:name w:val="样式 首行缩进:  2 字符 Char Char"/>
    <w:link w:val="148"/>
    <w:autoRedefine/>
    <w:qFormat/>
    <w:uiPriority w:val="0"/>
    <w:rPr>
      <w:rFonts w:eastAsia="宋体" w:cs="宋体"/>
      <w:kern w:val="2"/>
      <w:sz w:val="24"/>
      <w:lang w:val="en-US" w:eastAsia="zh-CN" w:bidi="ar-SA"/>
    </w:rPr>
  </w:style>
  <w:style w:type="paragraph" w:customStyle="1" w:styleId="148">
    <w:name w:val="样式 首行缩进:  2 字符"/>
    <w:basedOn w:val="1"/>
    <w:link w:val="147"/>
    <w:autoRedefine/>
    <w:qFormat/>
    <w:uiPriority w:val="0"/>
    <w:pPr>
      <w:spacing w:line="360" w:lineRule="auto"/>
      <w:ind w:firstLine="480" w:firstLineChars="200"/>
    </w:pPr>
    <w:rPr>
      <w:rFonts w:cs="宋体"/>
      <w:sz w:val="24"/>
    </w:rPr>
  </w:style>
  <w:style w:type="character" w:customStyle="1" w:styleId="149">
    <w:name w:val="正文 + 宋体 Char"/>
    <w:autoRedefine/>
    <w:qFormat/>
    <w:uiPriority w:val="0"/>
    <w:rPr>
      <w:rFonts w:eastAsia="宋体"/>
      <w:kern w:val="2"/>
      <w:sz w:val="21"/>
      <w:szCs w:val="24"/>
      <w:lang w:val="en-US" w:eastAsia="zh-CN" w:bidi="ar-SA"/>
    </w:rPr>
  </w:style>
  <w:style w:type="character" w:customStyle="1" w:styleId="150">
    <w:name w:val="3zw"/>
    <w:autoRedefine/>
    <w:qFormat/>
    <w:uiPriority w:val="0"/>
  </w:style>
  <w:style w:type="paragraph" w:customStyle="1" w:styleId="151">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152">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153">
    <w:name w:val="正文 首行缩进:  2 字符 Char"/>
    <w:basedOn w:val="1"/>
    <w:autoRedefine/>
    <w:qFormat/>
    <w:uiPriority w:val="0"/>
    <w:pPr>
      <w:spacing w:line="360" w:lineRule="auto"/>
      <w:ind w:firstLine="480"/>
    </w:pPr>
    <w:rPr>
      <w:rFonts w:cs="宋体"/>
      <w:sz w:val="24"/>
    </w:rPr>
  </w:style>
  <w:style w:type="paragraph" w:customStyle="1" w:styleId="154">
    <w:name w:val="样式 标题 2第一章 标题 2Heading 2 HiddenHeading 2 CCBSheading 2H2h2..."/>
    <w:basedOn w:val="5"/>
    <w:autoRedefine/>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155">
    <w:name w:val="1"/>
    <w:basedOn w:val="1"/>
    <w:next w:val="55"/>
    <w:autoRedefine/>
    <w:qFormat/>
    <w:uiPriority w:val="0"/>
    <w:pPr>
      <w:spacing w:line="360" w:lineRule="auto"/>
    </w:pPr>
    <w:rPr>
      <w:rFonts w:eastAsia="仿宋_GB2312"/>
      <w:sz w:val="24"/>
      <w:szCs w:val="24"/>
    </w:rPr>
  </w:style>
  <w:style w:type="paragraph" w:customStyle="1" w:styleId="156">
    <w:name w:val="华宇段落1 Char"/>
    <w:basedOn w:val="1"/>
    <w:autoRedefine/>
    <w:qFormat/>
    <w:uiPriority w:val="0"/>
    <w:pPr>
      <w:spacing w:line="360" w:lineRule="auto"/>
      <w:ind w:firstLine="200" w:firstLineChars="200"/>
    </w:pPr>
    <w:rPr>
      <w:bCs/>
      <w:sz w:val="24"/>
      <w:szCs w:val="24"/>
    </w:rPr>
  </w:style>
  <w:style w:type="paragraph" w:customStyle="1" w:styleId="15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158">
    <w:name w:val="表格内文字"/>
    <w:basedOn w:val="1"/>
    <w:autoRedefine/>
    <w:qFormat/>
    <w:uiPriority w:val="0"/>
    <w:pPr>
      <w:spacing w:line="300" w:lineRule="atLeast"/>
    </w:pPr>
    <w:rPr>
      <w:sz w:val="18"/>
      <w:szCs w:val="24"/>
    </w:rPr>
  </w:style>
  <w:style w:type="paragraph" w:customStyle="1" w:styleId="159">
    <w:name w:val="样式 标题 3H3sect1.2.3BOD 0Heading 3 - oldh3l3CTLevel 3 Head..."/>
    <w:basedOn w:val="7"/>
    <w:autoRedefine/>
    <w:qFormat/>
    <w:uiPriority w:val="0"/>
    <w:pPr>
      <w:spacing w:before="156" w:beforeLines="50" w:after="156" w:afterLines="50"/>
      <w:jc w:val="left"/>
    </w:pPr>
    <w:rPr>
      <w:rFonts w:cs="宋体"/>
      <w:bCs/>
      <w:sz w:val="30"/>
    </w:rPr>
  </w:style>
  <w:style w:type="paragraph" w:customStyle="1" w:styleId="160">
    <w:name w:val="flType"/>
    <w:basedOn w:val="161"/>
    <w:autoRedefine/>
    <w:qFormat/>
    <w:uiPriority w:val="0"/>
    <w:pPr>
      <w:spacing w:after="284"/>
    </w:pPr>
    <w:rPr>
      <w:rFonts w:eastAsia="宋体"/>
      <w:b w:val="0"/>
    </w:rPr>
  </w:style>
  <w:style w:type="paragraph" w:customStyle="1" w:styleId="161">
    <w:name w:val="flName"/>
    <w:basedOn w:val="162"/>
    <w:autoRedefine/>
    <w:qFormat/>
    <w:uiPriority w:val="0"/>
    <w:pPr>
      <w:spacing w:before="0" w:line="113" w:lineRule="atLeast"/>
    </w:pPr>
  </w:style>
  <w:style w:type="paragraph" w:customStyle="1" w:styleId="162">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163">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64">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165">
    <w:name w:val="Char Char Char Char Char Char Char"/>
    <w:basedOn w:val="1"/>
    <w:autoRedefine/>
    <w:qFormat/>
    <w:uiPriority w:val="0"/>
    <w:pPr>
      <w:jc w:val="left"/>
    </w:pPr>
    <w:rPr>
      <w:rFonts w:ascii="Tahoma" w:hAnsi="Tahoma"/>
      <w:sz w:val="24"/>
    </w:rPr>
  </w:style>
  <w:style w:type="paragraph" w:customStyle="1" w:styleId="16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7">
    <w:name w:val="正文表标题"/>
    <w:next w:val="166"/>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8">
    <w:name w:val="小四 段落 宋体 Char Char Char Char"/>
    <w:basedOn w:val="1"/>
    <w:autoRedefine/>
    <w:qFormat/>
    <w:uiPriority w:val="0"/>
    <w:pPr>
      <w:spacing w:line="360" w:lineRule="auto"/>
      <w:ind w:right="-33" w:firstLine="480" w:firstLineChars="200"/>
      <w:jc w:val="left"/>
    </w:pPr>
    <w:rPr>
      <w:sz w:val="24"/>
      <w:szCs w:val="24"/>
    </w:rPr>
  </w:style>
  <w:style w:type="paragraph" w:customStyle="1" w:styleId="169">
    <w:name w:val="文档正文"/>
    <w:basedOn w:val="1"/>
    <w:autoRedefine/>
    <w:qFormat/>
    <w:uiPriority w:val="0"/>
    <w:pPr>
      <w:spacing w:line="360" w:lineRule="auto"/>
    </w:pPr>
    <w:rPr>
      <w:rFonts w:ascii="宋体" w:hAnsi="宋体"/>
      <w:b/>
      <w:bCs/>
      <w:szCs w:val="24"/>
    </w:rPr>
  </w:style>
  <w:style w:type="paragraph" w:customStyle="1" w:styleId="170">
    <w:name w:val="默认段落字体 Para Char Char Char Char Char Char Char Char Char1 Char Char Char Char Char Char Char"/>
    <w:basedOn w:val="22"/>
    <w:autoRedefine/>
    <w:qFormat/>
    <w:uiPriority w:val="0"/>
  </w:style>
  <w:style w:type="paragraph" w:customStyle="1" w:styleId="171">
    <w:name w:val="Char Char Char Char Char Char Char1"/>
    <w:basedOn w:val="1"/>
    <w:autoRedefine/>
    <w:qFormat/>
    <w:uiPriority w:val="0"/>
    <w:rPr>
      <w:rFonts w:ascii="Tahoma" w:hAnsi="Tahoma"/>
      <w:sz w:val="24"/>
    </w:rPr>
  </w:style>
  <w:style w:type="paragraph" w:customStyle="1" w:styleId="172">
    <w:name w:val="马刚标题1"/>
    <w:basedOn w:val="4"/>
    <w:next w:val="1"/>
    <w:autoRedefine/>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173">
    <w:name w:val="公文正文"/>
    <w:basedOn w:val="3"/>
    <w:autoRedefine/>
    <w:qFormat/>
    <w:uiPriority w:val="0"/>
    <w:pPr>
      <w:ind w:firstLine="200" w:firstLineChars="200"/>
    </w:pPr>
    <w:rPr>
      <w:rFonts w:ascii="仿宋_GB2312" w:hAnsi="宋体" w:eastAsia="仿宋_GB2312"/>
      <w:kern w:val="28"/>
      <w:sz w:val="28"/>
      <w:szCs w:val="24"/>
    </w:rPr>
  </w:style>
  <w:style w:type="paragraph" w:customStyle="1" w:styleId="174">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175">
    <w:name w:val="样式2"/>
    <w:basedOn w:val="1"/>
    <w:autoRedefine/>
    <w:qFormat/>
    <w:uiPriority w:val="0"/>
    <w:pPr>
      <w:spacing w:line="360" w:lineRule="auto"/>
      <w:ind w:left="200" w:leftChars="200"/>
    </w:pPr>
    <w:rPr>
      <w:rFonts w:ascii="宋体" w:hAnsi="宋体"/>
      <w:b/>
      <w:sz w:val="24"/>
      <w:szCs w:val="24"/>
    </w:rPr>
  </w:style>
  <w:style w:type="paragraph" w:customStyle="1" w:styleId="176">
    <w:name w:val="章标题"/>
    <w:next w:val="166"/>
    <w:autoRedefine/>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177">
    <w:name w:val="Char Char1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马刚标题4"/>
    <w:basedOn w:val="163"/>
    <w:next w:val="1"/>
    <w:autoRedefine/>
    <w:qFormat/>
    <w:uiPriority w:val="0"/>
    <w:pPr>
      <w:tabs>
        <w:tab w:val="left" w:pos="1050"/>
        <w:tab w:val="clear" w:pos="567"/>
        <w:tab w:val="clear" w:pos="735"/>
      </w:tabs>
      <w:spacing w:before="100" w:after="40"/>
      <w:outlineLvl w:val="3"/>
    </w:pPr>
    <w:rPr>
      <w:b w:val="0"/>
    </w:rPr>
  </w:style>
  <w:style w:type="paragraph" w:customStyle="1" w:styleId="180">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181">
    <w:name w:val="样式 加点正文 + 段前: 0.5 行 段后: 0.5 行1"/>
    <w:basedOn w:val="1"/>
    <w:autoRedefine/>
    <w:qFormat/>
    <w:uiPriority w:val="0"/>
    <w:pPr>
      <w:numPr>
        <w:ilvl w:val="0"/>
        <w:numId w:val="4"/>
      </w:numPr>
      <w:tabs>
        <w:tab w:val="left" w:pos="1268"/>
      </w:tabs>
      <w:spacing w:before="156" w:beforeLines="50" w:after="156" w:afterLines="50" w:line="300" w:lineRule="auto"/>
      <w:ind w:left="1268"/>
    </w:pPr>
    <w:rPr>
      <w:sz w:val="24"/>
    </w:rPr>
  </w:style>
  <w:style w:type="paragraph" w:customStyle="1" w:styleId="182">
    <w:name w:val="Char Char Char Char1"/>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183">
    <w:name w:val="正文--表格内正文"/>
    <w:basedOn w:val="1"/>
    <w:autoRedefine/>
    <w:qFormat/>
    <w:uiPriority w:val="0"/>
    <w:pPr>
      <w:spacing w:before="156" w:beforeLines="50" w:line="0" w:lineRule="atLeast"/>
      <w:jc w:val="center"/>
    </w:pPr>
    <w:rPr>
      <w:rFonts w:ascii="宋体" w:hAnsi="宋体"/>
      <w:color w:val="000000"/>
      <w:sz w:val="24"/>
      <w:szCs w:val="24"/>
    </w:rPr>
  </w:style>
  <w:style w:type="paragraph" w:customStyle="1" w:styleId="184">
    <w:name w:val="公文标题 2"/>
    <w:basedOn w:val="1"/>
    <w:next w:val="173"/>
    <w:autoRedefine/>
    <w:qFormat/>
    <w:uiPriority w:val="0"/>
    <w:pPr>
      <w:outlineLvl w:val="1"/>
    </w:pPr>
    <w:rPr>
      <w:rFonts w:ascii="仿宋_GB2312" w:hAnsi="宋体" w:eastAsia="仿宋_GB2312"/>
      <w:kern w:val="28"/>
      <w:sz w:val="28"/>
      <w:szCs w:val="24"/>
    </w:rPr>
  </w:style>
  <w:style w:type="paragraph" w:customStyle="1" w:styleId="185">
    <w:name w:val="样式 样式 首行缩进:  2 字符 + 行距: 1.5 倍行距"/>
    <w:basedOn w:val="1"/>
    <w:autoRedefine/>
    <w:qFormat/>
    <w:uiPriority w:val="0"/>
    <w:pPr>
      <w:spacing w:line="360" w:lineRule="auto"/>
      <w:ind w:firstLine="470" w:firstLineChars="196"/>
    </w:pPr>
    <w:rPr>
      <w:sz w:val="24"/>
    </w:rPr>
  </w:style>
  <w:style w:type="paragraph" w:customStyle="1" w:styleId="186">
    <w:name w:val="Char Char Char Char Char Char Char Char Char Char Char Char Char Char Char Char Char Char Char Char Char"/>
    <w:basedOn w:val="1"/>
    <w:autoRedefine/>
    <w:qFormat/>
    <w:uiPriority w:val="0"/>
    <w:rPr>
      <w:rFonts w:ascii="Tahoma" w:hAnsi="Tahoma"/>
      <w:sz w:val="24"/>
    </w:rPr>
  </w:style>
  <w:style w:type="paragraph" w:customStyle="1" w:styleId="187">
    <w:name w:val="项目符号，一级"/>
    <w:basedOn w:val="188"/>
    <w:next w:val="188"/>
    <w:autoRedefine/>
    <w:qFormat/>
    <w:uiPriority w:val="0"/>
    <w:pPr>
      <w:tabs>
        <w:tab w:val="left" w:pos="1320"/>
      </w:tabs>
      <w:spacing w:line="240" w:lineRule="atLeast"/>
      <w:ind w:left="376" w:leftChars="179" w:firstLine="0"/>
    </w:pPr>
    <w:rPr>
      <w:bCs w:val="0"/>
      <w:color w:val="000000"/>
      <w:szCs w:val="24"/>
    </w:rPr>
  </w:style>
  <w:style w:type="paragraph" w:customStyle="1" w:styleId="188">
    <w:name w:val="正文格式"/>
    <w:basedOn w:val="1"/>
    <w:autoRedefine/>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89">
    <w:name w:val="正文 + 宋体"/>
    <w:basedOn w:val="1"/>
    <w:autoRedefine/>
    <w:qFormat/>
    <w:uiPriority w:val="0"/>
    <w:pPr>
      <w:spacing w:line="360" w:lineRule="auto"/>
      <w:ind w:firstLine="420" w:firstLineChars="200"/>
    </w:pPr>
    <w:rPr>
      <w:szCs w:val="24"/>
    </w:rPr>
  </w:style>
  <w:style w:type="paragraph" w:customStyle="1" w:styleId="190">
    <w:name w:val="正文 居中"/>
    <w:basedOn w:val="1"/>
    <w:autoRedefine/>
    <w:qFormat/>
    <w:uiPriority w:val="0"/>
    <w:pPr>
      <w:spacing w:line="360" w:lineRule="auto"/>
      <w:jc w:val="center"/>
    </w:pPr>
    <w:rPr>
      <w:sz w:val="24"/>
    </w:rPr>
  </w:style>
  <w:style w:type="paragraph" w:customStyle="1" w:styleId="191">
    <w:name w:val="标准文本"/>
    <w:basedOn w:val="1"/>
    <w:autoRedefine/>
    <w:qFormat/>
    <w:uiPriority w:val="0"/>
    <w:pPr>
      <w:spacing w:line="360" w:lineRule="auto"/>
      <w:ind w:firstLine="480" w:firstLineChars="200"/>
    </w:pPr>
    <w:rPr>
      <w:rFonts w:cs="宋体"/>
      <w:sz w:val="24"/>
      <w:szCs w:val="24"/>
    </w:rPr>
  </w:style>
  <w:style w:type="paragraph" w:customStyle="1" w:styleId="192">
    <w:name w:val="标题1，章节第一层"/>
    <w:basedOn w:val="188"/>
    <w:next w:val="188"/>
    <w:autoRedefine/>
    <w:qFormat/>
    <w:uiPriority w:val="0"/>
    <w:pPr>
      <w:tabs>
        <w:tab w:val="left" w:pos="693"/>
      </w:tabs>
      <w:spacing w:before="0" w:beforeLines="0"/>
      <w:ind w:left="482"/>
      <w:outlineLvl w:val="0"/>
    </w:pPr>
    <w:rPr>
      <w:color w:val="000000"/>
      <w:sz w:val="24"/>
      <w:szCs w:val="24"/>
    </w:rPr>
  </w:style>
  <w:style w:type="paragraph" w:customStyle="1" w:styleId="193">
    <w:name w:val="Char Char1"/>
    <w:basedOn w:val="1"/>
    <w:autoRedefine/>
    <w:qFormat/>
    <w:uiPriority w:val="0"/>
    <w:rPr>
      <w:rFonts w:ascii="Tahoma" w:hAnsi="Tahoma"/>
      <w:sz w:val="24"/>
    </w:rPr>
  </w:style>
  <w:style w:type="paragraph" w:customStyle="1" w:styleId="194">
    <w:name w:val="7"/>
    <w:basedOn w:val="1"/>
    <w:next w:val="57"/>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样式3"/>
    <w:basedOn w:val="1"/>
    <w:next w:val="1"/>
    <w:autoRedefine/>
    <w:qFormat/>
    <w:uiPriority w:val="0"/>
    <w:pPr>
      <w:spacing w:line="360" w:lineRule="auto"/>
    </w:pPr>
  </w:style>
  <w:style w:type="paragraph" w:customStyle="1" w:styleId="196">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197">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198">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99">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20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01">
    <w:name w:val="项目符号，二级"/>
    <w:basedOn w:val="188"/>
    <w:next w:val="188"/>
    <w:autoRedefine/>
    <w:qFormat/>
    <w:uiPriority w:val="0"/>
    <w:pPr>
      <w:numPr>
        <w:ilvl w:val="0"/>
        <w:numId w:val="1"/>
      </w:numPr>
      <w:tabs>
        <w:tab w:val="left" w:pos="1211"/>
        <w:tab w:val="left" w:pos="1337"/>
      </w:tabs>
      <w:ind w:left="1337" w:right="-27" w:firstLine="480"/>
    </w:pPr>
    <w:rPr>
      <w:bCs w:val="0"/>
      <w:color w:val="000000"/>
      <w:sz w:val="24"/>
      <w:szCs w:val="24"/>
    </w:rPr>
  </w:style>
  <w:style w:type="paragraph" w:customStyle="1" w:styleId="20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3">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204">
    <w:name w:val="Test2"/>
    <w:basedOn w:val="5"/>
    <w:autoRedefine/>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05">
    <w:name w:val="标题2，章节第二层"/>
    <w:basedOn w:val="1"/>
    <w:next w:val="188"/>
    <w:autoRedefine/>
    <w:qFormat/>
    <w:uiPriority w:val="0"/>
    <w:pPr>
      <w:numPr>
        <w:ilvl w:val="4"/>
        <w:numId w:val="2"/>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06">
    <w:name w:val="正文lzq"/>
    <w:basedOn w:val="1"/>
    <w:autoRedefine/>
    <w:qFormat/>
    <w:uiPriority w:val="0"/>
    <w:pPr>
      <w:adjustRightInd w:val="0"/>
      <w:spacing w:line="360" w:lineRule="auto"/>
      <w:ind w:firstLine="480"/>
      <w:textAlignment w:val="baseline"/>
    </w:pPr>
    <w:rPr>
      <w:kern w:val="0"/>
      <w:sz w:val="24"/>
    </w:rPr>
  </w:style>
  <w:style w:type="paragraph" w:customStyle="1" w:styleId="207">
    <w:name w:val="Char1 Char Char Char"/>
    <w:basedOn w:val="1"/>
    <w:autoRedefine/>
    <w:qFormat/>
    <w:uiPriority w:val="0"/>
    <w:rPr>
      <w:rFonts w:ascii="Tahoma" w:hAnsi="Tahoma"/>
      <w:sz w:val="24"/>
    </w:rPr>
  </w:style>
  <w:style w:type="paragraph" w:customStyle="1" w:styleId="208">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09">
    <w:name w:val="表头_5"/>
    <w:basedOn w:val="1"/>
    <w:autoRedefine/>
    <w:qFormat/>
    <w:uiPriority w:val="0"/>
    <w:pPr>
      <w:adjustRightInd w:val="0"/>
      <w:spacing w:line="360" w:lineRule="auto"/>
      <w:textAlignment w:val="baseline"/>
    </w:pPr>
    <w:rPr>
      <w:b/>
      <w:bCs/>
      <w:sz w:val="28"/>
      <w:szCs w:val="21"/>
    </w:rPr>
  </w:style>
  <w:style w:type="paragraph" w:customStyle="1" w:styleId="210">
    <w:name w:val="font7"/>
    <w:basedOn w:val="1"/>
    <w:autoRedefine/>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11">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212">
    <w:name w:val="小四 段落 宋体"/>
    <w:basedOn w:val="20"/>
    <w:autoRedefine/>
    <w:qFormat/>
    <w:uiPriority w:val="0"/>
    <w:pPr>
      <w:tabs>
        <w:tab w:val="clear" w:pos="2952"/>
      </w:tabs>
      <w:spacing w:line="360" w:lineRule="auto"/>
      <w:ind w:left="113" w:right="113" w:firstLine="425"/>
      <w:jc w:val="left"/>
    </w:pPr>
    <w:rPr>
      <w:sz w:val="24"/>
    </w:rPr>
  </w:style>
  <w:style w:type="paragraph" w:customStyle="1" w:styleId="2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4">
    <w:name w:val="正文1"/>
    <w:basedOn w:val="1"/>
    <w:next w:val="1"/>
    <w:autoRedefine/>
    <w:qFormat/>
    <w:uiPriority w:val="0"/>
    <w:pPr>
      <w:spacing w:before="156" w:line="360" w:lineRule="auto"/>
      <w:ind w:firstLine="510" w:firstLineChars="200"/>
    </w:pPr>
    <w:rPr>
      <w:sz w:val="24"/>
    </w:rPr>
  </w:style>
  <w:style w:type="paragraph" w:customStyle="1" w:styleId="21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21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7">
    <w:name w:val="样式1"/>
    <w:basedOn w:val="1"/>
    <w:autoRedefine/>
    <w:qFormat/>
    <w:uiPriority w:val="0"/>
    <w:pPr>
      <w:spacing w:line="300" w:lineRule="auto"/>
      <w:ind w:firstLine="480" w:firstLineChars="200"/>
    </w:pPr>
    <w:rPr>
      <w:sz w:val="24"/>
      <w:szCs w:val="24"/>
    </w:rPr>
  </w:style>
  <w:style w:type="paragraph" w:customStyle="1" w:styleId="218">
    <w:name w:val="Char Char"/>
    <w:basedOn w:val="1"/>
    <w:autoRedefine/>
    <w:qFormat/>
    <w:uiPriority w:val="0"/>
    <w:rPr>
      <w:rFonts w:ascii="Tahoma" w:hAnsi="Tahoma"/>
      <w:sz w:val="24"/>
    </w:rPr>
  </w:style>
  <w:style w:type="paragraph" w:customStyle="1" w:styleId="219">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2"/>
    <w:basedOn w:val="1"/>
    <w:autoRedefine/>
    <w:qFormat/>
    <w:uiPriority w:val="0"/>
    <w:pPr>
      <w:spacing w:after="156" w:afterLines="50" w:line="360" w:lineRule="auto"/>
    </w:pPr>
    <w:rPr>
      <w:rFonts w:ascii="Tahoma" w:hAnsi="Tahoma"/>
      <w:sz w:val="24"/>
    </w:rPr>
  </w:style>
  <w:style w:type="paragraph" w:customStyle="1" w:styleId="221">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222">
    <w:name w:val="二级条标题"/>
    <w:basedOn w:val="1"/>
    <w:next w:val="166"/>
    <w:autoRedefine/>
    <w:qFormat/>
    <w:uiPriority w:val="0"/>
    <w:pPr>
      <w:widowControl/>
      <w:tabs>
        <w:tab w:val="left" w:pos="2240"/>
      </w:tabs>
      <w:ind w:hanging="420"/>
      <w:outlineLvl w:val="3"/>
    </w:pPr>
    <w:rPr>
      <w:rFonts w:eastAsia="黑体"/>
      <w:kern w:val="0"/>
    </w:rPr>
  </w:style>
  <w:style w:type="paragraph" w:customStyle="1" w:styleId="223">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24">
    <w:name w:val="插图"/>
    <w:basedOn w:val="1"/>
    <w:autoRedefine/>
    <w:qFormat/>
    <w:uiPriority w:val="0"/>
    <w:pPr>
      <w:tabs>
        <w:tab w:val="left" w:pos="1620"/>
      </w:tabs>
      <w:adjustRightInd w:val="0"/>
      <w:jc w:val="center"/>
    </w:pPr>
    <w:rPr>
      <w:bCs/>
      <w:color w:val="000000"/>
      <w:szCs w:val="22"/>
    </w:rPr>
  </w:style>
  <w:style w:type="paragraph" w:customStyle="1" w:styleId="225">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26">
    <w:name w:val="标题3，章节第三层"/>
    <w:basedOn w:val="1"/>
    <w:next w:val="188"/>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27">
    <w:name w:val="正文2"/>
    <w:basedOn w:val="1"/>
    <w:autoRedefine/>
    <w:qFormat/>
    <w:uiPriority w:val="0"/>
    <w:pPr>
      <w:spacing w:before="156" w:line="360" w:lineRule="auto"/>
      <w:ind w:firstLine="510" w:firstLineChars="200"/>
    </w:pPr>
    <w:rPr>
      <w:sz w:val="24"/>
    </w:rPr>
  </w:style>
  <w:style w:type="paragraph" w:customStyle="1" w:styleId="228">
    <w:name w:val="样式 样式 标题 3H3sect1.2.3BOD 0Heading 3 - oldh3l3CTLevel 3 Head... +..."/>
    <w:basedOn w:val="1"/>
    <w:autoRedefine/>
    <w:qFormat/>
    <w:uiPriority w:val="0"/>
    <w:pPr>
      <w:keepNext/>
      <w:keepLines/>
      <w:spacing w:before="156" w:beforeLines="50" w:after="156" w:afterLines="50"/>
      <w:jc w:val="left"/>
      <w:outlineLvl w:val="2"/>
    </w:pPr>
    <w:rPr>
      <w:rFonts w:cs="宋体"/>
      <w:b/>
      <w:bCs/>
      <w:sz w:val="24"/>
    </w:rPr>
  </w:style>
  <w:style w:type="paragraph" w:customStyle="1" w:styleId="229">
    <w:name w:val="项目符号：一级"/>
    <w:basedOn w:val="188"/>
    <w:next w:val="188"/>
    <w:autoRedefine/>
    <w:qFormat/>
    <w:uiPriority w:val="0"/>
    <w:pPr>
      <w:ind w:right="-134" w:rightChars="-64"/>
    </w:pPr>
    <w:rPr>
      <w:bCs w:val="0"/>
    </w:rPr>
  </w:style>
  <w:style w:type="paragraph" w:customStyle="1" w:styleId="230">
    <w:name w:val="Char Char Char Char Char Char Char Char Char Char Char Char Char Char"/>
    <w:basedOn w:val="1"/>
    <w:autoRedefine/>
    <w:qFormat/>
    <w:uiPriority w:val="0"/>
    <w:rPr>
      <w:rFonts w:ascii="Tahoma" w:hAnsi="Tahoma"/>
      <w:sz w:val="24"/>
    </w:rPr>
  </w:style>
  <w:style w:type="paragraph" w:customStyle="1" w:styleId="231">
    <w:name w:val="Char Char Char"/>
    <w:basedOn w:val="1"/>
    <w:autoRedefine/>
    <w:qFormat/>
    <w:uiPriority w:val="0"/>
    <w:rPr>
      <w:rFonts w:ascii="Tahoma" w:hAnsi="Tahoma"/>
      <w:sz w:val="24"/>
    </w:rPr>
  </w:style>
  <w:style w:type="paragraph" w:customStyle="1" w:styleId="232">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33">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234">
    <w:name w:val="Char Char Char Char Char Char Char Char Char Char Char"/>
    <w:basedOn w:val="1"/>
    <w:autoRedefine/>
    <w:qFormat/>
    <w:uiPriority w:val="0"/>
    <w:rPr>
      <w:rFonts w:ascii="Tahoma" w:hAnsi="Tahoma"/>
      <w:sz w:val="24"/>
    </w:rPr>
  </w:style>
  <w:style w:type="character" w:customStyle="1" w:styleId="235">
    <w:name w:val="纯文本 Char Char Char1"/>
    <w:autoRedefine/>
    <w:qFormat/>
    <w:uiPriority w:val="0"/>
    <w:rPr>
      <w:rFonts w:ascii="宋体" w:hAnsi="Courier New" w:eastAsia="宋体"/>
      <w:kern w:val="2"/>
      <w:sz w:val="21"/>
      <w:szCs w:val="21"/>
      <w:lang w:val="en-US" w:eastAsia="zh-CN" w:bidi="ar-SA"/>
    </w:rPr>
  </w:style>
  <w:style w:type="character" w:customStyle="1" w:styleId="236">
    <w:name w:val="标准小四 Char"/>
    <w:autoRedefine/>
    <w:qFormat/>
    <w:uiPriority w:val="0"/>
    <w:rPr>
      <w:rFonts w:ascii="Arial" w:hAnsi="Arial" w:eastAsia="宋体"/>
      <w:kern w:val="2"/>
      <w:sz w:val="24"/>
      <w:szCs w:val="21"/>
      <w:lang w:val="en-US" w:eastAsia="zh-CN" w:bidi="ar-SA"/>
    </w:rPr>
  </w:style>
  <w:style w:type="character" w:customStyle="1" w:styleId="237">
    <w:name w:val="标准文本 Char"/>
    <w:autoRedefine/>
    <w:qFormat/>
    <w:uiPriority w:val="0"/>
    <w:rPr>
      <w:rFonts w:eastAsia="宋体" w:cs="宋体"/>
      <w:kern w:val="2"/>
      <w:sz w:val="24"/>
      <w:szCs w:val="24"/>
      <w:lang w:val="en-US" w:eastAsia="zh-CN" w:bidi="ar-SA"/>
    </w:rPr>
  </w:style>
  <w:style w:type="character" w:customStyle="1" w:styleId="238">
    <w:name w:val="小四 段落 宋体 Char Char Char Char Char"/>
    <w:autoRedefine/>
    <w:qFormat/>
    <w:uiPriority w:val="0"/>
    <w:rPr>
      <w:rFonts w:eastAsia="宋体"/>
      <w:kern w:val="2"/>
      <w:sz w:val="24"/>
      <w:szCs w:val="24"/>
      <w:lang w:val="en-US" w:eastAsia="zh-CN" w:bidi="ar-SA"/>
    </w:rPr>
  </w:style>
  <w:style w:type="character" w:customStyle="1" w:styleId="239">
    <w:name w:val="华宇段落1 Char Char"/>
    <w:autoRedefine/>
    <w:qFormat/>
    <w:uiPriority w:val="0"/>
    <w:rPr>
      <w:rFonts w:eastAsia="宋体"/>
      <w:bCs/>
      <w:kern w:val="2"/>
      <w:sz w:val="24"/>
      <w:szCs w:val="24"/>
      <w:lang w:val="en-US" w:eastAsia="zh-CN" w:bidi="ar-SA"/>
    </w:rPr>
  </w:style>
  <w:style w:type="paragraph" w:customStyle="1" w:styleId="240">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4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242">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43">
    <w:name w:val="Char Char Char Char Char Char Char Char Char"/>
    <w:basedOn w:val="1"/>
    <w:autoRedefine/>
    <w:qFormat/>
    <w:uiPriority w:val="0"/>
    <w:pPr>
      <w:tabs>
        <w:tab w:val="left" w:pos="360"/>
      </w:tabs>
      <w:ind w:left="360" w:hanging="360" w:hangingChars="200"/>
    </w:pPr>
    <w:rPr>
      <w:sz w:val="24"/>
      <w:szCs w:val="24"/>
    </w:rPr>
  </w:style>
  <w:style w:type="paragraph" w:customStyle="1" w:styleId="244">
    <w:name w:val="符号与编号 Char Char"/>
    <w:basedOn w:val="1"/>
    <w:autoRedefine/>
    <w:qFormat/>
    <w:uiPriority w:val="0"/>
    <w:pPr>
      <w:tabs>
        <w:tab w:val="left" w:pos="840"/>
      </w:tabs>
      <w:spacing w:after="156" w:afterLines="50" w:line="400" w:lineRule="atLeast"/>
      <w:ind w:left="839" w:hanging="419"/>
    </w:pPr>
    <w:rPr>
      <w:sz w:val="24"/>
      <w:szCs w:val="24"/>
    </w:rPr>
  </w:style>
  <w:style w:type="paragraph" w:customStyle="1" w:styleId="245">
    <w:name w:val="符号与编号 Char"/>
    <w:basedOn w:val="1"/>
    <w:autoRedefine/>
    <w:qFormat/>
    <w:uiPriority w:val="0"/>
    <w:pPr>
      <w:tabs>
        <w:tab w:val="left" w:pos="720"/>
      </w:tabs>
      <w:spacing w:after="156" w:afterLines="50" w:line="400" w:lineRule="atLeast"/>
      <w:ind w:left="720"/>
    </w:pPr>
    <w:rPr>
      <w:sz w:val="24"/>
      <w:szCs w:val="24"/>
    </w:rPr>
  </w:style>
  <w:style w:type="paragraph" w:customStyle="1" w:styleId="24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
    <w:name w:val="Char Char Char Char Char Char Char Char"/>
    <w:basedOn w:val="1"/>
    <w:autoRedefine/>
    <w:qFormat/>
    <w:uiPriority w:val="0"/>
    <w:rPr>
      <w:rFonts w:ascii="Tahoma" w:hAnsi="Tahoma"/>
      <w:sz w:val="24"/>
    </w:rPr>
  </w:style>
  <w:style w:type="paragraph" w:customStyle="1" w:styleId="248">
    <w:name w:val="Char Char Char Char Char"/>
    <w:basedOn w:val="1"/>
    <w:autoRedefine/>
    <w:qFormat/>
    <w:uiPriority w:val="0"/>
    <w:rPr>
      <w:rFonts w:ascii="Tahoma" w:hAnsi="Tahoma"/>
      <w:sz w:val="24"/>
    </w:rPr>
  </w:style>
  <w:style w:type="paragraph" w:customStyle="1" w:styleId="249">
    <w:name w:val="Char Char Char1"/>
    <w:basedOn w:val="22"/>
    <w:autoRedefine/>
    <w:qFormat/>
    <w:uiPriority w:val="0"/>
    <w:pPr>
      <w:spacing w:line="436" w:lineRule="exact"/>
    </w:pPr>
    <w:rPr>
      <w:szCs w:val="24"/>
    </w:rPr>
  </w:style>
  <w:style w:type="character" w:customStyle="1" w:styleId="250">
    <w:name w:val="样式 首行缩进:  2 字符 Char"/>
    <w:autoRedefine/>
    <w:qFormat/>
    <w:uiPriority w:val="0"/>
    <w:rPr>
      <w:rFonts w:eastAsia="宋体" w:cs="宋体"/>
      <w:kern w:val="2"/>
      <w:sz w:val="24"/>
      <w:lang w:val="en-US" w:eastAsia="zh-CN" w:bidi="ar-SA"/>
    </w:rPr>
  </w:style>
  <w:style w:type="paragraph" w:styleId="251">
    <w:name w:val="No Spacing"/>
    <w:link w:val="25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252">
    <w:name w:val="无间隔 字符"/>
    <w:link w:val="251"/>
    <w:autoRedefine/>
    <w:qFormat/>
    <w:uiPriority w:val="0"/>
    <w:rPr>
      <w:rFonts w:ascii="Calibri" w:hAnsi="Calibri" w:eastAsia="微软雅黑"/>
      <w:kern w:val="2"/>
      <w:sz w:val="24"/>
      <w:szCs w:val="22"/>
      <w:lang w:val="en-US" w:eastAsia="zh-CN" w:bidi="ar-SA"/>
    </w:rPr>
  </w:style>
  <w:style w:type="paragraph" w:customStyle="1" w:styleId="253">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254">
    <w:name w:val="Char Char1 Char Char Char Char1 Char Char Char Char Char Char"/>
    <w:basedOn w:val="1"/>
    <w:autoRedefine/>
    <w:qFormat/>
    <w:uiPriority w:val="0"/>
    <w:rPr>
      <w:rFonts w:ascii="Tahoma" w:hAnsi="Tahoma"/>
      <w:sz w:val="24"/>
    </w:rPr>
  </w:style>
  <w:style w:type="character" w:customStyle="1" w:styleId="255">
    <w:name w:val="正文缩进 Char1"/>
    <w:link w:val="256"/>
    <w:autoRedefine/>
    <w:qFormat/>
    <w:uiPriority w:val="0"/>
    <w:rPr>
      <w:rFonts w:eastAsia="宋体"/>
      <w:lang w:bidi="ar-SA"/>
    </w:rPr>
  </w:style>
  <w:style w:type="paragraph" w:customStyle="1" w:styleId="256">
    <w:name w:val="正文缩进1"/>
    <w:basedOn w:val="1"/>
    <w:link w:val="255"/>
    <w:autoRedefine/>
    <w:qFormat/>
    <w:uiPriority w:val="0"/>
    <w:pPr>
      <w:ind w:firstLine="420"/>
    </w:pPr>
    <w:rPr>
      <w:kern w:val="0"/>
      <w:sz w:val="20"/>
    </w:rPr>
  </w:style>
  <w:style w:type="paragraph" w:customStyle="1" w:styleId="257">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258">
    <w:name w:val="t1"/>
    <w:autoRedefine/>
    <w:qFormat/>
    <w:uiPriority w:val="0"/>
  </w:style>
  <w:style w:type="character" w:customStyle="1" w:styleId="259">
    <w:name w:val="纯文本 Char Char Char"/>
    <w:autoRedefine/>
    <w:qFormat/>
    <w:uiPriority w:val="0"/>
    <w:rPr>
      <w:rFonts w:ascii="宋体" w:hAnsi="Courier New" w:eastAsia="宋体"/>
      <w:kern w:val="2"/>
      <w:sz w:val="21"/>
      <w:szCs w:val="21"/>
      <w:lang w:val="en-US" w:eastAsia="zh-CN" w:bidi="ar-SA"/>
    </w:rPr>
  </w:style>
  <w:style w:type="paragraph" w:customStyle="1" w:styleId="260">
    <w:name w:val="样式 段后: 0.25 行"/>
    <w:basedOn w:val="1"/>
    <w:autoRedefine/>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styleId="261">
    <w:name w:val="Quote"/>
    <w:basedOn w:val="1"/>
    <w:next w:val="1"/>
    <w:link w:val="262"/>
    <w:autoRedefine/>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262">
    <w:name w:val="引用 字符"/>
    <w:link w:val="261"/>
    <w:autoRedefine/>
    <w:qFormat/>
    <w:uiPriority w:val="0"/>
    <w:rPr>
      <w:rFonts w:ascii="Calibri" w:hAnsi="Calibri" w:eastAsia="宋体"/>
      <w:i/>
      <w:iCs/>
      <w:sz w:val="22"/>
      <w:szCs w:val="22"/>
      <w:lang w:val="en-US" w:eastAsia="en-US" w:bidi="en-US"/>
    </w:rPr>
  </w:style>
  <w:style w:type="paragraph" w:styleId="263">
    <w:name w:val="Intense Quote"/>
    <w:basedOn w:val="1"/>
    <w:next w:val="1"/>
    <w:link w:val="264"/>
    <w:autoRedefine/>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264">
    <w:name w:val="明显引用 字符"/>
    <w:link w:val="263"/>
    <w:autoRedefine/>
    <w:qFormat/>
    <w:uiPriority w:val="0"/>
    <w:rPr>
      <w:rFonts w:ascii="Calibri" w:hAnsi="Calibri" w:eastAsia="宋体"/>
      <w:b/>
      <w:bCs/>
      <w:i/>
      <w:iCs/>
      <w:sz w:val="22"/>
      <w:szCs w:val="22"/>
      <w:lang w:val="en-US" w:eastAsia="en-US" w:bidi="en-US"/>
    </w:rPr>
  </w:style>
  <w:style w:type="character" w:customStyle="1" w:styleId="265">
    <w:name w:val="_Style 259"/>
    <w:autoRedefine/>
    <w:qFormat/>
    <w:uiPriority w:val="0"/>
    <w:rPr>
      <w:i/>
      <w:iCs/>
    </w:rPr>
  </w:style>
  <w:style w:type="character" w:customStyle="1" w:styleId="266">
    <w:name w:val="_Style 260"/>
    <w:autoRedefine/>
    <w:qFormat/>
    <w:uiPriority w:val="0"/>
    <w:rPr>
      <w:b/>
      <w:bCs/>
    </w:rPr>
  </w:style>
  <w:style w:type="character" w:customStyle="1" w:styleId="267">
    <w:name w:val="_Style 261"/>
    <w:autoRedefine/>
    <w:qFormat/>
    <w:uiPriority w:val="0"/>
    <w:rPr>
      <w:smallCaps/>
    </w:rPr>
  </w:style>
  <w:style w:type="character" w:customStyle="1" w:styleId="268">
    <w:name w:val="_Style 262"/>
    <w:autoRedefine/>
    <w:qFormat/>
    <w:uiPriority w:val="0"/>
    <w:rPr>
      <w:smallCaps/>
      <w:spacing w:val="5"/>
      <w:u w:val="single"/>
    </w:rPr>
  </w:style>
  <w:style w:type="character" w:customStyle="1" w:styleId="269">
    <w:name w:val="_Style 263"/>
    <w:autoRedefine/>
    <w:qFormat/>
    <w:uiPriority w:val="0"/>
    <w:rPr>
      <w:i/>
      <w:iCs/>
      <w:smallCaps/>
      <w:spacing w:val="5"/>
    </w:rPr>
  </w:style>
  <w:style w:type="paragraph" w:customStyle="1" w:styleId="270">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111111"/>
    <w:basedOn w:val="1"/>
    <w:link w:val="272"/>
    <w:autoRedefine/>
    <w:qFormat/>
    <w:uiPriority w:val="0"/>
    <w:pPr>
      <w:spacing w:before="120" w:after="120"/>
      <w:jc w:val="center"/>
    </w:pPr>
    <w:rPr>
      <w:rFonts w:ascii="宋体" w:hAnsi="宋体" w:eastAsia="黑体" w:cs="宋体"/>
      <w:b/>
      <w:bCs/>
      <w:szCs w:val="21"/>
    </w:rPr>
  </w:style>
  <w:style w:type="character" w:customStyle="1" w:styleId="272">
    <w:name w:val="111111 Char"/>
    <w:link w:val="271"/>
    <w:autoRedefine/>
    <w:qFormat/>
    <w:uiPriority w:val="0"/>
    <w:rPr>
      <w:rFonts w:ascii="宋体" w:hAnsi="宋体" w:eastAsia="黑体" w:cs="宋体"/>
      <w:b/>
      <w:bCs/>
      <w:kern w:val="2"/>
      <w:sz w:val="21"/>
      <w:szCs w:val="21"/>
      <w:lang w:val="en-US" w:eastAsia="zh-CN" w:bidi="ar-SA"/>
    </w:rPr>
  </w:style>
  <w:style w:type="character" w:customStyle="1" w:styleId="273">
    <w:name w:val="Char Char27"/>
    <w:autoRedefine/>
    <w:qFormat/>
    <w:uiPriority w:val="0"/>
    <w:rPr>
      <w:b/>
      <w:bCs/>
      <w:kern w:val="44"/>
      <w:sz w:val="44"/>
      <w:szCs w:val="44"/>
    </w:rPr>
  </w:style>
  <w:style w:type="character" w:customStyle="1" w:styleId="274">
    <w:name w:val="Char Char26"/>
    <w:autoRedefine/>
    <w:qFormat/>
    <w:uiPriority w:val="0"/>
    <w:rPr>
      <w:b/>
      <w:bCs/>
      <w:kern w:val="2"/>
      <w:sz w:val="32"/>
      <w:szCs w:val="32"/>
    </w:rPr>
  </w:style>
  <w:style w:type="character" w:customStyle="1" w:styleId="275">
    <w:name w:val="Char Char25"/>
    <w:autoRedefine/>
    <w:qFormat/>
    <w:uiPriority w:val="0"/>
    <w:rPr>
      <w:rFonts w:ascii="Arial" w:hAnsi="Arial" w:eastAsia="黑体"/>
      <w:b/>
      <w:kern w:val="2"/>
      <w:sz w:val="28"/>
    </w:rPr>
  </w:style>
  <w:style w:type="character" w:customStyle="1" w:styleId="276">
    <w:name w:val="Char Char24"/>
    <w:autoRedefine/>
    <w:qFormat/>
    <w:uiPriority w:val="0"/>
    <w:rPr>
      <w:b/>
      <w:bCs/>
      <w:kern w:val="2"/>
      <w:sz w:val="28"/>
      <w:szCs w:val="28"/>
    </w:rPr>
  </w:style>
  <w:style w:type="character" w:customStyle="1" w:styleId="277">
    <w:name w:val="Char Char23"/>
    <w:autoRedefine/>
    <w:qFormat/>
    <w:uiPriority w:val="0"/>
    <w:rPr>
      <w:rFonts w:ascii="Arial" w:hAnsi="Arial" w:eastAsia="黑体"/>
      <w:b/>
      <w:bCs/>
      <w:kern w:val="2"/>
      <w:sz w:val="24"/>
      <w:szCs w:val="24"/>
    </w:rPr>
  </w:style>
  <w:style w:type="character" w:customStyle="1" w:styleId="278">
    <w:name w:val="Char Char22"/>
    <w:autoRedefine/>
    <w:qFormat/>
    <w:uiPriority w:val="0"/>
    <w:rPr>
      <w:b/>
      <w:bCs/>
      <w:kern w:val="2"/>
      <w:sz w:val="24"/>
      <w:szCs w:val="24"/>
    </w:rPr>
  </w:style>
  <w:style w:type="character" w:customStyle="1" w:styleId="279">
    <w:name w:val="Char Char21"/>
    <w:autoRedefine/>
    <w:qFormat/>
    <w:uiPriority w:val="0"/>
    <w:rPr>
      <w:rFonts w:ascii="Arial" w:hAnsi="Arial" w:eastAsia="黑体"/>
      <w:kern w:val="2"/>
      <w:sz w:val="24"/>
      <w:szCs w:val="24"/>
    </w:rPr>
  </w:style>
  <w:style w:type="character" w:customStyle="1" w:styleId="280">
    <w:name w:val="Char Char20"/>
    <w:autoRedefine/>
    <w:qFormat/>
    <w:uiPriority w:val="0"/>
    <w:rPr>
      <w:rFonts w:ascii="Arial" w:hAnsi="Arial" w:eastAsia="黑体"/>
      <w:kern w:val="2"/>
      <w:sz w:val="21"/>
      <w:szCs w:val="21"/>
    </w:rPr>
  </w:style>
  <w:style w:type="character" w:customStyle="1" w:styleId="281">
    <w:name w:val="Char Char17"/>
    <w:autoRedefine/>
    <w:qFormat/>
    <w:uiPriority w:val="0"/>
    <w:rPr>
      <w:rFonts w:ascii="宋体" w:hAnsi="Courier New"/>
      <w:kern w:val="2"/>
      <w:sz w:val="21"/>
      <w:szCs w:val="21"/>
    </w:rPr>
  </w:style>
  <w:style w:type="paragraph" w:customStyle="1" w:styleId="282">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283">
    <w:name w:val="纯文本 Char1"/>
    <w:autoRedefine/>
    <w:qFormat/>
    <w:uiPriority w:val="0"/>
    <w:rPr>
      <w:rFonts w:ascii="宋体" w:hAnsi="Courier New" w:cs="Courier New"/>
      <w:kern w:val="2"/>
      <w:sz w:val="21"/>
      <w:szCs w:val="21"/>
    </w:rPr>
  </w:style>
  <w:style w:type="character" w:customStyle="1" w:styleId="284">
    <w:name w:val="样式 非加粗"/>
    <w:autoRedefine/>
    <w:qFormat/>
    <w:uiPriority w:val="0"/>
    <w:rPr>
      <w:rFonts w:eastAsia="宋体"/>
      <w:sz w:val="28"/>
    </w:rPr>
  </w:style>
  <w:style w:type="paragraph" w:customStyle="1" w:styleId="285">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character" w:customStyle="1" w:styleId="286">
    <w:name w:val="A2"/>
    <w:autoRedefine/>
    <w:qFormat/>
    <w:uiPriority w:val="0"/>
    <w:rPr>
      <w:rFonts w:cs="Helvetica"/>
      <w:color w:val="000000"/>
      <w:sz w:val="18"/>
      <w:szCs w:val="18"/>
    </w:rPr>
  </w:style>
  <w:style w:type="paragraph" w:customStyle="1" w:styleId="287">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8">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9">
    <w:name w:val="列出段落2"/>
    <w:basedOn w:val="1"/>
    <w:autoRedefine/>
    <w:qFormat/>
    <w:uiPriority w:val="0"/>
    <w:pPr>
      <w:widowControl/>
      <w:ind w:left="720"/>
      <w:jc w:val="left"/>
    </w:pPr>
    <w:rPr>
      <w:rFonts w:ascii="Arial" w:hAnsi="Arial" w:eastAsia="黑体" w:cs="Arial"/>
      <w:kern w:val="0"/>
      <w:sz w:val="24"/>
      <w:szCs w:val="24"/>
      <w:lang w:eastAsia="en-US"/>
    </w:rPr>
  </w:style>
  <w:style w:type="character" w:customStyle="1" w:styleId="290">
    <w:name w:val="Char Char29"/>
    <w:autoRedefine/>
    <w:qFormat/>
    <w:uiPriority w:val="0"/>
    <w:rPr>
      <w:rFonts w:ascii="Times New Roman" w:hAnsi="Times New Roman" w:eastAsia="宋体" w:cs="Times New Roman"/>
      <w:b/>
      <w:bCs/>
      <w:kern w:val="44"/>
      <w:sz w:val="44"/>
      <w:szCs w:val="44"/>
    </w:rPr>
  </w:style>
  <w:style w:type="character" w:customStyle="1" w:styleId="291">
    <w:name w:val="Char Char28"/>
    <w:autoRedefine/>
    <w:qFormat/>
    <w:uiPriority w:val="0"/>
    <w:rPr>
      <w:rFonts w:ascii="Arial" w:hAnsi="Arial" w:eastAsia="黑体" w:cs="Arial"/>
      <w:b/>
      <w:bCs/>
      <w:sz w:val="32"/>
      <w:szCs w:val="32"/>
    </w:rPr>
  </w:style>
  <w:style w:type="paragraph" w:customStyle="1" w:styleId="292">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93">
    <w:name w:val="我的正文"/>
    <w:basedOn w:val="1"/>
    <w:autoRedefine/>
    <w:qFormat/>
    <w:uiPriority w:val="0"/>
    <w:pPr>
      <w:widowControl/>
      <w:spacing w:line="360" w:lineRule="auto"/>
      <w:ind w:firstLine="420"/>
      <w:jc w:val="left"/>
    </w:pPr>
    <w:rPr>
      <w:rFonts w:ascii="宋体" w:hAnsi="宋体" w:cs="宋体"/>
      <w:kern w:val="0"/>
      <w:szCs w:val="21"/>
    </w:rPr>
  </w:style>
  <w:style w:type="paragraph" w:customStyle="1" w:styleId="294">
    <w:name w:val="表格"/>
    <w:basedOn w:val="1"/>
    <w:autoRedefine/>
    <w:qFormat/>
    <w:uiPriority w:val="0"/>
    <w:pPr>
      <w:snapToGrid w:val="0"/>
      <w:ind w:firstLine="21" w:firstLineChars="21"/>
    </w:pPr>
    <w:rPr>
      <w:rFonts w:ascii="宋体" w:hAnsi="宋体" w:cs="宋体"/>
      <w:kern w:val="0"/>
      <w:sz w:val="20"/>
    </w:rPr>
  </w:style>
  <w:style w:type="paragraph" w:customStyle="1" w:styleId="295">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29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7">
    <w:name w:val="Char Char11"/>
    <w:basedOn w:val="1"/>
    <w:autoRedefine/>
    <w:qFormat/>
    <w:uiPriority w:val="0"/>
    <w:rPr>
      <w:rFonts w:ascii="Tahoma" w:hAnsi="Tahoma" w:cs="Tahoma"/>
      <w:sz w:val="24"/>
    </w:rPr>
  </w:style>
  <w:style w:type="paragraph" w:customStyle="1" w:styleId="298">
    <w:name w:val="Char Char Char Char Char Char Char Char Char Char Char1"/>
    <w:basedOn w:val="1"/>
    <w:autoRedefine/>
    <w:qFormat/>
    <w:uiPriority w:val="0"/>
    <w:rPr>
      <w:rFonts w:ascii="Tahoma" w:hAnsi="Tahoma" w:cs="Tahoma"/>
      <w:sz w:val="24"/>
    </w:rPr>
  </w:style>
  <w:style w:type="paragraph" w:customStyle="1" w:styleId="299">
    <w:name w:val="纯文本1"/>
    <w:basedOn w:val="1"/>
    <w:autoRedefine/>
    <w:qFormat/>
    <w:uiPriority w:val="0"/>
    <w:pPr>
      <w:adjustRightInd w:val="0"/>
      <w:textAlignment w:val="baseline"/>
    </w:pPr>
    <w:rPr>
      <w:rFonts w:ascii="宋体" w:hAnsi="宋体" w:eastAsia="楷体_GB2312" w:cs="宋体"/>
      <w:sz w:val="28"/>
    </w:rPr>
  </w:style>
  <w:style w:type="paragraph" w:customStyle="1" w:styleId="300">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0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02">
    <w:name w:val="Char Char Char Char Char Char Char Char1"/>
    <w:basedOn w:val="1"/>
    <w:autoRedefine/>
    <w:qFormat/>
    <w:uiPriority w:val="0"/>
    <w:rPr>
      <w:rFonts w:ascii="Tahoma" w:hAnsi="Tahoma" w:cs="Tahoma"/>
      <w:sz w:val="24"/>
    </w:rPr>
  </w:style>
  <w:style w:type="paragraph" w:customStyle="1" w:styleId="303">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0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0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7">
    <w:name w:val="Char Char Char Char Char Char Char Char Char Char Char Char Char Char1"/>
    <w:basedOn w:val="1"/>
    <w:autoRedefine/>
    <w:qFormat/>
    <w:uiPriority w:val="0"/>
    <w:rPr>
      <w:rFonts w:ascii="Tahoma" w:hAnsi="Tahoma" w:cs="Tahoma"/>
      <w:sz w:val="24"/>
    </w:rPr>
  </w:style>
  <w:style w:type="paragraph" w:customStyle="1" w:styleId="308">
    <w:name w:val="font9"/>
    <w:basedOn w:val="1"/>
    <w:autoRedefine/>
    <w:qFormat/>
    <w:uiPriority w:val="0"/>
    <w:pPr>
      <w:widowControl/>
      <w:spacing w:before="100" w:beforeAutospacing="1" w:after="100" w:afterAutospacing="1"/>
      <w:jc w:val="left"/>
    </w:pPr>
    <w:rPr>
      <w:b/>
      <w:bCs/>
      <w:kern w:val="0"/>
      <w:sz w:val="20"/>
    </w:rPr>
  </w:style>
  <w:style w:type="paragraph" w:customStyle="1" w:styleId="30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11">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12">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1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15">
    <w:name w:val="Char Char Char Char Char1"/>
    <w:basedOn w:val="1"/>
    <w:autoRedefine/>
    <w:qFormat/>
    <w:uiPriority w:val="0"/>
    <w:rPr>
      <w:rFonts w:ascii="Tahoma" w:hAnsi="Tahoma" w:cs="Tahoma"/>
      <w:sz w:val="24"/>
    </w:rPr>
  </w:style>
  <w:style w:type="paragraph" w:customStyle="1" w:styleId="31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8">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0">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3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2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2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4">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7">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32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3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331">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3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3">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4">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35">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336">
    <w:name w:val="font14"/>
    <w:basedOn w:val="1"/>
    <w:autoRedefine/>
    <w:qFormat/>
    <w:uiPriority w:val="0"/>
    <w:pPr>
      <w:widowControl/>
      <w:spacing w:before="100" w:beforeAutospacing="1" w:after="100" w:afterAutospacing="1"/>
      <w:jc w:val="left"/>
    </w:pPr>
    <w:rPr>
      <w:kern w:val="0"/>
      <w:sz w:val="36"/>
      <w:szCs w:val="36"/>
    </w:rPr>
  </w:style>
  <w:style w:type="paragraph" w:customStyle="1" w:styleId="33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3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4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标题3"/>
    <w:basedOn w:val="7"/>
    <w:autoRedefine/>
    <w:qFormat/>
    <w:uiPriority w:val="0"/>
    <w:pPr>
      <w:keepNext w:val="0"/>
      <w:keepLines w:val="0"/>
      <w:spacing w:line="360" w:lineRule="auto"/>
    </w:pPr>
    <w:rPr>
      <w:rFonts w:eastAsia="仿宋_GB2312"/>
      <w:b w:val="0"/>
      <w:bCs/>
      <w:kern w:val="0"/>
      <w:sz w:val="30"/>
      <w:szCs w:val="32"/>
    </w:rPr>
  </w:style>
  <w:style w:type="paragraph" w:customStyle="1" w:styleId="3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4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346">
    <w:name w:val="Char1 Char Char Char1"/>
    <w:basedOn w:val="1"/>
    <w:autoRedefine/>
    <w:qFormat/>
    <w:uiPriority w:val="0"/>
    <w:rPr>
      <w:rFonts w:ascii="Tahoma" w:hAnsi="Tahoma" w:cs="Tahoma"/>
      <w:sz w:val="24"/>
    </w:rPr>
  </w:style>
  <w:style w:type="paragraph" w:customStyle="1" w:styleId="347">
    <w:name w:val="Char Char1 Char Char Char Char Char Char Char"/>
    <w:basedOn w:val="1"/>
    <w:autoRedefine/>
    <w:qFormat/>
    <w:uiPriority w:val="0"/>
    <w:rPr>
      <w:rFonts w:ascii="Tahoma" w:hAnsi="Tahoma" w:cs="Tahoma"/>
      <w:sz w:val="24"/>
    </w:rPr>
  </w:style>
  <w:style w:type="paragraph" w:customStyle="1" w:styleId="348">
    <w:name w:val="Char Char Char Char Char Char"/>
    <w:basedOn w:val="1"/>
    <w:autoRedefine/>
    <w:qFormat/>
    <w:uiPriority w:val="0"/>
    <w:rPr>
      <w:rFonts w:ascii="Tahoma" w:hAnsi="Tahoma" w:cs="Tahoma"/>
      <w:sz w:val="24"/>
    </w:rPr>
  </w:style>
  <w:style w:type="paragraph" w:customStyle="1" w:styleId="349">
    <w:name w:val="正文文本 21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50">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1">
    <w:name w:val="普通文字"/>
    <w:basedOn w:val="1"/>
    <w:next w:val="1"/>
    <w:autoRedefine/>
    <w:qFormat/>
    <w:uiPriority w:val="0"/>
    <w:rPr>
      <w:rFonts w:ascii="宋体" w:hAnsi="宋体" w:cs="宋体"/>
      <w:kern w:val="0"/>
      <w:sz w:val="24"/>
      <w:u w:color="000000"/>
    </w:rPr>
  </w:style>
  <w:style w:type="paragraph" w:customStyle="1" w:styleId="352">
    <w:name w:val="Default Text"/>
    <w:basedOn w:val="1"/>
    <w:autoRedefine/>
    <w:qFormat/>
    <w:uiPriority w:val="0"/>
    <w:pPr>
      <w:widowControl/>
      <w:jc w:val="left"/>
    </w:pPr>
    <w:rPr>
      <w:kern w:val="0"/>
      <w:sz w:val="24"/>
      <w:lang w:eastAsia="en-US"/>
    </w:rPr>
  </w:style>
  <w:style w:type="paragraph" w:customStyle="1" w:styleId="35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54">
    <w:name w:val="Char Char3"/>
    <w:basedOn w:val="1"/>
    <w:autoRedefine/>
    <w:qFormat/>
    <w:uiPriority w:val="0"/>
    <w:rPr>
      <w:rFonts w:ascii="Tahoma" w:hAnsi="Tahoma" w:cs="Tahoma"/>
      <w:sz w:val="24"/>
    </w:rPr>
  </w:style>
  <w:style w:type="paragraph" w:customStyle="1" w:styleId="355">
    <w:name w:val="Char Char Char Char Char Char Char Char Char1"/>
    <w:basedOn w:val="1"/>
    <w:autoRedefine/>
    <w:qFormat/>
    <w:uiPriority w:val="0"/>
    <w:pPr>
      <w:tabs>
        <w:tab w:val="left" w:pos="360"/>
      </w:tabs>
      <w:ind w:left="200" w:hanging="200" w:hangingChars="200"/>
    </w:pPr>
    <w:rPr>
      <w:sz w:val="24"/>
      <w:szCs w:val="24"/>
    </w:rPr>
  </w:style>
  <w:style w:type="paragraph" w:customStyle="1" w:styleId="356">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58">
    <w:name w:val="Char Char1 Char Char Char Char"/>
    <w:basedOn w:val="22"/>
    <w:autoRedefine/>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5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60">
    <w:name w:val="Char11"/>
    <w:basedOn w:val="1"/>
    <w:autoRedefine/>
    <w:qFormat/>
    <w:uiPriority w:val="0"/>
    <w:rPr>
      <w:rFonts w:ascii="仿宋_GB2312" w:hAnsi="宋体" w:eastAsia="仿宋_GB2312" w:cs="宋体"/>
      <w:b/>
      <w:sz w:val="32"/>
      <w:szCs w:val="32"/>
    </w:rPr>
  </w:style>
  <w:style w:type="paragraph" w:customStyle="1" w:styleId="36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62">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63">
    <w:name w:val="greytypebeni"/>
    <w:basedOn w:val="1"/>
    <w:autoRedefine/>
    <w:qFormat/>
    <w:uiPriority w:val="0"/>
    <w:pPr>
      <w:widowControl/>
      <w:jc w:val="left"/>
    </w:pPr>
    <w:rPr>
      <w:rFonts w:ascii="宋体" w:hAnsi="宋体" w:cs="宋体"/>
      <w:kern w:val="0"/>
      <w:sz w:val="24"/>
      <w:szCs w:val="24"/>
    </w:rPr>
  </w:style>
  <w:style w:type="paragraph" w:customStyle="1" w:styleId="36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6">
    <w:name w:val="Char Char Char Char Char Char Char1 Char"/>
    <w:basedOn w:val="1"/>
    <w:autoRedefine/>
    <w:qFormat/>
    <w:uiPriority w:val="0"/>
    <w:rPr>
      <w:rFonts w:ascii="Tahoma" w:hAnsi="Tahoma" w:cs="Tahoma"/>
      <w:sz w:val="24"/>
    </w:rPr>
  </w:style>
  <w:style w:type="paragraph" w:customStyle="1" w:styleId="367">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8">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69">
    <w:name w:val="listbenefit"/>
    <w:autoRedefine/>
    <w:qFormat/>
    <w:uiPriority w:val="0"/>
  </w:style>
  <w:style w:type="character" w:customStyle="1" w:styleId="370">
    <w:name w:val="title_emph1"/>
    <w:autoRedefine/>
    <w:qFormat/>
    <w:uiPriority w:val="0"/>
    <w:rPr>
      <w:rFonts w:ascii="Arial" w:cs="Arial"/>
      <w:b/>
      <w:bCs/>
      <w:sz w:val="18"/>
      <w:szCs w:val="18"/>
    </w:rPr>
  </w:style>
  <w:style w:type="character" w:customStyle="1" w:styleId="371">
    <w:name w:val="已访问的超链接1"/>
    <w:autoRedefine/>
    <w:qFormat/>
    <w:uiPriority w:val="0"/>
    <w:rPr>
      <w:color w:val="auto"/>
      <w:u w:val="none"/>
    </w:rPr>
  </w:style>
  <w:style w:type="character" w:customStyle="1" w:styleId="372">
    <w:name w:val="concon"/>
    <w:autoRedefine/>
    <w:qFormat/>
    <w:uiPriority w:val="0"/>
  </w:style>
  <w:style w:type="character" w:customStyle="1" w:styleId="373">
    <w:name w:val="普通文字1 Char"/>
    <w:autoRedefine/>
    <w:qFormat/>
    <w:uiPriority w:val="0"/>
    <w:rPr>
      <w:rFonts w:ascii="宋体" w:eastAsia="宋体"/>
      <w:kern w:val="2"/>
      <w:sz w:val="21"/>
      <w:szCs w:val="21"/>
      <w:lang w:val="en-US" w:eastAsia="zh-CN" w:bidi="ar-SA"/>
    </w:rPr>
  </w:style>
  <w:style w:type="character" w:customStyle="1" w:styleId="374">
    <w:name w:val="h Char Char"/>
    <w:autoRedefine/>
    <w:qFormat/>
    <w:uiPriority w:val="0"/>
    <w:rPr>
      <w:rFonts w:eastAsia="宋体"/>
      <w:kern w:val="2"/>
      <w:sz w:val="18"/>
      <w:szCs w:val="18"/>
      <w:lang w:val="en-US" w:eastAsia="zh-CN" w:bidi="ar-SA"/>
    </w:rPr>
  </w:style>
  <w:style w:type="character" w:customStyle="1" w:styleId="375">
    <w:name w:val="case31"/>
    <w:autoRedefine/>
    <w:qFormat/>
    <w:uiPriority w:val="0"/>
    <w:rPr>
      <w:sz w:val="21"/>
      <w:szCs w:val="21"/>
    </w:rPr>
  </w:style>
  <w:style w:type="character" w:customStyle="1" w:styleId="376">
    <w:name w:val="标题 Char1"/>
    <w:autoRedefine/>
    <w:qFormat/>
    <w:uiPriority w:val="0"/>
    <w:rPr>
      <w:rFonts w:ascii="Cambria" w:eastAsia="宋体" w:cs="Times New Roman"/>
      <w:b/>
      <w:bCs/>
      <w:sz w:val="32"/>
      <w:szCs w:val="32"/>
    </w:rPr>
  </w:style>
  <w:style w:type="paragraph" w:customStyle="1" w:styleId="377">
    <w:name w:val="正文文本缩进1"/>
    <w:basedOn w:val="1"/>
    <w:autoRedefine/>
    <w:qFormat/>
    <w:uiPriority w:val="0"/>
    <w:pPr>
      <w:spacing w:after="120"/>
      <w:ind w:left="420" w:leftChars="200"/>
    </w:pPr>
    <w:rPr>
      <w:szCs w:val="24"/>
    </w:rPr>
  </w:style>
  <w:style w:type="character" w:customStyle="1" w:styleId="378">
    <w:name w:val="content"/>
    <w:autoRedefine/>
    <w:qFormat/>
    <w:uiPriority w:val="0"/>
  </w:style>
  <w:style w:type="character" w:customStyle="1" w:styleId="379">
    <w:name w:val="标题 3 Char Char"/>
    <w:autoRedefine/>
    <w:qFormat/>
    <w:uiPriority w:val="0"/>
    <w:rPr>
      <w:rFonts w:eastAsia="仿宋_GB2312"/>
      <w:b/>
      <w:bCs/>
      <w:kern w:val="2"/>
      <w:sz w:val="28"/>
      <w:szCs w:val="32"/>
      <w:lang w:val="en-US" w:eastAsia="zh-CN" w:bidi="ar-SA"/>
    </w:rPr>
  </w:style>
  <w:style w:type="character" w:customStyle="1" w:styleId="380">
    <w:name w:val="小四 段落 宋体 Char Char Char Char Char Char Char Char"/>
    <w:autoRedefine/>
    <w:qFormat/>
    <w:uiPriority w:val="0"/>
    <w:rPr>
      <w:rFonts w:eastAsia="宋体"/>
      <w:kern w:val="2"/>
      <w:sz w:val="24"/>
      <w:szCs w:val="24"/>
      <w:lang w:val="en-US" w:eastAsia="zh-CN" w:bidi="ar-SA"/>
    </w:rPr>
  </w:style>
  <w:style w:type="character" w:customStyle="1" w:styleId="381">
    <w:name w:val="纯文本 Char Char"/>
    <w:autoRedefine/>
    <w:qFormat/>
    <w:uiPriority w:val="0"/>
    <w:rPr>
      <w:rFonts w:ascii="宋体" w:hAnsi="Courier New" w:eastAsia="宋体"/>
      <w:kern w:val="2"/>
      <w:sz w:val="21"/>
      <w:szCs w:val="21"/>
      <w:lang w:val="en-US" w:eastAsia="zh-CN" w:bidi="ar-SA"/>
    </w:rPr>
  </w:style>
  <w:style w:type="paragraph" w:customStyle="1" w:styleId="382">
    <w:name w:val="_Style 376"/>
    <w:autoRedefine/>
    <w:semiHidden/>
    <w:qFormat/>
    <w:uiPriority w:val="0"/>
    <w:rPr>
      <w:rFonts w:ascii="Times New Roman" w:hAnsi="Times New Roman" w:eastAsia="宋体" w:cs="Times New Roman"/>
      <w:kern w:val="2"/>
      <w:sz w:val="21"/>
      <w:szCs w:val="24"/>
      <w:lang w:val="en-US" w:eastAsia="zh-CN" w:bidi="ar-SA"/>
    </w:rPr>
  </w:style>
  <w:style w:type="paragraph" w:customStyle="1" w:styleId="383">
    <w:name w:val="正文3"/>
    <w:basedOn w:val="1"/>
    <w:autoRedefine/>
    <w:qFormat/>
    <w:uiPriority w:val="0"/>
    <w:rPr>
      <w:rFonts w:ascii="Calibri" w:hAnsi="Calibri" w:eastAsia="Calibri" w:cs="宋体"/>
      <w:kern w:val="0"/>
      <w:lang w:val="zh-CN"/>
    </w:rPr>
  </w:style>
  <w:style w:type="paragraph" w:customStyle="1" w:styleId="384">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character" w:customStyle="1" w:styleId="385">
    <w:name w:val="apple-converted-space"/>
    <w:autoRedefine/>
    <w:qFormat/>
    <w:uiPriority w:val="0"/>
  </w:style>
  <w:style w:type="character" w:customStyle="1" w:styleId="386">
    <w:name w:val="param-value"/>
    <w:autoRedefine/>
    <w:qFormat/>
    <w:uiPriority w:val="0"/>
  </w:style>
  <w:style w:type="paragraph" w:customStyle="1" w:styleId="387">
    <w:name w:val="中等深浅网格 1 - 强调文字颜色 21"/>
    <w:basedOn w:val="1"/>
    <w:autoRedefine/>
    <w:qFormat/>
    <w:uiPriority w:val="0"/>
    <w:pPr>
      <w:ind w:firstLine="420" w:firstLineChars="200"/>
    </w:pPr>
    <w:rPr>
      <w:rFonts w:ascii="Calibri" w:hAnsi="Calibri"/>
      <w:szCs w:val="22"/>
    </w:rPr>
  </w:style>
  <w:style w:type="paragraph" w:customStyle="1" w:styleId="388">
    <w:name w:val="新图表正文"/>
    <w:link w:val="389"/>
    <w:autoRedefine/>
    <w:qFormat/>
    <w:uiPriority w:val="0"/>
    <w:pPr>
      <w:jc w:val="both"/>
    </w:pPr>
    <w:rPr>
      <w:rFonts w:ascii="宋体" w:hAnsi="宋体" w:eastAsia="宋体" w:cs="Times New Roman"/>
      <w:kern w:val="2"/>
      <w:sz w:val="18"/>
      <w:szCs w:val="21"/>
      <w:lang w:val="en-US" w:eastAsia="zh-CN" w:bidi="ar-SA"/>
    </w:rPr>
  </w:style>
  <w:style w:type="character" w:customStyle="1" w:styleId="389">
    <w:name w:val="新图表正文 Char Char"/>
    <w:link w:val="388"/>
    <w:autoRedefine/>
    <w:qFormat/>
    <w:locked/>
    <w:uiPriority w:val="0"/>
    <w:rPr>
      <w:rFonts w:ascii="宋体" w:hAnsi="宋体"/>
      <w:kern w:val="2"/>
      <w:sz w:val="18"/>
      <w:szCs w:val="21"/>
      <w:lang w:val="en-US" w:eastAsia="zh-CN" w:bidi="ar-SA"/>
    </w:rPr>
  </w:style>
  <w:style w:type="paragraph" w:customStyle="1" w:styleId="390">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391">
    <w:name w:val="表格抬头 Char"/>
    <w:link w:val="392"/>
    <w:autoRedefine/>
    <w:qFormat/>
    <w:locked/>
    <w:uiPriority w:val="0"/>
    <w:rPr>
      <w:rFonts w:ascii="黑体" w:eastAsia="黑体"/>
      <w:b/>
      <w:kern w:val="2"/>
      <w:sz w:val="21"/>
      <w:lang w:bidi="ar-SA"/>
    </w:rPr>
  </w:style>
  <w:style w:type="paragraph" w:customStyle="1" w:styleId="392">
    <w:name w:val="表格抬头"/>
    <w:basedOn w:val="1"/>
    <w:link w:val="391"/>
    <w:autoRedefine/>
    <w:qFormat/>
    <w:uiPriority w:val="0"/>
    <w:pPr>
      <w:jc w:val="center"/>
    </w:pPr>
    <w:rPr>
      <w:rFonts w:ascii="黑体" w:eastAsia="黑体"/>
      <w:b/>
    </w:rPr>
  </w:style>
  <w:style w:type="paragraph" w:customStyle="1" w:styleId="393">
    <w:name w:val="Normal1"/>
    <w:basedOn w:val="1"/>
    <w:autoRedefine/>
    <w:qFormat/>
    <w:uiPriority w:val="0"/>
    <w:rPr>
      <w:rFonts w:ascii="Calibri" w:hAnsi="Calibri" w:eastAsia="Calibri" w:cs="宋体"/>
      <w:kern w:val="0"/>
      <w:lang w:val="zh-CN"/>
    </w:rPr>
  </w:style>
  <w:style w:type="paragraph" w:customStyle="1" w:styleId="394">
    <w:name w:val="No Spacing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395">
    <w:name w:val="NormalCharacter"/>
    <w:autoRedefine/>
    <w:semiHidden/>
    <w:qFormat/>
    <w:uiPriority w:val="0"/>
  </w:style>
  <w:style w:type="paragraph" w:customStyle="1" w:styleId="396">
    <w:name w:val="列表段落1"/>
    <w:basedOn w:val="1"/>
    <w:autoRedefine/>
    <w:qFormat/>
    <w:uiPriority w:val="0"/>
    <w:pPr>
      <w:ind w:firstLine="420" w:firstLineChars="200"/>
    </w:pPr>
    <w:rPr>
      <w:szCs w:val="24"/>
    </w:rPr>
  </w:style>
  <w:style w:type="paragraph" w:customStyle="1" w:styleId="397">
    <w:name w:val="Table Paragraph"/>
    <w:basedOn w:val="1"/>
    <w:autoRedefine/>
    <w:qFormat/>
    <w:uiPriority w:val="1"/>
    <w:pPr>
      <w:autoSpaceDE w:val="0"/>
      <w:autoSpaceDN w:val="0"/>
      <w:jc w:val="left"/>
    </w:pPr>
    <w:rPr>
      <w:rFonts w:ascii="宋体" w:hAnsi="宋体" w:cs="宋体"/>
      <w:kern w:val="0"/>
      <w:sz w:val="22"/>
      <w:szCs w:val="22"/>
      <w:lang w:val="zh-CN" w:bidi="zh-CN"/>
    </w:rPr>
  </w:style>
  <w:style w:type="table" w:customStyle="1" w:styleId="398">
    <w:name w:val="Table Normal"/>
    <w:autoRedefine/>
    <w:semiHidden/>
    <w:unhideWhenUsed/>
    <w:qFormat/>
    <w:uiPriority w:val="0"/>
    <w:tblPr>
      <w:tblCellMar>
        <w:top w:w="0" w:type="dxa"/>
        <w:left w:w="0" w:type="dxa"/>
        <w:bottom w:w="0" w:type="dxa"/>
        <w:right w:w="0" w:type="dxa"/>
      </w:tblCellMar>
    </w:tblPr>
  </w:style>
  <w:style w:type="paragraph" w:customStyle="1" w:styleId="399">
    <w:name w:val="首行缩进"/>
    <w:basedOn w:val="1"/>
    <w:autoRedefine/>
    <w:qFormat/>
    <w:uiPriority w:val="0"/>
    <w:pPr>
      <w:ind w:firstLine="480" w:firstLineChars="200"/>
    </w:pPr>
  </w:style>
  <w:style w:type="paragraph" w:customStyle="1" w:styleId="400">
    <w:name w:val="Heading 4"/>
    <w:basedOn w:val="1"/>
    <w:autoRedefine/>
    <w:qFormat/>
    <w:uiPriority w:val="1"/>
    <w:pPr>
      <w:autoSpaceDE w:val="0"/>
      <w:autoSpaceDN w:val="0"/>
      <w:ind w:left="618"/>
      <w:jc w:val="left"/>
      <w:outlineLvl w:val="4"/>
    </w:pPr>
    <w:rPr>
      <w:rFonts w:ascii="宋体" w:hAnsi="宋体" w:cs="宋体"/>
      <w:b/>
      <w:bCs/>
      <w:kern w:val="0"/>
      <w:sz w:val="24"/>
      <w:szCs w:val="24"/>
      <w:lang w:val="zh-CN" w:bidi="zh-CN"/>
    </w:rPr>
  </w:style>
  <w:style w:type="paragraph" w:customStyle="1" w:styleId="401">
    <w:name w:val="Heading #3|1"/>
    <w:basedOn w:val="1"/>
    <w:autoRedefine/>
    <w:qFormat/>
    <w:uiPriority w:val="0"/>
    <w:pPr>
      <w:spacing w:after="500"/>
      <w:jc w:val="center"/>
      <w:outlineLvl w:val="2"/>
    </w:pPr>
    <w:rPr>
      <w:rFonts w:ascii="宋体" w:hAnsi="宋体" w:cs="宋体"/>
      <w:kern w:val="0"/>
      <w:sz w:val="34"/>
      <w:szCs w:val="34"/>
      <w:lang w:val="zh-TW" w:eastAsia="zh-TW" w:bidi="zh-TW"/>
    </w:rPr>
  </w:style>
  <w:style w:type="paragraph" w:customStyle="1" w:styleId="402">
    <w:name w:val="Table caption|1"/>
    <w:basedOn w:val="1"/>
    <w:autoRedefine/>
    <w:qFormat/>
    <w:uiPriority w:val="0"/>
    <w:pPr>
      <w:jc w:val="left"/>
    </w:pPr>
    <w:rPr>
      <w:rFonts w:ascii="宋体" w:hAnsi="宋体" w:cs="宋体"/>
      <w:kern w:val="0"/>
      <w:sz w:val="20"/>
      <w:lang w:val="zh-TW" w:eastAsia="zh-TW" w:bidi="zh-TW"/>
    </w:rPr>
  </w:style>
  <w:style w:type="paragraph" w:customStyle="1" w:styleId="403">
    <w:name w:val="Other|1"/>
    <w:basedOn w:val="1"/>
    <w:autoRedefine/>
    <w:qFormat/>
    <w:uiPriority w:val="0"/>
    <w:pPr>
      <w:spacing w:line="391" w:lineRule="auto"/>
      <w:ind w:firstLine="400"/>
      <w:jc w:val="left"/>
    </w:pPr>
    <w:rPr>
      <w:rFonts w:ascii="宋体" w:hAnsi="宋体" w:cs="宋体"/>
      <w:kern w:val="0"/>
      <w:sz w:val="30"/>
      <w:szCs w:val="30"/>
      <w:lang w:val="zh-TW" w:eastAsia="zh-TW" w:bidi="zh-TW"/>
    </w:rPr>
  </w:style>
  <w:style w:type="paragraph" w:customStyle="1" w:styleId="404">
    <w:name w:val="_Style 2"/>
    <w:basedOn w:val="4"/>
    <w:next w:val="1"/>
    <w:autoRedefine/>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405">
    <w:name w:val="页码1"/>
    <w:autoRedefine/>
    <w:qFormat/>
    <w:uiPriority w:val="0"/>
    <w:rPr>
      <w:rFonts w:ascii="Times New Roman" w:hAnsi="Times New Roman" w:eastAsia="宋体" w:cs="Times New Roman"/>
    </w:rPr>
  </w:style>
  <w:style w:type="character" w:customStyle="1" w:styleId="406">
    <w:name w:val="font41"/>
    <w:basedOn w:val="64"/>
    <w:autoRedefine/>
    <w:qFormat/>
    <w:uiPriority w:val="0"/>
    <w:rPr>
      <w:rFonts w:hint="eastAsia" w:ascii="宋体" w:hAnsi="宋体" w:eastAsia="宋体" w:cs="宋体"/>
      <w:color w:val="000000"/>
      <w:sz w:val="21"/>
      <w:szCs w:val="21"/>
      <w:u w:val="none"/>
    </w:rPr>
  </w:style>
  <w:style w:type="character" w:customStyle="1" w:styleId="407">
    <w:name w:val="font21"/>
    <w:basedOn w:val="64"/>
    <w:autoRedefine/>
    <w:qFormat/>
    <w:uiPriority w:val="0"/>
    <w:rPr>
      <w:rFonts w:hint="eastAsia" w:ascii="宋体" w:hAnsi="宋体" w:eastAsia="宋体" w:cs="宋体"/>
      <w:b/>
      <w:bCs/>
      <w:color w:val="000000"/>
      <w:sz w:val="21"/>
      <w:szCs w:val="21"/>
      <w:u w:val="none"/>
    </w:rPr>
  </w:style>
  <w:style w:type="paragraph" w:customStyle="1" w:styleId="408">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NJOU</Company>
  <Pages>68</Pages>
  <Words>34097</Words>
  <Characters>38573</Characters>
  <Lines>148</Lines>
  <Paragraphs>41</Paragraphs>
  <TotalTime>151</TotalTime>
  <ScaleCrop>false</ScaleCrop>
  <LinksUpToDate>false</LinksUpToDate>
  <CharactersWithSpaces>40273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2019-04-12T07:47:00Z</dcterms:created>
  <dc:creator>ysfh</dc:creator>
  <cp:lastModifiedBy>ShinyJ</cp:lastModifiedBy>
  <cp:lastPrinted>2024-01-17T05:22:15Z</cp:lastPrinted>
  <dcterms:modified xsi:type="dcterms:W3CDTF">2024-01-17T07:12:55Z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CB108E0BC0F8416FB4F2F9565669430E_13</vt:lpwstr>
  </property>
</Properties>
</file>