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0"/>
        <w:jc w:val="right"/>
        <w:rPr>
          <w:rFonts w:ascii="仿宋" w:hAnsi="仿宋" w:eastAsia="仿宋" w:cs="仿宋"/>
          <w:spacing w:val="-3"/>
          <w:sz w:val="64"/>
          <w:highlight w:val="none"/>
        </w:rPr>
      </w:pPr>
    </w:p>
    <w:p>
      <w:pPr>
        <w:pStyle w:val="14"/>
        <w:ind w:firstLine="880"/>
        <w:rPr>
          <w:rFonts w:ascii="仿宋" w:hAnsi="仿宋" w:eastAsia="仿宋" w:cs="仿宋"/>
          <w:highlight w:val="none"/>
        </w:rPr>
      </w:pPr>
    </w:p>
    <w:p>
      <w:pPr>
        <w:spacing w:line="360" w:lineRule="auto"/>
        <w:jc w:val="center"/>
        <w:rPr>
          <w:rFonts w:ascii="仿宋" w:hAnsi="仿宋" w:eastAsia="仿宋" w:cs="仿宋"/>
          <w:b/>
          <w:bCs/>
          <w:sz w:val="64"/>
          <w:highlight w:val="none"/>
        </w:rPr>
      </w:pPr>
      <w:r>
        <w:rPr>
          <w:rFonts w:hint="eastAsia" w:ascii="仿宋" w:hAnsi="仿宋" w:eastAsia="仿宋" w:cs="仿宋"/>
          <w:b/>
          <w:bCs/>
          <w:spacing w:val="-3"/>
          <w:sz w:val="72"/>
          <w:szCs w:val="72"/>
          <w:highlight w:val="none"/>
        </w:rPr>
        <w:t>竞争性磋商文件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s="仿宋"/>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s="仿宋"/>
          <w:bCs/>
          <w:sz w:val="36"/>
          <w:szCs w:val="36"/>
          <w:highlight w:val="none"/>
        </w:rPr>
      </w:pPr>
      <w:r>
        <w:rPr>
          <w:rFonts w:hint="eastAsia" w:ascii="仿宋" w:hAnsi="仿宋" w:eastAsia="仿宋" w:cs="仿宋"/>
          <w:bCs/>
          <w:sz w:val="32"/>
          <w:szCs w:val="32"/>
          <w:highlight w:val="none"/>
          <w:lang w:val="zh-CN"/>
        </w:rPr>
        <w:t>项目编号：JSTL-C</w:t>
      </w:r>
      <w:r>
        <w:rPr>
          <w:rFonts w:hint="eastAsia" w:ascii="仿宋" w:hAnsi="仿宋" w:eastAsia="仿宋" w:cs="仿宋"/>
          <w:bCs/>
          <w:sz w:val="32"/>
          <w:szCs w:val="32"/>
          <w:highlight w:val="none"/>
          <w:lang w:val="en-US" w:eastAsia="zh-CN"/>
        </w:rPr>
        <w:t>S</w:t>
      </w:r>
      <w:r>
        <w:rPr>
          <w:rFonts w:hint="eastAsia" w:ascii="仿宋" w:hAnsi="仿宋" w:eastAsia="仿宋" w:cs="仿宋"/>
          <w:bCs/>
          <w:sz w:val="32"/>
          <w:szCs w:val="32"/>
          <w:highlight w:val="none"/>
          <w:lang w:val="zh-CN"/>
        </w:rPr>
        <w:t>-2023106</w:t>
      </w:r>
    </w:p>
    <w:p>
      <w:pPr>
        <w:keepNext w:val="0"/>
        <w:keepLines w:val="0"/>
        <w:pageBreakBefore w:val="0"/>
        <w:widowControl w:val="0"/>
        <w:kinsoku/>
        <w:wordWrap/>
        <w:overflowPunct/>
        <w:topLinePunct w:val="0"/>
        <w:autoSpaceDE/>
        <w:autoSpaceDN/>
        <w:bidi w:val="0"/>
        <w:adjustRightInd/>
        <w:snapToGrid/>
        <w:spacing w:line="480" w:lineRule="auto"/>
        <w:ind w:left="1600" w:hanging="1600" w:hangingChars="500"/>
        <w:textAlignment w:val="auto"/>
        <w:rPr>
          <w:rFonts w:hint="eastAsia" w:ascii="仿宋" w:hAnsi="仿宋" w:eastAsia="仿宋" w:cs="仿宋"/>
          <w:sz w:val="28"/>
          <w:szCs w:val="28"/>
          <w:highlight w:val="none"/>
          <w:lang w:eastAsia="zh-CN"/>
        </w:rPr>
      </w:pPr>
      <w:r>
        <w:rPr>
          <w:rFonts w:hint="eastAsia" w:ascii="仿宋" w:hAnsi="仿宋" w:eastAsia="仿宋" w:cs="仿宋"/>
          <w:sz w:val="32"/>
          <w:szCs w:val="32"/>
          <w:highlight w:val="none"/>
        </w:rPr>
        <w:t>项目名称：</w:t>
      </w:r>
      <w:r>
        <w:rPr>
          <w:rFonts w:hint="eastAsia" w:ascii="仿宋" w:hAnsi="仿宋" w:eastAsia="仿宋" w:cs="仿宋"/>
          <w:sz w:val="28"/>
          <w:szCs w:val="28"/>
          <w:highlight w:val="none"/>
          <w:lang w:eastAsia="zh-CN"/>
        </w:rPr>
        <w:t>南京市雨花台中学春江分校2024年度校园安保服务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采 购 人：</w:t>
      </w:r>
      <w:r>
        <w:rPr>
          <w:rFonts w:hint="eastAsia" w:ascii="仿宋" w:hAnsi="仿宋" w:eastAsia="仿宋" w:cs="仿宋"/>
          <w:sz w:val="32"/>
          <w:szCs w:val="32"/>
          <w:highlight w:val="none"/>
          <w:lang w:eastAsia="zh-CN"/>
        </w:rPr>
        <w:t>南京市雨花台中学春江分校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 w:hAnsi="仿宋" w:eastAsia="仿宋" w:cs="仿宋"/>
          <w:sz w:val="32"/>
          <w:szCs w:val="32"/>
          <w:highlight w:val="none"/>
        </w:rPr>
      </w:pPr>
      <w:r>
        <w:rPr>
          <w:rFonts w:hint="eastAsia" w:ascii="仿宋" w:hAnsi="仿宋" w:eastAsia="仿宋" w:cs="仿宋"/>
          <w:sz w:val="32"/>
          <w:szCs w:val="32"/>
          <w:highlight w:val="none"/>
        </w:rPr>
        <w:t>采购类别：服务类</w:t>
      </w:r>
    </w:p>
    <w:p>
      <w:pPr>
        <w:rPr>
          <w:highlight w:val="none"/>
        </w:rPr>
      </w:pPr>
      <w:bookmarkStart w:id="0" w:name="江苏省华厦工程项目管理有限公司"/>
      <w:bookmarkEnd w:id="0"/>
    </w:p>
    <w:p>
      <w:pPr>
        <w:spacing w:line="360" w:lineRule="auto"/>
        <w:jc w:val="center"/>
        <w:rPr>
          <w:rFonts w:ascii="仿宋" w:hAnsi="仿宋" w:eastAsia="仿宋" w:cs="仿宋"/>
          <w:sz w:val="44"/>
          <w:szCs w:val="44"/>
          <w:highlight w:val="none"/>
        </w:rPr>
      </w:pPr>
    </w:p>
    <w:p>
      <w:pPr>
        <w:pStyle w:val="36"/>
        <w:rPr>
          <w:rFonts w:ascii="仿宋" w:hAnsi="仿宋" w:eastAsia="仿宋" w:cs="仿宋"/>
          <w:sz w:val="44"/>
          <w:szCs w:val="44"/>
          <w:highlight w:val="none"/>
        </w:rPr>
      </w:pPr>
    </w:p>
    <w:p>
      <w:pPr>
        <w:rPr>
          <w:rFonts w:ascii="仿宋" w:hAnsi="仿宋" w:eastAsia="仿宋" w:cs="仿宋"/>
          <w:sz w:val="44"/>
          <w:szCs w:val="44"/>
          <w:highlight w:val="none"/>
        </w:rPr>
      </w:pPr>
    </w:p>
    <w:p>
      <w:pPr>
        <w:pStyle w:val="36"/>
        <w:rPr>
          <w:rFonts w:ascii="仿宋" w:hAnsi="仿宋" w:eastAsia="仿宋" w:cs="仿宋"/>
          <w:sz w:val="44"/>
          <w:szCs w:val="44"/>
          <w:highlight w:val="none"/>
        </w:rPr>
      </w:pPr>
    </w:p>
    <w:p>
      <w:pPr>
        <w:rPr>
          <w:highlight w:val="none"/>
        </w:rPr>
      </w:pPr>
    </w:p>
    <w:p>
      <w:pPr>
        <w:rPr>
          <w:highlight w:val="none"/>
        </w:rPr>
      </w:pPr>
    </w:p>
    <w:p>
      <w:pPr>
        <w:rPr>
          <w:highlight w:val="none"/>
        </w:rPr>
      </w:pPr>
    </w:p>
    <w:p>
      <w:pPr>
        <w:spacing w:line="360" w:lineRule="auto"/>
        <w:jc w:val="center"/>
        <w:rPr>
          <w:rFonts w:hint="eastAsia" w:ascii="仿宋" w:hAnsi="仿宋" w:eastAsia="仿宋" w:cs="仿宋"/>
          <w:sz w:val="44"/>
          <w:szCs w:val="44"/>
          <w:highlight w:val="none"/>
          <w:lang w:eastAsia="zh-CN"/>
        </w:rPr>
      </w:pPr>
      <w:r>
        <w:rPr>
          <w:rFonts w:hint="eastAsia" w:ascii="仿宋" w:hAnsi="仿宋" w:eastAsia="仿宋" w:cs="仿宋"/>
          <w:sz w:val="44"/>
          <w:szCs w:val="44"/>
          <w:highlight w:val="none"/>
          <w:lang w:eastAsia="zh-CN"/>
        </w:rPr>
        <w:t>江苏同立工程咨询有限公司</w:t>
      </w:r>
    </w:p>
    <w:p>
      <w:pPr>
        <w:spacing w:line="360" w:lineRule="auto"/>
        <w:jc w:val="center"/>
        <w:rPr>
          <w:rFonts w:ascii="仿宋" w:hAnsi="仿宋" w:eastAsia="仿宋" w:cs="仿宋"/>
          <w:sz w:val="44"/>
          <w:szCs w:val="44"/>
          <w:highlight w:val="none"/>
        </w:rPr>
      </w:pPr>
      <w:r>
        <w:rPr>
          <w:rFonts w:hint="eastAsia" w:ascii="仿宋" w:hAnsi="仿宋" w:eastAsia="仿宋" w:cs="仿宋"/>
          <w:sz w:val="44"/>
          <w:szCs w:val="44"/>
          <w:highlight w:val="none"/>
        </w:rPr>
        <w:t>二○二三年</w:t>
      </w:r>
      <w:r>
        <w:rPr>
          <w:rFonts w:hint="eastAsia" w:ascii="仿宋" w:hAnsi="仿宋" w:eastAsia="仿宋" w:cs="仿宋"/>
          <w:sz w:val="44"/>
          <w:szCs w:val="44"/>
          <w:highlight w:val="none"/>
          <w:lang w:val="en-US" w:eastAsia="zh-CN"/>
        </w:rPr>
        <w:t>十二</w:t>
      </w:r>
      <w:r>
        <w:rPr>
          <w:rFonts w:hint="eastAsia" w:ascii="仿宋" w:hAnsi="仿宋" w:eastAsia="仿宋" w:cs="仿宋"/>
          <w:sz w:val="44"/>
          <w:szCs w:val="44"/>
          <w:highlight w:val="none"/>
        </w:rPr>
        <w:t>月</w:t>
      </w:r>
    </w:p>
    <w:p>
      <w:pPr>
        <w:rPr>
          <w:highlight w:val="none"/>
        </w:rPr>
      </w:pPr>
      <w:r>
        <w:rPr>
          <w:rFonts w:hint="eastAsia" w:ascii="仿宋" w:hAnsi="仿宋" w:eastAsia="仿宋" w:cs="仿宋"/>
          <w:b/>
          <w:bCs/>
          <w:sz w:val="28"/>
          <w:szCs w:val="32"/>
          <w:highlight w:val="none"/>
        </w:rPr>
        <w:br w:type="page"/>
      </w:r>
    </w:p>
    <w:sdt>
      <w:sdtPr>
        <w:rPr>
          <w:rFonts w:ascii="宋体" w:hAnsi="宋体" w:eastAsia="宋体" w:cstheme="majorBidi"/>
          <w:b/>
          <w:bCs/>
          <w:sz w:val="32"/>
          <w:szCs w:val="32"/>
          <w:highlight w:val="none"/>
        </w:rPr>
        <w:id w:val="147479102"/>
        <w:docPartObj>
          <w:docPartGallery w:val="Table of Contents"/>
          <w:docPartUnique/>
        </w:docPartObj>
      </w:sdtPr>
      <w:sdtEndPr>
        <w:rPr>
          <w:rFonts w:hint="eastAsia" w:ascii="仿宋" w:hAnsi="仿宋" w:eastAsia="仿宋" w:cs="仿宋"/>
          <w:b/>
          <w:bCs/>
          <w:sz w:val="24"/>
          <w:szCs w:val="24"/>
          <w:highlight w:val="none"/>
        </w:rPr>
      </w:sdtEndPr>
      <w:sdtContent>
        <w:p>
          <w:pPr>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目录</w:t>
          </w:r>
        </w:p>
        <w:p>
          <w:pPr>
            <w:pStyle w:val="22"/>
            <w:tabs>
              <w:tab w:val="right" w:leader="dot" w:pos="8392"/>
            </w:tabs>
            <w:spacing w:before="0" w:line="360" w:lineRule="auto"/>
            <w:ind w:left="0"/>
            <w:rPr>
              <w:rFonts w:ascii="仿宋" w:hAnsi="仿宋" w:eastAsia="仿宋" w:cs="仿宋"/>
              <w:b w:val="0"/>
              <w:szCs w:val="32"/>
              <w:highlight w:val="none"/>
            </w:rPr>
          </w:pPr>
          <w:r>
            <w:rPr>
              <w:rFonts w:hint="eastAsia" w:ascii="仿宋" w:hAnsi="仿宋" w:eastAsia="仿宋" w:cs="仿宋"/>
              <w:b w:val="0"/>
              <w:bCs w:val="0"/>
              <w:highlight w:val="none"/>
            </w:rPr>
            <w:fldChar w:fldCharType="begin"/>
          </w:r>
          <w:r>
            <w:rPr>
              <w:rFonts w:hint="eastAsia" w:ascii="仿宋" w:hAnsi="仿宋" w:eastAsia="仿宋" w:cs="仿宋"/>
              <w:b w:val="0"/>
              <w:bCs w:val="0"/>
              <w:highlight w:val="none"/>
            </w:rPr>
            <w:instrText xml:space="preserve">TOC \o "1-1" \h \u </w:instrText>
          </w:r>
          <w:r>
            <w:rPr>
              <w:rFonts w:hint="eastAsia" w:ascii="仿宋" w:hAnsi="仿宋" w:eastAsia="仿宋" w:cs="仿宋"/>
              <w:b w:val="0"/>
              <w:bCs w:val="0"/>
              <w:highlight w:val="none"/>
            </w:rPr>
            <w:fldChar w:fldCharType="separate"/>
          </w:r>
          <w:r>
            <w:rPr>
              <w:highlight w:val="none"/>
            </w:rPr>
            <w:fldChar w:fldCharType="begin"/>
          </w:r>
          <w:r>
            <w:rPr>
              <w:highlight w:val="none"/>
            </w:rPr>
            <w:instrText xml:space="preserve"> HYPERLINK \l "_Toc6141" </w:instrText>
          </w:r>
          <w:r>
            <w:rPr>
              <w:highlight w:val="none"/>
            </w:rPr>
            <w:fldChar w:fldCharType="separate"/>
          </w:r>
          <w:r>
            <w:rPr>
              <w:rFonts w:hint="eastAsia" w:ascii="仿宋" w:hAnsi="仿宋" w:eastAsia="仿宋" w:cs="仿宋"/>
              <w:b w:val="0"/>
              <w:szCs w:val="32"/>
              <w:highlight w:val="none"/>
            </w:rPr>
            <w:t>第一章  竞争性磋商公告</w:t>
          </w:r>
          <w:r>
            <w:rPr>
              <w:rFonts w:hint="eastAsia" w:ascii="仿宋" w:hAnsi="仿宋" w:eastAsia="仿宋" w:cs="仿宋"/>
              <w:b w:val="0"/>
              <w:szCs w:val="32"/>
              <w:highlight w:val="none"/>
            </w:rPr>
            <w:tab/>
          </w:r>
          <w:r>
            <w:rPr>
              <w:rFonts w:hint="eastAsia" w:ascii="仿宋" w:hAnsi="仿宋" w:eastAsia="仿宋" w:cs="仿宋"/>
              <w:b w:val="0"/>
              <w:szCs w:val="32"/>
              <w:highlight w:val="none"/>
            </w:rPr>
            <w:fldChar w:fldCharType="begin"/>
          </w:r>
          <w:r>
            <w:rPr>
              <w:rFonts w:hint="eastAsia" w:ascii="仿宋" w:hAnsi="仿宋" w:eastAsia="仿宋" w:cs="仿宋"/>
              <w:b w:val="0"/>
              <w:szCs w:val="32"/>
              <w:highlight w:val="none"/>
            </w:rPr>
            <w:instrText xml:space="preserve"> PAGEREF _Toc6141 \h </w:instrText>
          </w:r>
          <w:r>
            <w:rPr>
              <w:rFonts w:hint="eastAsia" w:ascii="仿宋" w:hAnsi="仿宋" w:eastAsia="仿宋" w:cs="仿宋"/>
              <w:b w:val="0"/>
              <w:szCs w:val="32"/>
              <w:highlight w:val="none"/>
            </w:rPr>
            <w:fldChar w:fldCharType="separate"/>
          </w:r>
          <w:r>
            <w:rPr>
              <w:rFonts w:hint="eastAsia" w:ascii="仿宋" w:hAnsi="仿宋" w:eastAsia="仿宋" w:cs="仿宋"/>
              <w:b w:val="0"/>
              <w:szCs w:val="32"/>
              <w:highlight w:val="none"/>
            </w:rPr>
            <w:t>1</w:t>
          </w:r>
          <w:r>
            <w:rPr>
              <w:rFonts w:hint="eastAsia" w:ascii="仿宋" w:hAnsi="仿宋" w:eastAsia="仿宋" w:cs="仿宋"/>
              <w:b w:val="0"/>
              <w:szCs w:val="32"/>
              <w:highlight w:val="none"/>
            </w:rPr>
            <w:fldChar w:fldCharType="end"/>
          </w:r>
          <w:r>
            <w:rPr>
              <w:rFonts w:hint="eastAsia" w:ascii="仿宋" w:hAnsi="仿宋" w:eastAsia="仿宋" w:cs="仿宋"/>
              <w:b w:val="0"/>
              <w:szCs w:val="32"/>
              <w:highlight w:val="none"/>
            </w:rPr>
            <w:fldChar w:fldCharType="end"/>
          </w:r>
        </w:p>
        <w:p>
          <w:pPr>
            <w:pStyle w:val="22"/>
            <w:tabs>
              <w:tab w:val="right" w:leader="dot" w:pos="8392"/>
            </w:tabs>
            <w:spacing w:before="0" w:line="360" w:lineRule="auto"/>
            <w:ind w:left="0"/>
            <w:rPr>
              <w:rFonts w:ascii="仿宋" w:hAnsi="仿宋" w:eastAsia="仿宋" w:cs="仿宋"/>
              <w:b w:val="0"/>
              <w:szCs w:val="32"/>
              <w:highlight w:val="none"/>
            </w:rPr>
          </w:pPr>
          <w:r>
            <w:rPr>
              <w:highlight w:val="none"/>
            </w:rPr>
            <w:fldChar w:fldCharType="begin"/>
          </w:r>
          <w:r>
            <w:rPr>
              <w:highlight w:val="none"/>
            </w:rPr>
            <w:instrText xml:space="preserve"> HYPERLINK \l "_Toc32314" </w:instrText>
          </w:r>
          <w:r>
            <w:rPr>
              <w:highlight w:val="none"/>
            </w:rPr>
            <w:fldChar w:fldCharType="separate"/>
          </w:r>
          <w:r>
            <w:rPr>
              <w:rFonts w:hint="eastAsia" w:ascii="仿宋" w:hAnsi="仿宋" w:eastAsia="仿宋" w:cs="仿宋"/>
              <w:b w:val="0"/>
              <w:szCs w:val="32"/>
              <w:highlight w:val="none"/>
            </w:rPr>
            <w:t>第二章  供应商须知</w:t>
          </w:r>
          <w:r>
            <w:rPr>
              <w:rFonts w:hint="eastAsia" w:ascii="仿宋" w:hAnsi="仿宋" w:eastAsia="仿宋" w:cs="仿宋"/>
              <w:b w:val="0"/>
              <w:szCs w:val="32"/>
              <w:highlight w:val="none"/>
            </w:rPr>
            <w:tab/>
          </w:r>
          <w:r>
            <w:rPr>
              <w:rFonts w:hint="eastAsia" w:ascii="仿宋" w:hAnsi="仿宋" w:eastAsia="仿宋" w:cs="仿宋"/>
              <w:b w:val="0"/>
              <w:szCs w:val="32"/>
              <w:highlight w:val="none"/>
            </w:rPr>
            <w:fldChar w:fldCharType="begin"/>
          </w:r>
          <w:r>
            <w:rPr>
              <w:rFonts w:hint="eastAsia" w:ascii="仿宋" w:hAnsi="仿宋" w:eastAsia="仿宋" w:cs="仿宋"/>
              <w:b w:val="0"/>
              <w:szCs w:val="32"/>
              <w:highlight w:val="none"/>
            </w:rPr>
            <w:instrText xml:space="preserve"> PAGEREF _Toc32314 \h </w:instrText>
          </w:r>
          <w:r>
            <w:rPr>
              <w:rFonts w:hint="eastAsia" w:ascii="仿宋" w:hAnsi="仿宋" w:eastAsia="仿宋" w:cs="仿宋"/>
              <w:b w:val="0"/>
              <w:szCs w:val="32"/>
              <w:highlight w:val="none"/>
            </w:rPr>
            <w:fldChar w:fldCharType="separate"/>
          </w:r>
          <w:r>
            <w:rPr>
              <w:rFonts w:hint="eastAsia" w:ascii="仿宋" w:hAnsi="仿宋" w:eastAsia="仿宋" w:cs="仿宋"/>
              <w:b w:val="0"/>
              <w:szCs w:val="32"/>
              <w:highlight w:val="none"/>
            </w:rPr>
            <w:t>7</w:t>
          </w:r>
          <w:r>
            <w:rPr>
              <w:rFonts w:hint="eastAsia" w:ascii="仿宋" w:hAnsi="仿宋" w:eastAsia="仿宋" w:cs="仿宋"/>
              <w:b w:val="0"/>
              <w:szCs w:val="32"/>
              <w:highlight w:val="none"/>
            </w:rPr>
            <w:fldChar w:fldCharType="end"/>
          </w:r>
          <w:r>
            <w:rPr>
              <w:rFonts w:hint="eastAsia" w:ascii="仿宋" w:hAnsi="仿宋" w:eastAsia="仿宋" w:cs="仿宋"/>
              <w:b w:val="0"/>
              <w:szCs w:val="32"/>
              <w:highlight w:val="none"/>
            </w:rPr>
            <w:fldChar w:fldCharType="end"/>
          </w:r>
        </w:p>
        <w:p>
          <w:pPr>
            <w:pStyle w:val="22"/>
            <w:tabs>
              <w:tab w:val="right" w:leader="dot" w:pos="8392"/>
            </w:tabs>
            <w:spacing w:before="0" w:line="360" w:lineRule="auto"/>
            <w:ind w:left="0"/>
            <w:rPr>
              <w:rFonts w:ascii="仿宋" w:hAnsi="仿宋" w:eastAsia="仿宋" w:cs="仿宋"/>
              <w:b w:val="0"/>
              <w:szCs w:val="32"/>
              <w:highlight w:val="none"/>
            </w:rPr>
          </w:pPr>
          <w:r>
            <w:rPr>
              <w:highlight w:val="none"/>
            </w:rPr>
            <w:fldChar w:fldCharType="begin"/>
          </w:r>
          <w:r>
            <w:rPr>
              <w:highlight w:val="none"/>
            </w:rPr>
            <w:instrText xml:space="preserve"> HYPERLINK \l "_Toc7802" </w:instrText>
          </w:r>
          <w:r>
            <w:rPr>
              <w:highlight w:val="none"/>
            </w:rPr>
            <w:fldChar w:fldCharType="separate"/>
          </w:r>
          <w:r>
            <w:rPr>
              <w:rFonts w:hint="eastAsia" w:ascii="仿宋" w:hAnsi="仿宋" w:eastAsia="仿宋" w:cs="仿宋"/>
              <w:b w:val="0"/>
              <w:szCs w:val="32"/>
              <w:highlight w:val="none"/>
            </w:rPr>
            <w:t>第三章  评审办法及标准</w:t>
          </w:r>
          <w:r>
            <w:rPr>
              <w:rFonts w:hint="eastAsia" w:ascii="仿宋" w:hAnsi="仿宋" w:eastAsia="仿宋" w:cs="仿宋"/>
              <w:b w:val="0"/>
              <w:szCs w:val="32"/>
              <w:highlight w:val="none"/>
            </w:rPr>
            <w:tab/>
          </w:r>
          <w:r>
            <w:rPr>
              <w:rFonts w:hint="eastAsia" w:ascii="仿宋" w:hAnsi="仿宋" w:eastAsia="仿宋" w:cs="仿宋"/>
              <w:b w:val="0"/>
              <w:szCs w:val="32"/>
              <w:highlight w:val="none"/>
            </w:rPr>
            <w:fldChar w:fldCharType="begin"/>
          </w:r>
          <w:r>
            <w:rPr>
              <w:rFonts w:hint="eastAsia" w:ascii="仿宋" w:hAnsi="仿宋" w:eastAsia="仿宋" w:cs="仿宋"/>
              <w:b w:val="0"/>
              <w:szCs w:val="32"/>
              <w:highlight w:val="none"/>
            </w:rPr>
            <w:instrText xml:space="preserve"> PAGEREF _Toc7802 \h </w:instrText>
          </w:r>
          <w:r>
            <w:rPr>
              <w:rFonts w:hint="eastAsia" w:ascii="仿宋" w:hAnsi="仿宋" w:eastAsia="仿宋" w:cs="仿宋"/>
              <w:b w:val="0"/>
              <w:szCs w:val="32"/>
              <w:highlight w:val="none"/>
            </w:rPr>
            <w:fldChar w:fldCharType="separate"/>
          </w:r>
          <w:r>
            <w:rPr>
              <w:rFonts w:hint="eastAsia" w:ascii="仿宋" w:hAnsi="仿宋" w:eastAsia="仿宋" w:cs="仿宋"/>
              <w:b w:val="0"/>
              <w:szCs w:val="32"/>
              <w:highlight w:val="none"/>
            </w:rPr>
            <w:t>23</w:t>
          </w:r>
          <w:r>
            <w:rPr>
              <w:rFonts w:hint="eastAsia" w:ascii="仿宋" w:hAnsi="仿宋" w:eastAsia="仿宋" w:cs="仿宋"/>
              <w:b w:val="0"/>
              <w:szCs w:val="32"/>
              <w:highlight w:val="none"/>
            </w:rPr>
            <w:fldChar w:fldCharType="end"/>
          </w:r>
          <w:r>
            <w:rPr>
              <w:rFonts w:hint="eastAsia" w:ascii="仿宋" w:hAnsi="仿宋" w:eastAsia="仿宋" w:cs="仿宋"/>
              <w:b w:val="0"/>
              <w:szCs w:val="32"/>
              <w:highlight w:val="none"/>
            </w:rPr>
            <w:fldChar w:fldCharType="end"/>
          </w:r>
        </w:p>
        <w:p>
          <w:pPr>
            <w:pStyle w:val="22"/>
            <w:tabs>
              <w:tab w:val="right" w:leader="dot" w:pos="8392"/>
            </w:tabs>
            <w:spacing w:before="0" w:line="360" w:lineRule="auto"/>
            <w:ind w:left="0"/>
            <w:rPr>
              <w:rFonts w:ascii="仿宋" w:hAnsi="仿宋" w:eastAsia="仿宋" w:cs="仿宋"/>
              <w:b w:val="0"/>
              <w:szCs w:val="32"/>
              <w:highlight w:val="none"/>
            </w:rPr>
          </w:pPr>
          <w:r>
            <w:rPr>
              <w:highlight w:val="none"/>
            </w:rPr>
            <w:fldChar w:fldCharType="begin"/>
          </w:r>
          <w:r>
            <w:rPr>
              <w:highlight w:val="none"/>
            </w:rPr>
            <w:instrText xml:space="preserve"> HYPERLINK \l "_Toc15426" </w:instrText>
          </w:r>
          <w:r>
            <w:rPr>
              <w:highlight w:val="none"/>
            </w:rPr>
            <w:fldChar w:fldCharType="separate"/>
          </w:r>
          <w:r>
            <w:rPr>
              <w:rFonts w:hint="eastAsia" w:ascii="仿宋" w:hAnsi="仿宋" w:eastAsia="仿宋" w:cs="仿宋"/>
              <w:b w:val="0"/>
              <w:szCs w:val="32"/>
              <w:highlight w:val="none"/>
            </w:rPr>
            <w:t>第四章  竞争性磋商项目需求</w:t>
          </w:r>
          <w:r>
            <w:rPr>
              <w:rFonts w:hint="eastAsia" w:ascii="仿宋" w:hAnsi="仿宋" w:eastAsia="仿宋" w:cs="仿宋"/>
              <w:b w:val="0"/>
              <w:szCs w:val="32"/>
              <w:highlight w:val="none"/>
            </w:rPr>
            <w:tab/>
          </w:r>
          <w:r>
            <w:rPr>
              <w:rFonts w:hint="eastAsia" w:ascii="仿宋" w:hAnsi="仿宋" w:eastAsia="仿宋" w:cs="仿宋"/>
              <w:b w:val="0"/>
              <w:szCs w:val="32"/>
              <w:highlight w:val="none"/>
            </w:rPr>
            <w:fldChar w:fldCharType="begin"/>
          </w:r>
          <w:r>
            <w:rPr>
              <w:rFonts w:hint="eastAsia" w:ascii="仿宋" w:hAnsi="仿宋" w:eastAsia="仿宋" w:cs="仿宋"/>
              <w:b w:val="0"/>
              <w:szCs w:val="32"/>
              <w:highlight w:val="none"/>
            </w:rPr>
            <w:instrText xml:space="preserve"> PAGEREF _Toc15426 \h </w:instrText>
          </w:r>
          <w:r>
            <w:rPr>
              <w:rFonts w:hint="eastAsia" w:ascii="仿宋" w:hAnsi="仿宋" w:eastAsia="仿宋" w:cs="仿宋"/>
              <w:b w:val="0"/>
              <w:szCs w:val="32"/>
              <w:highlight w:val="none"/>
            </w:rPr>
            <w:fldChar w:fldCharType="separate"/>
          </w:r>
          <w:r>
            <w:rPr>
              <w:rFonts w:hint="eastAsia" w:ascii="仿宋" w:hAnsi="仿宋" w:eastAsia="仿宋" w:cs="仿宋"/>
              <w:b w:val="0"/>
              <w:szCs w:val="32"/>
              <w:highlight w:val="none"/>
            </w:rPr>
            <w:t>26</w:t>
          </w:r>
          <w:r>
            <w:rPr>
              <w:rFonts w:hint="eastAsia" w:ascii="仿宋" w:hAnsi="仿宋" w:eastAsia="仿宋" w:cs="仿宋"/>
              <w:b w:val="0"/>
              <w:szCs w:val="32"/>
              <w:highlight w:val="none"/>
            </w:rPr>
            <w:fldChar w:fldCharType="end"/>
          </w:r>
          <w:r>
            <w:rPr>
              <w:rFonts w:hint="eastAsia" w:ascii="仿宋" w:hAnsi="仿宋" w:eastAsia="仿宋" w:cs="仿宋"/>
              <w:b w:val="0"/>
              <w:szCs w:val="32"/>
              <w:highlight w:val="none"/>
            </w:rPr>
            <w:fldChar w:fldCharType="end"/>
          </w:r>
        </w:p>
        <w:p>
          <w:pPr>
            <w:pStyle w:val="22"/>
            <w:tabs>
              <w:tab w:val="right" w:leader="dot" w:pos="8392"/>
            </w:tabs>
            <w:spacing w:before="0" w:line="360" w:lineRule="auto"/>
            <w:ind w:left="0"/>
            <w:rPr>
              <w:rFonts w:ascii="仿宋" w:hAnsi="仿宋" w:eastAsia="仿宋" w:cs="仿宋"/>
              <w:b w:val="0"/>
              <w:szCs w:val="32"/>
              <w:highlight w:val="none"/>
            </w:rPr>
          </w:pPr>
          <w:r>
            <w:rPr>
              <w:highlight w:val="none"/>
            </w:rPr>
            <w:fldChar w:fldCharType="begin"/>
          </w:r>
          <w:r>
            <w:rPr>
              <w:highlight w:val="none"/>
            </w:rPr>
            <w:instrText xml:space="preserve"> HYPERLINK \l "_Toc16635" </w:instrText>
          </w:r>
          <w:r>
            <w:rPr>
              <w:highlight w:val="none"/>
            </w:rPr>
            <w:fldChar w:fldCharType="separate"/>
          </w:r>
          <w:r>
            <w:rPr>
              <w:rFonts w:hint="eastAsia" w:ascii="仿宋" w:hAnsi="仿宋" w:eastAsia="仿宋" w:cs="仿宋"/>
              <w:b w:val="0"/>
              <w:szCs w:val="32"/>
              <w:highlight w:val="none"/>
            </w:rPr>
            <w:t>第五章  合同草案条款及格式</w:t>
          </w:r>
          <w:r>
            <w:rPr>
              <w:rFonts w:hint="eastAsia" w:ascii="仿宋" w:hAnsi="仿宋" w:eastAsia="仿宋" w:cs="仿宋"/>
              <w:b w:val="0"/>
              <w:szCs w:val="32"/>
              <w:highlight w:val="none"/>
            </w:rPr>
            <w:tab/>
          </w:r>
          <w:r>
            <w:rPr>
              <w:rFonts w:hint="eastAsia" w:ascii="仿宋" w:hAnsi="仿宋" w:eastAsia="仿宋" w:cs="仿宋"/>
              <w:b w:val="0"/>
              <w:szCs w:val="32"/>
              <w:highlight w:val="none"/>
              <w:lang w:val="en-US" w:eastAsia="zh-CN"/>
            </w:rPr>
            <w:t xml:space="preserve">30 </w:t>
          </w:r>
          <w:r>
            <w:rPr>
              <w:rFonts w:hint="eastAsia" w:ascii="仿宋" w:hAnsi="仿宋" w:eastAsia="仿宋" w:cs="仿宋"/>
              <w:b w:val="0"/>
              <w:szCs w:val="32"/>
              <w:highlight w:val="none"/>
            </w:rPr>
            <w:fldChar w:fldCharType="end"/>
          </w:r>
        </w:p>
        <w:p>
          <w:pPr>
            <w:pStyle w:val="22"/>
            <w:tabs>
              <w:tab w:val="right" w:leader="dot" w:pos="8392"/>
            </w:tabs>
            <w:spacing w:before="0" w:line="360" w:lineRule="auto"/>
            <w:ind w:left="0"/>
            <w:rPr>
              <w:rFonts w:ascii="仿宋" w:hAnsi="仿宋" w:eastAsia="仿宋" w:cs="仿宋"/>
              <w:highlight w:val="none"/>
            </w:rPr>
          </w:pPr>
          <w:r>
            <w:rPr>
              <w:highlight w:val="none"/>
            </w:rPr>
            <w:fldChar w:fldCharType="begin"/>
          </w:r>
          <w:r>
            <w:rPr>
              <w:highlight w:val="none"/>
            </w:rPr>
            <w:instrText xml:space="preserve"> HYPERLINK \l "_Toc19346" </w:instrText>
          </w:r>
          <w:r>
            <w:rPr>
              <w:highlight w:val="none"/>
            </w:rPr>
            <w:fldChar w:fldCharType="separate"/>
          </w:r>
          <w:r>
            <w:rPr>
              <w:rFonts w:hint="eastAsia" w:ascii="仿宋" w:hAnsi="仿宋" w:eastAsia="仿宋" w:cs="仿宋"/>
              <w:b w:val="0"/>
              <w:szCs w:val="32"/>
              <w:highlight w:val="none"/>
            </w:rPr>
            <w:t>第六章  响应文件格式</w:t>
          </w:r>
          <w:r>
            <w:rPr>
              <w:rFonts w:hint="eastAsia" w:ascii="仿宋" w:hAnsi="仿宋" w:eastAsia="仿宋" w:cs="仿宋"/>
              <w:b w:val="0"/>
              <w:szCs w:val="32"/>
              <w:highlight w:val="none"/>
            </w:rPr>
            <w:tab/>
          </w:r>
          <w:r>
            <w:rPr>
              <w:rFonts w:hint="eastAsia" w:ascii="仿宋" w:hAnsi="仿宋" w:eastAsia="仿宋" w:cs="仿宋"/>
              <w:b w:val="0"/>
              <w:szCs w:val="32"/>
              <w:highlight w:val="none"/>
            </w:rPr>
            <w:fldChar w:fldCharType="begin"/>
          </w:r>
          <w:r>
            <w:rPr>
              <w:rFonts w:hint="eastAsia" w:ascii="仿宋" w:hAnsi="仿宋" w:eastAsia="仿宋" w:cs="仿宋"/>
              <w:b w:val="0"/>
              <w:szCs w:val="32"/>
              <w:highlight w:val="none"/>
            </w:rPr>
            <w:instrText xml:space="preserve"> PAGEREF _Toc19346 \h </w:instrText>
          </w:r>
          <w:r>
            <w:rPr>
              <w:rFonts w:hint="eastAsia" w:ascii="仿宋" w:hAnsi="仿宋" w:eastAsia="仿宋" w:cs="仿宋"/>
              <w:b w:val="0"/>
              <w:szCs w:val="32"/>
              <w:highlight w:val="none"/>
            </w:rPr>
            <w:fldChar w:fldCharType="separate"/>
          </w:r>
          <w:r>
            <w:rPr>
              <w:rFonts w:hint="eastAsia" w:ascii="仿宋" w:hAnsi="仿宋" w:eastAsia="仿宋" w:cs="仿宋"/>
              <w:b w:val="0"/>
              <w:szCs w:val="32"/>
              <w:highlight w:val="none"/>
            </w:rPr>
            <w:t>5</w:t>
          </w:r>
          <w:r>
            <w:rPr>
              <w:rFonts w:hint="eastAsia" w:ascii="仿宋" w:hAnsi="仿宋" w:eastAsia="仿宋" w:cs="仿宋"/>
              <w:b w:val="0"/>
              <w:szCs w:val="32"/>
              <w:highlight w:val="none"/>
            </w:rPr>
            <w:fldChar w:fldCharType="end"/>
          </w:r>
          <w:r>
            <w:rPr>
              <w:rFonts w:hint="eastAsia" w:ascii="仿宋" w:hAnsi="仿宋" w:eastAsia="仿宋" w:cs="仿宋"/>
              <w:b w:val="0"/>
              <w:szCs w:val="32"/>
              <w:highlight w:val="none"/>
            </w:rPr>
            <w:fldChar w:fldCharType="end"/>
          </w:r>
        </w:p>
        <w:p>
          <w:pPr>
            <w:pStyle w:val="3"/>
            <w:spacing w:before="0" w:after="0" w:line="360" w:lineRule="auto"/>
            <w:rPr>
              <w:rFonts w:ascii="仿宋" w:hAnsi="仿宋" w:eastAsia="仿宋" w:cs="仿宋"/>
              <w:sz w:val="24"/>
              <w:szCs w:val="24"/>
              <w:highlight w:val="none"/>
            </w:rPr>
          </w:pPr>
          <w:r>
            <w:rPr>
              <w:rFonts w:hint="eastAsia" w:ascii="仿宋" w:hAnsi="仿宋" w:eastAsia="仿宋" w:cs="仿宋"/>
              <w:bCs w:val="0"/>
              <w:sz w:val="24"/>
              <w:szCs w:val="24"/>
              <w:highlight w:val="none"/>
            </w:rPr>
            <w:fldChar w:fldCharType="end"/>
          </w:r>
        </w:p>
      </w:sdtContent>
    </w:sdt>
    <w:p>
      <w:pPr>
        <w:spacing w:line="360" w:lineRule="auto"/>
        <w:jc w:val="center"/>
        <w:outlineLvl w:val="0"/>
        <w:rPr>
          <w:rFonts w:hint="eastAsia" w:ascii="仿宋" w:hAnsi="仿宋" w:eastAsia="仿宋" w:cs="仿宋"/>
          <w:b/>
          <w:bCs/>
          <w:sz w:val="28"/>
          <w:szCs w:val="32"/>
          <w:highlight w:val="none"/>
        </w:rPr>
        <w:sectPr>
          <w:headerReference r:id="rId3" w:type="default"/>
          <w:footerReference r:id="rId4" w:type="default"/>
          <w:endnotePr>
            <w:numFmt w:val="decimal"/>
          </w:endnotePr>
          <w:pgSz w:w="11906" w:h="16838"/>
          <w:pgMar w:top="1417" w:right="1757" w:bottom="1417" w:left="1757" w:header="850" w:footer="1020" w:gutter="0"/>
          <w:cols w:space="720" w:num="1"/>
          <w:docGrid w:linePitch="286" w:charSpace="0"/>
        </w:sectPr>
      </w:pPr>
      <w:bookmarkStart w:id="1" w:name="_Toc6141"/>
    </w:p>
    <w:p>
      <w:pPr>
        <w:spacing w:line="360" w:lineRule="auto"/>
        <w:jc w:val="center"/>
        <w:outlineLvl w:val="0"/>
        <w:rPr>
          <w:rFonts w:ascii="仿宋" w:hAnsi="仿宋" w:eastAsia="仿宋" w:cs="仿宋"/>
          <w:b/>
          <w:bCs/>
          <w:sz w:val="28"/>
          <w:szCs w:val="32"/>
          <w:highlight w:val="none"/>
        </w:rPr>
      </w:pPr>
      <w:r>
        <w:rPr>
          <w:rFonts w:hint="eastAsia" w:ascii="仿宋" w:hAnsi="仿宋" w:eastAsia="仿宋" w:cs="仿宋"/>
          <w:b/>
          <w:bCs/>
          <w:sz w:val="28"/>
          <w:szCs w:val="32"/>
          <w:highlight w:val="none"/>
        </w:rPr>
        <w:t>第一章  竞争性磋商公告</w:t>
      </w:r>
      <w:bookmarkEnd w:id="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szCs w:val="24"/>
          <w:highlight w:val="none"/>
        </w:rPr>
      </w:pPr>
      <w:r>
        <w:rPr>
          <w:rFonts w:hint="eastAsia" w:ascii="仿宋" w:hAnsi="仿宋" w:eastAsia="仿宋" w:cs="仿宋"/>
          <w:bCs/>
          <w:sz w:val="24"/>
          <w:szCs w:val="24"/>
          <w:highlight w:val="none"/>
          <w:u w:val="single"/>
          <w:lang w:val="zh-CN"/>
        </w:rPr>
        <w:t>南京市雨花台中学春江分校2024年度校园安保服务</w:t>
      </w:r>
      <w:r>
        <w:rPr>
          <w:rFonts w:hint="eastAsia" w:ascii="仿宋" w:hAnsi="仿宋" w:eastAsia="仿宋" w:cs="仿宋"/>
          <w:sz w:val="24"/>
          <w:szCs w:val="24"/>
          <w:highlight w:val="none"/>
        </w:rPr>
        <w:t>的潜在供应商应在</w:t>
      </w:r>
      <w:r>
        <w:rPr>
          <w:rFonts w:hint="eastAsia" w:ascii="仿宋" w:hAnsi="仿宋" w:eastAsia="仿宋" w:cs="仿宋"/>
          <w:sz w:val="24"/>
          <w:szCs w:val="24"/>
          <w:highlight w:val="none"/>
          <w:u w:val="single"/>
        </w:rPr>
        <w:t>南京市雨花台区花神大道23号1号楼西4F40</w:t>
      </w:r>
      <w:r>
        <w:rPr>
          <w:rFonts w:hint="eastAsia" w:ascii="仿宋" w:hAnsi="仿宋" w:eastAsia="仿宋" w:cs="仿宋"/>
          <w:sz w:val="24"/>
          <w:szCs w:val="24"/>
          <w:highlight w:val="none"/>
          <w:u w:val="single"/>
          <w:lang w:val="en-US" w:eastAsia="zh-CN"/>
        </w:rPr>
        <w:t>6</w:t>
      </w:r>
      <w:r>
        <w:rPr>
          <w:rFonts w:hint="eastAsia" w:ascii="仿宋" w:hAnsi="仿宋" w:eastAsia="仿宋" w:cs="仿宋"/>
          <w:sz w:val="24"/>
          <w:szCs w:val="24"/>
          <w:highlight w:val="none"/>
          <w:u w:val="single"/>
        </w:rPr>
        <w:t>室</w:t>
      </w:r>
      <w:r>
        <w:rPr>
          <w:rFonts w:hint="eastAsia" w:ascii="仿宋" w:hAnsi="仿宋" w:eastAsia="仿宋" w:cs="仿宋"/>
          <w:sz w:val="24"/>
          <w:szCs w:val="24"/>
          <w:highlight w:val="none"/>
        </w:rPr>
        <w:t>获取采购文件，并于</w:t>
      </w:r>
      <w:r>
        <w:rPr>
          <w:rFonts w:hint="eastAsia" w:ascii="仿宋" w:hAnsi="仿宋" w:eastAsia="仿宋" w:cs="仿宋"/>
          <w:sz w:val="24"/>
          <w:szCs w:val="24"/>
          <w:highlight w:val="none"/>
          <w:u w:val="single"/>
        </w:rPr>
        <w:t>2023年</w:t>
      </w:r>
      <w:r>
        <w:rPr>
          <w:rFonts w:hint="eastAsia" w:ascii="仿宋" w:hAnsi="仿宋" w:eastAsia="仿宋" w:cs="仿宋"/>
          <w:sz w:val="24"/>
          <w:szCs w:val="24"/>
          <w:highlight w:val="none"/>
          <w:u w:val="single"/>
          <w:lang w:val="en-US" w:eastAsia="zh-CN"/>
        </w:rPr>
        <w:t>12</w:t>
      </w:r>
      <w:r>
        <w:rPr>
          <w:rFonts w:hint="eastAsia" w:ascii="仿宋" w:hAnsi="仿宋" w:eastAsia="仿宋" w:cs="仿宋"/>
          <w:bCs/>
          <w:sz w:val="24"/>
          <w:szCs w:val="24"/>
          <w:highlight w:val="none"/>
          <w:u w:val="single"/>
        </w:rPr>
        <w:t>月</w:t>
      </w:r>
      <w:r>
        <w:rPr>
          <w:rFonts w:hint="eastAsia" w:ascii="仿宋" w:hAnsi="仿宋" w:eastAsia="仿宋" w:cs="仿宋"/>
          <w:bCs/>
          <w:sz w:val="24"/>
          <w:szCs w:val="24"/>
          <w:highlight w:val="none"/>
          <w:u w:val="single"/>
          <w:lang w:val="en-US" w:eastAsia="zh-CN"/>
        </w:rPr>
        <w:t>29</w:t>
      </w:r>
      <w:r>
        <w:rPr>
          <w:rFonts w:hint="eastAsia" w:ascii="仿宋" w:hAnsi="仿宋" w:eastAsia="仿宋" w:cs="仿宋"/>
          <w:bCs/>
          <w:sz w:val="24"/>
          <w:szCs w:val="24"/>
          <w:highlight w:val="none"/>
          <w:u w:val="single"/>
        </w:rPr>
        <w:t>日</w:t>
      </w:r>
      <w:r>
        <w:rPr>
          <w:rFonts w:hint="eastAsia" w:ascii="仿宋" w:hAnsi="仿宋" w:eastAsia="仿宋" w:cs="仿宋"/>
          <w:bCs/>
          <w:sz w:val="24"/>
          <w:szCs w:val="24"/>
          <w:highlight w:val="none"/>
          <w:u w:val="single"/>
          <w:lang w:val="en-US" w:eastAsia="zh-CN"/>
        </w:rPr>
        <w:t>10</w:t>
      </w:r>
      <w:r>
        <w:rPr>
          <w:rFonts w:hint="eastAsia" w:ascii="仿宋" w:hAnsi="仿宋" w:eastAsia="仿宋" w:cs="仿宋"/>
          <w:bCs/>
          <w:sz w:val="24"/>
          <w:szCs w:val="24"/>
          <w:highlight w:val="none"/>
          <w:u w:val="single"/>
        </w:rPr>
        <w:t>点30分</w:t>
      </w:r>
      <w:r>
        <w:rPr>
          <w:rFonts w:hint="eastAsia" w:ascii="仿宋" w:hAnsi="仿宋" w:eastAsia="仿宋" w:cs="仿宋"/>
          <w:bCs/>
          <w:sz w:val="24"/>
          <w:szCs w:val="24"/>
          <w:highlight w:val="none"/>
        </w:rPr>
        <w:t>（北京时间）前提交响应文件</w:t>
      </w:r>
      <w:r>
        <w:rPr>
          <w:rFonts w:hint="eastAsia" w:ascii="仿宋" w:hAnsi="仿宋" w:eastAsia="仿宋" w:cs="仿宋"/>
          <w:sz w:val="24"/>
          <w:szCs w:val="24"/>
          <w:highlight w:val="none"/>
        </w:rPr>
        <w:t>。</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p>
    <w:p>
      <w:pPr>
        <w:spacing w:line="360" w:lineRule="auto"/>
        <w:ind w:firstLine="482" w:firstLineChars="200"/>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1.项目编号：</w:t>
      </w:r>
      <w:r>
        <w:rPr>
          <w:rFonts w:hint="eastAsia" w:ascii="仿宋" w:hAnsi="仿宋" w:eastAsia="仿宋" w:cs="仿宋"/>
          <w:sz w:val="24"/>
          <w:szCs w:val="24"/>
          <w:highlight w:val="none"/>
          <w:lang w:eastAsia="zh-CN"/>
        </w:rPr>
        <w:t>JSTL-CS-2023106</w:t>
      </w:r>
    </w:p>
    <w:p>
      <w:pPr>
        <w:spacing w:line="360" w:lineRule="auto"/>
        <w:ind w:firstLine="482" w:firstLineChars="200"/>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rPr>
        <w:t>2.项目名称：</w:t>
      </w:r>
      <w:r>
        <w:rPr>
          <w:rFonts w:hint="eastAsia" w:ascii="仿宋" w:hAnsi="仿宋" w:eastAsia="仿宋" w:cs="仿宋"/>
          <w:sz w:val="24"/>
          <w:szCs w:val="24"/>
          <w:highlight w:val="none"/>
          <w:lang w:eastAsia="zh-CN"/>
        </w:rPr>
        <w:t>南京市雨花台中学春江分校2024年度校园安保服务</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3.项目所属行业</w:t>
      </w:r>
      <w:r>
        <w:rPr>
          <w:rFonts w:hint="eastAsia" w:ascii="仿宋" w:hAnsi="仿宋" w:eastAsia="仿宋" w:cs="仿宋"/>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w:t>
      </w:r>
      <w:r>
        <w:rPr>
          <w:rFonts w:hint="eastAsia" w:ascii="仿宋" w:hAnsi="仿宋" w:eastAsia="仿宋" w:cs="仿宋"/>
          <w:sz w:val="24"/>
          <w:szCs w:val="24"/>
          <w:highlight w:val="none"/>
          <w:lang w:eastAsia="zh-CN"/>
        </w:rPr>
        <w:t>其他未列明行业</w:t>
      </w:r>
      <w:r>
        <w:rPr>
          <w:rFonts w:hint="eastAsia" w:ascii="仿宋" w:hAnsi="仿宋" w:eastAsia="仿宋" w:cs="仿宋"/>
          <w:sz w:val="24"/>
          <w:szCs w:val="24"/>
          <w:highlight w:val="none"/>
        </w:rPr>
        <w:t>。</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4.采购方式：</w:t>
      </w:r>
      <w:r>
        <w:rPr>
          <w:rFonts w:hint="eastAsia" w:ascii="仿宋" w:hAnsi="仿宋" w:eastAsia="仿宋" w:cs="仿宋"/>
          <w:sz w:val="24"/>
          <w:szCs w:val="24"/>
          <w:highlight w:val="none"/>
        </w:rPr>
        <w:t>竞争性磋商</w:t>
      </w:r>
    </w:p>
    <w:p>
      <w:pPr>
        <w:tabs>
          <w:tab w:val="left" w:pos="4830"/>
        </w:tabs>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5.项目总预算：</w:t>
      </w: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21.8万元</w:t>
      </w:r>
    </w:p>
    <w:p>
      <w:pPr>
        <w:tabs>
          <w:tab w:val="left" w:pos="4830"/>
        </w:tabs>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6.最高限价：</w:t>
      </w:r>
      <w:r>
        <w:rPr>
          <w:rFonts w:hint="eastAsia" w:ascii="仿宋" w:hAnsi="仿宋" w:eastAsia="仿宋" w:cs="仿宋"/>
          <w:sz w:val="24"/>
          <w:szCs w:val="24"/>
          <w:highlight w:val="none"/>
        </w:rPr>
        <w:t>人民币</w:t>
      </w:r>
      <w:r>
        <w:rPr>
          <w:rFonts w:hint="eastAsia" w:ascii="仿宋" w:hAnsi="仿宋" w:eastAsia="仿宋" w:cs="仿宋"/>
          <w:sz w:val="24"/>
          <w:szCs w:val="24"/>
          <w:highlight w:val="none"/>
          <w:lang w:val="en-US" w:eastAsia="zh-CN"/>
        </w:rPr>
        <w:t>21.8万元</w:t>
      </w:r>
    </w:p>
    <w:p>
      <w:pPr>
        <w:pStyle w:val="5"/>
        <w:spacing w:before="0" w:after="0" w:line="360" w:lineRule="auto"/>
        <w:ind w:firstLine="482" w:firstLineChars="200"/>
        <w:rPr>
          <w:rFonts w:ascii="仿宋" w:hAnsi="仿宋" w:eastAsia="仿宋" w:cs="仿宋"/>
          <w:kern w:val="2"/>
          <w:sz w:val="24"/>
          <w:szCs w:val="24"/>
          <w:highlight w:val="none"/>
          <w:lang w:val="en-US" w:bidi="ar-SA"/>
        </w:rPr>
      </w:pPr>
      <w:r>
        <w:rPr>
          <w:rFonts w:hint="eastAsia" w:ascii="仿宋" w:hAnsi="仿宋" w:eastAsia="仿宋" w:cs="仿宋"/>
          <w:kern w:val="2"/>
          <w:sz w:val="24"/>
          <w:szCs w:val="24"/>
          <w:highlight w:val="none"/>
          <w:lang w:val="en-US" w:bidi="ar-SA"/>
        </w:rPr>
        <w:t>7.采购需求：</w:t>
      </w:r>
      <w:r>
        <w:rPr>
          <w:rFonts w:hint="eastAsia" w:ascii="仿宋" w:hAnsi="仿宋" w:eastAsia="仿宋" w:cs="仿宋"/>
          <w:b w:val="0"/>
          <w:bCs w:val="0"/>
          <w:kern w:val="2"/>
          <w:sz w:val="24"/>
          <w:szCs w:val="24"/>
          <w:highlight w:val="none"/>
          <w:lang w:val="en-US" w:eastAsia="zh-CN" w:bidi="ar-SA"/>
        </w:rPr>
        <w:t>需求安保服务人员3人（白班2人，夜班1人）安保服务要求为</w:t>
      </w:r>
      <w:r>
        <w:rPr>
          <w:rFonts w:hint="eastAsia" w:ascii="仿宋" w:hAnsi="仿宋" w:eastAsia="仿宋" w:cs="仿宋"/>
          <w:b w:val="0"/>
          <w:bCs w:val="0"/>
          <w:kern w:val="2"/>
          <w:sz w:val="24"/>
          <w:szCs w:val="24"/>
          <w:highlight w:val="none"/>
          <w:lang w:val="en-US" w:bidi="ar-SA"/>
        </w:rPr>
        <w:t>负责学校护学岗、安保值班、校园安全巡查等事务性工作保障学校公共设施、师生人身财产安全，维护学校及校园周边环境的秩序，包括车辆出入管理、安全监控、巡查、重点区域检查、校园治安、突发事件应急处置等。具体详见第四章采购需求。</w:t>
      </w:r>
    </w:p>
    <w:p>
      <w:pPr>
        <w:pStyle w:val="9"/>
        <w:spacing w:line="360" w:lineRule="auto"/>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rPr>
        <w:t>8</w:t>
      </w:r>
      <w:r>
        <w:rPr>
          <w:rFonts w:hint="eastAsia" w:ascii="仿宋" w:hAnsi="仿宋" w:eastAsia="仿宋" w:cs="仿宋"/>
          <w:b/>
          <w:bCs/>
          <w:sz w:val="24"/>
          <w:szCs w:val="24"/>
          <w:highlight w:val="none"/>
        </w:rPr>
        <w:t>.</w:t>
      </w:r>
      <w:r>
        <w:rPr>
          <w:rFonts w:hint="eastAsia" w:ascii="仿宋" w:hAnsi="仿宋" w:eastAsia="仿宋" w:cs="仿宋"/>
          <w:b/>
          <w:bCs/>
          <w:spacing w:val="6"/>
          <w:sz w:val="24"/>
          <w:szCs w:val="24"/>
          <w:highlight w:val="none"/>
        </w:rPr>
        <w:t>合同履行（服务）期限</w:t>
      </w:r>
      <w:r>
        <w:rPr>
          <w:rFonts w:hint="eastAsia" w:ascii="仿宋" w:hAnsi="仿宋" w:eastAsia="仿宋" w:cs="仿宋"/>
          <w:spacing w:val="6"/>
          <w:sz w:val="24"/>
          <w:szCs w:val="24"/>
          <w:highlight w:val="none"/>
        </w:rPr>
        <w:t>：</w:t>
      </w:r>
      <w:r>
        <w:rPr>
          <w:rFonts w:hint="eastAsia" w:ascii="仿宋" w:hAnsi="仿宋" w:eastAsia="仿宋" w:cs="仿宋"/>
          <w:spacing w:val="6"/>
          <w:sz w:val="24"/>
          <w:szCs w:val="24"/>
          <w:highlight w:val="none"/>
          <w:lang w:val="en-US" w:eastAsia="zh-CN"/>
        </w:rPr>
        <w:t>一年</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9.本项目（是/否）接受联合体：</w:t>
      </w:r>
      <w:r>
        <w:rPr>
          <w:rFonts w:hint="eastAsia" w:ascii="仿宋" w:hAnsi="仿宋" w:eastAsia="仿宋" w:cs="仿宋"/>
          <w:sz w:val="24"/>
          <w:szCs w:val="24"/>
          <w:highlight w:val="none"/>
        </w:rPr>
        <w:t>否</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10.是否接受进口产品：否</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二、申请人的资格要求</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1.满足《中华人民共和国政府采购法》第二十二条规定</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（1）具有独立承担民事责任的能力；</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（2）具有良好的商业信誉和健全的财务会计制度；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（3）具有履行合同所必需的设备和专业技术能力；</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（5）参加政府采购活动前三年内，在经营活动中没有重大违法记录；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（6）法律、行政法规规定的其他条件。</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2.落实政府采购政策需满足的资格要求：</w:t>
      </w:r>
      <w:r>
        <w:rPr>
          <w:rFonts w:hint="eastAsia" w:ascii="仿宋" w:hAnsi="仿宋" w:eastAsia="仿宋" w:cs="仿宋"/>
          <w:sz w:val="24"/>
          <w:szCs w:val="24"/>
          <w:highlight w:val="none"/>
        </w:rPr>
        <w:t>（如属于专门面向中小企业采购的项目，供应商应为中小微企业、监狱企业、残疾人福利单位）</w:t>
      </w:r>
    </w:p>
    <w:p>
      <w:pPr>
        <w:pStyle w:val="3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本项目按照以下第（</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）种方式落实政府采购促进中小企业发展的要求：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（1）本项目整体专门面向中小企业采购服务。</w:t>
      </w:r>
    </w:p>
    <w:p>
      <w:pPr>
        <w:pStyle w:val="3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（2）本项目整体专门面向小微企业采购服务。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（3）本项目通过以下第（）种方式预留部分采购份额采购中小企业服务：</w:t>
      </w:r>
    </w:p>
    <w:p>
      <w:pPr>
        <w:pStyle w:val="3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①本项目要求供应商以联合体形式参加，中小企业合同金额应当达到的比例为_%。</w:t>
      </w:r>
    </w:p>
    <w:p>
      <w:pPr>
        <w:pStyle w:val="3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②本项目要求供应商进行合同分包，中小企业合同金额应当达到的比例为_%。</w:t>
      </w:r>
    </w:p>
    <w:p>
      <w:pPr>
        <w:pStyle w:val="3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（4）本项目为非预留份额的采购项目或采购包，执行价格扣除优惠政策，具体详见第三章评标办法与标准。</w:t>
      </w:r>
    </w:p>
    <w:p>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3.本项目的特定资格要求：</w:t>
      </w:r>
    </w:p>
    <w:p>
      <w:pPr>
        <w:pStyle w:val="25"/>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ascii="仿宋" w:hAnsi="仿宋" w:eastAsia="仿宋" w:cs="仿宋"/>
          <w:b/>
          <w:bCs w:val="0"/>
          <w:color w:val="auto"/>
          <w:sz w:val="24"/>
          <w:szCs w:val="22"/>
          <w:highlight w:val="none"/>
          <w:lang w:val="en-US" w:eastAsia="zh-CN" w:bidi="ar-SA"/>
        </w:rPr>
      </w:pPr>
      <w:r>
        <w:rPr>
          <w:rFonts w:hint="eastAsia" w:ascii="仿宋" w:hAnsi="仿宋" w:eastAsia="仿宋" w:cs="仿宋"/>
          <w:b/>
          <w:bCs w:val="0"/>
          <w:color w:val="auto"/>
          <w:sz w:val="24"/>
          <w:szCs w:val="22"/>
          <w:highlight w:val="none"/>
          <w:lang w:val="en-US" w:eastAsia="zh-CN" w:bidi="ar-SA"/>
        </w:rPr>
        <w:t>（1）供应商具有公安部门审批颁发的《保安服务许可证》；（提供有效的证书复印件并加盖公章，原件备查）</w:t>
      </w:r>
    </w:p>
    <w:p>
      <w:pPr>
        <w:pStyle w:val="25"/>
        <w:keepNext w:val="0"/>
        <w:keepLines w:val="0"/>
        <w:pageBreakBefore w:val="0"/>
        <w:widowControl w:val="0"/>
        <w:kinsoku/>
        <w:wordWrap/>
        <w:overflowPunct/>
        <w:topLinePunct w:val="0"/>
        <w:autoSpaceDE/>
        <w:autoSpaceDN/>
        <w:bidi w:val="0"/>
        <w:adjustRightInd/>
        <w:snapToGrid/>
        <w:spacing w:before="0" w:line="360" w:lineRule="auto"/>
        <w:ind w:left="0" w:firstLine="0" w:firstLineChars="0"/>
        <w:textAlignment w:val="auto"/>
        <w:rPr>
          <w:rFonts w:hint="eastAsia" w:ascii="仿宋" w:hAnsi="仿宋" w:eastAsia="仿宋" w:cs="仿宋"/>
          <w:b/>
          <w:bCs w:val="0"/>
          <w:color w:val="auto"/>
          <w:sz w:val="24"/>
          <w:szCs w:val="22"/>
          <w:highlight w:val="none"/>
          <w:lang w:val="en-US" w:eastAsia="zh-CN" w:bidi="ar-SA"/>
        </w:rPr>
      </w:pPr>
      <w:r>
        <w:rPr>
          <w:rFonts w:hint="eastAsia" w:ascii="仿宋" w:hAnsi="仿宋" w:eastAsia="仿宋" w:cs="仿宋"/>
          <w:b/>
          <w:bCs w:val="0"/>
          <w:color w:val="auto"/>
          <w:sz w:val="24"/>
          <w:szCs w:val="22"/>
          <w:highlight w:val="none"/>
          <w:lang w:val="en-US" w:eastAsia="zh-CN" w:bidi="ar-SA"/>
        </w:rPr>
        <w:t>（2）跨省、自治区、直辖市的供应商除提供《保安服务许可证》外，还需承诺在开始提供本项目保安服务之前完成服务所在地设区的市级人民政府（南京市）公安机关备案。（提供承诺书并加盖公章）</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4.第1（5）条所称重大违法记录，是指供应商因违法经营受到刑事处罚或者责令停产停业、吊销许可证或者执照、较大数额罚款等行政处罚。</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5.供应商在参加政府采购活动前3年内因违法经营被禁止在一定期限内参加政府采购活动，期限届满的，可以参加政府采购活动。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6.单位负责人为同一人或者存在直接控股、管理关系的不同供应商，不得参加同一合同项下的政府采购活动。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为采购项目提供整体设计、规范编制或者项目管理、监理、检测等服务的供应商，不得再参加该采购项目的其他采购活动。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7.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pPr>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8.供应商诚信档案管理</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供应商申请网上注册的，应当按以下程序进行：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（1）登陆“信用南京”或“南京公共采购信息网”网站，点击“政府采购供应商诚信档案”图标，在弹出的用户登录界面，点击“新用户注册”；</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注册成功后，供应商参加本次政府采购活动时，在采购文件发布之日起至递交响应文件截止日前，应先登录“信用南京”在线打印其“南京市政府采购供应商信用记录表”，经法定代表人签名盖章后作为投标文件的组成部分“南京市政府采购供应商信用记录表”是其参加本次政府采购活动的必备材料。</w:t>
      </w:r>
    </w:p>
    <w:p>
      <w:pPr>
        <w:spacing w:line="360" w:lineRule="auto"/>
        <w:ind w:firstLine="480" w:firstLineChars="200"/>
        <w:rPr>
          <w:highlight w:val="none"/>
        </w:rPr>
      </w:pPr>
      <w:r>
        <w:rPr>
          <w:rFonts w:hint="eastAsia" w:ascii="仿宋" w:hAnsi="仿宋" w:eastAsia="仿宋" w:cs="仿宋"/>
          <w:sz w:val="24"/>
          <w:highlight w:val="none"/>
        </w:rPr>
        <w:t>南京市政府采购供应商诚信档案管理系统客服电话：025-52718366；供应商可就用户注册与打印“南京市政府采购供应商信用记录表”等事宜进行咨询。</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三、获取采购文件</w:t>
      </w:r>
    </w:p>
    <w:p>
      <w:pPr>
        <w:pStyle w:val="63"/>
        <w:spacing w:beforeLines="0" w:afterLines="0" w:line="360" w:lineRule="auto"/>
        <w:ind w:firstLine="482" w:firstLineChars="200"/>
        <w:outlineLvl w:val="9"/>
        <w:rPr>
          <w:rFonts w:ascii="仿宋" w:hAnsi="仿宋" w:eastAsia="仿宋" w:cs="仿宋"/>
          <w:sz w:val="24"/>
          <w:szCs w:val="24"/>
          <w:highlight w:val="none"/>
        </w:rPr>
      </w:pPr>
      <w:bookmarkStart w:id="2" w:name="_Toc32279"/>
      <w:r>
        <w:rPr>
          <w:rFonts w:hint="eastAsia" w:ascii="仿宋" w:hAnsi="仿宋" w:eastAsia="仿宋" w:cs="仿宋"/>
          <w:b/>
          <w:bCs/>
          <w:sz w:val="24"/>
          <w:szCs w:val="24"/>
          <w:highlight w:val="none"/>
        </w:rPr>
        <w:t>1.时间：</w:t>
      </w:r>
      <w:bookmarkEnd w:id="2"/>
      <w:r>
        <w:rPr>
          <w:rFonts w:hint="eastAsia" w:ascii="仿宋" w:hAnsi="仿宋" w:eastAsia="仿宋" w:cs="仿宋"/>
          <w:b/>
          <w:bCs/>
          <w:sz w:val="24"/>
          <w:szCs w:val="24"/>
          <w:highlight w:val="none"/>
        </w:rPr>
        <w:t>自本公告发布之日起5个工作日</w:t>
      </w:r>
    </w:p>
    <w:p>
      <w:pPr>
        <w:spacing w:line="360" w:lineRule="auto"/>
        <w:ind w:firstLine="482"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sz w:val="24"/>
          <w:szCs w:val="24"/>
          <w:highlight w:val="none"/>
        </w:rPr>
        <w:t>2.地点</w:t>
      </w: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南京市雨花台区花神大道23号1号楼西4F406室</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3.具体方式：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获取采购文件前须前往易智采招标采购平台www.ezczb.com/（以下简称平台）免费注册，平台将对供应商注册信息与其提供扫描件信息进行一致性检查。注册为一次性工作，以后若有需要可变更及完善相关信息；同一单位不同的经办人可各自建立不同账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（2）供应商应充分考虑平台注册、信息检查、资料上传、费用支付所需时间，务必在本公告规定的采购文件获取时间前完成采购文件工本费支付，否则将无法保证获取采购文件。支付方式：登录平台（网址：</w:t>
      </w:r>
      <w:r>
        <w:rPr>
          <w:highlight w:val="none"/>
        </w:rPr>
        <w:fldChar w:fldCharType="begin"/>
      </w:r>
      <w:r>
        <w:rPr>
          <w:highlight w:val="none"/>
        </w:rPr>
        <w:instrText xml:space="preserve"> HYPERLINK "http://www.ezczb.com/）" </w:instrText>
      </w:r>
      <w:r>
        <w:rPr>
          <w:highlight w:val="none"/>
        </w:rPr>
        <w:fldChar w:fldCharType="separate"/>
      </w:r>
      <w:r>
        <w:rPr>
          <w:rFonts w:hint="eastAsia" w:ascii="仿宋" w:hAnsi="仿宋" w:eastAsia="仿宋" w:cs="仿宋"/>
          <w:sz w:val="24"/>
          <w:szCs w:val="24"/>
          <w:highlight w:val="none"/>
        </w:rPr>
        <w:t>www.ezczb.com/）</w:t>
      </w:r>
      <w:r>
        <w:rPr>
          <w:rFonts w:hint="eastAsia" w:ascii="仿宋" w:hAnsi="仿宋" w:eastAsia="仿宋" w:cs="仿宋"/>
          <w:sz w:val="24"/>
          <w:szCs w:val="24"/>
          <w:highlight w:val="none"/>
        </w:rPr>
        <w:fldChar w:fldCharType="end"/>
      </w:r>
    </w:p>
    <w:p>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供应商</w:t>
      </w:r>
      <w:r>
        <w:rPr>
          <w:rFonts w:ascii="仿宋" w:hAnsi="仿宋" w:eastAsia="仿宋" w:cs="仿宋"/>
          <w:sz w:val="24"/>
          <w:szCs w:val="24"/>
          <w:highlight w:val="none"/>
        </w:rPr>
        <w:t>可通过平台下载采购文件电子档（采购文件电子档与纸质文件不一致的，以纸质文件为准）。</w:t>
      </w:r>
    </w:p>
    <w:p>
      <w:pPr>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（4）平台网站首页“帮助中心”提供操作手册，</w:t>
      </w:r>
      <w:r>
        <w:rPr>
          <w:rFonts w:hint="eastAsia" w:ascii="仿宋" w:hAnsi="仿宋" w:eastAsia="仿宋" w:cs="仿宋"/>
          <w:sz w:val="24"/>
          <w:szCs w:val="24"/>
          <w:highlight w:val="none"/>
        </w:rPr>
        <w:t>供应商</w:t>
      </w:r>
      <w:r>
        <w:rPr>
          <w:rFonts w:ascii="仿宋" w:hAnsi="仿宋" w:eastAsia="仿宋" w:cs="仿宋"/>
          <w:sz w:val="24"/>
          <w:szCs w:val="24"/>
          <w:highlight w:val="none"/>
        </w:rPr>
        <w:t>可以下载并根据操作手册提示进行注册、登录、支付、</w:t>
      </w:r>
      <w:r>
        <w:rPr>
          <w:rFonts w:hint="eastAsia" w:ascii="仿宋" w:hAnsi="仿宋" w:eastAsia="仿宋" w:cs="仿宋"/>
          <w:sz w:val="24"/>
          <w:szCs w:val="24"/>
          <w:highlight w:val="none"/>
        </w:rPr>
        <w:t>获取采购文件</w:t>
      </w:r>
      <w:r>
        <w:rPr>
          <w:rFonts w:ascii="仿宋" w:hAnsi="仿宋" w:eastAsia="仿宋" w:cs="仿宋"/>
          <w:sz w:val="24"/>
          <w:szCs w:val="24"/>
          <w:highlight w:val="none"/>
        </w:rPr>
        <w:t>等操作。平台咨询电话为：025-86338154，服务时间为工作日上午9时至12时，下午1时到6时。平台会通过短信提醒下载者进行注册、支付、下载等操作。</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四、响应文件提交</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1.线下递交纸质响应文件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提交纸质响应文件开始时间：2023年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29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时00分；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提交纸质响应文件截止时间：2023年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时30分。</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2.提交响应文件地点（不接受传真、邮寄）：</w:t>
      </w:r>
      <w:r>
        <w:rPr>
          <w:rFonts w:hint="eastAsia" w:ascii="仿宋" w:hAnsi="仿宋" w:eastAsia="仿宋" w:cs="仿宋"/>
          <w:sz w:val="24"/>
          <w:szCs w:val="24"/>
          <w:highlight w:val="none"/>
        </w:rPr>
        <w:t>南京市雨花台区花神大道23号1号楼西4F40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室，逾期送达或者未按照竞争性磋商文件编制要求提交的响应文件将被拒收。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3.纸质响应文件一式 叁 份（正本 壹 份、副本 贰 份），电子版响应文件 壹 份，</w:t>
      </w:r>
      <w:r>
        <w:rPr>
          <w:rFonts w:hint="eastAsia" w:ascii="仿宋" w:hAnsi="仿宋" w:eastAsia="仿宋" w:cs="仿宋"/>
          <w:bCs/>
          <w:sz w:val="24"/>
          <w:szCs w:val="24"/>
          <w:highlight w:val="none"/>
        </w:rPr>
        <w:t>U盘</w:t>
      </w:r>
      <w:r>
        <w:rPr>
          <w:rFonts w:hint="eastAsia" w:ascii="仿宋" w:hAnsi="仿宋" w:eastAsia="仿宋" w:cs="仿宋"/>
          <w:sz w:val="24"/>
          <w:szCs w:val="24"/>
          <w:highlight w:val="none"/>
        </w:rPr>
        <w:t>。当电子版文件和纸质正本文件不一致时，以纸质正本文件为准。电子版文件用于辅助评审和存档，供应商需承担前述不一致造成的不利后果。</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五、开启</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1.时间：2023年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29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10</w:t>
      </w:r>
      <w:bookmarkStart w:id="104" w:name="_GoBack"/>
      <w:bookmarkEnd w:id="104"/>
      <w:r>
        <w:rPr>
          <w:rFonts w:hint="eastAsia" w:ascii="仿宋" w:hAnsi="仿宋" w:eastAsia="仿宋" w:cs="仿宋"/>
          <w:sz w:val="24"/>
          <w:szCs w:val="24"/>
          <w:highlight w:val="none"/>
        </w:rPr>
        <w:t>点30分（北京时间）</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2.地点：</w:t>
      </w:r>
      <w:r>
        <w:rPr>
          <w:rFonts w:hint="eastAsia" w:ascii="仿宋" w:hAnsi="仿宋" w:eastAsia="仿宋" w:cs="仿宋"/>
          <w:b/>
          <w:bCs/>
          <w:sz w:val="24"/>
          <w:szCs w:val="24"/>
          <w:highlight w:val="none"/>
        </w:rPr>
        <w:t>南京市雨花台区花神大道23号1号楼西4F40</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室</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六、公告期限</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七、其他补充事宜</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1.集中现场考察或答疑</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采购人不组织，供应商可自行联系采购人。未考察现场或考察工作不详细的供应商成交后，不得以不完全了解现场情况为理由而向采购人提出任何索赔或其他要求，对此采购人不承担任何责任并将不作任何答复。</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2.公告媒体</w:t>
      </w:r>
    </w:p>
    <w:p>
      <w:pPr>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（1）本采购公告在南京公共采购信息网（https://njgc.jfh.com/）公示发布，敬请各供应商关注；</w:t>
      </w:r>
    </w:p>
    <w:p>
      <w:pPr>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（2）有关本次采购存在变动或修改，敬请各供应商及时关注南京公共采购信息网（https://njgc.jfh.com/）发布的关于本项目的信息更正公告；</w:t>
      </w:r>
    </w:p>
    <w:p>
      <w:pPr>
        <w:wordWrap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（3）对采购项目的技术及需求问题，请向采购人联系人咨询。</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3.采购项目需要落实的政府采购政策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（1）政府采购促进中小企业发展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（2）政府采购支持监狱企业发展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（3）政府采购促进残疾人就业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（4）政府采购鼓励采购节能环保产品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（5）信息安全产品政策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（6）进口产品政策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（7）投标担保政策</w:t>
      </w:r>
    </w:p>
    <w:p>
      <w:pPr>
        <w:pStyle w:val="3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4.根据《关于在政府采购活动中推行信用承诺制的通知》（宁财购通[2021]5号）的规定，本项目磋商公告“二、申请人的资格要求 2.1条”及“二、申请人的资格要求 2.7条”中涉及的证明材料，供应商可以在响应文件中一次性提交，也可以在响应文件中提供满足相应条件的书面承诺书（详见磋商文件第六章），不再需要提供上述涉及的证明材料。</w:t>
      </w:r>
    </w:p>
    <w:p>
      <w:pPr>
        <w:pStyle w:val="3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供应商仅提供信用承诺书而未提供“二、申请人的资格要求 2.1条”及“二、申请人的资格要求 2.7条”中涉及的证明材料的，须在成交后，另行提供上述由信用承诺书替代的证明材料（一式三份），材料须加盖公章并按磋商文件要求胶装提交采购人或采购代理机构核验。经核验无误后，由采购人或采购代理机构发出成交通知书。</w:t>
      </w:r>
    </w:p>
    <w:p>
      <w:pPr>
        <w:pStyle w:val="3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供应商涉及以下情形的，不适用信用承诺，仍须提供上述证明材料：</w:t>
      </w:r>
    </w:p>
    <w:p>
      <w:pPr>
        <w:pStyle w:val="3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（1）供应商被列入严重失信主体名单；</w:t>
      </w:r>
    </w:p>
    <w:p>
      <w:pPr>
        <w:pStyle w:val="36"/>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（2）被相关监管部门作出行政处罚且尚在处罚有效期内；</w:t>
      </w:r>
    </w:p>
    <w:p>
      <w:pPr>
        <w:adjustRightInd w:val="0"/>
        <w:snapToGrid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（3）其他法律、行政法规规定的不适用信用承诺的情形。</w:t>
      </w:r>
    </w:p>
    <w:p>
      <w:pPr>
        <w:adjustRightInd w:val="0"/>
        <w:snapToGrid w:val="0"/>
        <w:spacing w:line="360"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5.响应文件提交时，请供应商法定代表人或其授权委托代表人携带本人有效身份证原件出席。</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6.本项目成交后不允许分包、转包。</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八、凡对本次采购提出询问，请按以下方式联系</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1.采购人信息</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采购单位名称：</w:t>
      </w:r>
      <w:r>
        <w:rPr>
          <w:rFonts w:hint="eastAsia" w:ascii="仿宋" w:hAnsi="仿宋" w:eastAsia="仿宋" w:cs="仿宋"/>
          <w:sz w:val="24"/>
          <w:szCs w:val="24"/>
          <w:highlight w:val="none"/>
          <w:lang w:eastAsia="zh-CN"/>
        </w:rPr>
        <w:t>南京市雨花台中学春江分校</w:t>
      </w:r>
    </w:p>
    <w:p>
      <w:pPr>
        <w:tabs>
          <w:tab w:val="left" w:pos="1524"/>
        </w:tabs>
        <w:spacing w:line="360" w:lineRule="auto"/>
        <w:ind w:firstLine="480" w:firstLineChars="200"/>
        <w:rPr>
          <w:rFonts w:hint="eastAsia" w:ascii="仿宋" w:hAnsi="仿宋" w:eastAsia="仿宋" w:cs="仿宋"/>
          <w:spacing w:val="2"/>
          <w:sz w:val="24"/>
          <w:szCs w:val="24"/>
          <w:highlight w:val="none"/>
          <w:lang w:eastAsia="zh-CN"/>
        </w:rPr>
      </w:pPr>
      <w:r>
        <w:rPr>
          <w:rFonts w:hint="eastAsia" w:ascii="仿宋" w:hAnsi="仿宋" w:eastAsia="仿宋" w:cs="仿宋"/>
          <w:sz w:val="24"/>
          <w:szCs w:val="24"/>
          <w:highlight w:val="none"/>
        </w:rPr>
        <w:t>地址：</w:t>
      </w:r>
      <w:r>
        <w:rPr>
          <w:rFonts w:hint="eastAsia" w:ascii="仿宋" w:hAnsi="仿宋" w:eastAsia="仿宋" w:cs="仿宋"/>
          <w:spacing w:val="2"/>
          <w:sz w:val="24"/>
          <w:szCs w:val="24"/>
          <w:highlight w:val="none"/>
          <w:lang w:eastAsia="zh-CN"/>
        </w:rPr>
        <w:t>江苏省南京市雨花台区江泉路9号</w:t>
      </w:r>
    </w:p>
    <w:p>
      <w:pPr>
        <w:pStyle w:val="10"/>
        <w:tabs>
          <w:tab w:val="left" w:pos="450"/>
        </w:tabs>
        <w:spacing w:line="360" w:lineRule="auto"/>
        <w:ind w:left="0" w:firstLine="480" w:firstLineChars="200"/>
        <w:jc w:val="both"/>
        <w:rPr>
          <w:rFonts w:hint="eastAsia" w:ascii="仿宋" w:hAnsi="仿宋" w:eastAsia="仿宋" w:cs="仿宋"/>
          <w:highlight w:val="none"/>
          <w:lang w:val="en-US" w:eastAsia="zh-CN"/>
        </w:rPr>
      </w:pPr>
      <w:r>
        <w:rPr>
          <w:rFonts w:hint="eastAsia" w:ascii="仿宋" w:hAnsi="仿宋" w:eastAsia="仿宋" w:cs="仿宋"/>
          <w:highlight w:val="none"/>
        </w:rPr>
        <w:t>联系人：</w:t>
      </w:r>
      <w:r>
        <w:rPr>
          <w:rFonts w:hint="eastAsia" w:ascii="仿宋" w:hAnsi="仿宋" w:eastAsia="仿宋" w:cs="仿宋"/>
          <w:highlight w:val="none"/>
          <w:lang w:val="en-US" w:eastAsia="zh-CN"/>
        </w:rPr>
        <w:t>王老师</w:t>
      </w:r>
    </w:p>
    <w:p>
      <w:pPr>
        <w:pStyle w:val="36"/>
        <w:spacing w:line="360" w:lineRule="auto"/>
        <w:ind w:firstLine="480"/>
        <w:rPr>
          <w:rFonts w:hint="eastAsia" w:ascii="仿宋" w:hAnsi="仿宋" w:eastAsia="仿宋" w:cs="仿宋"/>
          <w:spacing w:val="3"/>
          <w:sz w:val="24"/>
          <w:szCs w:val="24"/>
          <w:highlight w:val="none"/>
          <w:lang w:val="en-US" w:eastAsia="zh-CN"/>
        </w:rPr>
      </w:pPr>
      <w:r>
        <w:rPr>
          <w:rFonts w:hint="eastAsia" w:ascii="仿宋" w:hAnsi="仿宋" w:eastAsia="仿宋" w:cs="仿宋"/>
          <w:sz w:val="24"/>
          <w:szCs w:val="24"/>
          <w:highlight w:val="none"/>
        </w:rPr>
        <w:t>联系方式：</w:t>
      </w:r>
      <w:r>
        <w:rPr>
          <w:rFonts w:hint="eastAsia" w:ascii="仿宋" w:hAnsi="仿宋" w:eastAsia="仿宋" w:cs="仿宋"/>
          <w:spacing w:val="3"/>
          <w:sz w:val="24"/>
          <w:szCs w:val="24"/>
          <w:highlight w:val="none"/>
          <w:lang w:val="en-US" w:eastAsia="zh-CN"/>
        </w:rPr>
        <w:t xml:space="preserve">15051864518  </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2.采购代理机构信息</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名称：</w:t>
      </w:r>
      <w:r>
        <w:rPr>
          <w:rFonts w:hint="eastAsia" w:ascii="仿宋" w:hAnsi="仿宋" w:eastAsia="仿宋" w:cs="仿宋"/>
          <w:sz w:val="24"/>
          <w:szCs w:val="24"/>
          <w:highlight w:val="none"/>
          <w:lang w:eastAsia="zh-CN"/>
        </w:rPr>
        <w:t>江苏同立工程咨询有限公司</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地址：南京市雨花台区花神大道23号1号楼西4F40</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室</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联系电话：13813811768   </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3.项目联系方式</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项目联系人：</w:t>
      </w:r>
      <w:r>
        <w:rPr>
          <w:rFonts w:hint="eastAsia" w:ascii="仿宋" w:hAnsi="仿宋" w:eastAsia="仿宋" w:cs="仿宋"/>
          <w:sz w:val="24"/>
          <w:szCs w:val="24"/>
          <w:highlight w:val="none"/>
          <w:lang w:val="en-US" w:eastAsia="zh-CN"/>
        </w:rPr>
        <w:t>李</w:t>
      </w:r>
      <w:r>
        <w:rPr>
          <w:rFonts w:hint="eastAsia" w:ascii="仿宋" w:hAnsi="仿宋" w:eastAsia="仿宋" w:cs="仿宋"/>
          <w:sz w:val="24"/>
          <w:szCs w:val="24"/>
          <w:highlight w:val="none"/>
        </w:rPr>
        <w:t>工</w:t>
      </w:r>
    </w:p>
    <w:p>
      <w:pPr>
        <w:spacing w:line="360" w:lineRule="auto"/>
        <w:ind w:firstLine="480" w:firstLineChars="200"/>
        <w:rPr>
          <w:rFonts w:ascii="仿宋" w:hAnsi="仿宋" w:eastAsia="仿宋" w:cs="仿宋"/>
          <w:b/>
          <w:bCs/>
          <w:sz w:val="28"/>
          <w:szCs w:val="32"/>
          <w:highlight w:val="none"/>
        </w:rPr>
      </w:pPr>
      <w:r>
        <w:rPr>
          <w:rFonts w:hint="eastAsia" w:ascii="仿宋" w:hAnsi="仿宋" w:eastAsia="仿宋" w:cs="仿宋"/>
          <w:sz w:val="24"/>
          <w:szCs w:val="24"/>
          <w:highlight w:val="none"/>
        </w:rPr>
        <w:t>电　　　话：</w:t>
      </w:r>
      <w:bookmarkStart w:id="3" w:name="_Toc32126"/>
      <w:r>
        <w:rPr>
          <w:rFonts w:hint="eastAsia" w:ascii="仿宋" w:hAnsi="仿宋" w:eastAsia="仿宋" w:cs="仿宋"/>
          <w:sz w:val="24"/>
          <w:szCs w:val="24"/>
          <w:highlight w:val="none"/>
          <w:lang w:val="en-US" w:eastAsia="zh-CN"/>
        </w:rPr>
        <w:t>18860941382</w:t>
      </w:r>
      <w:r>
        <w:rPr>
          <w:rFonts w:hint="eastAsia" w:ascii="仿宋" w:hAnsi="仿宋" w:eastAsia="仿宋" w:cs="仿宋"/>
          <w:b/>
          <w:bCs/>
          <w:sz w:val="28"/>
          <w:szCs w:val="32"/>
          <w:highlight w:val="none"/>
        </w:rPr>
        <w:br w:type="page"/>
      </w:r>
    </w:p>
    <w:p>
      <w:pPr>
        <w:jc w:val="center"/>
        <w:outlineLvl w:val="0"/>
        <w:rPr>
          <w:rFonts w:ascii="仿宋" w:hAnsi="仿宋" w:eastAsia="仿宋" w:cs="仿宋"/>
          <w:b/>
          <w:bCs/>
          <w:sz w:val="28"/>
          <w:szCs w:val="32"/>
          <w:highlight w:val="none"/>
        </w:rPr>
      </w:pPr>
      <w:bookmarkStart w:id="4" w:name="_Toc32314"/>
      <w:r>
        <w:rPr>
          <w:rFonts w:hint="eastAsia" w:ascii="仿宋" w:hAnsi="仿宋" w:eastAsia="仿宋" w:cs="仿宋"/>
          <w:b/>
          <w:bCs/>
          <w:sz w:val="28"/>
          <w:szCs w:val="32"/>
          <w:highlight w:val="none"/>
        </w:rPr>
        <w:t>第二章  供应商须知</w:t>
      </w:r>
      <w:bookmarkEnd w:id="3"/>
      <w:bookmarkEnd w:id="4"/>
    </w:p>
    <w:p>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供应商须知前附表</w:t>
      </w:r>
    </w:p>
    <w:tbl>
      <w:tblPr>
        <w:tblStyle w:val="27"/>
        <w:tblW w:w="85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604"/>
        <w:gridCol w:w="63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jc w:val="center"/>
        </w:trPr>
        <w:tc>
          <w:tcPr>
            <w:tcW w:w="659" w:type="dxa"/>
            <w:tcBorders>
              <w:top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名  称</w:t>
            </w:r>
          </w:p>
        </w:tc>
        <w:tc>
          <w:tcPr>
            <w:tcW w:w="6330" w:type="dxa"/>
            <w:tcBorders>
              <w:top w:val="single" w:color="auto" w:sz="4" w:space="0"/>
              <w:left w:val="single" w:color="auto" w:sz="4" w:space="0"/>
              <w:bottom w:val="single" w:color="auto" w:sz="4" w:space="0"/>
            </w:tcBorders>
            <w:vAlign w:val="center"/>
          </w:tcPr>
          <w:p>
            <w:pPr>
              <w:spacing w:line="360" w:lineRule="auto"/>
              <w:jc w:val="center"/>
              <w:rPr>
                <w:rFonts w:ascii="仿宋" w:hAnsi="仿宋" w:eastAsia="仿宋" w:cs="仿宋"/>
                <w:b/>
                <w:bCs/>
                <w:szCs w:val="21"/>
                <w:highlight w:val="none"/>
              </w:rPr>
            </w:pPr>
            <w:r>
              <w:rPr>
                <w:rFonts w:hint="eastAsia" w:ascii="仿宋" w:hAnsi="仿宋" w:eastAsia="仿宋" w:cs="仿宋"/>
                <w:b/>
                <w:bCs/>
                <w:szCs w:val="21"/>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磋商保证金</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本项目不设磋商保证金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响应文件数量</w:t>
            </w:r>
          </w:p>
        </w:tc>
        <w:tc>
          <w:tcPr>
            <w:tcW w:w="6330" w:type="dxa"/>
            <w:tcBorders>
              <w:top w:val="single" w:color="auto" w:sz="4" w:space="0"/>
              <w:left w:val="single" w:color="auto" w:sz="4" w:space="0"/>
              <w:bottom w:val="single" w:color="auto" w:sz="4" w:space="0"/>
            </w:tcBorders>
            <w:vAlign w:val="center"/>
          </w:tcPr>
          <w:p>
            <w:pPr>
              <w:tabs>
                <w:tab w:val="left" w:pos="312"/>
              </w:tabs>
              <w:spacing w:line="360" w:lineRule="auto"/>
              <w:rPr>
                <w:rFonts w:ascii="仿宋" w:hAnsi="仿宋" w:eastAsia="仿宋" w:cs="仿宋"/>
                <w:szCs w:val="21"/>
                <w:highlight w:val="none"/>
              </w:rPr>
            </w:pPr>
            <w:r>
              <w:rPr>
                <w:rFonts w:hint="eastAsia" w:ascii="仿宋" w:hAnsi="仿宋" w:eastAsia="仿宋" w:cs="仿宋"/>
                <w:szCs w:val="21"/>
                <w:highlight w:val="none"/>
              </w:rPr>
              <w:t>（1）纸质正本</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份，纸质副本</w:t>
            </w:r>
            <w:r>
              <w:rPr>
                <w:rFonts w:hint="eastAsia" w:ascii="仿宋" w:hAnsi="仿宋" w:eastAsia="仿宋" w:cs="仿宋"/>
                <w:b/>
                <w:bCs/>
                <w:szCs w:val="21"/>
                <w:highlight w:val="none"/>
                <w:u w:val="single"/>
              </w:rPr>
              <w:t>贰</w:t>
            </w:r>
            <w:r>
              <w:rPr>
                <w:rFonts w:hint="eastAsia" w:ascii="仿宋" w:hAnsi="仿宋" w:eastAsia="仿宋" w:cs="仿宋"/>
                <w:szCs w:val="21"/>
                <w:highlight w:val="none"/>
              </w:rPr>
              <w:t>份。</w:t>
            </w:r>
          </w:p>
          <w:p>
            <w:pPr>
              <w:tabs>
                <w:tab w:val="left" w:pos="312"/>
              </w:tabs>
              <w:spacing w:line="360" w:lineRule="auto"/>
              <w:rPr>
                <w:rFonts w:ascii="仿宋" w:hAnsi="仿宋" w:eastAsia="仿宋" w:cs="仿宋"/>
                <w:szCs w:val="21"/>
                <w:highlight w:val="none"/>
              </w:rPr>
            </w:pPr>
            <w:r>
              <w:rPr>
                <w:rFonts w:hint="eastAsia" w:ascii="仿宋" w:hAnsi="仿宋" w:eastAsia="仿宋" w:cs="仿宋"/>
                <w:szCs w:val="21"/>
                <w:highlight w:val="none"/>
              </w:rPr>
              <w:t>（2）电子版</w:t>
            </w:r>
            <w:r>
              <w:rPr>
                <w:rFonts w:hint="eastAsia" w:ascii="仿宋" w:hAnsi="仿宋" w:eastAsia="仿宋" w:cs="仿宋"/>
                <w:b/>
                <w:bCs/>
                <w:szCs w:val="21"/>
                <w:highlight w:val="none"/>
                <w:u w:val="single"/>
              </w:rPr>
              <w:t>壹</w:t>
            </w:r>
            <w:r>
              <w:rPr>
                <w:rFonts w:hint="eastAsia" w:ascii="仿宋" w:hAnsi="仿宋" w:eastAsia="仿宋" w:cs="仿宋"/>
                <w:szCs w:val="21"/>
                <w:highlight w:val="none"/>
              </w:rPr>
              <w:t>份。</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（3）当纸质正本文件与副本、电子版文件不一致时，以纸质正本文件为准，供应商须承担前述不一致造成的不利后果。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响应文件的编制、密封、递交</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（1）文件签署：</w:t>
            </w:r>
            <w:r>
              <w:rPr>
                <w:rFonts w:hint="eastAsia" w:ascii="仿宋" w:hAnsi="仿宋" w:eastAsia="仿宋" w:cs="仿宋"/>
                <w:szCs w:val="21"/>
                <w:highlight w:val="none"/>
              </w:rPr>
              <w:t>由供应商法定代表人或经正式授权并对供应商有约束力的委托代理人用不褪色墨水书写签署。</w:t>
            </w:r>
          </w:p>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（2）文件编制：</w:t>
            </w:r>
            <w:r>
              <w:rPr>
                <w:rFonts w:hint="eastAsia" w:ascii="仿宋" w:hAnsi="仿宋" w:eastAsia="仿宋" w:cs="仿宋"/>
                <w:szCs w:val="21"/>
                <w:highlight w:val="none"/>
              </w:rPr>
              <w:t>响应文件的编制应按照磋商文件统一规定的格式</w:t>
            </w:r>
            <w:r>
              <w:rPr>
                <w:rFonts w:hint="eastAsia" w:ascii="仿宋" w:hAnsi="仿宋" w:eastAsia="仿宋" w:cs="仿宋"/>
                <w:b/>
                <w:bCs/>
                <w:szCs w:val="21"/>
                <w:highlight w:val="none"/>
              </w:rPr>
              <w:t>（规定格式中要求盖章或签字的，则必须盖章或签字）</w:t>
            </w:r>
            <w:r>
              <w:rPr>
                <w:rFonts w:hint="eastAsia" w:ascii="仿宋" w:hAnsi="仿宋" w:eastAsia="仿宋" w:cs="仿宋"/>
                <w:szCs w:val="21"/>
                <w:highlight w:val="none"/>
              </w:rPr>
              <w:t>，供应商可根据自身实际情况进行添加调整；供应商应在响应文件中写清相应的项目编号、项目名称、供应商全称、地址、电话等，每份纸质文件须清楚标明“正本”或“副本”字样。</w:t>
            </w:r>
          </w:p>
          <w:p>
            <w:pPr>
              <w:spacing w:line="360" w:lineRule="auto"/>
              <w:rPr>
                <w:rFonts w:ascii="仿宋" w:hAnsi="仿宋" w:eastAsia="仿宋" w:cs="仿宋"/>
                <w:szCs w:val="21"/>
                <w:highlight w:val="none"/>
              </w:rPr>
            </w:pPr>
            <w:r>
              <w:rPr>
                <w:rFonts w:hint="eastAsia" w:ascii="仿宋" w:hAnsi="仿宋" w:eastAsia="仿宋" w:cs="仿宋"/>
                <w:b/>
                <w:bCs/>
                <w:szCs w:val="21"/>
                <w:highlight w:val="none"/>
              </w:rPr>
              <w:t>（3）文件密封：</w:t>
            </w:r>
            <w:r>
              <w:rPr>
                <w:rFonts w:hint="eastAsia" w:ascii="仿宋" w:hAnsi="仿宋" w:eastAsia="仿宋" w:cs="仿宋"/>
                <w:szCs w:val="21"/>
                <w:highlight w:val="none"/>
              </w:rPr>
              <w:t>供应商应将响应文件用档案袋或封套密封，封面并注明项目编号、项目名称、供应商地址、供应商全称等。</w:t>
            </w:r>
          </w:p>
          <w:p>
            <w:pPr>
              <w:spacing w:line="360" w:lineRule="auto"/>
              <w:rPr>
                <w:rFonts w:ascii="仿宋" w:hAnsi="仿宋" w:eastAsia="仿宋" w:cs="仿宋"/>
                <w:szCs w:val="21"/>
                <w:highlight w:val="none"/>
              </w:rPr>
            </w:pPr>
            <w:r>
              <w:rPr>
                <w:rFonts w:hint="eastAsia" w:ascii="仿宋" w:hAnsi="仿宋" w:eastAsia="仿宋" w:cs="仿宋"/>
                <w:b/>
                <w:bCs/>
                <w:szCs w:val="21"/>
                <w:highlight w:val="none"/>
              </w:rPr>
              <w:t>（4）文件修改：</w:t>
            </w:r>
            <w:r>
              <w:rPr>
                <w:rFonts w:hint="eastAsia" w:ascii="仿宋" w:hAnsi="仿宋" w:eastAsia="仿宋" w:cs="仿宋"/>
                <w:szCs w:val="21"/>
                <w:highlight w:val="none"/>
              </w:rPr>
              <w:t>响应文件不应有涂改、增删之处，如必须修改时，修改处必须有供应商公章或供应商法定代表人或授权代表签字。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4</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响应文件拒收情形</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b/>
                <w:bCs/>
                <w:szCs w:val="21"/>
                <w:highlight w:val="none"/>
              </w:rPr>
            </w:pPr>
            <w:r>
              <w:rPr>
                <w:rFonts w:hint="eastAsia" w:ascii="仿宋" w:hAnsi="仿宋" w:eastAsia="仿宋" w:cs="仿宋"/>
                <w:b/>
                <w:bCs/>
                <w:szCs w:val="21"/>
                <w:highlight w:val="none"/>
              </w:rPr>
              <w:t>逾期送达或者未按照磋商文件编制要求递交的响应文件：</w:t>
            </w:r>
          </w:p>
          <w:p>
            <w:pPr>
              <w:spacing w:line="360" w:lineRule="auto"/>
              <w:rPr>
                <w:rFonts w:ascii="仿宋" w:hAnsi="仿宋" w:eastAsia="仿宋" w:cs="仿宋"/>
                <w:szCs w:val="21"/>
                <w:highlight w:val="none"/>
              </w:rPr>
            </w:pPr>
            <w:r>
              <w:rPr>
                <w:rFonts w:hint="eastAsia" w:ascii="仿宋" w:hAnsi="仿宋" w:eastAsia="仿宋" w:cs="仿宋"/>
                <w:szCs w:val="21"/>
                <w:highlight w:val="none"/>
              </w:rPr>
              <w:t>（1）线下纸质响应文件逾期送达；</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（2）纸质响应文件未按要求密封。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5</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《中华人民共和国政府采购法》第二十二条规定的证明文件</w:t>
            </w:r>
          </w:p>
        </w:tc>
        <w:tc>
          <w:tcPr>
            <w:tcW w:w="6330" w:type="dxa"/>
            <w:tcBorders>
              <w:top w:val="single" w:color="auto" w:sz="4" w:space="0"/>
              <w:left w:val="single" w:color="auto" w:sz="4" w:space="0"/>
              <w:bottom w:val="single" w:color="auto" w:sz="4" w:space="0"/>
            </w:tcBorders>
            <w:vAlign w:val="center"/>
          </w:tcPr>
          <w:p>
            <w:pPr>
              <w:pStyle w:val="14"/>
              <w:ind w:firstLine="0" w:firstLineChars="0"/>
              <w:rPr>
                <w:rFonts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（1）具有独立承担民事责任的能力的证明材料：</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如供应商是事业单位的，应提供有效的“事业单位法人证书”；</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如供应商是非企业专业服务机构的，应提供有效的执业许可证等证明文件；</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18"/>
                <w:szCs w:val="18"/>
                <w:highlight w:val="none"/>
                <w:lang w:val="en-US"/>
              </w:rPr>
              <w:t>●</w:t>
            </w:r>
            <w:r>
              <w:rPr>
                <w:rFonts w:hint="eastAsia" w:ascii="仿宋" w:hAnsi="仿宋" w:eastAsia="仿宋" w:cs="仿宋"/>
                <w:sz w:val="21"/>
                <w:szCs w:val="21"/>
                <w:highlight w:val="none"/>
                <w:lang w:val="en-US"/>
              </w:rPr>
              <w:t>如供应商是个体工商户的，应提供有效的“个体工商户营业执照”；</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●如供应商是自然人的，应提供有效的自然人身份证明。</w:t>
            </w:r>
          </w:p>
          <w:p>
            <w:pPr>
              <w:pStyle w:val="14"/>
              <w:ind w:firstLine="0" w:firstLineChars="0"/>
              <w:rPr>
                <w:rFonts w:ascii="仿宋" w:hAnsi="仿宋" w:eastAsia="仿宋" w:cs="仿宋"/>
                <w:b/>
                <w:bCs/>
                <w:sz w:val="21"/>
                <w:szCs w:val="21"/>
                <w:highlight w:val="none"/>
                <w:lang w:val="en-US"/>
              </w:rPr>
            </w:pPr>
            <w:r>
              <w:rPr>
                <w:rFonts w:hint="eastAsia" w:ascii="仿宋" w:hAnsi="仿宋" w:eastAsia="仿宋" w:cs="仿宋"/>
                <w:b/>
                <w:bCs/>
                <w:sz w:val="21"/>
                <w:szCs w:val="21"/>
                <w:highlight w:val="none"/>
                <w:lang w:val="en-US"/>
              </w:rPr>
              <w:t>（2）南京市政府采购供应商信用记录表暨信用承诺书：（具体格式详见附件）</w:t>
            </w:r>
          </w:p>
          <w:p>
            <w:pPr>
              <w:spacing w:line="360" w:lineRule="auto"/>
              <w:rPr>
                <w:rFonts w:ascii="仿宋" w:hAnsi="仿宋" w:eastAsia="仿宋" w:cs="仿宋"/>
                <w:b/>
                <w:bCs/>
                <w:szCs w:val="21"/>
                <w:highlight w:val="none"/>
              </w:rPr>
            </w:pPr>
            <w:r>
              <w:rPr>
                <w:rFonts w:hint="eastAsia" w:ascii="仿宋" w:hAnsi="仿宋" w:eastAsia="仿宋" w:cs="仿宋"/>
                <w:b/>
                <w:bCs/>
                <w:kern w:val="0"/>
                <w:szCs w:val="21"/>
                <w:highlight w:val="none"/>
                <w:lang w:bidi="zh-CN"/>
              </w:rPr>
              <w:t>（3）法律、行政法规规定的其他条件：无</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说明1：供应商在中标（成交）后，应按采购文件要求（详见采购文件第六章响应文件格式），将南京市政府采购供应商信用记录表暨信用承诺书替代的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案件当事人名单、政府采购严重违法失信行为记录名单的证明材料。提交采购人或采购代理机构核验；经核验无误后，由采购人或采购代理机构发出中标（成交）通知书。</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说明2：属于以下情形，须按照竞争性磋商文件第六章要求提供证明材料，不得以信用承诺书替代：</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1.供应商被列入严重失信主体名单；</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2.被相关监管部门作出行政处罚且尚在处罚有效期内；</w:t>
            </w:r>
          </w:p>
          <w:p>
            <w:pPr>
              <w:pStyle w:val="14"/>
              <w:ind w:firstLine="0" w:firstLineChars="0"/>
              <w:rPr>
                <w:rFonts w:ascii="仿宋" w:hAnsi="仿宋" w:eastAsia="仿宋" w:cs="仿宋"/>
                <w:sz w:val="21"/>
                <w:szCs w:val="21"/>
                <w:highlight w:val="none"/>
                <w:lang w:val="en-US"/>
              </w:rPr>
            </w:pPr>
            <w:r>
              <w:rPr>
                <w:rFonts w:hint="eastAsia" w:ascii="仿宋" w:hAnsi="仿宋" w:eastAsia="仿宋" w:cs="仿宋"/>
                <w:sz w:val="21"/>
                <w:szCs w:val="21"/>
                <w:highlight w:val="none"/>
                <w:lang w:val="en-US"/>
              </w:rPr>
              <w:t>3.其他法律、行政法规规定的不适用信用承诺的情形。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6</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响应无效情形</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highlight w:val="none"/>
              </w:rPr>
            </w:pPr>
            <w:r>
              <w:rPr>
                <w:rFonts w:hint="eastAsia" w:ascii="仿宋" w:hAnsi="仿宋" w:eastAsia="仿宋" w:cs="仿宋"/>
                <w:szCs w:val="21"/>
                <w:highlight w:val="none"/>
              </w:rPr>
              <w:t>（1）针对本章“二、响应文件编制”中的“3.2响应文件的商务部分”和“3.3响应文件的技术部分”中加★项要求，响应文件提供的证明材料缺失或无效的；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（2）响应文件未按照磋商文件规定要求</w:t>
            </w:r>
            <w:r>
              <w:rPr>
                <w:rFonts w:hint="eastAsia" w:ascii="仿宋" w:hAnsi="仿宋" w:eastAsia="仿宋" w:cs="仿宋"/>
                <w:b/>
                <w:bCs/>
                <w:szCs w:val="21"/>
                <w:highlight w:val="none"/>
              </w:rPr>
              <w:t>签署、盖章</w:t>
            </w:r>
            <w:r>
              <w:rPr>
                <w:rFonts w:hint="eastAsia" w:ascii="仿宋" w:hAnsi="仿宋" w:eastAsia="仿宋" w:cs="仿宋"/>
                <w:szCs w:val="21"/>
                <w:highlight w:val="none"/>
              </w:rPr>
              <w:t>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（3）纸质响应文件</w:t>
            </w:r>
            <w:r>
              <w:rPr>
                <w:rFonts w:hint="eastAsia" w:ascii="仿宋" w:hAnsi="仿宋" w:eastAsia="仿宋" w:cs="仿宋"/>
                <w:b/>
                <w:bCs/>
                <w:szCs w:val="21"/>
                <w:highlight w:val="none"/>
              </w:rPr>
              <w:t>未清楚标明</w:t>
            </w:r>
            <w:r>
              <w:rPr>
                <w:rFonts w:hint="eastAsia" w:ascii="仿宋" w:hAnsi="仿宋" w:eastAsia="仿宋" w:cs="仿宋"/>
                <w:szCs w:val="21"/>
                <w:highlight w:val="none"/>
              </w:rPr>
              <w:t>“正本”或“副本”；</w:t>
            </w:r>
          </w:p>
          <w:p>
            <w:pPr>
              <w:spacing w:line="360" w:lineRule="auto"/>
              <w:rPr>
                <w:rFonts w:ascii="仿宋" w:hAnsi="仿宋" w:eastAsia="仿宋" w:cs="仿宋"/>
                <w:szCs w:val="21"/>
                <w:highlight w:val="none"/>
              </w:rPr>
            </w:pPr>
            <w:r>
              <w:rPr>
                <w:rFonts w:hint="eastAsia" w:ascii="仿宋" w:hAnsi="仿宋" w:eastAsia="仿宋" w:cs="仿宋"/>
                <w:szCs w:val="21"/>
                <w:highlight w:val="none"/>
              </w:rPr>
              <w:t>（4）响应文件未响应采购项目需求中规定的实质性要求的；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（5）响应文件未详细阐述服务内容，而是直接拷贝采购文件技术要求的；</w:t>
            </w:r>
          </w:p>
          <w:p>
            <w:pPr>
              <w:spacing w:line="360" w:lineRule="auto"/>
              <w:rPr>
                <w:rFonts w:ascii="仿宋" w:hAnsi="仿宋" w:eastAsia="仿宋" w:cs="仿宋"/>
                <w:szCs w:val="21"/>
                <w:highlight w:val="none"/>
              </w:rPr>
            </w:pPr>
            <w:r>
              <w:rPr>
                <w:rFonts w:hint="eastAsia" w:ascii="仿宋" w:hAnsi="仿宋" w:eastAsia="仿宋" w:cs="仿宋"/>
                <w:szCs w:val="21"/>
                <w:highlight w:val="none"/>
              </w:rPr>
              <w:t>（6）投标总报价超过项目预算金额或最高限价；</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（7）投标报价存在缺项、漏项；</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（9）响应文件含有采购人不能接受的附加条件的；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（10）不同供应商的响应文件由同一单位或者个人编制；</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（11）不同供应商委托同一单位或者个人办理投标事宜；</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（12）不同供应商的响应文件载明的项目管理成员或联系人员为同一人；</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（13）不同供应商的响应文件异常一致或者投标报价呈规律性差异；</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（14）不同供应商的响应文件相互混装；</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（15）为本采购项目提供整体设计、规范编制或者项目管理、监理、检测等服务的供应商参加该采购项目的其他采购活动的；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（16）不同供应商的法定代表人或委托代理人有夫妻、直系血亲关系；</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（17）不同供应商的负责人为同一人或者存在控股、管理关系的；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pStyle w:val="36"/>
              <w:spacing w:line="360" w:lineRule="auto"/>
              <w:ind w:firstLine="0"/>
              <w:rPr>
                <w:rFonts w:ascii="仿宋" w:hAnsi="仿宋" w:eastAsia="仿宋" w:cs="仿宋"/>
                <w:szCs w:val="21"/>
                <w:highlight w:val="none"/>
              </w:rPr>
            </w:pPr>
            <w:r>
              <w:rPr>
                <w:rFonts w:hint="eastAsia" w:ascii="仿宋" w:hAnsi="仿宋" w:eastAsia="仿宋" w:cs="仿宋"/>
                <w:szCs w:val="21"/>
                <w:highlight w:val="none"/>
              </w:rPr>
              <w:t>（19）未提供《南京市政府采购供应商信用记录表暨信用承诺书》；</w:t>
            </w:r>
          </w:p>
          <w:p>
            <w:pPr>
              <w:pStyle w:val="3"/>
              <w:spacing w:before="0" w:after="0" w:line="360" w:lineRule="auto"/>
              <w:rPr>
                <w:rFonts w:ascii="仿宋" w:hAnsi="仿宋" w:eastAsia="仿宋" w:cs="仿宋"/>
                <w:b w:val="0"/>
                <w:bCs w:val="0"/>
                <w:sz w:val="21"/>
                <w:szCs w:val="21"/>
                <w:highlight w:val="none"/>
              </w:rPr>
            </w:pPr>
            <w:r>
              <w:rPr>
                <w:rFonts w:hint="eastAsia" w:ascii="仿宋" w:hAnsi="仿宋" w:eastAsia="仿宋" w:cs="仿宋"/>
                <w:b w:val="0"/>
                <w:bCs w:val="0"/>
                <w:sz w:val="21"/>
                <w:szCs w:val="21"/>
                <w:highlight w:val="none"/>
              </w:rPr>
              <w:t>（20）供应商为公益一类事业单位、使用事业编制且由财政拨款保障的群团组织；</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（21）法律、法规和磋商文件规定的其他无效情形。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7</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磋商终止情形</w:t>
            </w:r>
          </w:p>
        </w:tc>
        <w:tc>
          <w:tcPr>
            <w:tcW w:w="6330" w:type="dxa"/>
            <w:tcBorders>
              <w:top w:val="single" w:color="auto" w:sz="4" w:space="0"/>
              <w:left w:val="single" w:color="auto" w:sz="4" w:space="0"/>
              <w:bottom w:val="single" w:color="auto" w:sz="4" w:space="0"/>
            </w:tcBorders>
            <w:vAlign w:val="center"/>
          </w:tcPr>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（2）所有供应商的响应文件被磋商小组认定为无效的；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（3）出现影响采购公正的违法、违规行为的；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（4）所有供应商的最终报价均超过采购文件中规定的项目预算或者最高限价的；</w:t>
            </w:r>
          </w:p>
          <w:p>
            <w:pPr>
              <w:tabs>
                <w:tab w:val="left" w:pos="0"/>
              </w:tabs>
              <w:spacing w:line="360" w:lineRule="auto"/>
              <w:rPr>
                <w:rFonts w:ascii="仿宋" w:hAnsi="仿宋" w:eastAsia="仿宋" w:cs="仿宋"/>
                <w:szCs w:val="21"/>
                <w:highlight w:val="none"/>
              </w:rPr>
            </w:pPr>
            <w:r>
              <w:rPr>
                <w:rFonts w:hint="eastAsia" w:ascii="仿宋" w:hAnsi="仿宋" w:eastAsia="仿宋" w:cs="仿宋"/>
                <w:szCs w:val="21"/>
                <w:highlight w:val="none"/>
              </w:rPr>
              <w:t>（5）因重大变故，采购任务取消的。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59" w:type="dxa"/>
            <w:tcBorders>
              <w:top w:val="single" w:color="auto" w:sz="4" w:space="0"/>
              <w:bottom w:val="single" w:color="auto" w:sz="4" w:space="0"/>
              <w:right w:val="single" w:color="auto" w:sz="4" w:space="0"/>
            </w:tcBorders>
            <w:vAlign w:val="center"/>
          </w:tcPr>
          <w:p>
            <w:pPr>
              <w:tabs>
                <w:tab w:val="left" w:pos="130"/>
              </w:tabs>
              <w:spacing w:line="360" w:lineRule="auto"/>
              <w:jc w:val="center"/>
              <w:rPr>
                <w:rFonts w:ascii="仿宋" w:hAnsi="仿宋" w:eastAsia="仿宋" w:cs="仿宋"/>
                <w:szCs w:val="21"/>
                <w:highlight w:val="none"/>
              </w:rPr>
            </w:pPr>
            <w:r>
              <w:rPr>
                <w:rFonts w:hint="eastAsia" w:ascii="仿宋" w:hAnsi="仿宋" w:eastAsia="仿宋" w:cs="仿宋"/>
                <w:szCs w:val="21"/>
                <w:highlight w:val="none"/>
              </w:rPr>
              <w:t>8</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highlight w:val="none"/>
              </w:rPr>
            </w:pPr>
            <w:r>
              <w:rPr>
                <w:rFonts w:hint="eastAsia" w:ascii="仿宋" w:hAnsi="仿宋" w:eastAsia="仿宋" w:cs="仿宋"/>
                <w:szCs w:val="21"/>
                <w:highlight w:val="none"/>
              </w:rPr>
              <w:t>盖章要求</w:t>
            </w:r>
          </w:p>
        </w:tc>
        <w:tc>
          <w:tcPr>
            <w:tcW w:w="6330" w:type="dxa"/>
            <w:tcBorders>
              <w:top w:val="single" w:color="auto" w:sz="4" w:space="0"/>
              <w:left w:val="single" w:color="auto" w:sz="4" w:space="0"/>
              <w:bottom w:val="single" w:color="auto" w:sz="4" w:space="0"/>
            </w:tcBorders>
            <w:vAlign w:val="center"/>
          </w:tcPr>
          <w:p>
            <w:pPr>
              <w:spacing w:line="360" w:lineRule="auto"/>
              <w:rPr>
                <w:rFonts w:ascii="仿宋" w:hAnsi="仿宋" w:eastAsia="仿宋" w:cs="仿宋"/>
                <w:szCs w:val="21"/>
                <w:highlight w:val="none"/>
              </w:rPr>
            </w:pPr>
            <w:r>
              <w:rPr>
                <w:rFonts w:hint="eastAsia" w:ascii="仿宋" w:hAnsi="仿宋" w:eastAsia="仿宋" w:cs="仿宋"/>
                <w:b/>
                <w:bCs/>
                <w:szCs w:val="21"/>
                <w:highlight w:val="none"/>
              </w:rPr>
              <w:t>供应商响应文件中加盖的公章仅能使用与供应商名称一致的标准公章</w:t>
            </w:r>
            <w:r>
              <w:rPr>
                <w:rFonts w:hint="eastAsia" w:ascii="仿宋" w:hAnsi="仿宋" w:eastAsia="仿宋" w:cs="仿宋"/>
                <w:szCs w:val="21"/>
                <w:highlight w:val="none"/>
              </w:rPr>
              <w:t>，不得使用其他形式（如带有“专用章”、“合同章”、“财务章”、“业务章”等字样）的印章；</w:t>
            </w:r>
            <w:r>
              <w:rPr>
                <w:rFonts w:hint="eastAsia" w:ascii="仿宋" w:hAnsi="仿宋" w:eastAsia="仿宋" w:cs="仿宋"/>
                <w:b/>
                <w:bCs/>
                <w:szCs w:val="21"/>
                <w:highlight w:val="none"/>
              </w:rPr>
              <w:t>否则，按无效投标处理。</w:t>
            </w:r>
          </w:p>
        </w:tc>
      </w:tr>
    </w:tbl>
    <w:p>
      <w:pPr>
        <w:spacing w:before="120" w:beforeLines="50"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注：如有供应商须知正文条款与供应商须知前附表不一致，以供应商须知前附表为准。</w:t>
      </w:r>
    </w:p>
    <w:p>
      <w:pPr>
        <w:spacing w:line="360" w:lineRule="auto"/>
        <w:rPr>
          <w:rFonts w:ascii="仿宋" w:hAnsi="仿宋" w:eastAsia="仿宋" w:cs="仿宋"/>
          <w:b/>
          <w:bCs/>
          <w:sz w:val="22"/>
          <w:highlight w:val="none"/>
        </w:rPr>
      </w:pPr>
    </w:p>
    <w:p>
      <w:pPr>
        <w:rPr>
          <w:rFonts w:ascii="仿宋" w:hAnsi="仿宋" w:eastAsia="仿宋" w:cs="仿宋"/>
          <w:b/>
          <w:bCs/>
          <w:sz w:val="24"/>
          <w:szCs w:val="24"/>
          <w:highlight w:val="none"/>
        </w:rPr>
      </w:pPr>
      <w:bookmarkStart w:id="5" w:name="_Toc27538"/>
      <w:r>
        <w:rPr>
          <w:rFonts w:hint="eastAsia" w:ascii="仿宋" w:hAnsi="仿宋" w:eastAsia="仿宋" w:cs="仿宋"/>
          <w:b/>
          <w:bCs/>
          <w:sz w:val="24"/>
          <w:szCs w:val="24"/>
          <w:highlight w:val="none"/>
        </w:rPr>
        <w:br w:type="page"/>
      </w:r>
    </w:p>
    <w:p>
      <w:pPr>
        <w:spacing w:line="360" w:lineRule="auto"/>
        <w:ind w:firstLine="482" w:firstLineChars="200"/>
        <w:outlineLvl w:val="1"/>
        <w:rPr>
          <w:rFonts w:ascii="仿宋" w:hAnsi="仿宋" w:eastAsia="仿宋" w:cs="仿宋"/>
          <w:b/>
          <w:bCs/>
          <w:sz w:val="24"/>
          <w:szCs w:val="24"/>
          <w:highlight w:val="none"/>
        </w:rPr>
      </w:pPr>
      <w:r>
        <w:rPr>
          <w:rFonts w:hint="eastAsia" w:ascii="仿宋" w:hAnsi="仿宋" w:eastAsia="仿宋" w:cs="仿宋"/>
          <w:b/>
          <w:bCs/>
          <w:sz w:val="24"/>
          <w:szCs w:val="24"/>
          <w:highlight w:val="none"/>
        </w:rPr>
        <w:t>一、总则</w:t>
      </w:r>
      <w:bookmarkEnd w:id="5"/>
    </w:p>
    <w:p>
      <w:pPr>
        <w:spacing w:line="360" w:lineRule="auto"/>
        <w:ind w:firstLine="482" w:firstLineChars="200"/>
        <w:outlineLvl w:val="2"/>
        <w:rPr>
          <w:rFonts w:ascii="仿宋" w:hAnsi="仿宋" w:eastAsia="仿宋" w:cs="仿宋"/>
          <w:b/>
          <w:bCs/>
          <w:sz w:val="24"/>
          <w:szCs w:val="24"/>
          <w:highlight w:val="none"/>
        </w:rPr>
      </w:pPr>
      <w:bookmarkStart w:id="6" w:name="_Toc21866"/>
      <w:r>
        <w:rPr>
          <w:rFonts w:hint="eastAsia" w:ascii="仿宋" w:hAnsi="仿宋" w:eastAsia="仿宋" w:cs="仿宋"/>
          <w:b/>
          <w:bCs/>
          <w:sz w:val="24"/>
          <w:szCs w:val="24"/>
          <w:highlight w:val="none"/>
        </w:rPr>
        <w:t>1.适用法律</w:t>
      </w:r>
      <w:bookmarkEnd w:id="6"/>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 《中华人民共和国政府采购法》、《中华人民共和国政府采购法实施条例》、《政府采购竞争性磋商采购方式管理暂行办法》等有关法律、规章和规定等。</w:t>
      </w:r>
    </w:p>
    <w:p>
      <w:pPr>
        <w:spacing w:line="360" w:lineRule="auto"/>
        <w:ind w:firstLine="482" w:firstLineChars="200"/>
        <w:outlineLvl w:val="2"/>
        <w:rPr>
          <w:rFonts w:ascii="仿宋" w:hAnsi="仿宋" w:eastAsia="仿宋" w:cs="仿宋"/>
          <w:b/>
          <w:bCs/>
          <w:sz w:val="24"/>
          <w:szCs w:val="24"/>
          <w:highlight w:val="none"/>
        </w:rPr>
      </w:pPr>
      <w:bookmarkStart w:id="7" w:name="_Toc20696"/>
      <w:r>
        <w:rPr>
          <w:rFonts w:hint="eastAsia" w:ascii="仿宋" w:hAnsi="仿宋" w:eastAsia="仿宋" w:cs="仿宋"/>
          <w:b/>
          <w:bCs/>
          <w:sz w:val="24"/>
          <w:szCs w:val="24"/>
          <w:highlight w:val="none"/>
        </w:rPr>
        <w:t>2.定义</w:t>
      </w:r>
      <w:bookmarkEnd w:id="7"/>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“供应商”是指参加磋商竞争，并符合采购文件规定资格条件的法人、其他组织或者自然人。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“货物和服务”指本采购文件中所述产品及相关服务。</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 “用户或使用单位”是指本项目采购人。</w:t>
      </w:r>
    </w:p>
    <w:p>
      <w:pPr>
        <w:spacing w:line="360" w:lineRule="auto"/>
        <w:ind w:firstLine="482" w:firstLineChars="200"/>
        <w:outlineLvl w:val="2"/>
        <w:rPr>
          <w:rFonts w:ascii="仿宋" w:hAnsi="仿宋" w:eastAsia="仿宋" w:cs="仿宋"/>
          <w:b/>
          <w:bCs/>
          <w:sz w:val="24"/>
          <w:szCs w:val="24"/>
          <w:highlight w:val="none"/>
        </w:rPr>
      </w:pPr>
      <w:bookmarkStart w:id="8" w:name="_Toc29725"/>
      <w:r>
        <w:rPr>
          <w:rFonts w:hint="eastAsia" w:ascii="仿宋" w:hAnsi="仿宋" w:eastAsia="仿宋" w:cs="仿宋"/>
          <w:b/>
          <w:bCs/>
          <w:sz w:val="24"/>
          <w:szCs w:val="24"/>
          <w:highlight w:val="none"/>
        </w:rPr>
        <w:t>3.政策功能</w:t>
      </w:r>
      <w:bookmarkEnd w:id="8"/>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3.1 中小企业政策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于接受供应商以联合体形式参加采购活动的项目，小微型企业联合体应当符合《政府采购促进中小企业发展管理办法》（财库〔2020〕46号）第九条的规定。对于联合协议或者分包意向协议约定小微企业的合同份额占到合同总金额30%以上的，给予联合体4%的价格扣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（6）本项目行业属性为</w:t>
      </w:r>
      <w:r>
        <w:rPr>
          <w:rFonts w:hint="eastAsia" w:ascii="仿宋" w:hAnsi="仿宋" w:eastAsia="仿宋" w:cs="仿宋"/>
          <w:sz w:val="24"/>
          <w:szCs w:val="24"/>
          <w:highlight w:val="none"/>
          <w:lang w:eastAsia="zh-CN"/>
        </w:rPr>
        <w:t>其他未列明行业</w:t>
      </w:r>
      <w:r>
        <w:rPr>
          <w:rFonts w:hint="eastAsia" w:ascii="仿宋" w:hAnsi="仿宋" w:eastAsia="仿宋" w:cs="仿宋"/>
          <w:sz w:val="24"/>
          <w:szCs w:val="24"/>
          <w:highlight w:val="none"/>
        </w:rPr>
        <w:t>。</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3.2 节能产品政策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（1）节能产品是指列入财政部、国家发展和改革委员会制定的节能产品品目政府采购清单，且经过认证的节能产品；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（2）拟采购产品属于节能产品政府采购清单规定必须强制采购的，实行强制采购。</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（3）拟采购产品属于节能产品政府采购清单规定优先采购的，在技术、服务等指标同等条件下，实行优先采购，优先采购的要求详见第三章说明内容。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（4）参加政府采购活动的节能产品供应商应当提供有效的节能产品认证证书复印件。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（5）未按要求提供相关材料的，不享受相关政策。</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3.3 环境标志产品政策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（1）环境标志产品是指列入财政部、生态环境部制定的环境标志产品品目政府采购清单，且经过认证的环境标志产品；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（2）拟采购产品属于环境标志产品政府采购清单规定优先采购的，在性能、技术、服务等指标同等条件下，实行优先采购，优先采购的要求详见第三章说明内容。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（3）参加政府采购活动的环境标志产品应当提供有效的环境标志产品认证证书复印件。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未按要求提供相关材料的，不享受相关政策。</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3.4 信息安全产品政策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（1）信息安全产品是指列入国家质检总局、国家认监委《信息安全产品强制性认证目录》，并获得强制性产品认证证书的产品；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（2）提供的产品属于信息安全产品的，供应商应当选择经国家认证的信息安全产品投标，并提供由中国信息安全认证中心按国家标准认证颁发的有效认证证书复印件。</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3.5 进口产品政策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（1）除第一章竞争性磋商公告另有规定外，不允许进口产品参加。进口产品认定依照《财政部关于政府采购进口产品管理有关问题的通知》（财办库〔2008〕248 号）的规定。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（2）允许进口产品参加的，满足需求的国内产品可以参加。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（3）允许进口产品参加的，优先采购向我国企业转让技术、与我国企业签订消化吸收再创新方案的供应商的进口产品。</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（4）未按要求提供相关材料的，不享受相关政策。</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3.6 投标担保政策</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（1）供应商磋商保证金可以用担保形式递交，保函要求详见关于开展政府采购信用担保试点工作的通知(财库〔2011〕124号)。</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3.7 供应商信用信息查询</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（1）采购人或采购代理机构将在“信用中国”（www.creditchina.gov.cn）、“中国政府采购网”（www.ccgp.gov.cn）对供应商进行信用信息查询，并将网站查询有关记录留存（财库〔2016〕125 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（2）查询截止时间：提交响应文件截止时间前。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（3）供应商信用查询记录不符合要求的，采购人或采购代理机构将依法拒绝供应商参加本次采购活动。</w:t>
      </w:r>
    </w:p>
    <w:p>
      <w:pPr>
        <w:spacing w:line="360" w:lineRule="auto"/>
        <w:ind w:firstLine="482" w:firstLineChars="200"/>
        <w:outlineLvl w:val="2"/>
        <w:rPr>
          <w:rFonts w:ascii="仿宋" w:hAnsi="仿宋" w:eastAsia="仿宋" w:cs="仿宋"/>
          <w:b/>
          <w:bCs/>
          <w:sz w:val="24"/>
          <w:szCs w:val="24"/>
          <w:highlight w:val="none"/>
        </w:rPr>
      </w:pPr>
      <w:bookmarkStart w:id="9" w:name="_Toc18511"/>
      <w:r>
        <w:rPr>
          <w:rFonts w:hint="eastAsia" w:ascii="仿宋" w:hAnsi="仿宋" w:eastAsia="仿宋" w:cs="仿宋"/>
          <w:b/>
          <w:bCs/>
          <w:sz w:val="24"/>
          <w:szCs w:val="24"/>
          <w:highlight w:val="none"/>
        </w:rPr>
        <w:t>4.磋商费用</w:t>
      </w:r>
      <w:bookmarkEnd w:id="9"/>
    </w:p>
    <w:p>
      <w:pPr>
        <w:spacing w:line="360" w:lineRule="auto"/>
        <w:ind w:firstLine="480" w:firstLineChars="200"/>
        <w:outlineLvl w:val="3"/>
        <w:rPr>
          <w:rFonts w:ascii="仿宋" w:hAnsi="仿宋" w:eastAsia="仿宋" w:cs="仿宋"/>
          <w:sz w:val="24"/>
          <w:szCs w:val="24"/>
          <w:highlight w:val="none"/>
        </w:rPr>
      </w:pPr>
      <w:r>
        <w:rPr>
          <w:rFonts w:hint="eastAsia" w:ascii="仿宋" w:hAnsi="仿宋" w:eastAsia="仿宋" w:cs="仿宋"/>
          <w:sz w:val="24"/>
          <w:szCs w:val="24"/>
          <w:highlight w:val="none"/>
        </w:rPr>
        <w:t>4.1 供应商应承担所有与准备和参加磋商有关的费用，无论采购结果如何，采购代理机构和采购人在任何情况下均无义务和责任承担这些费用；</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4.2 本项目采购代理服务费收费标准：</w:t>
      </w:r>
    </w:p>
    <w:p>
      <w:pPr>
        <w:spacing w:line="360" w:lineRule="auto"/>
        <w:ind w:firstLine="482" w:firstLineChars="200"/>
        <w:outlineLvl w:val="3"/>
        <w:rPr>
          <w:rFonts w:ascii="仿宋" w:hAnsi="仿宋" w:eastAsia="仿宋" w:cs="仿宋"/>
          <w:b/>
          <w:bCs/>
          <w:sz w:val="24"/>
          <w:szCs w:val="24"/>
          <w:highlight w:val="none"/>
        </w:rPr>
      </w:pPr>
      <w:r>
        <w:rPr>
          <w:rStyle w:val="65"/>
          <w:rFonts w:hint="eastAsia" w:ascii="仿宋" w:hAnsi="仿宋" w:eastAsia="仿宋" w:cs="仿宋"/>
          <w:b/>
          <w:kern w:val="0"/>
          <w:sz w:val="24"/>
          <w:szCs w:val="24"/>
          <w:highlight w:val="none"/>
          <w:lang w:val="zh-CN"/>
        </w:rPr>
        <w:t>依据《政府采购代理机构管理暂行办法》（财库〔2018〕2号）第十五条，本项目代理费用由成交供应商支付，支付方式详见本章</w:t>
      </w:r>
      <w:r>
        <w:rPr>
          <w:rStyle w:val="65"/>
          <w:rFonts w:hint="eastAsia" w:ascii="仿宋" w:hAnsi="仿宋" w:eastAsia="仿宋" w:cs="仿宋"/>
          <w:b/>
          <w:kern w:val="0"/>
          <w:sz w:val="24"/>
          <w:szCs w:val="24"/>
          <w:highlight w:val="none"/>
        </w:rPr>
        <w:t>4.3</w:t>
      </w:r>
      <w:r>
        <w:rPr>
          <w:rStyle w:val="65"/>
          <w:rFonts w:hint="eastAsia" w:ascii="仿宋" w:hAnsi="仿宋" w:eastAsia="仿宋" w:cs="仿宋"/>
          <w:b/>
          <w:kern w:val="0"/>
          <w:sz w:val="24"/>
          <w:szCs w:val="24"/>
          <w:highlight w:val="none"/>
          <w:lang w:val="zh-CN"/>
        </w:rPr>
        <w:t>条。</w:t>
      </w:r>
      <w:r>
        <w:rPr>
          <w:rStyle w:val="65"/>
          <w:rFonts w:hint="eastAsia" w:ascii="仿宋" w:hAnsi="仿宋" w:eastAsia="仿宋" w:cs="仿宋"/>
          <w:b/>
          <w:color w:val="auto"/>
          <w:kern w:val="0"/>
          <w:sz w:val="24"/>
          <w:szCs w:val="24"/>
          <w:highlight w:val="none"/>
          <w:lang w:val="zh-CN" w:eastAsia="zh-CN"/>
        </w:rPr>
        <w:t>（</w:t>
      </w:r>
      <w:r>
        <w:rPr>
          <w:rStyle w:val="65"/>
          <w:rFonts w:hint="eastAsia" w:ascii="仿宋" w:hAnsi="仿宋" w:eastAsia="仿宋" w:cs="仿宋"/>
          <w:b/>
          <w:color w:val="auto"/>
          <w:kern w:val="0"/>
          <w:sz w:val="24"/>
          <w:szCs w:val="24"/>
          <w:highlight w:val="none"/>
          <w:lang w:val="zh-CN"/>
        </w:rPr>
        <w:t>招标代理费参照</w:t>
      </w:r>
      <w:r>
        <w:rPr>
          <w:rStyle w:val="65"/>
          <w:rFonts w:hint="eastAsia" w:ascii="仿宋" w:hAnsi="仿宋" w:eastAsia="仿宋" w:cs="仿宋"/>
          <w:b/>
          <w:color w:val="auto"/>
          <w:kern w:val="0"/>
          <w:sz w:val="24"/>
          <w:szCs w:val="24"/>
          <w:highlight w:val="none"/>
          <w:lang w:val="en-US" w:eastAsia="zh-CN"/>
        </w:rPr>
        <w:t>《关于印发江苏省招标代理服务收费的指导意见的通知》（苏招协[2022]002号）文件</w:t>
      </w:r>
      <w:r>
        <w:rPr>
          <w:rStyle w:val="65"/>
          <w:rFonts w:hint="eastAsia" w:ascii="仿宋" w:hAnsi="仿宋" w:eastAsia="仿宋" w:cs="仿宋"/>
          <w:b/>
          <w:color w:val="auto"/>
          <w:kern w:val="0"/>
          <w:sz w:val="24"/>
          <w:szCs w:val="24"/>
          <w:highlight w:val="none"/>
          <w:lang w:val="zh-CN"/>
        </w:rPr>
        <w:t>收取，计费基础为成交价</w:t>
      </w:r>
      <w:r>
        <w:rPr>
          <w:rStyle w:val="65"/>
          <w:rFonts w:hint="eastAsia" w:ascii="仿宋" w:hAnsi="仿宋" w:eastAsia="仿宋" w:cs="仿宋"/>
          <w:b/>
          <w:color w:val="auto"/>
          <w:kern w:val="0"/>
          <w:sz w:val="24"/>
          <w:szCs w:val="24"/>
          <w:highlight w:val="none"/>
          <w:lang w:val="en-US" w:eastAsia="zh-CN"/>
        </w:rPr>
        <w:t>；不满1万元按1万元计取。</w:t>
      </w:r>
      <w:r>
        <w:rPr>
          <w:rStyle w:val="65"/>
          <w:rFonts w:hint="eastAsia" w:ascii="仿宋" w:hAnsi="仿宋" w:eastAsia="仿宋" w:cs="仿宋"/>
          <w:b/>
          <w:bCs/>
          <w:color w:val="auto"/>
          <w:sz w:val="24"/>
          <w:szCs w:val="24"/>
          <w:highlight w:val="none"/>
          <w:lang w:eastAsia="zh-CN"/>
        </w:rPr>
        <w:t>）</w:t>
      </w:r>
      <w:r>
        <w:rPr>
          <w:rFonts w:hint="eastAsia" w:ascii="仿宋" w:hAnsi="仿宋" w:eastAsia="仿宋" w:cs="仿宋"/>
          <w:b/>
          <w:bCs/>
          <w:sz w:val="24"/>
          <w:szCs w:val="24"/>
          <w:highlight w:val="none"/>
        </w:rPr>
        <w:t>本次采购代理服务费在成交供应商领取成交通知书时结算。</w:t>
      </w:r>
    </w:p>
    <w:p>
      <w:pPr>
        <w:spacing w:line="360" w:lineRule="auto"/>
        <w:ind w:firstLine="696" w:firstLineChars="300"/>
        <w:jc w:val="left"/>
        <w:rPr>
          <w:rFonts w:ascii="仿宋" w:hAnsi="仿宋" w:eastAsia="仿宋" w:cs="仿宋"/>
          <w:spacing w:val="-4"/>
          <w:sz w:val="24"/>
          <w:szCs w:val="24"/>
          <w:highlight w:val="none"/>
        </w:rPr>
      </w:pPr>
      <w:r>
        <w:rPr>
          <w:rFonts w:hint="eastAsia" w:ascii="仿宋" w:hAnsi="仿宋" w:eastAsia="仿宋" w:cs="仿宋"/>
          <w:spacing w:val="-4"/>
          <w:sz w:val="24"/>
          <w:szCs w:val="24"/>
          <w:highlight w:val="none"/>
          <w:lang w:val="en-US" w:eastAsia="zh-CN"/>
        </w:rPr>
        <w:t>4.3</w:t>
      </w:r>
      <w:r>
        <w:rPr>
          <w:rFonts w:hint="eastAsia" w:ascii="仿宋" w:hAnsi="仿宋" w:eastAsia="仿宋" w:cs="仿宋"/>
          <w:spacing w:val="-4"/>
          <w:sz w:val="24"/>
          <w:szCs w:val="24"/>
          <w:highlight w:val="none"/>
        </w:rPr>
        <w:t>招标代理服务费交纳方法：</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（1）交纳方式：银行网银、电汇等；</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（2）收款单位、开户银行及</w:t>
      </w:r>
      <w:r>
        <w:rPr>
          <w:rFonts w:hint="eastAsia" w:ascii="仿宋" w:hAnsi="仿宋" w:eastAsia="仿宋" w:cs="仿宋"/>
          <w:sz w:val="24"/>
          <w:highlight w:val="none"/>
        </w:rPr>
        <w:t>账</w:t>
      </w:r>
      <w:r>
        <w:rPr>
          <w:rFonts w:hint="eastAsia" w:ascii="仿宋" w:hAnsi="仿宋" w:eastAsia="仿宋" w:cs="仿宋"/>
          <w:sz w:val="24"/>
          <w:highlight w:val="none"/>
          <w:lang w:val="zh-CN"/>
        </w:rPr>
        <w:t>号：</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收款单位：江苏同立工程咨询有限公司</w:t>
      </w:r>
    </w:p>
    <w:p>
      <w:pPr>
        <w:spacing w:line="360" w:lineRule="auto"/>
        <w:ind w:firstLine="720" w:firstLineChars="300"/>
        <w:jc w:val="left"/>
        <w:rPr>
          <w:rFonts w:ascii="仿宋" w:hAnsi="仿宋" w:eastAsia="仿宋" w:cs="仿宋"/>
          <w:sz w:val="24"/>
          <w:highlight w:val="none"/>
          <w:lang w:val="zh-CN"/>
        </w:rPr>
      </w:pPr>
      <w:r>
        <w:rPr>
          <w:rFonts w:hint="eastAsia" w:ascii="仿宋" w:hAnsi="仿宋" w:eastAsia="仿宋" w:cs="仿宋"/>
          <w:sz w:val="24"/>
          <w:highlight w:val="none"/>
          <w:lang w:val="zh-CN"/>
        </w:rPr>
        <w:t>开户银行：</w:t>
      </w:r>
      <w:r>
        <w:rPr>
          <w:rFonts w:hint="eastAsia" w:ascii="仿宋" w:hAnsi="仿宋" w:eastAsia="仿宋" w:cs="仿宋"/>
          <w:sz w:val="24"/>
          <w:highlight w:val="none"/>
        </w:rPr>
        <w:t xml:space="preserve">中国银行南京建邺支行 </w:t>
      </w:r>
    </w:p>
    <w:p>
      <w:pPr>
        <w:spacing w:line="360" w:lineRule="auto"/>
        <w:ind w:firstLine="720" w:firstLineChars="3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账号：523575916444</w:t>
      </w:r>
    </w:p>
    <w:p>
      <w:pPr>
        <w:spacing w:line="360" w:lineRule="auto"/>
        <w:ind w:firstLine="482" w:firstLineChars="200"/>
        <w:outlineLvl w:val="1"/>
        <w:rPr>
          <w:rFonts w:ascii="仿宋" w:hAnsi="仿宋" w:eastAsia="仿宋" w:cs="仿宋"/>
          <w:b/>
          <w:bCs/>
          <w:sz w:val="24"/>
          <w:szCs w:val="24"/>
          <w:highlight w:val="none"/>
        </w:rPr>
      </w:pPr>
      <w:bookmarkStart w:id="10" w:name="_Toc21928"/>
      <w:r>
        <w:rPr>
          <w:rFonts w:hint="eastAsia" w:ascii="仿宋" w:hAnsi="仿宋" w:eastAsia="仿宋" w:cs="仿宋"/>
          <w:b/>
          <w:bCs/>
          <w:sz w:val="24"/>
          <w:szCs w:val="24"/>
          <w:highlight w:val="none"/>
        </w:rPr>
        <w:t>二、响应文件编制</w:t>
      </w:r>
      <w:bookmarkEnd w:id="10"/>
    </w:p>
    <w:p>
      <w:pPr>
        <w:spacing w:line="360" w:lineRule="auto"/>
        <w:ind w:firstLine="482" w:firstLineChars="200"/>
        <w:outlineLvl w:val="2"/>
        <w:rPr>
          <w:rFonts w:ascii="仿宋" w:hAnsi="仿宋" w:eastAsia="仿宋" w:cs="仿宋"/>
          <w:b/>
          <w:bCs/>
          <w:sz w:val="24"/>
          <w:szCs w:val="24"/>
          <w:highlight w:val="none"/>
        </w:rPr>
      </w:pPr>
      <w:bookmarkStart w:id="11" w:name="_Toc1024"/>
      <w:r>
        <w:rPr>
          <w:rFonts w:hint="eastAsia" w:ascii="仿宋" w:hAnsi="仿宋" w:eastAsia="仿宋" w:cs="仿宋"/>
          <w:b/>
          <w:bCs/>
          <w:sz w:val="24"/>
          <w:szCs w:val="24"/>
          <w:highlight w:val="none"/>
        </w:rPr>
        <w:t>1.供应商应当按照磋商文件的要求编制响应文件，并对其提交的响应文件真实性、合法性承担法律责任。</w:t>
      </w:r>
      <w:bookmarkEnd w:id="11"/>
    </w:p>
    <w:p>
      <w:pPr>
        <w:spacing w:line="360" w:lineRule="auto"/>
        <w:ind w:firstLine="482" w:firstLineChars="200"/>
        <w:outlineLvl w:val="2"/>
        <w:rPr>
          <w:rFonts w:ascii="仿宋" w:hAnsi="仿宋" w:eastAsia="仿宋" w:cs="仿宋"/>
          <w:b/>
          <w:bCs/>
          <w:sz w:val="24"/>
          <w:szCs w:val="24"/>
          <w:highlight w:val="none"/>
        </w:rPr>
      </w:pPr>
      <w:bookmarkStart w:id="12" w:name="_Toc22849"/>
      <w:r>
        <w:rPr>
          <w:rFonts w:hint="eastAsia" w:ascii="仿宋" w:hAnsi="仿宋" w:eastAsia="仿宋" w:cs="仿宋"/>
          <w:b/>
          <w:bCs/>
          <w:sz w:val="24"/>
          <w:szCs w:val="24"/>
          <w:highlight w:val="none"/>
        </w:rPr>
        <w:t>2.响应文件的语言、计量单位、货币和编制</w:t>
      </w:r>
      <w:bookmarkEnd w:id="12"/>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提交的响应文件、技术文件和资料，包括相关说明，以及供应商与采购代理机构和采购人就有关磋商的所有来往函电均应使用中文。响应文件中若有英文或其他语言文字的资料，应提供相应的中文翻译资料。对不同文本响应文件的解释发生异议的，以中文文本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供应商所使用的计量单位应为国家法定计量单位。</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2.3 供应商应用人民币报价，响应文件报价出现前后不一致的，按照下列规定修正：</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（1）磋商申请及声明内容与响应文件中相应内容不一致的，以磋商申请及声明为准；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（2）大写金额和小写金额不一致的，以大写金额为准；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（3）单价金额小数点或者百分比有明显错位的，以磋商申请及声明的总价为准，并修改单价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（4）总价金额与按单价汇总金额不一致的，以单价金额计算结果为准。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（5）同时出现两种以上不一致的，按照前款规定的顺序修正。修正后的报价按照2.4 要求的规定进行确认后产生约束力，供应商不确认的，其响应无效。</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2.4 响应文件应字迹清楚、内容齐全，不应有涂改、增删之处，如必须修改时，修改处必须有供应商公章或供应商法定代表人或授权代表签字。</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2.5 响应文件的编制应当按照磋商文件统一规定的格式</w:t>
      </w:r>
      <w:r>
        <w:rPr>
          <w:rFonts w:hint="eastAsia" w:ascii="仿宋" w:hAnsi="仿宋" w:eastAsia="仿宋" w:cs="仿宋"/>
          <w:b/>
          <w:bCs/>
          <w:sz w:val="24"/>
          <w:szCs w:val="24"/>
          <w:highlight w:val="none"/>
        </w:rPr>
        <w:t>（规定格式中要求盖章或签字的，则必须盖章或签字）</w:t>
      </w:r>
      <w:r>
        <w:rPr>
          <w:rFonts w:hint="eastAsia" w:ascii="仿宋" w:hAnsi="仿宋" w:eastAsia="仿宋" w:cs="仿宋"/>
          <w:sz w:val="24"/>
          <w:szCs w:val="24"/>
          <w:highlight w:val="none"/>
        </w:rPr>
        <w:t>，供应商可根据自身实际情况进行添加调整。响应文件统一用A4规格幅面打印、装订成册并编制目录，由于编排混乱导致响应文件被误读或查找不到，责任由供应商承担。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 供应商应在响应文件中写清相应的项目编号、项目名称、供应商全称、地址、电话等，每份纸质文件须清楚标明“正本”或“副本” 字样。如有必要，可以增加附页，作为响应文件的组成部分。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2.7 供应商应将响应文件用档案袋或封套密封，封面并注明项目编号、项目名称、供应商地址、供应商全称等；</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2.8 纸质响应文件一式 叁 份（正本 壹 份、副本 贰 份），电子版响应文件 壹 份。当电子版文件和纸质正本文件不一致时，以纸质正本文件为准。电子版文件用于辅助评审和存档，供应商需承担前述不一致造成的不利后果。</w:t>
      </w:r>
    </w:p>
    <w:p>
      <w:pPr>
        <w:spacing w:line="360" w:lineRule="auto"/>
        <w:ind w:firstLine="482" w:firstLineChars="200"/>
        <w:outlineLvl w:val="2"/>
        <w:rPr>
          <w:rFonts w:ascii="仿宋" w:hAnsi="仿宋" w:eastAsia="仿宋" w:cs="仿宋"/>
          <w:b/>
          <w:bCs/>
          <w:sz w:val="24"/>
          <w:szCs w:val="24"/>
          <w:highlight w:val="none"/>
        </w:rPr>
      </w:pPr>
      <w:bookmarkStart w:id="13" w:name="_Toc20050"/>
      <w:r>
        <w:rPr>
          <w:rFonts w:hint="eastAsia" w:ascii="仿宋" w:hAnsi="仿宋" w:eastAsia="仿宋" w:cs="仿宋"/>
          <w:b/>
          <w:bCs/>
          <w:sz w:val="24"/>
          <w:szCs w:val="24"/>
          <w:highlight w:val="none"/>
        </w:rPr>
        <w:t>3.响应文件的组成</w:t>
      </w:r>
      <w:bookmarkEnd w:id="13"/>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3.1 供应商应当根据磋商文件要求编制响应文件，并根据自己的商务能力、技术水平对磋商文件提出的要求和条件逐条标明是否响应。响应文件由商务部分、技术部分、价格部分，以及其他部分组成。</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3.2 响应文件的商务部分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商务部分是证明供应商有资格参加磋商和成交后有能力履行合同的文件，这些文件应能满足竞争性磋商采购文件的要求，包括但不限于下列文件，其中加★项目不得有缺失或无效：</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（1）★磋商申请及声明；</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（2）★法定代表人授权委托书及委托代理人的身份证复印件；</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（3）★第一章竞争性磋商公告中“2.落实政府采购政策需满足的资格要求” 的证明文件；</w:t>
      </w:r>
    </w:p>
    <w:p>
      <w:pPr>
        <w:autoSpaceDE w:val="0"/>
        <w:autoSpaceDN w:val="0"/>
        <w:adjustRightIn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（4）★第一章竞争性磋商公告中“3.本项目的特定资格要求”的证明文件；</w:t>
      </w:r>
    </w:p>
    <w:p>
      <w:pPr>
        <w:autoSpaceDE w:val="0"/>
        <w:autoSpaceDN w:val="0"/>
        <w:adjustRightInd w:val="0"/>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（5）★《南京市政府采购供应商信用记录表暨信用承诺书》</w:t>
      </w:r>
      <w:r>
        <w:rPr>
          <w:rFonts w:hint="eastAsia" w:ascii="仿宋" w:hAnsi="仿宋" w:eastAsia="仿宋" w:cs="仿宋"/>
          <w:b/>
          <w:bCs/>
          <w:sz w:val="24"/>
          <w:highlight w:val="none"/>
        </w:rPr>
        <w:t>及供应商在有效经营期内的营业执照复印件</w:t>
      </w:r>
      <w:r>
        <w:rPr>
          <w:rFonts w:hint="eastAsia" w:ascii="仿宋" w:hAnsi="仿宋" w:eastAsia="仿宋" w:cs="仿宋"/>
          <w:b/>
          <w:bCs/>
          <w:sz w:val="24"/>
          <w:highlight w:val="none"/>
          <w:lang w:val="zh-CN"/>
        </w:rPr>
        <w:t>；（</w:t>
      </w:r>
      <w:r>
        <w:rPr>
          <w:rFonts w:hint="eastAsia" w:ascii="仿宋" w:hAnsi="仿宋" w:eastAsia="仿宋" w:cs="仿宋"/>
          <w:b/>
          <w:bCs/>
          <w:sz w:val="24"/>
          <w:highlight w:val="none"/>
        </w:rPr>
        <w:t>不得以信用承诺书替代的供应商须按照磋商文件第六章要求提供证明材料）</w:t>
      </w:r>
      <w:r>
        <w:rPr>
          <w:rFonts w:hint="eastAsia" w:ascii="仿宋" w:hAnsi="仿宋" w:eastAsia="仿宋" w:cs="仿宋"/>
          <w:b/>
          <w:bCs/>
          <w:sz w:val="24"/>
          <w:szCs w:val="24"/>
          <w:highlight w:val="none"/>
        </w:rPr>
        <w:t>；</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（5）供应商认为需要提供的其他资格证明文件和商务资料；</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《商务条款偏离表》。</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3.3 响应文件的技术部分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3.3.1 技术部分是证明供应商提供的货物和服务是合格的，并符合磋商文件要求的证明文件，以及对货物和服务的详细说明，这些文件可以是文字资料、图纸（表）和数据等；</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3.3.2 若技术性能无特殊说明，则按国家有关部门最新颁布的标准及规范为准；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3.3.3 提供的货物和服务如与磋商文件要求有不符之处，应说明其差别之所在，并在《技术条款偏离表》中逐条予以说明；</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3.3.4 响应文件应按照磋商文件要求提供技术资料、文件和有关证明，包括但不限于下列文件，</w:t>
      </w:r>
      <w:r>
        <w:rPr>
          <w:rFonts w:hint="eastAsia" w:ascii="仿宋" w:hAnsi="仿宋" w:eastAsia="仿宋" w:cs="仿宋"/>
          <w:b/>
          <w:bCs/>
          <w:sz w:val="24"/>
          <w:szCs w:val="24"/>
          <w:highlight w:val="none"/>
        </w:rPr>
        <w:t>其中加“★”项目不得有缺失或无效</w:t>
      </w:r>
      <w:r>
        <w:rPr>
          <w:rFonts w:hint="eastAsia" w:ascii="仿宋" w:hAnsi="仿宋" w:eastAsia="仿宋" w:cs="仿宋"/>
          <w:sz w:val="24"/>
          <w:szCs w:val="24"/>
          <w:highlight w:val="none"/>
        </w:rPr>
        <w:t>：</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（1）★项目的技术说明或实施方案；</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（2）★《技术条款偏离表》；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（3）服务承诺；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（4）验收标准、技术资料；</w:t>
      </w:r>
    </w:p>
    <w:p>
      <w:pPr>
        <w:spacing w:line="360" w:lineRule="auto"/>
        <w:ind w:firstLine="480" w:firstLineChars="200"/>
        <w:rPr>
          <w:rFonts w:ascii="仿宋" w:hAnsi="仿宋" w:eastAsia="仿宋" w:cs="仿宋"/>
          <w:b/>
          <w:bCs/>
          <w:sz w:val="24"/>
          <w:szCs w:val="24"/>
          <w:highlight w:val="none"/>
        </w:rPr>
      </w:pPr>
      <w:r>
        <w:rPr>
          <w:rFonts w:hint="eastAsia" w:ascii="仿宋" w:hAnsi="仿宋" w:eastAsia="仿宋" w:cs="仿宋"/>
          <w:sz w:val="24"/>
          <w:szCs w:val="24"/>
          <w:highlight w:val="none"/>
        </w:rPr>
        <w:t>（5）供应商认为需要提供的其他技术资料等</w:t>
      </w:r>
      <w:r>
        <w:rPr>
          <w:rFonts w:hint="eastAsia" w:ascii="仿宋" w:hAnsi="仿宋" w:eastAsia="仿宋" w:cs="仿宋"/>
          <w:b/>
          <w:bCs/>
          <w:sz w:val="24"/>
          <w:szCs w:val="24"/>
          <w:highlight w:val="none"/>
        </w:rPr>
        <w:t>。</w:t>
      </w:r>
    </w:p>
    <w:p>
      <w:pPr>
        <w:spacing w:line="360" w:lineRule="auto"/>
        <w:ind w:firstLine="482" w:firstLineChars="200"/>
        <w:outlineLvl w:val="3"/>
        <w:rPr>
          <w:rFonts w:ascii="仿宋" w:hAnsi="仿宋" w:eastAsia="仿宋" w:cs="仿宋"/>
          <w:b/>
          <w:bCs/>
          <w:sz w:val="24"/>
          <w:szCs w:val="24"/>
          <w:highlight w:val="none"/>
        </w:rPr>
      </w:pPr>
      <w:r>
        <w:rPr>
          <w:rFonts w:hint="eastAsia" w:ascii="仿宋" w:hAnsi="仿宋" w:eastAsia="仿宋" w:cs="仿宋"/>
          <w:b/>
          <w:bCs/>
          <w:sz w:val="24"/>
          <w:szCs w:val="24"/>
          <w:highlight w:val="none"/>
        </w:rPr>
        <w:t>3.4 响应文件的价格部分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（1）价格部分是对服务价格构成的说明，磋商文件如没有特别说明的话，对每一项服务仅接受一个价格。</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（2）报价应包含完成本服务项目发生的所有含税费用、支付给员工的工资</w:t>
      </w:r>
      <w:r>
        <w:rPr>
          <w:rFonts w:hint="eastAsia" w:ascii="仿宋" w:hAnsi="仿宋" w:eastAsia="仿宋" w:cs="仿宋"/>
          <w:sz w:val="24"/>
          <w:szCs w:val="24"/>
          <w:highlight w:val="none"/>
          <w:lang w:val="en-US" w:eastAsia="zh-CN"/>
        </w:rPr>
        <w:t>及加班费用（含福利费用）</w:t>
      </w:r>
      <w:r>
        <w:rPr>
          <w:rFonts w:hint="eastAsia" w:ascii="仿宋" w:hAnsi="仿宋" w:eastAsia="仿宋" w:cs="仿宋"/>
          <w:sz w:val="24"/>
          <w:szCs w:val="24"/>
          <w:highlight w:val="none"/>
        </w:rPr>
        <w:t>和国家强制缴纳的各种社会保障资金，以及供应商认为需要的其他费用等。</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（3）供应商应充分考虑到市场价格变动，以及项目实施过程中的不可预见因素，一旦成交，总价格不变。如果有漏项，视同让利。</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（4）供应商应在《报价表》、《分项报价表》等标明提供货物或服务的单价、总价以及分项报价。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（5）经磋商后，如果成交价高于或低于供应商在响应文件首次报价的，分项报价同比例调整。</w:t>
      </w:r>
    </w:p>
    <w:p>
      <w:pPr>
        <w:spacing w:line="360" w:lineRule="auto"/>
        <w:ind w:firstLine="482" w:firstLineChars="200"/>
        <w:outlineLvl w:val="3"/>
        <w:rPr>
          <w:rFonts w:ascii="仿宋" w:hAnsi="仿宋" w:eastAsia="仿宋" w:cs="仿宋"/>
          <w:sz w:val="24"/>
          <w:szCs w:val="24"/>
          <w:highlight w:val="none"/>
        </w:rPr>
      </w:pPr>
      <w:r>
        <w:rPr>
          <w:rFonts w:hint="eastAsia" w:ascii="仿宋" w:hAnsi="仿宋" w:eastAsia="仿宋" w:cs="仿宋"/>
          <w:b/>
          <w:bCs/>
          <w:sz w:val="24"/>
          <w:szCs w:val="24"/>
          <w:highlight w:val="none"/>
        </w:rPr>
        <w:t>3.5 响应文件的其他部分。</w:t>
      </w:r>
      <w:r>
        <w:rPr>
          <w:rFonts w:hint="eastAsia" w:ascii="仿宋" w:hAnsi="仿宋" w:eastAsia="仿宋" w:cs="仿宋"/>
          <w:sz w:val="24"/>
          <w:szCs w:val="24"/>
          <w:highlight w:val="none"/>
        </w:rPr>
        <w:t>其他部分由供应商根据编制响应文件需要提供的其他相关文件。</w:t>
      </w:r>
    </w:p>
    <w:p>
      <w:pPr>
        <w:spacing w:line="360" w:lineRule="auto"/>
        <w:ind w:firstLine="480" w:firstLineChars="200"/>
        <w:outlineLvl w:val="3"/>
        <w:rPr>
          <w:rFonts w:ascii="仿宋" w:hAnsi="仿宋" w:eastAsia="仿宋" w:cs="仿宋"/>
          <w:sz w:val="24"/>
          <w:szCs w:val="24"/>
          <w:highlight w:val="none"/>
        </w:rPr>
      </w:pPr>
      <w:r>
        <w:rPr>
          <w:rFonts w:hint="eastAsia" w:ascii="仿宋" w:hAnsi="仿宋" w:eastAsia="仿宋" w:cs="仿宋"/>
          <w:sz w:val="24"/>
          <w:szCs w:val="24"/>
          <w:highlight w:val="none"/>
        </w:rPr>
        <w:t>3.6 磋商保证金：本项目不设磋商保证金。</w:t>
      </w:r>
    </w:p>
    <w:p>
      <w:pPr>
        <w:spacing w:line="360" w:lineRule="auto"/>
        <w:ind w:firstLine="482" w:firstLineChars="200"/>
        <w:outlineLvl w:val="1"/>
        <w:rPr>
          <w:rFonts w:ascii="仿宋" w:hAnsi="仿宋" w:eastAsia="仿宋" w:cs="仿宋"/>
          <w:b/>
          <w:bCs/>
          <w:sz w:val="24"/>
          <w:szCs w:val="24"/>
          <w:highlight w:val="none"/>
        </w:rPr>
      </w:pPr>
      <w:bookmarkStart w:id="14" w:name="_Toc3990"/>
      <w:r>
        <w:rPr>
          <w:rFonts w:hint="eastAsia" w:ascii="仿宋" w:hAnsi="仿宋" w:eastAsia="仿宋" w:cs="仿宋"/>
          <w:b/>
          <w:bCs/>
          <w:sz w:val="24"/>
          <w:szCs w:val="24"/>
          <w:highlight w:val="none"/>
        </w:rPr>
        <w:t>三、响应文件签署与提交</w:t>
      </w:r>
      <w:bookmarkEnd w:id="14"/>
    </w:p>
    <w:p>
      <w:pPr>
        <w:spacing w:line="360" w:lineRule="auto"/>
        <w:ind w:firstLine="482" w:firstLineChars="200"/>
        <w:outlineLvl w:val="2"/>
        <w:rPr>
          <w:rFonts w:ascii="仿宋" w:hAnsi="仿宋" w:eastAsia="仿宋" w:cs="仿宋"/>
          <w:b/>
          <w:bCs/>
          <w:sz w:val="24"/>
          <w:szCs w:val="24"/>
          <w:highlight w:val="none"/>
        </w:rPr>
      </w:pPr>
      <w:bookmarkStart w:id="15" w:name="_Toc11667"/>
      <w:r>
        <w:rPr>
          <w:rFonts w:hint="eastAsia" w:ascii="仿宋" w:hAnsi="仿宋" w:eastAsia="仿宋" w:cs="仿宋"/>
          <w:b/>
          <w:bCs/>
          <w:sz w:val="24"/>
          <w:szCs w:val="24"/>
          <w:highlight w:val="none"/>
        </w:rPr>
        <w:t>1.响应文件的正本和副本均由供应商法定代表人或经正式授权并对供应商有约束力的委托代理人用不褪色墨水书写签署。</w:t>
      </w:r>
      <w:bookmarkEnd w:id="15"/>
    </w:p>
    <w:p>
      <w:pPr>
        <w:spacing w:line="360" w:lineRule="auto"/>
        <w:ind w:firstLine="482" w:firstLineChars="200"/>
        <w:outlineLvl w:val="2"/>
        <w:rPr>
          <w:rFonts w:ascii="仿宋" w:hAnsi="仿宋" w:eastAsia="仿宋" w:cs="仿宋"/>
          <w:b/>
          <w:bCs/>
          <w:sz w:val="24"/>
          <w:szCs w:val="24"/>
          <w:highlight w:val="none"/>
        </w:rPr>
      </w:pPr>
      <w:bookmarkStart w:id="16" w:name="_Toc9389"/>
      <w:r>
        <w:rPr>
          <w:rFonts w:hint="eastAsia" w:ascii="仿宋" w:hAnsi="仿宋" w:eastAsia="仿宋" w:cs="仿宋"/>
          <w:b/>
          <w:bCs/>
          <w:sz w:val="24"/>
          <w:szCs w:val="24"/>
          <w:highlight w:val="none"/>
        </w:rPr>
        <w:t>2.供应商应当在磋商文件要求提交响应文件的截止时间前，将响应文件密封送达指定地点。</w:t>
      </w:r>
      <w:bookmarkEnd w:id="16"/>
    </w:p>
    <w:p>
      <w:pPr>
        <w:spacing w:line="360" w:lineRule="auto"/>
        <w:ind w:firstLine="482" w:firstLineChars="200"/>
        <w:outlineLvl w:val="2"/>
        <w:rPr>
          <w:rFonts w:ascii="仿宋" w:hAnsi="仿宋" w:eastAsia="仿宋" w:cs="仿宋"/>
          <w:sz w:val="24"/>
          <w:szCs w:val="24"/>
          <w:highlight w:val="none"/>
        </w:rPr>
      </w:pPr>
      <w:bookmarkStart w:id="17" w:name="_Toc10463"/>
      <w:r>
        <w:rPr>
          <w:rFonts w:hint="eastAsia" w:ascii="仿宋" w:hAnsi="仿宋" w:eastAsia="仿宋" w:cs="仿宋"/>
          <w:b/>
          <w:bCs/>
          <w:sz w:val="24"/>
          <w:szCs w:val="24"/>
          <w:highlight w:val="none"/>
        </w:rPr>
        <w:t>3.有下列情形之一的响应文件将拒收：</w:t>
      </w:r>
      <w:r>
        <w:rPr>
          <w:rFonts w:hint="eastAsia" w:ascii="仿宋" w:hAnsi="仿宋" w:eastAsia="仿宋" w:cs="仿宋"/>
          <w:sz w:val="24"/>
          <w:szCs w:val="24"/>
          <w:highlight w:val="none"/>
        </w:rPr>
        <w:t>逾期送达或者未按照竞争性磋商文件编制要求提交的响应文件。</w:t>
      </w:r>
      <w:bookmarkEnd w:id="17"/>
    </w:p>
    <w:p>
      <w:pPr>
        <w:spacing w:line="360" w:lineRule="auto"/>
        <w:ind w:firstLine="482" w:firstLineChars="200"/>
        <w:outlineLvl w:val="1"/>
        <w:rPr>
          <w:rFonts w:ascii="仿宋" w:hAnsi="仿宋" w:eastAsia="仿宋" w:cs="仿宋"/>
          <w:b/>
          <w:bCs/>
          <w:sz w:val="24"/>
          <w:szCs w:val="24"/>
          <w:highlight w:val="none"/>
        </w:rPr>
      </w:pPr>
      <w:bookmarkStart w:id="18" w:name="_Toc2484"/>
      <w:r>
        <w:rPr>
          <w:rFonts w:hint="eastAsia" w:ascii="仿宋" w:hAnsi="仿宋" w:eastAsia="仿宋" w:cs="仿宋"/>
          <w:b/>
          <w:bCs/>
          <w:sz w:val="24"/>
          <w:szCs w:val="24"/>
          <w:highlight w:val="none"/>
        </w:rPr>
        <w:t>四、磋商</w:t>
      </w:r>
      <w:bookmarkEnd w:id="18"/>
    </w:p>
    <w:p>
      <w:pPr>
        <w:spacing w:line="360" w:lineRule="auto"/>
        <w:ind w:firstLine="482" w:firstLineChars="200"/>
        <w:outlineLvl w:val="2"/>
        <w:rPr>
          <w:rFonts w:ascii="仿宋" w:hAnsi="仿宋" w:eastAsia="仿宋" w:cs="仿宋"/>
          <w:b/>
          <w:bCs/>
          <w:sz w:val="24"/>
          <w:szCs w:val="24"/>
          <w:highlight w:val="none"/>
        </w:rPr>
      </w:pPr>
      <w:bookmarkStart w:id="19" w:name="_Toc24869"/>
      <w:r>
        <w:rPr>
          <w:rFonts w:hint="eastAsia" w:ascii="仿宋" w:hAnsi="仿宋" w:eastAsia="仿宋" w:cs="仿宋"/>
          <w:b/>
          <w:bCs/>
          <w:sz w:val="24"/>
          <w:szCs w:val="24"/>
          <w:highlight w:val="none"/>
        </w:rPr>
        <w:t>1.联合体（如本项目接受）</w:t>
      </w:r>
      <w:bookmarkEnd w:id="19"/>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（1）两个以上的自然人、法人或者其他组织可以组成一个联合体，以一个供应商的身份共同参加政府采购。</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（2）鼓励大中型企业和其他自然人、法人或者其他组织与小型、微型企业组成联合体共同参加非专门面向中小企业的政府采购活动。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以联合体形式参加采购的，联合体各方均应当符合政府采购法第二十二条第一款规定的条件要求；采购人根据采购项目的特殊要求规定供应商特定条件的，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（4）联合体各方之间应当签订联合体协议，明确约定联合体各方承担的工作和相应的责任，并将联合体协议连同响应文件一并提交。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（5）以联合体形式参加政府采购活动的，联合体各方不得再单独参加或者与其他供应商另外组成联合体参加同一合同项下的政府采购活动。</w:t>
      </w:r>
    </w:p>
    <w:p>
      <w:pPr>
        <w:spacing w:line="360" w:lineRule="auto"/>
        <w:ind w:firstLine="482" w:firstLineChars="200"/>
        <w:outlineLvl w:val="2"/>
        <w:rPr>
          <w:rFonts w:ascii="仿宋" w:hAnsi="仿宋" w:eastAsia="仿宋" w:cs="仿宋"/>
          <w:b/>
          <w:bCs/>
          <w:sz w:val="24"/>
          <w:szCs w:val="24"/>
          <w:highlight w:val="none"/>
        </w:rPr>
      </w:pPr>
      <w:bookmarkStart w:id="20" w:name="_Toc26229"/>
      <w:r>
        <w:rPr>
          <w:rFonts w:hint="eastAsia" w:ascii="仿宋" w:hAnsi="仿宋" w:eastAsia="仿宋" w:cs="仿宋"/>
          <w:b/>
          <w:bCs/>
          <w:sz w:val="24"/>
          <w:szCs w:val="24"/>
          <w:highlight w:val="none"/>
        </w:rPr>
        <w:t>2.磋商组织</w:t>
      </w:r>
      <w:bookmarkEnd w:id="2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在提交响应文件时间截止后，采购代理机构在规定的时间和地点组织磋商小组分别与供应商进行磋商。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2.2 磋商工作由采购代理机构负责组织，具体磋商事务由依法组建的磋商小组负责。</w:t>
      </w:r>
    </w:p>
    <w:p>
      <w:pPr>
        <w:spacing w:line="360" w:lineRule="auto"/>
        <w:ind w:firstLine="482" w:firstLineChars="200"/>
        <w:outlineLvl w:val="2"/>
        <w:rPr>
          <w:rFonts w:ascii="仿宋" w:hAnsi="仿宋" w:eastAsia="仿宋" w:cs="仿宋"/>
          <w:b/>
          <w:bCs/>
          <w:sz w:val="24"/>
          <w:szCs w:val="24"/>
          <w:highlight w:val="none"/>
        </w:rPr>
      </w:pPr>
      <w:bookmarkStart w:id="21" w:name="_Toc1872"/>
      <w:r>
        <w:rPr>
          <w:rFonts w:hint="eastAsia" w:ascii="仿宋" w:hAnsi="仿宋" w:eastAsia="仿宋" w:cs="仿宋"/>
          <w:b/>
          <w:bCs/>
          <w:sz w:val="24"/>
          <w:szCs w:val="24"/>
          <w:highlight w:val="none"/>
        </w:rPr>
        <w:t>3.磋商程序</w:t>
      </w:r>
      <w:bookmarkEnd w:id="21"/>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 磋商小组评审供应商所递交的响应性文件，并根据磋商文件规定的程序、评定成交的标准等事项与实质性响应磋商文件要求的供应商进行磋商。未实质性响应磋商文件的响应文件按无效处理，磋商小组应将告知有关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3.2 磋商小组所有成员集中与单一供应商分别进行磋商，所有参加磋商的供应商均有同等的磋商机会。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3.3 磋商过程中，磋商小组根据磋商文件和磋商情况可能实质性变动采购需求中的技术、服务要求以及合同草案条款。实质性变动是磋商文件的有效组成部分，磋商小组将以书面形式通知所有参加磋商的供应商。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3.4 为保证在磋商小组要求供应商解释或者澄清其响应文件时能够及时得到回复，在磋商开始后，供应商应保持其响应文件上联系方式的通讯畅通；供应商法定代表人或授权代表或自然人本人也可以直接到磋商现场等候。供应商的澄清、说明或者更正应在磋商小组向其提出澄清、说明或者更正要求后十分钟内以书面形式提交给磋商小组，该书面材料由法定代表人或授权代表签字或加盖公章。在磋商期间，如磋商小组联系未果（在十分钟内联系五次）或者供应商在二十分钟内未按时提交书面材料，则视为供应商放弃上述权利，相关后果自负。</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3.5 供应商应当按照磋商文件的变动情况和磋商小组的要求重新提交响应文件，对原响应文件进行技术、商务、价格修正，重新提交的响应文件应当实质性响应本磋商文件以及对磋商文件作出的实质性变动，并按磋商文件的规定进行签署。重新提交的响应文件与原响应文件不一致的，以重新提交的响应文件为准。不按要求签署或者逾期未提交响应文件的，视同放弃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3.6 已提交响应文件的供应商，在提交最后报价之前，可以根据磋商情况退出磋商。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3.7 磋商文件能够详细列明采购标的的技术、服务要求的，磋商结束后，磋商小组应当要求所有继续参加磋商的供应商在规定时间内提交最后报价，提交最后报价的供应商不得少于3家。最后报价由其法定代表人或授权代表签字或者加盖公章，最后报价是供应商响应文件的有效组成部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号）第三条第四款的规定，市场竞争不充分的科研项目，以及需要扶持的科技成果转化项目，提交最后报价的供应商可以为2家，磋商小组将根据供应商最后得分由高到低的顺序推荐2名及以上成交候选供应商。</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3.8 出现下列情形之一的响应文件按照无效处理：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（1）针对本章 “二、响应文件编制”中的“</w:t>
      </w:r>
      <w:r>
        <w:rPr>
          <w:rFonts w:hint="eastAsia" w:ascii="仿宋" w:hAnsi="仿宋" w:eastAsia="仿宋" w:cs="仿宋"/>
          <w:b/>
          <w:bCs/>
          <w:sz w:val="24"/>
          <w:szCs w:val="24"/>
          <w:highlight w:val="none"/>
        </w:rPr>
        <w:t>3.2响应文件的商务部分</w:t>
      </w:r>
      <w:r>
        <w:rPr>
          <w:rFonts w:hint="eastAsia" w:ascii="仿宋" w:hAnsi="仿宋" w:eastAsia="仿宋" w:cs="仿宋"/>
          <w:sz w:val="24"/>
          <w:szCs w:val="24"/>
          <w:highlight w:val="none"/>
        </w:rPr>
        <w:t>”和“</w:t>
      </w:r>
      <w:r>
        <w:rPr>
          <w:rFonts w:hint="eastAsia" w:ascii="仿宋" w:hAnsi="仿宋" w:eastAsia="仿宋" w:cs="仿宋"/>
          <w:b/>
          <w:bCs/>
          <w:sz w:val="24"/>
          <w:szCs w:val="24"/>
          <w:highlight w:val="none"/>
        </w:rPr>
        <w:t>3.3响应文件的技术部分</w:t>
      </w:r>
      <w:r>
        <w:rPr>
          <w:rFonts w:hint="eastAsia" w:ascii="仿宋" w:hAnsi="仿宋" w:eastAsia="仿宋" w:cs="仿宋"/>
          <w:sz w:val="24"/>
          <w:szCs w:val="24"/>
          <w:highlight w:val="none"/>
        </w:rPr>
        <w:t>”中加★项要求，响应文件提供的证明材料缺失或无效的；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（2）响应文件未按照磋商文件规定要求签署、盖章的；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（3）纸质响应文件未清楚标明“正本”或“副本”；</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（4）响应文件未响应采购项目需求中规定的实质性要求的；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（5）响应文件未详细阐述服务内容，而是直接拷贝采购文件技术要求的；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（6）投标总报价超过项目预算金额或最高限价；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（7）投标报价存在缺项、漏项；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（8）磋商小组认为供应商的报价明显低于其他供应商的报价，有可能影响服务质量或者不能诚信履约的，供应商未在磋商现场合理的时间内提供书面说明或相关证明材料，不能证明其报价合理的；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（9）响应文件含有采购人不能接受的附加条件的；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（10）不同供应商的响应文件由同一单位或者个人编制；</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（11）不同供应商委托同一单位或者个人办理投标事宜；</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（12）不同供应商的响应文件载明的项目管理成员或联系人员为同一人；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（13）不同供应商的响应文件异常一致或者投标报价呈规律性差异；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（14）不同供应商的响应文件相互混装；</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（15）为本采购项目提供整体设计、规范编制或者项目管理、监理、检测等服务的供应商参加该采购项目的其他采购活动；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（16）不同供应商的法定代表人或委托代理人有夫妻、直系血亲关系；</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（17）不同供应商的负责人为同一人或者存在控股、管理关系的；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（18）被信用中国网站、中国政府采购网站列入失信被执行人名单、重大税收违法案件当事人名单、政府采购严重违法失信行为记录名单及《南京市政府采购供应商信用管理工作暂行办法》宁财规〔2018〕10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pPr>
        <w:pStyle w:val="36"/>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（19）未提供《南京市政府采购供应商信用记录表暨信用承诺书》；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（20）供应商为公益一类事业单位、使用事业编制且由财政拨款保障的群团组织；</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（21）法律、法规和磋商文件规定的其他无效情形。</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3.9 出现下列情形之一的，磋商终止：</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（1）因情况变化，不再符合规定的竞争性磋商采购方式适用情形的；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（2）所有供应商的响应文件被磋商小组认定为无效的；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（3）出现影响采购公正的违法、违规行为的；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（4）所有供应商的最终报价均超过采购文件中规定的项目预算或者最高限价的；</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（5）因重大变故，采购任务取消的。</w:t>
      </w:r>
    </w:p>
    <w:p>
      <w:pPr>
        <w:spacing w:line="360" w:lineRule="auto"/>
        <w:ind w:firstLine="482" w:firstLineChars="200"/>
        <w:outlineLvl w:val="2"/>
        <w:rPr>
          <w:rFonts w:ascii="仿宋" w:hAnsi="仿宋" w:eastAsia="仿宋" w:cs="仿宋"/>
          <w:b/>
          <w:bCs/>
          <w:sz w:val="24"/>
          <w:szCs w:val="24"/>
          <w:highlight w:val="none"/>
        </w:rPr>
      </w:pPr>
      <w:bookmarkStart w:id="22" w:name="_Toc22345"/>
      <w:r>
        <w:rPr>
          <w:rFonts w:hint="eastAsia" w:ascii="仿宋" w:hAnsi="仿宋" w:eastAsia="仿宋" w:cs="仿宋"/>
          <w:b/>
          <w:bCs/>
          <w:sz w:val="24"/>
          <w:szCs w:val="24"/>
          <w:highlight w:val="none"/>
        </w:rPr>
        <w:t>4.评审办法和标准</w:t>
      </w:r>
      <w:bookmarkEnd w:id="22"/>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 采用综合评分法。即在最大限度地满足竞争性磋商文件实质性要求前提下，按照磋商文件中规定的各项因素进行综合评审后，以评审总得分最高的供应商作为成交候选供应商或者成交供应商的评审方法。</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 评审办法和标准详见第三章。</w:t>
      </w:r>
    </w:p>
    <w:p>
      <w:pPr>
        <w:spacing w:line="360" w:lineRule="auto"/>
        <w:ind w:firstLine="482" w:firstLineChars="200"/>
        <w:outlineLvl w:val="2"/>
        <w:rPr>
          <w:rFonts w:ascii="仿宋" w:hAnsi="仿宋" w:eastAsia="仿宋" w:cs="仿宋"/>
          <w:b/>
          <w:bCs/>
          <w:sz w:val="24"/>
          <w:szCs w:val="24"/>
          <w:highlight w:val="none"/>
        </w:rPr>
      </w:pPr>
      <w:bookmarkStart w:id="23" w:name="_Toc16622"/>
      <w:r>
        <w:rPr>
          <w:rFonts w:hint="eastAsia" w:ascii="仿宋" w:hAnsi="仿宋" w:eastAsia="仿宋" w:cs="仿宋"/>
          <w:b/>
          <w:bCs/>
          <w:sz w:val="24"/>
          <w:szCs w:val="24"/>
          <w:highlight w:val="none"/>
        </w:rPr>
        <w:t>5.确定成交候选供应商</w:t>
      </w:r>
      <w:bookmarkEnd w:id="23"/>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5.1 在综合比较与评价后按照得分高低顺序对供应商进行排列。得分相同的，按报价由低到高顺序排列。得分且报价相同的，按技术指标优劣顺序排列。磋商小组将综合排名第一的供应商确定为成交候选供应商。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5.2 磋商小组根据磋商过程和结果编写评审报告。</w:t>
      </w:r>
    </w:p>
    <w:p>
      <w:pPr>
        <w:spacing w:line="360" w:lineRule="auto"/>
        <w:ind w:firstLine="482" w:firstLineChars="200"/>
        <w:outlineLvl w:val="2"/>
        <w:rPr>
          <w:rFonts w:ascii="仿宋" w:hAnsi="仿宋" w:eastAsia="仿宋" w:cs="仿宋"/>
          <w:b/>
          <w:bCs/>
          <w:sz w:val="24"/>
          <w:szCs w:val="24"/>
          <w:highlight w:val="none"/>
        </w:rPr>
      </w:pPr>
      <w:bookmarkStart w:id="24" w:name="_Toc25534"/>
      <w:r>
        <w:rPr>
          <w:rFonts w:hint="eastAsia" w:ascii="仿宋" w:hAnsi="仿宋" w:eastAsia="仿宋" w:cs="仿宋"/>
          <w:b/>
          <w:bCs/>
          <w:sz w:val="24"/>
          <w:szCs w:val="24"/>
          <w:highlight w:val="none"/>
        </w:rPr>
        <w:t>6.确定成交供应商</w:t>
      </w:r>
      <w:bookmarkEnd w:id="24"/>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6.1 评审结果确定后，采购人在评审现场可根据成交候选人名单委托授权磋商小组直接确定成交供应商。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6.2 采购人如未授权委托直接确定成交供应商的，采购代理机构将在评审结束后 2 个工作日内将评审报告送采购人确认。</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6.3 采购人在收到评审报告后 5 个工作日内，从评审报告提出的成交候选供应商中， 按照排序由高到低的原则确定成交供应商。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6.4 成交供应商确定后，将在原政府采购信息发布媒体上公告，成交供应商应及时到采购代理机构领取成交通知书。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6.5 成交通知书对采购人和成交供应商具有同等法律效力。</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6.6 采购代理机构对未成交的供应商不作未成交原因的解释。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6.7 所有响应文件都将作为档案保存，不论成交与否，采购代理机构均不退回。</w:t>
      </w:r>
    </w:p>
    <w:p>
      <w:pPr>
        <w:spacing w:line="360" w:lineRule="auto"/>
        <w:ind w:firstLine="482" w:firstLineChars="200"/>
        <w:outlineLvl w:val="2"/>
        <w:rPr>
          <w:rFonts w:ascii="仿宋" w:hAnsi="仿宋" w:eastAsia="仿宋" w:cs="仿宋"/>
          <w:b/>
          <w:bCs/>
          <w:sz w:val="24"/>
          <w:szCs w:val="24"/>
          <w:highlight w:val="none"/>
        </w:rPr>
      </w:pPr>
      <w:bookmarkStart w:id="25" w:name="_Toc22211"/>
      <w:r>
        <w:rPr>
          <w:rFonts w:hint="eastAsia" w:ascii="仿宋" w:hAnsi="仿宋" w:eastAsia="仿宋" w:cs="仿宋"/>
          <w:b/>
          <w:bCs/>
          <w:sz w:val="24"/>
          <w:szCs w:val="24"/>
          <w:highlight w:val="none"/>
        </w:rPr>
        <w:t>7.签订合同</w:t>
      </w:r>
      <w:bookmarkEnd w:id="25"/>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7.1 成交供应商应当自成交通知书发出之日起三十日内，与采购人签订政府采购合同，所签订的合同不得对磋商文件和响应文件作实质性修改。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7.2 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7.3 除不可抗力等因素外，成交通知书发出后，采购人改变成交结果，或者成交供应商拒绝签订政府采购合同的，应当承担相应的法律责任。</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7.4 成交供应商除发生法律规定的不能预见、不能避免并不能克服的客观情况外不得放弃或拒绝签订合同的。放弃或拒绝签订合同的，财政部门视情将其列入不良行为名单，在一至三年内不得参加南京市政府采购活动，并予以通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7.5 成交供应商拒绝签订政府采购合同的，或因不可抗力或者自身原因不能履行政府采购合同的，采购人可以视情与排位在成交供应商之后第一位的成交候选供应商签订政府采购合同，也可以重新开展采购活动。</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7.6 政府采购合同履行中，采购人需追加与合同标的相同的服务的，在不改变合同其他条款的前提下，可以与供应商协商签订补充合同，但所有补充合同的采购金额不得超过原合同采购金额的百分之十。</w:t>
      </w:r>
    </w:p>
    <w:p>
      <w:pPr>
        <w:spacing w:line="360" w:lineRule="auto"/>
        <w:ind w:firstLine="482" w:firstLineChars="200"/>
        <w:outlineLvl w:val="1"/>
        <w:rPr>
          <w:rFonts w:ascii="仿宋" w:hAnsi="仿宋" w:eastAsia="仿宋" w:cs="仿宋"/>
          <w:b/>
          <w:bCs/>
          <w:sz w:val="24"/>
          <w:szCs w:val="24"/>
          <w:highlight w:val="none"/>
        </w:rPr>
      </w:pPr>
      <w:bookmarkStart w:id="26" w:name="_Toc15178"/>
      <w:r>
        <w:rPr>
          <w:rFonts w:hint="eastAsia" w:ascii="仿宋" w:hAnsi="仿宋" w:eastAsia="仿宋" w:cs="仿宋"/>
          <w:b/>
          <w:bCs/>
          <w:sz w:val="24"/>
          <w:szCs w:val="24"/>
          <w:highlight w:val="none"/>
        </w:rPr>
        <w:t>五、询问、质疑、投诉和诚实信用</w:t>
      </w:r>
      <w:bookmarkEnd w:id="26"/>
    </w:p>
    <w:p>
      <w:pPr>
        <w:spacing w:line="360" w:lineRule="auto"/>
        <w:ind w:firstLine="482" w:firstLineChars="200"/>
        <w:outlineLvl w:val="2"/>
        <w:rPr>
          <w:rFonts w:ascii="仿宋" w:hAnsi="仿宋" w:eastAsia="仿宋" w:cs="仿宋"/>
          <w:b/>
          <w:bCs/>
          <w:sz w:val="24"/>
          <w:szCs w:val="24"/>
          <w:highlight w:val="none"/>
        </w:rPr>
      </w:pPr>
      <w:bookmarkStart w:id="27" w:name="_Toc9505"/>
      <w:r>
        <w:rPr>
          <w:rFonts w:hint="eastAsia" w:ascii="仿宋" w:hAnsi="仿宋" w:eastAsia="仿宋" w:cs="仿宋"/>
          <w:b/>
          <w:bCs/>
          <w:sz w:val="24"/>
          <w:szCs w:val="24"/>
          <w:highlight w:val="none"/>
        </w:rPr>
        <w:t>1.询问</w:t>
      </w:r>
      <w:bookmarkEnd w:id="27"/>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1.1 供应商对采购活动事项有疑问的，可以依法向采购代理机构或采购人提出询问，采购人或者采购代理机构在三个工作日内对供应商依法提出的询问作出答复，但答复的内容不涉及商业秘密。</w:t>
      </w:r>
    </w:p>
    <w:p>
      <w:pPr>
        <w:spacing w:line="360" w:lineRule="auto"/>
        <w:ind w:firstLine="482" w:firstLineChars="200"/>
        <w:outlineLvl w:val="2"/>
        <w:rPr>
          <w:rFonts w:ascii="仿宋" w:hAnsi="仿宋" w:eastAsia="仿宋" w:cs="仿宋"/>
          <w:b/>
          <w:bCs/>
          <w:sz w:val="24"/>
          <w:szCs w:val="24"/>
          <w:highlight w:val="none"/>
        </w:rPr>
      </w:pPr>
      <w:bookmarkStart w:id="28" w:name="_Toc28869"/>
      <w:r>
        <w:rPr>
          <w:rFonts w:hint="eastAsia" w:ascii="仿宋" w:hAnsi="仿宋" w:eastAsia="仿宋" w:cs="仿宋"/>
          <w:b/>
          <w:bCs/>
          <w:sz w:val="24"/>
          <w:szCs w:val="24"/>
          <w:highlight w:val="none"/>
        </w:rPr>
        <w:t>2.质疑</w:t>
      </w:r>
      <w:bookmarkEnd w:id="28"/>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2.1 供应商认为磋商文件、采购过程、成交结果使自己的权益受到损害的，可以在知道或者应知其权益受到损害之日起七个工作日内，以书面形式向采购人、采购代理机构提出质疑。质疑的供应商应是参与所质疑项目采购活动的供应商，并应在法定质疑期内一次性提出针对同一采购程序环节的质疑。</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2.2 上述“知道或者应知其权益受到损害之日起七个工作日内”是指：</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（1）对磋商文件提出质疑的，应当在采购文件公告期限届满之日起7个工作日内提出；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（2）对采购过程提出质疑的，应当在采购程序环节结束之日起7个工作日内提出；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（3）对成交结果提出质疑的，应当在成交结果公告期限届满之日起7个工作日内提出。</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2.3 质疑文件接收信息：</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（1）接收单位：</w:t>
      </w:r>
      <w:r>
        <w:rPr>
          <w:rFonts w:hint="eastAsia" w:ascii="仿宋" w:hAnsi="仿宋" w:eastAsia="仿宋" w:cs="仿宋"/>
          <w:sz w:val="24"/>
          <w:szCs w:val="24"/>
          <w:highlight w:val="none"/>
          <w:lang w:eastAsia="zh-CN"/>
        </w:rPr>
        <w:t>江苏同立工程咨询有限公司</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（2）联系人：</w:t>
      </w:r>
      <w:r>
        <w:rPr>
          <w:rFonts w:hint="eastAsia" w:ascii="仿宋" w:hAnsi="仿宋" w:eastAsia="仿宋" w:cs="仿宋"/>
          <w:sz w:val="24"/>
          <w:szCs w:val="24"/>
          <w:highlight w:val="none"/>
          <w:lang w:val="en-US" w:eastAsia="zh-CN"/>
        </w:rPr>
        <w:t>李</w:t>
      </w:r>
      <w:r>
        <w:rPr>
          <w:rFonts w:hint="eastAsia" w:ascii="仿宋" w:hAnsi="仿宋" w:eastAsia="仿宋" w:cs="仿宋"/>
          <w:sz w:val="24"/>
          <w:szCs w:val="24"/>
          <w:highlight w:val="none"/>
        </w:rPr>
        <w:t>工</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（3）联系电话：13813811768 </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）地址：南京市雨花台区花神大道23号1号楼西4F406室</w:t>
      </w:r>
    </w:p>
    <w:p>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）邮编：2100</w:t>
      </w:r>
      <w:r>
        <w:rPr>
          <w:rFonts w:hint="eastAsia" w:ascii="仿宋" w:hAnsi="仿宋" w:eastAsia="仿宋" w:cs="仿宋"/>
          <w:sz w:val="24"/>
          <w:szCs w:val="24"/>
          <w:highlight w:val="none"/>
          <w:lang w:val="en-US" w:eastAsia="zh-CN"/>
        </w:rPr>
        <w:t>12</w:t>
      </w:r>
    </w:p>
    <w:p>
      <w:pPr>
        <w:spacing w:line="360"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2.4 质疑文件应包括以下主要内容：</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（1）质疑供应商的姓名或者名称、地址、邮编、联系人及联系电话；</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（2）质疑项目的名称、编号；</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（3）具体、明确的质疑事项和与质疑事项相关的请求；</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（4）事实依据；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（5）必要的法律依据；</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（6）提出质疑的日期；</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（7）质疑供应商可以委托代理人进行质疑和投诉。其授权委托书应当载明代理人的姓名或者名称、代理事项、具体权限、期限和相关事项，代理人提出质疑和投诉，应当提交质疑供应商签署的授权委托书；</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（8）质疑供应商为自然人的，应当由本人签字；供应商为法人或者其他组织的，应当由法定代表人、主要负责人，或者其授权代表签字或者盖章，并加盖公章。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2.5 供应商提出的询问或者质疑超出采购人对采购代理机构委托授权范围的，供应商应向采购人提出。</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2.6 供应商不得虚假质疑和恶意质疑，并对质疑内容的真实性承担责任。供应商或者其他利害关系人通过捏造事实、伪造证明材料等方式提出异议或投诉，阻碍政府采购活动正常进行的，属于严重不良行为，采购代理机构将提请财政部门将其列入不良行为记录名单，并依法予以处罚。</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2.7 采购代理机构在收到供应商的书面质疑后将及时组织调查核实，在七个工作日内作出答复，并以书面或电子邮件形式通知质疑供应商和其他有关供应商，答复的内容不涉及商业秘密。采购代理机构遵循“谁过错谁负担”的原则，有过错的一方承担调查论证费用。</w:t>
      </w:r>
    </w:p>
    <w:p>
      <w:pPr>
        <w:spacing w:line="360" w:lineRule="auto"/>
        <w:ind w:firstLine="482" w:firstLineChars="200"/>
        <w:outlineLvl w:val="2"/>
        <w:rPr>
          <w:rFonts w:ascii="仿宋" w:hAnsi="仿宋" w:eastAsia="仿宋" w:cs="仿宋"/>
          <w:b/>
          <w:bCs/>
          <w:sz w:val="24"/>
          <w:szCs w:val="24"/>
          <w:highlight w:val="none"/>
        </w:rPr>
      </w:pPr>
      <w:bookmarkStart w:id="29" w:name="_Toc17424"/>
      <w:r>
        <w:rPr>
          <w:rFonts w:hint="eastAsia" w:ascii="仿宋" w:hAnsi="仿宋" w:eastAsia="仿宋" w:cs="仿宋"/>
          <w:b/>
          <w:bCs/>
          <w:sz w:val="24"/>
          <w:szCs w:val="24"/>
          <w:highlight w:val="none"/>
        </w:rPr>
        <w:t>3.投诉</w:t>
      </w:r>
      <w:bookmarkEnd w:id="29"/>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3.1 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2" w:firstLineChars="200"/>
        <w:outlineLvl w:val="2"/>
        <w:rPr>
          <w:rFonts w:ascii="仿宋" w:hAnsi="仿宋" w:eastAsia="仿宋" w:cs="仿宋"/>
          <w:b/>
          <w:bCs/>
          <w:sz w:val="24"/>
          <w:szCs w:val="24"/>
          <w:highlight w:val="none"/>
        </w:rPr>
      </w:pPr>
      <w:bookmarkStart w:id="30" w:name="_Toc29309"/>
      <w:r>
        <w:rPr>
          <w:rFonts w:hint="eastAsia" w:ascii="仿宋" w:hAnsi="仿宋" w:eastAsia="仿宋" w:cs="仿宋"/>
          <w:b/>
          <w:bCs/>
          <w:sz w:val="24"/>
          <w:szCs w:val="24"/>
          <w:highlight w:val="none"/>
        </w:rPr>
        <w:t>4.诚实信用</w:t>
      </w:r>
      <w:bookmarkEnd w:id="3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4.1 供应商之间不得相互串通报价，不得妨碍其他供应商的公平竞争，不得损害采购人和其他供应商的合法权益。</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4.2 供应商不得以向采购代理机构工作人员、磋商小组行贿或者采取其他不正当手段谋取中标。经查实供应商有此行为的，政府采购监督管理部门将供应商列入不良行为记录名单，按照政府采购法有关规定处理。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4.3 供应商不得虚假承诺，否则，按照提供虚假材料谋取中标成交处理。</w:t>
      </w:r>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4.4 供应商应自觉遵守磋商、评审纪律，扰乱磋商、评审现场秩序的，属于失信行为，根据《南京市政府采购供应商信用管理工作暂行办法》，失信行为将被记入供应商诚信档案。</w:t>
      </w:r>
    </w:p>
    <w:p>
      <w:pPr>
        <w:widowControl/>
        <w:jc w:val="left"/>
        <w:rPr>
          <w:rFonts w:ascii="仿宋" w:hAnsi="仿宋" w:eastAsia="仿宋" w:cs="仿宋"/>
          <w:sz w:val="22"/>
          <w:highlight w:val="none"/>
        </w:rPr>
      </w:pPr>
      <w:r>
        <w:rPr>
          <w:rFonts w:hint="eastAsia" w:ascii="仿宋" w:hAnsi="仿宋" w:eastAsia="仿宋" w:cs="仿宋"/>
          <w:sz w:val="22"/>
          <w:highlight w:val="none"/>
        </w:rPr>
        <w:br w:type="page"/>
      </w:r>
    </w:p>
    <w:p>
      <w:pPr>
        <w:jc w:val="center"/>
        <w:outlineLvl w:val="0"/>
        <w:rPr>
          <w:rFonts w:ascii="仿宋" w:hAnsi="仿宋" w:eastAsia="仿宋" w:cs="仿宋"/>
          <w:b/>
          <w:bCs/>
          <w:sz w:val="28"/>
          <w:szCs w:val="32"/>
          <w:highlight w:val="none"/>
        </w:rPr>
      </w:pPr>
      <w:bookmarkStart w:id="31" w:name="_Toc19834"/>
      <w:bookmarkStart w:id="32" w:name="_Toc7802"/>
      <w:r>
        <w:rPr>
          <w:rFonts w:hint="eastAsia" w:ascii="仿宋" w:hAnsi="仿宋" w:eastAsia="仿宋" w:cs="仿宋"/>
          <w:b/>
          <w:bCs/>
          <w:sz w:val="28"/>
          <w:szCs w:val="32"/>
          <w:highlight w:val="none"/>
        </w:rPr>
        <w:t>第三章  评审办法及标准</w:t>
      </w:r>
      <w:bookmarkEnd w:id="31"/>
      <w:bookmarkEnd w:id="32"/>
    </w:p>
    <w:p>
      <w:pPr>
        <w:spacing w:line="360" w:lineRule="auto"/>
        <w:outlineLvl w:val="1"/>
        <w:rPr>
          <w:rFonts w:ascii="仿宋" w:hAnsi="仿宋" w:eastAsia="仿宋" w:cs="仿宋"/>
          <w:b/>
          <w:bCs/>
          <w:sz w:val="24"/>
          <w:szCs w:val="24"/>
          <w:highlight w:val="none"/>
        </w:rPr>
      </w:pPr>
      <w:bookmarkStart w:id="33" w:name="_Toc25000"/>
      <w:bookmarkStart w:id="34" w:name="_Toc28919"/>
      <w:bookmarkStart w:id="35" w:name="_Toc11299"/>
      <w:bookmarkStart w:id="36" w:name="_Toc49171542"/>
      <w:r>
        <w:rPr>
          <w:rFonts w:hint="eastAsia" w:ascii="仿宋" w:hAnsi="仿宋" w:eastAsia="仿宋" w:cs="仿宋"/>
          <w:b/>
          <w:bCs/>
          <w:sz w:val="24"/>
          <w:szCs w:val="24"/>
          <w:highlight w:val="none"/>
        </w:rPr>
        <w:t>一、评审办法</w:t>
      </w:r>
      <w:bookmarkEnd w:id="33"/>
      <w:bookmarkEnd w:id="34"/>
      <w:bookmarkEnd w:id="35"/>
      <w:bookmarkEnd w:id="36"/>
    </w:p>
    <w:p>
      <w:pPr>
        <w:autoSpaceDE w:val="0"/>
        <w:autoSpaceDN w:val="0"/>
        <w:adjustRightInd w:val="0"/>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按技术指标优劣顺序排列，由评标委员会推荐成交供应商排序。</w:t>
      </w:r>
    </w:p>
    <w:p>
      <w:pPr>
        <w:spacing w:line="360" w:lineRule="auto"/>
        <w:outlineLvl w:val="1"/>
        <w:rPr>
          <w:rFonts w:ascii="仿宋" w:hAnsi="仿宋" w:eastAsia="仿宋" w:cs="仿宋"/>
          <w:b/>
          <w:bCs/>
          <w:sz w:val="24"/>
          <w:szCs w:val="24"/>
          <w:highlight w:val="none"/>
        </w:rPr>
      </w:pPr>
      <w:bookmarkStart w:id="37" w:name="_Toc28248"/>
      <w:bookmarkStart w:id="38" w:name="_Toc49171543"/>
      <w:bookmarkStart w:id="39" w:name="_Toc29145"/>
      <w:bookmarkStart w:id="40" w:name="_Toc6654"/>
      <w:r>
        <w:rPr>
          <w:rFonts w:hint="eastAsia" w:ascii="仿宋" w:hAnsi="仿宋" w:eastAsia="仿宋" w:cs="仿宋"/>
          <w:b/>
          <w:bCs/>
          <w:sz w:val="24"/>
          <w:szCs w:val="24"/>
          <w:highlight w:val="none"/>
        </w:rPr>
        <w:t>二、资格性审查方法</w:t>
      </w:r>
      <w:bookmarkEnd w:id="37"/>
      <w:bookmarkEnd w:id="38"/>
      <w:bookmarkEnd w:id="39"/>
      <w:bookmarkEnd w:id="40"/>
    </w:p>
    <w:p>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竞争性磋商采购项目响应文件开启结束后，采购人或者代理机构依据法律、法规及采购文件的规定，对供应商的资格进行审查，以确定供应商资格是否合格。</w:t>
      </w:r>
    </w:p>
    <w:p>
      <w:pPr>
        <w:spacing w:line="360" w:lineRule="auto"/>
        <w:outlineLvl w:val="1"/>
        <w:rPr>
          <w:rFonts w:ascii="仿宋" w:hAnsi="仿宋" w:eastAsia="仿宋" w:cs="仿宋"/>
          <w:b/>
          <w:bCs/>
          <w:sz w:val="24"/>
          <w:szCs w:val="24"/>
          <w:highlight w:val="none"/>
        </w:rPr>
      </w:pPr>
      <w:bookmarkStart w:id="41" w:name="_Toc32591"/>
      <w:r>
        <w:rPr>
          <w:rFonts w:hint="eastAsia" w:ascii="仿宋" w:hAnsi="仿宋" w:eastAsia="仿宋" w:cs="仿宋"/>
          <w:b/>
          <w:bCs/>
          <w:sz w:val="24"/>
          <w:szCs w:val="24"/>
          <w:highlight w:val="none"/>
        </w:rPr>
        <w:t>三、评分标准</w:t>
      </w:r>
      <w:bookmarkEnd w:id="41"/>
    </w:p>
    <w:tbl>
      <w:tblPr>
        <w:tblStyle w:val="27"/>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60"/>
        <w:gridCol w:w="5978"/>
        <w:gridCol w:w="57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评分</w:t>
            </w:r>
          </w:p>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因素</w:t>
            </w:r>
          </w:p>
        </w:tc>
        <w:tc>
          <w:tcPr>
            <w:tcW w:w="59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评审标准</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分值</w:t>
            </w:r>
          </w:p>
        </w:tc>
        <w:tc>
          <w:tcPr>
            <w:tcW w:w="6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分值</w:t>
            </w:r>
          </w:p>
          <w:p>
            <w:pPr>
              <w:jc w:val="center"/>
              <w:rPr>
                <w:rFonts w:ascii="仿宋" w:hAnsi="仿宋" w:eastAsia="仿宋" w:cs="仿宋"/>
                <w:color w:val="auto"/>
                <w:sz w:val="21"/>
                <w:szCs w:val="21"/>
                <w:highlight w:val="none"/>
              </w:rPr>
            </w:pPr>
            <w:r>
              <w:rPr>
                <w:rFonts w:hint="eastAsia" w:ascii="仿宋" w:hAnsi="仿宋" w:eastAsia="仿宋" w:cs="宋体"/>
                <w:color w:val="auto"/>
                <w:sz w:val="21"/>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60"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价格</w:t>
            </w:r>
          </w:p>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10</w:t>
            </w:r>
            <w:r>
              <w:rPr>
                <w:rFonts w:hint="eastAsia" w:ascii="仿宋" w:hAnsi="仿宋" w:eastAsia="仿宋" w:cs="仿宋"/>
                <w:color w:val="auto"/>
                <w:sz w:val="21"/>
                <w:szCs w:val="21"/>
                <w:highlight w:val="none"/>
              </w:rPr>
              <w:t>分）</w:t>
            </w:r>
          </w:p>
        </w:tc>
        <w:tc>
          <w:tcPr>
            <w:tcW w:w="59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1"/>
                <w:szCs w:val="21"/>
                <w:highlight w:val="none"/>
              </w:rPr>
            </w:pPr>
            <w:r>
              <w:rPr>
                <w:rStyle w:val="65"/>
                <w:rFonts w:hint="eastAsia" w:ascii="仿宋" w:hAnsi="仿宋" w:eastAsia="仿宋" w:cs="仿宋"/>
                <w:color w:val="auto"/>
                <w:sz w:val="21"/>
                <w:szCs w:val="21"/>
                <w:highlight w:val="none"/>
                <w:lang w:eastAsia="zh-CN"/>
              </w:rPr>
              <w:t>评</w:t>
            </w:r>
            <w:r>
              <w:rPr>
                <w:rFonts w:hint="eastAsia" w:ascii="仿宋" w:hAnsi="仿宋" w:eastAsia="仿宋" w:cs="仿宋"/>
                <w:color w:val="auto"/>
                <w:highlight w:val="none"/>
              </w:rPr>
              <w:t>采用低价优先法计算，即满足磋商文件要求且最后报价最低的供应商的价格为磋商基准价，其价格分为满分。其他供应商的价格分统一按照下列公式计算:磋商报价得分=(磋商基准价/最后磋商报价)×10（小数点留两位）</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lang w:eastAsia="zh-CN"/>
              </w:rPr>
            </w:pPr>
            <w:r>
              <w:rPr>
                <w:rFonts w:hint="eastAsia" w:ascii="仿宋" w:hAnsi="仿宋" w:eastAsia="仿宋" w:cs="宋体"/>
                <w:color w:val="auto"/>
                <w:sz w:val="21"/>
                <w:szCs w:val="21"/>
                <w:highlight w:val="none"/>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blHeader/>
          <w:jc w:val="center"/>
        </w:trPr>
        <w:tc>
          <w:tcPr>
            <w:tcW w:w="55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60" w:type="dxa"/>
            <w:vMerge w:val="restart"/>
            <w:tcBorders>
              <w:left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服务</w:t>
            </w:r>
            <w:r>
              <w:rPr>
                <w:rFonts w:hint="eastAsia" w:ascii="仿宋" w:hAnsi="仿宋" w:eastAsia="仿宋" w:cs="仿宋"/>
                <w:color w:val="auto"/>
                <w:sz w:val="21"/>
                <w:szCs w:val="21"/>
                <w:highlight w:val="none"/>
              </w:rPr>
              <w:t>方案</w:t>
            </w:r>
          </w:p>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57</w:t>
            </w:r>
            <w:r>
              <w:rPr>
                <w:rFonts w:hint="eastAsia" w:ascii="仿宋" w:hAnsi="仿宋" w:eastAsia="仿宋" w:cs="仿宋"/>
                <w:color w:val="auto"/>
                <w:sz w:val="21"/>
                <w:szCs w:val="21"/>
                <w:highlight w:val="none"/>
              </w:rPr>
              <w:t>分）</w:t>
            </w:r>
          </w:p>
        </w:tc>
        <w:tc>
          <w:tcPr>
            <w:tcW w:w="5978" w:type="dxa"/>
            <w:tcBorders>
              <w:top w:val="single" w:color="auto" w:sz="4" w:space="0"/>
              <w:left w:val="single" w:color="auto" w:sz="4" w:space="0"/>
              <w:right w:val="single" w:color="auto" w:sz="4" w:space="0"/>
            </w:tcBorders>
            <w:vAlign w:val="center"/>
          </w:tcPr>
          <w:p>
            <w:pPr>
              <w:numPr>
                <w:ilvl w:val="0"/>
                <w:numId w:val="1"/>
              </w:numPr>
              <w:rPr>
                <w:rFonts w:ascii="仿宋" w:hAnsi="仿宋" w:eastAsia="仿宋"/>
                <w:color w:val="auto"/>
                <w:sz w:val="21"/>
                <w:szCs w:val="21"/>
                <w:highlight w:val="none"/>
              </w:rPr>
            </w:pPr>
            <w:r>
              <w:rPr>
                <w:rFonts w:hint="eastAsia" w:ascii="仿宋" w:hAnsi="仿宋" w:eastAsia="仿宋"/>
                <w:color w:val="auto"/>
                <w:sz w:val="21"/>
                <w:szCs w:val="21"/>
                <w:highlight w:val="none"/>
                <w:lang w:val="en-US" w:eastAsia="zh-CN"/>
              </w:rPr>
              <w:t>服务</w:t>
            </w:r>
            <w:r>
              <w:rPr>
                <w:rFonts w:hint="eastAsia" w:ascii="仿宋" w:hAnsi="仿宋" w:eastAsia="仿宋"/>
                <w:color w:val="auto"/>
                <w:sz w:val="21"/>
                <w:szCs w:val="21"/>
                <w:highlight w:val="none"/>
              </w:rPr>
              <w:t>方案</w:t>
            </w:r>
            <w:r>
              <w:rPr>
                <w:rFonts w:hint="eastAsia" w:ascii="仿宋" w:hAnsi="仿宋" w:eastAsia="仿宋"/>
                <w:color w:val="auto"/>
                <w:sz w:val="21"/>
                <w:szCs w:val="21"/>
                <w:highlight w:val="none"/>
                <w:lang w:eastAsia="zh-CN"/>
              </w:rPr>
              <w:t>、工作流程（</w:t>
            </w:r>
            <w:r>
              <w:rPr>
                <w:rFonts w:hint="eastAsia" w:ascii="仿宋" w:hAnsi="仿宋" w:eastAsia="仿宋"/>
                <w:color w:val="auto"/>
                <w:sz w:val="21"/>
                <w:szCs w:val="21"/>
                <w:highlight w:val="none"/>
                <w:lang w:val="en-US" w:eastAsia="zh-CN"/>
              </w:rPr>
              <w:t>工作制度或细则、服务标准</w:t>
            </w:r>
            <w:r>
              <w:rPr>
                <w:rFonts w:hint="eastAsia" w:ascii="仿宋" w:hAnsi="仿宋" w:eastAsia="仿宋"/>
                <w:color w:val="auto"/>
                <w:sz w:val="21"/>
                <w:szCs w:val="21"/>
                <w:highlight w:val="none"/>
                <w:lang w:eastAsia="zh-CN"/>
              </w:rPr>
              <w:t>）</w:t>
            </w:r>
          </w:p>
          <w:p>
            <w:pPr>
              <w:rPr>
                <w:rFonts w:ascii="仿宋" w:hAnsi="仿宋" w:eastAsia="仿宋" w:cs="仿宋"/>
                <w:color w:val="auto"/>
                <w:kern w:val="2"/>
                <w:sz w:val="21"/>
                <w:szCs w:val="21"/>
                <w:highlight w:val="none"/>
                <w:lang w:eastAsia="zh-CN"/>
              </w:rPr>
            </w:pPr>
            <w:r>
              <w:rPr>
                <w:rFonts w:hint="eastAsia" w:ascii="仿宋" w:hAnsi="仿宋" w:eastAsia="仿宋"/>
                <w:color w:val="auto"/>
                <w:sz w:val="21"/>
                <w:szCs w:val="21"/>
                <w:highlight w:val="none"/>
                <w:lang w:eastAsia="zh-CN"/>
              </w:rPr>
              <w:t>根据投标人提供的</w:t>
            </w:r>
            <w:r>
              <w:rPr>
                <w:rFonts w:hint="eastAsia" w:ascii="仿宋" w:hAnsi="仿宋" w:eastAsia="仿宋"/>
                <w:color w:val="auto"/>
                <w:sz w:val="21"/>
                <w:szCs w:val="21"/>
                <w:highlight w:val="none"/>
                <w:lang w:val="en-US" w:eastAsia="zh-CN"/>
              </w:rPr>
              <w:t>服务</w:t>
            </w:r>
            <w:r>
              <w:rPr>
                <w:rFonts w:hint="eastAsia" w:ascii="仿宋" w:hAnsi="仿宋" w:eastAsia="仿宋"/>
                <w:color w:val="auto"/>
                <w:sz w:val="21"/>
                <w:szCs w:val="21"/>
                <w:highlight w:val="none"/>
                <w:lang w:eastAsia="zh-CN"/>
              </w:rPr>
              <w:t>方案与工作流程进行综合评分：方案全面合理,工作流程完整、科学、可行,无明显瑕疵的得</w:t>
            </w:r>
            <w:r>
              <w:rPr>
                <w:rFonts w:hint="eastAsia" w:ascii="仿宋" w:hAnsi="仿宋" w:eastAsia="仿宋"/>
                <w:color w:val="auto"/>
                <w:sz w:val="21"/>
                <w:szCs w:val="21"/>
                <w:highlight w:val="none"/>
                <w:lang w:val="en-US" w:eastAsia="zh-CN"/>
              </w:rPr>
              <w:t>15</w:t>
            </w:r>
            <w:r>
              <w:rPr>
                <w:rFonts w:hint="eastAsia" w:ascii="仿宋" w:hAnsi="仿宋" w:eastAsia="仿宋"/>
                <w:color w:val="auto"/>
                <w:sz w:val="21"/>
                <w:szCs w:val="21"/>
                <w:highlight w:val="none"/>
                <w:lang w:eastAsia="zh-CN"/>
              </w:rPr>
              <w:t>分；有明显瑕疵的（如</w:t>
            </w:r>
            <w:r>
              <w:rPr>
                <w:rFonts w:hint="eastAsia" w:ascii="仿宋" w:hAnsi="仿宋" w:eastAsia="仿宋" w:cs="宋体"/>
                <w:color w:val="auto"/>
                <w:sz w:val="21"/>
                <w:szCs w:val="21"/>
                <w:highlight w:val="none"/>
                <w:lang w:eastAsia="zh-CN"/>
              </w:rPr>
              <w:t>组织架构及人员配备安排不合理、</w:t>
            </w:r>
            <w:r>
              <w:rPr>
                <w:rFonts w:hint="eastAsia" w:ascii="仿宋" w:hAnsi="仿宋" w:eastAsia="仿宋"/>
                <w:color w:val="auto"/>
                <w:sz w:val="21"/>
                <w:szCs w:val="21"/>
                <w:highlight w:val="none"/>
                <w:lang w:eastAsia="zh-CN"/>
              </w:rPr>
              <w:t>部门职责与岗位不明确、各类规章制度不健全不规范不符合文件规定等）每处扣2分；</w:t>
            </w:r>
            <w:r>
              <w:rPr>
                <w:rFonts w:hint="eastAsia" w:ascii="仿宋" w:hAnsi="仿宋" w:eastAsia="仿宋" w:cs="宋体"/>
                <w:color w:val="auto"/>
                <w:sz w:val="21"/>
                <w:szCs w:val="21"/>
                <w:highlight w:val="none"/>
                <w:lang w:eastAsia="zh-CN"/>
              </w:rPr>
              <w:t>一般瑕疵，每处扣1分；扣完为止，不提供不得分。</w:t>
            </w:r>
          </w:p>
        </w:tc>
        <w:tc>
          <w:tcPr>
            <w:tcW w:w="570"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宋体"/>
                <w:color w:val="auto"/>
                <w:sz w:val="21"/>
                <w:szCs w:val="21"/>
                <w:highlight w:val="none"/>
                <w:lang w:val="en-US" w:eastAsia="zh-CN"/>
              </w:rPr>
              <w:t>15</w:t>
            </w:r>
          </w:p>
        </w:tc>
        <w:tc>
          <w:tcPr>
            <w:tcW w:w="68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lang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blHeader/>
          <w:jc w:val="center"/>
        </w:trPr>
        <w:tc>
          <w:tcPr>
            <w:tcW w:w="556" w:type="dxa"/>
            <w:vMerge w:val="continue"/>
            <w:tcBorders>
              <w:left w:val="single" w:color="auto" w:sz="4" w:space="0"/>
              <w:right w:val="single" w:color="auto" w:sz="4" w:space="0"/>
            </w:tcBorders>
            <w:vAlign w:val="center"/>
          </w:tcPr>
          <w:p>
            <w:pPr>
              <w:ind w:left="60"/>
              <w:jc w:val="center"/>
              <w:rPr>
                <w:color w:val="auto"/>
                <w:sz w:val="21"/>
                <w:szCs w:val="21"/>
                <w:highlight w:val="none"/>
              </w:rPr>
            </w:pPr>
          </w:p>
        </w:tc>
        <w:tc>
          <w:tcPr>
            <w:tcW w:w="1160" w:type="dxa"/>
            <w:vMerge w:val="continue"/>
            <w:tcBorders>
              <w:left w:val="single" w:color="auto" w:sz="4" w:space="0"/>
              <w:right w:val="single" w:color="auto" w:sz="4" w:space="0"/>
            </w:tcBorders>
            <w:vAlign w:val="center"/>
          </w:tcPr>
          <w:p>
            <w:pPr>
              <w:ind w:left="60"/>
              <w:jc w:val="center"/>
              <w:rPr>
                <w:color w:val="auto"/>
                <w:sz w:val="21"/>
                <w:szCs w:val="21"/>
                <w:highlight w:val="none"/>
              </w:rPr>
            </w:pPr>
          </w:p>
        </w:tc>
        <w:tc>
          <w:tcPr>
            <w:tcW w:w="5978" w:type="dxa"/>
            <w:tcBorders>
              <w:top w:val="single" w:color="auto" w:sz="4" w:space="0"/>
              <w:left w:val="single" w:color="auto" w:sz="4" w:space="0"/>
              <w:right w:val="single" w:color="auto" w:sz="4" w:space="0"/>
            </w:tcBorders>
            <w:vAlign w:val="center"/>
          </w:tcPr>
          <w:p>
            <w:pPr>
              <w:widowControl/>
              <w:numPr>
                <w:ilvl w:val="0"/>
                <w:numId w:val="1"/>
              </w:numPr>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培训制度</w:t>
            </w:r>
          </w:p>
          <w:p>
            <w:pPr>
              <w:widowControl/>
              <w:rPr>
                <w:rFonts w:ascii="仿宋" w:hAnsi="仿宋" w:eastAsia="仿宋" w:cs="仿宋"/>
                <w:color w:val="auto"/>
                <w:kern w:val="2"/>
                <w:sz w:val="21"/>
                <w:szCs w:val="21"/>
                <w:highlight w:val="none"/>
                <w:lang w:val="zh-CN" w:eastAsia="zh-CN"/>
              </w:rPr>
            </w:pPr>
            <w:r>
              <w:rPr>
                <w:rFonts w:hint="eastAsia" w:ascii="仿宋" w:hAnsi="仿宋" w:eastAsia="仿宋" w:cs="宋体"/>
                <w:color w:val="auto"/>
                <w:sz w:val="21"/>
                <w:szCs w:val="21"/>
                <w:highlight w:val="none"/>
                <w:lang w:eastAsia="zh-CN"/>
              </w:rPr>
              <w:t>根据投标人提供的培训制度进行综合评分：培训制度完善全面合理，无明显瑕疵的得1</w:t>
            </w:r>
            <w:r>
              <w:rPr>
                <w:rFonts w:hint="eastAsia" w:ascii="仿宋" w:hAnsi="仿宋" w:eastAsia="仿宋" w:cs="宋体"/>
                <w:color w:val="auto"/>
                <w:sz w:val="21"/>
                <w:szCs w:val="21"/>
                <w:highlight w:val="none"/>
                <w:lang w:val="en-US" w:eastAsia="zh-CN"/>
              </w:rPr>
              <w:t>2</w:t>
            </w:r>
            <w:r>
              <w:rPr>
                <w:rFonts w:hint="eastAsia" w:ascii="仿宋" w:hAnsi="仿宋" w:eastAsia="仿宋" w:cs="宋体"/>
                <w:color w:val="auto"/>
                <w:sz w:val="21"/>
                <w:szCs w:val="21"/>
                <w:highlight w:val="none"/>
                <w:lang w:eastAsia="zh-CN"/>
              </w:rPr>
              <w:t>分；</w:t>
            </w:r>
            <w:r>
              <w:rPr>
                <w:rFonts w:hint="eastAsia" w:ascii="仿宋" w:hAnsi="仿宋" w:eastAsia="仿宋"/>
                <w:color w:val="auto"/>
                <w:sz w:val="21"/>
                <w:szCs w:val="21"/>
                <w:highlight w:val="none"/>
                <w:lang w:eastAsia="zh-CN"/>
              </w:rPr>
              <w:t>有明显瑕疵的（如</w:t>
            </w:r>
            <w:r>
              <w:rPr>
                <w:rFonts w:hint="eastAsia" w:ascii="仿宋" w:hAnsi="仿宋" w:eastAsia="仿宋" w:cs="宋体"/>
                <w:color w:val="auto"/>
                <w:sz w:val="21"/>
                <w:szCs w:val="21"/>
                <w:highlight w:val="none"/>
                <w:lang w:eastAsia="zh-CN"/>
              </w:rPr>
              <w:t>岗前培训、岗中培训，定期考核、淘汰制度等设置不完备等）</w:t>
            </w:r>
            <w:r>
              <w:rPr>
                <w:rFonts w:hint="eastAsia" w:ascii="仿宋" w:hAnsi="仿宋" w:eastAsia="仿宋"/>
                <w:color w:val="auto"/>
                <w:sz w:val="21"/>
                <w:szCs w:val="21"/>
                <w:highlight w:val="none"/>
                <w:lang w:eastAsia="zh-CN"/>
              </w:rPr>
              <w:t>每处扣2分；</w:t>
            </w:r>
            <w:r>
              <w:rPr>
                <w:rFonts w:hint="eastAsia" w:ascii="仿宋" w:hAnsi="仿宋" w:eastAsia="仿宋" w:cs="宋体"/>
                <w:color w:val="auto"/>
                <w:sz w:val="21"/>
                <w:szCs w:val="21"/>
                <w:highlight w:val="none"/>
                <w:lang w:eastAsia="zh-CN"/>
              </w:rPr>
              <w:t>一般瑕疵，每处扣1分；扣完为止，不提供不得分。</w:t>
            </w:r>
          </w:p>
        </w:tc>
        <w:tc>
          <w:tcPr>
            <w:tcW w:w="570"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kern w:val="2"/>
                <w:sz w:val="21"/>
                <w:szCs w:val="21"/>
                <w:highlight w:val="none"/>
                <w:lang w:eastAsia="zh-CN"/>
              </w:rPr>
            </w:pPr>
            <w:r>
              <w:rPr>
                <w:rFonts w:hint="eastAsia" w:ascii="仿宋" w:hAnsi="仿宋" w:eastAsia="仿宋" w:cs="宋体"/>
                <w:color w:val="auto"/>
                <w:sz w:val="21"/>
                <w:szCs w:val="21"/>
                <w:highlight w:val="none"/>
                <w:lang w:val="en-US" w:eastAsia="zh-CN"/>
              </w:rPr>
              <w:t>12</w:t>
            </w:r>
          </w:p>
        </w:tc>
        <w:tc>
          <w:tcPr>
            <w:tcW w:w="689" w:type="dxa"/>
            <w:vMerge w:val="continue"/>
            <w:tcBorders>
              <w:left w:val="single" w:color="auto" w:sz="4" w:space="0"/>
              <w:right w:val="single" w:color="auto" w:sz="4" w:space="0"/>
            </w:tcBorders>
            <w:vAlign w:val="center"/>
          </w:tcPr>
          <w:p>
            <w:pPr>
              <w:jc w:val="center"/>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556" w:type="dxa"/>
            <w:vMerge w:val="continue"/>
            <w:tcBorders>
              <w:left w:val="single" w:color="auto" w:sz="4" w:space="0"/>
              <w:right w:val="single" w:color="auto" w:sz="4" w:space="0"/>
            </w:tcBorders>
            <w:vAlign w:val="center"/>
          </w:tcPr>
          <w:p>
            <w:pPr>
              <w:rPr>
                <w:color w:val="auto"/>
                <w:sz w:val="21"/>
                <w:szCs w:val="21"/>
                <w:highlight w:val="none"/>
              </w:rPr>
            </w:pPr>
          </w:p>
        </w:tc>
        <w:tc>
          <w:tcPr>
            <w:tcW w:w="1160" w:type="dxa"/>
            <w:vMerge w:val="continue"/>
            <w:tcBorders>
              <w:left w:val="single" w:color="auto" w:sz="4" w:space="0"/>
              <w:right w:val="single" w:color="auto" w:sz="4" w:space="0"/>
            </w:tcBorders>
            <w:vAlign w:val="center"/>
          </w:tcPr>
          <w:p>
            <w:pPr>
              <w:rPr>
                <w:color w:val="auto"/>
                <w:sz w:val="21"/>
                <w:szCs w:val="21"/>
                <w:highlight w:val="none"/>
              </w:rPr>
            </w:pPr>
          </w:p>
        </w:tc>
        <w:tc>
          <w:tcPr>
            <w:tcW w:w="5978" w:type="dxa"/>
            <w:tcBorders>
              <w:top w:val="single" w:color="auto" w:sz="4" w:space="0"/>
              <w:left w:val="single" w:color="auto" w:sz="4" w:space="0"/>
              <w:right w:val="single" w:color="auto" w:sz="4" w:space="0"/>
            </w:tcBorders>
            <w:vAlign w:val="center"/>
          </w:tcPr>
          <w:p>
            <w:pPr>
              <w:numPr>
                <w:ilvl w:val="0"/>
                <w:numId w:val="1"/>
              </w:numPr>
              <w:rPr>
                <w:rFonts w:ascii="仿宋" w:hAnsi="仿宋" w:eastAsia="仿宋" w:cs="宋体"/>
                <w:color w:val="auto"/>
                <w:sz w:val="21"/>
                <w:szCs w:val="21"/>
                <w:highlight w:val="none"/>
              </w:rPr>
            </w:pPr>
            <w:r>
              <w:rPr>
                <w:rFonts w:hint="eastAsia" w:ascii="仿宋" w:hAnsi="仿宋" w:eastAsia="仿宋" w:cs="宋体"/>
                <w:color w:val="auto"/>
                <w:sz w:val="21"/>
                <w:szCs w:val="21"/>
                <w:highlight w:val="none"/>
              </w:rPr>
              <w:t>应急处置预案</w:t>
            </w:r>
          </w:p>
          <w:p>
            <w:pPr>
              <w:rPr>
                <w:rFonts w:ascii="仿宋" w:hAnsi="仿宋" w:eastAsia="仿宋" w:cs="仿宋"/>
                <w:color w:val="auto"/>
                <w:kern w:val="2"/>
                <w:sz w:val="21"/>
                <w:szCs w:val="21"/>
                <w:highlight w:val="none"/>
                <w:lang w:eastAsia="zh-CN"/>
              </w:rPr>
            </w:pPr>
            <w:r>
              <w:rPr>
                <w:rFonts w:hint="eastAsia" w:ascii="仿宋" w:hAnsi="仿宋" w:eastAsia="仿宋" w:cs="宋体"/>
                <w:color w:val="auto"/>
                <w:sz w:val="21"/>
                <w:szCs w:val="21"/>
                <w:highlight w:val="none"/>
                <w:lang w:eastAsia="zh-CN"/>
              </w:rPr>
              <w:t>根据投标人提供的应急处置预案进行综合评分：应急处置预案合理可行，操作性强，无明显瑕疵的得</w:t>
            </w:r>
            <w:r>
              <w:rPr>
                <w:rFonts w:hint="eastAsia" w:ascii="仿宋" w:hAnsi="仿宋" w:eastAsia="仿宋" w:cs="宋体"/>
                <w:color w:val="auto"/>
                <w:sz w:val="21"/>
                <w:szCs w:val="21"/>
                <w:highlight w:val="none"/>
                <w:lang w:val="en-US" w:eastAsia="zh-CN"/>
              </w:rPr>
              <w:t>10</w:t>
            </w:r>
            <w:r>
              <w:rPr>
                <w:rFonts w:hint="eastAsia" w:ascii="仿宋" w:hAnsi="仿宋" w:eastAsia="仿宋" w:cs="宋体"/>
                <w:color w:val="auto"/>
                <w:sz w:val="21"/>
                <w:szCs w:val="21"/>
                <w:highlight w:val="none"/>
                <w:lang w:eastAsia="zh-CN"/>
              </w:rPr>
              <w:t>分；</w:t>
            </w:r>
            <w:r>
              <w:rPr>
                <w:rFonts w:hint="eastAsia" w:ascii="仿宋" w:hAnsi="仿宋" w:eastAsia="仿宋"/>
                <w:color w:val="auto"/>
                <w:sz w:val="21"/>
                <w:szCs w:val="21"/>
                <w:highlight w:val="none"/>
                <w:lang w:eastAsia="zh-CN"/>
              </w:rPr>
              <w:t>有明显瑕疵（如</w:t>
            </w:r>
            <w:r>
              <w:rPr>
                <w:rFonts w:hint="eastAsia" w:ascii="仿宋" w:hAnsi="仿宋" w:eastAsia="仿宋" w:cs="宋体"/>
                <w:color w:val="auto"/>
                <w:sz w:val="21"/>
                <w:szCs w:val="21"/>
                <w:highlight w:val="none"/>
                <w:lang w:eastAsia="zh-CN"/>
              </w:rPr>
              <w:t>盗抢、火灾、群体事件等应急处置预案内容严重不合理、不定期或不组织人员开展应急演练等</w:t>
            </w:r>
            <w:r>
              <w:rPr>
                <w:rFonts w:hint="eastAsia" w:ascii="仿宋" w:hAnsi="仿宋" w:eastAsia="仿宋"/>
                <w:color w:val="auto"/>
                <w:sz w:val="21"/>
                <w:szCs w:val="21"/>
                <w:highlight w:val="none"/>
                <w:lang w:eastAsia="zh-CN"/>
              </w:rPr>
              <w:t>）每处扣2分；</w:t>
            </w:r>
            <w:r>
              <w:rPr>
                <w:rFonts w:hint="eastAsia" w:ascii="仿宋" w:hAnsi="仿宋" w:eastAsia="仿宋" w:cs="宋体"/>
                <w:color w:val="auto"/>
                <w:sz w:val="21"/>
                <w:szCs w:val="21"/>
                <w:highlight w:val="none"/>
                <w:lang w:eastAsia="zh-CN"/>
              </w:rPr>
              <w:t>一般瑕疵，每处扣1分；扣完为止，不提供不得分。</w:t>
            </w:r>
          </w:p>
        </w:tc>
        <w:tc>
          <w:tcPr>
            <w:tcW w:w="570" w:type="dxa"/>
            <w:tcBorders>
              <w:left w:val="single" w:color="auto" w:sz="4" w:space="0"/>
              <w:right w:val="single" w:color="auto" w:sz="4" w:space="0"/>
            </w:tcBorders>
            <w:vAlign w:val="center"/>
          </w:tcPr>
          <w:p>
            <w:pPr>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宋体"/>
                <w:color w:val="auto"/>
                <w:sz w:val="21"/>
                <w:szCs w:val="21"/>
                <w:highlight w:val="none"/>
                <w:lang w:val="en-US" w:eastAsia="zh-CN"/>
              </w:rPr>
              <w:t>10</w:t>
            </w:r>
          </w:p>
        </w:tc>
        <w:tc>
          <w:tcPr>
            <w:tcW w:w="689" w:type="dxa"/>
            <w:vMerge w:val="continue"/>
            <w:tcBorders>
              <w:left w:val="single" w:color="auto" w:sz="4" w:space="0"/>
              <w:right w:val="single" w:color="auto" w:sz="4" w:space="0"/>
            </w:tcBorders>
            <w:vAlign w:val="center"/>
          </w:tcPr>
          <w:p>
            <w:pPr>
              <w:jc w:val="center"/>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jc w:val="center"/>
        </w:trPr>
        <w:tc>
          <w:tcPr>
            <w:tcW w:w="556" w:type="dxa"/>
            <w:vMerge w:val="continue"/>
            <w:tcBorders>
              <w:left w:val="single" w:color="auto" w:sz="4" w:space="0"/>
              <w:right w:val="single" w:color="auto" w:sz="4" w:space="0"/>
            </w:tcBorders>
            <w:vAlign w:val="center"/>
          </w:tcPr>
          <w:p>
            <w:pPr>
              <w:rPr>
                <w:rFonts w:ascii="仿宋" w:hAnsi="仿宋" w:eastAsia="仿宋" w:cs="仿宋"/>
                <w:color w:val="auto"/>
                <w:sz w:val="21"/>
                <w:szCs w:val="21"/>
                <w:highlight w:val="none"/>
              </w:rPr>
            </w:pPr>
          </w:p>
        </w:tc>
        <w:tc>
          <w:tcPr>
            <w:tcW w:w="1160" w:type="dxa"/>
            <w:vMerge w:val="continue"/>
            <w:tcBorders>
              <w:left w:val="single" w:color="auto" w:sz="4" w:space="0"/>
              <w:right w:val="single" w:color="auto" w:sz="4" w:space="0"/>
            </w:tcBorders>
            <w:vAlign w:val="center"/>
          </w:tcPr>
          <w:p>
            <w:pPr>
              <w:rPr>
                <w:rFonts w:ascii="仿宋" w:hAnsi="仿宋" w:eastAsia="仿宋" w:cs="仿宋"/>
                <w:color w:val="auto"/>
                <w:sz w:val="21"/>
                <w:szCs w:val="21"/>
                <w:highlight w:val="none"/>
              </w:rPr>
            </w:pPr>
          </w:p>
        </w:tc>
        <w:tc>
          <w:tcPr>
            <w:tcW w:w="5978" w:type="dxa"/>
            <w:tcBorders>
              <w:top w:val="single" w:color="auto" w:sz="4" w:space="0"/>
              <w:left w:val="single" w:color="auto" w:sz="4" w:space="0"/>
              <w:right w:val="single" w:color="auto" w:sz="4" w:space="0"/>
            </w:tcBorders>
            <w:vAlign w:val="center"/>
          </w:tcPr>
          <w:p>
            <w:pPr>
              <w:numPr>
                <w:ilvl w:val="0"/>
                <w:numId w:val="1"/>
              </w:numPr>
              <w:rPr>
                <w:rFonts w:ascii="仿宋" w:hAnsi="仿宋" w:eastAsia="仿宋"/>
                <w:color w:val="auto"/>
                <w:sz w:val="21"/>
                <w:szCs w:val="21"/>
                <w:highlight w:val="none"/>
              </w:rPr>
            </w:pPr>
            <w:r>
              <w:rPr>
                <w:rFonts w:hint="eastAsia" w:ascii="仿宋" w:hAnsi="仿宋" w:eastAsia="仿宋"/>
                <w:color w:val="auto"/>
                <w:sz w:val="21"/>
                <w:szCs w:val="21"/>
                <w:highlight w:val="none"/>
              </w:rPr>
              <w:t>应急保障方案</w:t>
            </w:r>
          </w:p>
          <w:p>
            <w:pPr>
              <w:rPr>
                <w:rFonts w:ascii="仿宋" w:hAnsi="仿宋" w:eastAsia="仿宋" w:cs="仿宋"/>
                <w:color w:val="auto"/>
                <w:kern w:val="2"/>
                <w:sz w:val="21"/>
                <w:szCs w:val="21"/>
                <w:highlight w:val="none"/>
                <w:lang w:eastAsia="zh-CN"/>
              </w:rPr>
            </w:pPr>
            <w:r>
              <w:rPr>
                <w:rFonts w:hint="eastAsia" w:ascii="仿宋" w:hAnsi="仿宋" w:eastAsia="仿宋" w:cs="宋体"/>
                <w:color w:val="auto"/>
                <w:sz w:val="21"/>
                <w:szCs w:val="21"/>
                <w:highlight w:val="none"/>
                <w:lang w:eastAsia="zh-CN"/>
              </w:rPr>
              <w:t>根据投标人提供的</w:t>
            </w:r>
            <w:r>
              <w:rPr>
                <w:rFonts w:hint="eastAsia" w:ascii="仿宋" w:hAnsi="仿宋" w:eastAsia="仿宋"/>
                <w:color w:val="auto"/>
                <w:sz w:val="21"/>
                <w:szCs w:val="21"/>
                <w:highlight w:val="none"/>
                <w:lang w:eastAsia="zh-CN"/>
              </w:rPr>
              <w:t>应急保障方案</w:t>
            </w:r>
            <w:r>
              <w:rPr>
                <w:rFonts w:hint="eastAsia" w:ascii="仿宋" w:hAnsi="仿宋" w:eastAsia="仿宋" w:cs="宋体"/>
                <w:color w:val="auto"/>
                <w:sz w:val="21"/>
                <w:szCs w:val="21"/>
                <w:highlight w:val="none"/>
                <w:lang w:eastAsia="zh-CN"/>
              </w:rPr>
              <w:t>进行综合评分：</w:t>
            </w:r>
            <w:r>
              <w:rPr>
                <w:rFonts w:hint="eastAsia" w:ascii="仿宋" w:hAnsi="仿宋" w:eastAsia="仿宋"/>
                <w:color w:val="auto"/>
                <w:sz w:val="21"/>
                <w:szCs w:val="21"/>
                <w:highlight w:val="none"/>
                <w:lang w:eastAsia="zh-CN"/>
              </w:rPr>
              <w:t>应急保障方案合理可行，针对性强，</w:t>
            </w:r>
            <w:r>
              <w:rPr>
                <w:rFonts w:hint="eastAsia" w:ascii="仿宋" w:hAnsi="仿宋" w:eastAsia="仿宋" w:cs="宋体"/>
                <w:color w:val="auto"/>
                <w:sz w:val="21"/>
                <w:szCs w:val="21"/>
                <w:highlight w:val="none"/>
                <w:lang w:eastAsia="zh-CN"/>
              </w:rPr>
              <w:t>无明显瑕疵的得</w:t>
            </w:r>
            <w:r>
              <w:rPr>
                <w:rFonts w:hint="eastAsia" w:ascii="仿宋" w:hAnsi="仿宋" w:eastAsia="仿宋" w:cs="宋体"/>
                <w:color w:val="auto"/>
                <w:sz w:val="21"/>
                <w:szCs w:val="21"/>
                <w:highlight w:val="none"/>
                <w:lang w:val="en-US" w:eastAsia="zh-CN"/>
              </w:rPr>
              <w:t>10</w:t>
            </w:r>
            <w:r>
              <w:rPr>
                <w:rFonts w:hint="eastAsia" w:ascii="仿宋" w:hAnsi="仿宋" w:eastAsia="仿宋" w:cs="宋体"/>
                <w:color w:val="auto"/>
                <w:sz w:val="21"/>
                <w:szCs w:val="21"/>
                <w:highlight w:val="none"/>
                <w:lang w:eastAsia="zh-CN"/>
              </w:rPr>
              <w:t>分；</w:t>
            </w:r>
            <w:r>
              <w:rPr>
                <w:rFonts w:hint="eastAsia" w:ascii="仿宋" w:hAnsi="仿宋" w:eastAsia="仿宋"/>
                <w:color w:val="auto"/>
                <w:sz w:val="21"/>
                <w:szCs w:val="21"/>
                <w:highlight w:val="none"/>
                <w:lang w:eastAsia="zh-CN"/>
              </w:rPr>
              <w:t>有明显瑕疵的（如应急人员设置不合理、应急物资、应急保障流程等不符合规范、安保服务应急保障能力认知不足）每处扣2分；</w:t>
            </w:r>
            <w:r>
              <w:rPr>
                <w:rFonts w:hint="eastAsia" w:ascii="仿宋" w:hAnsi="仿宋" w:eastAsia="仿宋" w:cs="宋体"/>
                <w:color w:val="auto"/>
                <w:sz w:val="21"/>
                <w:szCs w:val="21"/>
                <w:highlight w:val="none"/>
                <w:lang w:eastAsia="zh-CN"/>
              </w:rPr>
              <w:t>一般瑕疵，每处扣1分；扣完为止，不提供不得分。</w:t>
            </w:r>
          </w:p>
        </w:tc>
        <w:tc>
          <w:tcPr>
            <w:tcW w:w="570" w:type="dxa"/>
            <w:tcBorders>
              <w:left w:val="single" w:color="auto" w:sz="4" w:space="0"/>
              <w:right w:val="single" w:color="auto" w:sz="4" w:space="0"/>
            </w:tcBorders>
            <w:vAlign w:val="center"/>
          </w:tcPr>
          <w:p>
            <w:pPr>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宋体"/>
                <w:color w:val="auto"/>
                <w:sz w:val="21"/>
                <w:szCs w:val="21"/>
                <w:highlight w:val="none"/>
                <w:lang w:val="en-US" w:eastAsia="zh-CN"/>
              </w:rPr>
              <w:t>10</w:t>
            </w:r>
          </w:p>
        </w:tc>
        <w:tc>
          <w:tcPr>
            <w:tcW w:w="689" w:type="dxa"/>
            <w:vMerge w:val="continue"/>
            <w:tcBorders>
              <w:left w:val="single" w:color="auto" w:sz="4" w:space="0"/>
              <w:right w:val="single" w:color="auto" w:sz="4" w:space="0"/>
            </w:tcBorders>
            <w:vAlign w:val="center"/>
          </w:tcPr>
          <w:p>
            <w:pPr>
              <w:jc w:val="center"/>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jc w:val="center"/>
        </w:trPr>
        <w:tc>
          <w:tcPr>
            <w:tcW w:w="556" w:type="dxa"/>
            <w:vMerge w:val="continue"/>
            <w:tcBorders>
              <w:left w:val="single" w:color="auto" w:sz="4" w:space="0"/>
              <w:right w:val="single" w:color="auto" w:sz="4" w:space="0"/>
            </w:tcBorders>
            <w:vAlign w:val="center"/>
          </w:tcPr>
          <w:p>
            <w:pPr>
              <w:rPr>
                <w:rFonts w:ascii="仿宋" w:hAnsi="仿宋" w:eastAsia="仿宋" w:cs="仿宋"/>
                <w:color w:val="auto"/>
                <w:sz w:val="21"/>
                <w:szCs w:val="21"/>
                <w:highlight w:val="none"/>
              </w:rPr>
            </w:pPr>
          </w:p>
        </w:tc>
        <w:tc>
          <w:tcPr>
            <w:tcW w:w="1160" w:type="dxa"/>
            <w:vMerge w:val="continue"/>
            <w:tcBorders>
              <w:left w:val="single" w:color="auto" w:sz="4" w:space="0"/>
              <w:right w:val="single" w:color="auto" w:sz="4" w:space="0"/>
            </w:tcBorders>
            <w:vAlign w:val="center"/>
          </w:tcPr>
          <w:p>
            <w:pPr>
              <w:rPr>
                <w:rFonts w:ascii="仿宋" w:hAnsi="仿宋" w:eastAsia="仿宋" w:cs="仿宋"/>
                <w:color w:val="auto"/>
                <w:sz w:val="21"/>
                <w:szCs w:val="21"/>
                <w:highlight w:val="none"/>
              </w:rPr>
            </w:pPr>
          </w:p>
        </w:tc>
        <w:tc>
          <w:tcPr>
            <w:tcW w:w="5978" w:type="dxa"/>
            <w:tcBorders>
              <w:top w:val="single" w:color="auto" w:sz="4" w:space="0"/>
              <w:left w:val="single" w:color="auto" w:sz="4" w:space="0"/>
              <w:right w:val="single" w:color="auto" w:sz="4" w:space="0"/>
            </w:tcBorders>
            <w:vAlign w:val="center"/>
          </w:tcPr>
          <w:p>
            <w:pPr>
              <w:numPr>
                <w:ilvl w:val="0"/>
                <w:numId w:val="1"/>
              </w:numPr>
              <w:rPr>
                <w:rFonts w:ascii="仿宋" w:hAnsi="仿宋" w:eastAsia="仿宋" w:cs="Times New Roman"/>
                <w:color w:val="auto"/>
                <w:sz w:val="21"/>
                <w:szCs w:val="21"/>
                <w:highlight w:val="none"/>
                <w:lang w:eastAsia="zh-CN"/>
              </w:rPr>
            </w:pPr>
            <w:r>
              <w:rPr>
                <w:rFonts w:hint="eastAsia" w:ascii="仿宋" w:hAnsi="仿宋" w:eastAsia="仿宋" w:cs="Times New Roman"/>
                <w:color w:val="auto"/>
                <w:sz w:val="21"/>
                <w:szCs w:val="21"/>
                <w:highlight w:val="none"/>
                <w:lang w:eastAsia="zh-CN"/>
              </w:rPr>
              <w:t>安保服务质量保障和措施</w:t>
            </w:r>
          </w:p>
          <w:p>
            <w:pPr>
              <w:rPr>
                <w:rFonts w:eastAsia="仿宋"/>
                <w:color w:val="auto"/>
                <w:sz w:val="21"/>
                <w:szCs w:val="21"/>
                <w:highlight w:val="none"/>
                <w:lang w:eastAsia="zh-CN"/>
              </w:rPr>
            </w:pPr>
            <w:r>
              <w:rPr>
                <w:rFonts w:hint="eastAsia" w:ascii="仿宋" w:hAnsi="仿宋" w:eastAsia="仿宋" w:cs="宋体"/>
                <w:color w:val="auto"/>
                <w:sz w:val="21"/>
                <w:szCs w:val="21"/>
                <w:highlight w:val="none"/>
                <w:lang w:eastAsia="zh-CN"/>
              </w:rPr>
              <w:t>根据投标人提供的安保服务质量保障和措施进行综合评分：</w:t>
            </w:r>
            <w:r>
              <w:rPr>
                <w:rFonts w:hint="eastAsia" w:ascii="仿宋" w:hAnsi="仿宋" w:eastAsia="仿宋" w:cs="Arial"/>
                <w:color w:val="auto"/>
                <w:sz w:val="21"/>
                <w:szCs w:val="21"/>
                <w:highlight w:val="none"/>
                <w:lang w:eastAsia="zh-CN"/>
              </w:rPr>
              <w:t>措施可行、可靠、具体，</w:t>
            </w:r>
            <w:r>
              <w:rPr>
                <w:rFonts w:hint="eastAsia" w:ascii="仿宋" w:hAnsi="仿宋" w:eastAsia="仿宋" w:cs="宋体"/>
                <w:color w:val="auto"/>
                <w:sz w:val="21"/>
                <w:szCs w:val="21"/>
                <w:highlight w:val="none"/>
                <w:lang w:eastAsia="zh-CN"/>
              </w:rPr>
              <w:t>无明显瑕疵的得</w:t>
            </w:r>
            <w:r>
              <w:rPr>
                <w:rFonts w:hint="eastAsia" w:ascii="仿宋" w:hAnsi="仿宋" w:eastAsia="仿宋" w:cs="宋体"/>
                <w:color w:val="auto"/>
                <w:sz w:val="21"/>
                <w:szCs w:val="21"/>
                <w:highlight w:val="none"/>
                <w:lang w:val="en-US" w:eastAsia="zh-CN"/>
              </w:rPr>
              <w:t>10</w:t>
            </w:r>
            <w:r>
              <w:rPr>
                <w:rFonts w:hint="eastAsia" w:ascii="仿宋" w:hAnsi="仿宋" w:eastAsia="仿宋" w:cs="宋体"/>
                <w:color w:val="auto"/>
                <w:sz w:val="21"/>
                <w:szCs w:val="21"/>
                <w:highlight w:val="none"/>
                <w:lang w:eastAsia="zh-CN"/>
              </w:rPr>
              <w:t>分；</w:t>
            </w:r>
            <w:r>
              <w:rPr>
                <w:rFonts w:hint="eastAsia" w:ascii="仿宋" w:hAnsi="仿宋" w:eastAsia="仿宋"/>
                <w:color w:val="auto"/>
                <w:sz w:val="21"/>
                <w:szCs w:val="21"/>
                <w:highlight w:val="none"/>
                <w:lang w:eastAsia="zh-CN"/>
              </w:rPr>
              <w:t>有明显瑕疵（如</w:t>
            </w:r>
            <w:r>
              <w:rPr>
                <w:rFonts w:hint="eastAsia" w:ascii="仿宋" w:hAnsi="仿宋" w:eastAsia="仿宋" w:cs="Arial"/>
                <w:color w:val="auto"/>
                <w:sz w:val="21"/>
                <w:szCs w:val="21"/>
                <w:highlight w:val="none"/>
                <w:lang w:eastAsia="zh-CN"/>
              </w:rPr>
              <w:t>安保服务质量保证措施简单粗略、实际监督落实不切合实际等</w:t>
            </w:r>
            <w:r>
              <w:rPr>
                <w:rFonts w:hint="eastAsia" w:ascii="仿宋" w:hAnsi="仿宋" w:eastAsia="仿宋"/>
                <w:color w:val="auto"/>
                <w:sz w:val="21"/>
                <w:szCs w:val="21"/>
                <w:highlight w:val="none"/>
                <w:lang w:eastAsia="zh-CN"/>
              </w:rPr>
              <w:t>）每处扣2分；</w:t>
            </w:r>
            <w:r>
              <w:rPr>
                <w:rFonts w:hint="eastAsia" w:ascii="仿宋" w:hAnsi="仿宋" w:eastAsia="仿宋" w:cs="宋体"/>
                <w:color w:val="auto"/>
                <w:sz w:val="21"/>
                <w:szCs w:val="21"/>
                <w:highlight w:val="none"/>
                <w:lang w:eastAsia="zh-CN"/>
              </w:rPr>
              <w:t>一般瑕疵，每处扣1分；扣完为止，不提供不得分。</w:t>
            </w:r>
          </w:p>
        </w:tc>
        <w:tc>
          <w:tcPr>
            <w:tcW w:w="570" w:type="dxa"/>
            <w:tcBorders>
              <w:left w:val="single" w:color="auto" w:sz="4" w:space="0"/>
              <w:right w:val="single" w:color="auto" w:sz="4" w:space="0"/>
            </w:tcBorders>
            <w:vAlign w:val="center"/>
          </w:tcPr>
          <w:p>
            <w:pPr>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10</w:t>
            </w:r>
          </w:p>
        </w:tc>
        <w:tc>
          <w:tcPr>
            <w:tcW w:w="689" w:type="dxa"/>
            <w:vMerge w:val="continue"/>
            <w:tcBorders>
              <w:left w:val="single" w:color="auto" w:sz="4" w:space="0"/>
              <w:right w:val="single" w:color="auto" w:sz="4" w:space="0"/>
            </w:tcBorders>
            <w:vAlign w:val="center"/>
          </w:tcPr>
          <w:p>
            <w:pPr>
              <w:jc w:val="center"/>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556" w:type="dxa"/>
            <w:tcBorders>
              <w:left w:val="single" w:color="auto" w:sz="4" w:space="0"/>
              <w:right w:val="single" w:color="auto" w:sz="4" w:space="0"/>
            </w:tcBorders>
            <w:vAlign w:val="center"/>
          </w:tcPr>
          <w:p>
            <w:pPr>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w:t>
            </w:r>
          </w:p>
        </w:tc>
        <w:tc>
          <w:tcPr>
            <w:tcW w:w="1160" w:type="dxa"/>
            <w:tcBorders>
              <w:left w:val="single" w:color="auto" w:sz="4" w:space="0"/>
              <w:right w:val="single" w:color="auto" w:sz="4" w:space="0"/>
            </w:tcBorders>
            <w:vAlign w:val="center"/>
          </w:tcPr>
          <w:p>
            <w:pPr>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企业业绩</w:t>
            </w:r>
          </w:p>
          <w:p>
            <w:pPr>
              <w:jc w:val="center"/>
              <w:rPr>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lang w:eastAsia="zh-CN"/>
              </w:rPr>
              <w:t>分）</w:t>
            </w:r>
          </w:p>
        </w:tc>
        <w:tc>
          <w:tcPr>
            <w:tcW w:w="5978" w:type="dxa"/>
            <w:tcBorders>
              <w:top w:val="single" w:color="auto" w:sz="4" w:space="0"/>
              <w:left w:val="single" w:color="auto" w:sz="4" w:space="0"/>
              <w:right w:val="single" w:color="auto" w:sz="4" w:space="0"/>
            </w:tcBorders>
            <w:vAlign w:val="center"/>
          </w:tcPr>
          <w:p>
            <w:pPr>
              <w:adjustRightInd w:val="0"/>
              <w:snapToGrid w:val="0"/>
              <w:rPr>
                <w:rFonts w:ascii="仿宋" w:hAnsi="仿宋" w:eastAsia="仿宋" w:cs="仿宋"/>
                <w:color w:val="auto"/>
                <w:kern w:val="2"/>
                <w:sz w:val="21"/>
                <w:szCs w:val="21"/>
                <w:highlight w:val="none"/>
                <w:lang w:val="zh-CN" w:eastAsia="zh-CN"/>
              </w:rPr>
            </w:pPr>
            <w:r>
              <w:rPr>
                <w:rFonts w:hint="eastAsia" w:ascii="仿宋" w:hAnsi="仿宋" w:eastAsia="仿宋" w:cs="Arial"/>
                <w:color w:val="auto"/>
                <w:sz w:val="21"/>
                <w:szCs w:val="21"/>
                <w:highlight w:val="none"/>
                <w:lang w:eastAsia="zh-CN"/>
              </w:rPr>
              <w:t>投标人自2018年1月1日以来承担过公共设施（含党政机关或事业单位、</w:t>
            </w:r>
            <w:r>
              <w:rPr>
                <w:rFonts w:hint="eastAsia" w:ascii="仿宋" w:hAnsi="仿宋" w:eastAsia="仿宋" w:cs="Arial"/>
                <w:color w:val="auto"/>
                <w:sz w:val="21"/>
                <w:szCs w:val="21"/>
                <w:highlight w:val="none"/>
                <w:lang w:val="en-US" w:eastAsia="zh-CN"/>
              </w:rPr>
              <w:t>学校</w:t>
            </w:r>
            <w:r>
              <w:rPr>
                <w:rFonts w:hint="eastAsia" w:ascii="仿宋" w:hAnsi="仿宋" w:eastAsia="仿宋" w:cs="Arial"/>
                <w:color w:val="auto"/>
                <w:sz w:val="21"/>
                <w:szCs w:val="21"/>
                <w:highlight w:val="none"/>
                <w:lang w:eastAsia="zh-CN"/>
              </w:rPr>
              <w:t>）安保类服务业绩，每提供一个得</w:t>
            </w:r>
            <w:r>
              <w:rPr>
                <w:rFonts w:hint="eastAsia" w:ascii="仿宋" w:hAnsi="仿宋" w:eastAsia="仿宋" w:cs="Arial"/>
                <w:color w:val="auto"/>
                <w:sz w:val="21"/>
                <w:szCs w:val="21"/>
                <w:highlight w:val="none"/>
                <w:lang w:val="en-US" w:eastAsia="zh-CN"/>
              </w:rPr>
              <w:t>5</w:t>
            </w:r>
            <w:r>
              <w:rPr>
                <w:rFonts w:hint="eastAsia" w:ascii="仿宋" w:hAnsi="仿宋" w:eastAsia="仿宋" w:cs="Arial"/>
                <w:color w:val="auto"/>
                <w:sz w:val="21"/>
                <w:szCs w:val="21"/>
                <w:highlight w:val="none"/>
                <w:lang w:eastAsia="zh-CN"/>
              </w:rPr>
              <w:t>分, 满分</w:t>
            </w:r>
            <w:r>
              <w:rPr>
                <w:rFonts w:hint="eastAsia" w:ascii="仿宋" w:hAnsi="仿宋" w:eastAsia="仿宋" w:cs="Arial"/>
                <w:color w:val="auto"/>
                <w:sz w:val="21"/>
                <w:szCs w:val="21"/>
                <w:highlight w:val="none"/>
                <w:lang w:val="en-US" w:eastAsia="zh-CN"/>
              </w:rPr>
              <w:t>20</w:t>
            </w:r>
            <w:r>
              <w:rPr>
                <w:rFonts w:hint="eastAsia" w:ascii="仿宋" w:hAnsi="仿宋" w:eastAsia="仿宋" w:cs="Arial"/>
                <w:color w:val="auto"/>
                <w:sz w:val="21"/>
                <w:szCs w:val="21"/>
                <w:highlight w:val="none"/>
                <w:lang w:eastAsia="zh-CN"/>
              </w:rPr>
              <w:t>分。（提供合同复印件并加盖公章，不提供不得分）</w:t>
            </w:r>
          </w:p>
        </w:tc>
        <w:tc>
          <w:tcPr>
            <w:tcW w:w="570" w:type="dxa"/>
            <w:tcBorders>
              <w:left w:val="single" w:color="auto" w:sz="4" w:space="0"/>
              <w:right w:val="single" w:color="auto" w:sz="4" w:space="0"/>
            </w:tcBorders>
            <w:vAlign w:val="center"/>
          </w:tcPr>
          <w:p>
            <w:pPr>
              <w:widowControl/>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20</w:t>
            </w:r>
          </w:p>
        </w:tc>
        <w:tc>
          <w:tcPr>
            <w:tcW w:w="689" w:type="dxa"/>
            <w:vMerge w:val="restart"/>
            <w:tcBorders>
              <w:left w:val="single" w:color="auto" w:sz="4" w:space="0"/>
              <w:right w:val="single" w:color="auto" w:sz="4" w:space="0"/>
            </w:tcBorders>
            <w:vAlign w:val="center"/>
          </w:tcPr>
          <w:p>
            <w:pPr>
              <w:widowControl/>
              <w:jc w:val="center"/>
              <w:rPr>
                <w:rFonts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lang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blHeader/>
          <w:jc w:val="center"/>
        </w:trPr>
        <w:tc>
          <w:tcPr>
            <w:tcW w:w="556" w:type="dxa"/>
            <w:tcBorders>
              <w:left w:val="single" w:color="auto" w:sz="4" w:space="0"/>
              <w:right w:val="single" w:color="auto" w:sz="4" w:space="0"/>
            </w:tcBorders>
            <w:vAlign w:val="center"/>
          </w:tcPr>
          <w:p>
            <w:pPr>
              <w:jc w:val="center"/>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1160" w:type="dxa"/>
            <w:tcBorders>
              <w:left w:val="single" w:color="auto" w:sz="4" w:space="0"/>
              <w:right w:val="single" w:color="auto" w:sz="4" w:space="0"/>
            </w:tcBorders>
            <w:vAlign w:val="center"/>
          </w:tcPr>
          <w:p>
            <w:pPr>
              <w:widowControl/>
              <w:jc w:val="center"/>
              <w:rPr>
                <w:rFonts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rPr>
              <w:t>人员</w:t>
            </w:r>
            <w:r>
              <w:rPr>
                <w:rFonts w:hint="eastAsia" w:ascii="仿宋" w:hAnsi="仿宋" w:eastAsia="仿宋" w:cs="宋体"/>
                <w:color w:val="auto"/>
                <w:sz w:val="21"/>
                <w:szCs w:val="21"/>
                <w:highlight w:val="none"/>
                <w:lang w:eastAsia="zh-CN"/>
              </w:rPr>
              <w:t>保障</w:t>
            </w:r>
          </w:p>
          <w:p>
            <w:pPr>
              <w:widowControl/>
              <w:jc w:val="center"/>
              <w:rPr>
                <w:rFonts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rPr>
              <w:t>（</w:t>
            </w:r>
            <w:r>
              <w:rPr>
                <w:rFonts w:hint="eastAsia" w:ascii="仿宋" w:hAnsi="仿宋" w:eastAsia="仿宋" w:cs="宋体"/>
                <w:color w:val="auto"/>
                <w:sz w:val="21"/>
                <w:szCs w:val="21"/>
                <w:highlight w:val="none"/>
                <w:lang w:val="en-US" w:eastAsia="zh-CN"/>
              </w:rPr>
              <w:t>5</w:t>
            </w:r>
            <w:r>
              <w:rPr>
                <w:rFonts w:hint="eastAsia" w:ascii="仿宋" w:hAnsi="仿宋" w:eastAsia="仿宋" w:cs="宋体"/>
                <w:color w:val="auto"/>
                <w:sz w:val="21"/>
                <w:szCs w:val="21"/>
                <w:highlight w:val="none"/>
              </w:rPr>
              <w:t>分）</w:t>
            </w:r>
          </w:p>
        </w:tc>
        <w:tc>
          <w:tcPr>
            <w:tcW w:w="5978" w:type="dxa"/>
            <w:tcBorders>
              <w:top w:val="single" w:color="auto" w:sz="4" w:space="0"/>
              <w:left w:val="single" w:color="auto" w:sz="4" w:space="0"/>
              <w:right w:val="single" w:color="auto" w:sz="4" w:space="0"/>
            </w:tcBorders>
            <w:vAlign w:val="center"/>
          </w:tcPr>
          <w:p>
            <w:pPr>
              <w:rPr>
                <w:rFonts w:hint="eastAsia"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lang w:eastAsia="zh-CN"/>
              </w:rPr>
              <w:t>项目组成员</w:t>
            </w:r>
          </w:p>
          <w:p>
            <w:pPr>
              <w:rPr>
                <w:rFonts w:hint="default"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投标人拟派项目组成员中具备高级保安员证书的，有一个得2.5分，最多得5分；</w:t>
            </w:r>
          </w:p>
          <w:p>
            <w:pPr>
              <w:rPr>
                <w:rFonts w:ascii="仿宋" w:hAnsi="仿宋" w:eastAsia="仿宋" w:cs="宋体"/>
                <w:color w:val="auto"/>
                <w:sz w:val="21"/>
                <w:szCs w:val="21"/>
                <w:highlight w:val="none"/>
                <w:lang w:eastAsia="zh-CN"/>
              </w:rPr>
            </w:pPr>
            <w:r>
              <w:rPr>
                <w:rFonts w:hint="eastAsia" w:ascii="仿宋" w:hAnsi="仿宋" w:eastAsia="仿宋" w:cs="宋体"/>
                <w:color w:val="auto"/>
                <w:sz w:val="21"/>
                <w:szCs w:val="21"/>
                <w:highlight w:val="none"/>
                <w:lang w:eastAsia="zh-CN"/>
              </w:rPr>
              <w:t>以上人员需提供相关证书、证明文件复印件并加盖公章及投标人2023年</w:t>
            </w:r>
            <w:r>
              <w:rPr>
                <w:rFonts w:hint="eastAsia" w:ascii="仿宋" w:hAnsi="仿宋" w:eastAsia="仿宋" w:cs="宋体"/>
                <w:color w:val="auto"/>
                <w:sz w:val="21"/>
                <w:szCs w:val="21"/>
                <w:highlight w:val="none"/>
                <w:lang w:val="en-US" w:eastAsia="zh-CN"/>
              </w:rPr>
              <w:t>6</w:t>
            </w:r>
            <w:r>
              <w:rPr>
                <w:rFonts w:hint="eastAsia" w:ascii="仿宋" w:hAnsi="仿宋" w:eastAsia="仿宋" w:cs="宋体"/>
                <w:color w:val="auto"/>
                <w:sz w:val="21"/>
                <w:szCs w:val="21"/>
                <w:highlight w:val="none"/>
                <w:lang w:eastAsia="zh-CN"/>
              </w:rPr>
              <w:t>月</w:t>
            </w:r>
            <w:r>
              <w:rPr>
                <w:rFonts w:hint="eastAsia" w:ascii="仿宋" w:hAnsi="仿宋" w:eastAsia="仿宋" w:cs="宋体"/>
                <w:color w:val="auto"/>
                <w:sz w:val="21"/>
                <w:szCs w:val="21"/>
                <w:highlight w:val="none"/>
                <w:lang w:val="en-US" w:eastAsia="zh-CN"/>
              </w:rPr>
              <w:t>-2023年12月期间任意一个月</w:t>
            </w:r>
            <w:r>
              <w:rPr>
                <w:rFonts w:hint="eastAsia" w:ascii="仿宋" w:hAnsi="仿宋" w:eastAsia="仿宋" w:cs="宋体"/>
                <w:color w:val="auto"/>
                <w:sz w:val="21"/>
                <w:szCs w:val="21"/>
                <w:highlight w:val="none"/>
                <w:lang w:eastAsia="zh-CN"/>
              </w:rPr>
              <w:t>为其缴纳社保证明材料复印件加盖公章，提供不全或不提供不得分。</w:t>
            </w:r>
          </w:p>
        </w:tc>
        <w:tc>
          <w:tcPr>
            <w:tcW w:w="570"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5</w:t>
            </w:r>
          </w:p>
        </w:tc>
        <w:tc>
          <w:tcPr>
            <w:tcW w:w="689"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blHeader/>
          <w:jc w:val="center"/>
        </w:trPr>
        <w:tc>
          <w:tcPr>
            <w:tcW w:w="556" w:type="dxa"/>
            <w:tcBorders>
              <w:left w:val="single" w:color="auto" w:sz="4" w:space="0"/>
              <w:right w:val="single" w:color="auto" w:sz="4" w:space="0"/>
            </w:tcBorders>
            <w:vAlign w:val="center"/>
          </w:tcPr>
          <w:p>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160" w:type="dxa"/>
            <w:tcBorders>
              <w:left w:val="single" w:color="auto" w:sz="4" w:space="0"/>
              <w:right w:val="single" w:color="auto" w:sz="4" w:space="0"/>
            </w:tcBorders>
            <w:vAlign w:val="center"/>
          </w:tcPr>
          <w:p>
            <w:pPr>
              <w:spacing w:line="240" w:lineRule="exact"/>
              <w:jc w:val="center"/>
              <w:rPr>
                <w:rFonts w:hint="eastAsia" w:ascii="仿宋" w:hAnsi="仿宋" w:eastAsia="仿宋"/>
                <w:szCs w:val="21"/>
                <w:highlight w:val="none"/>
              </w:rPr>
            </w:pPr>
            <w:r>
              <w:rPr>
                <w:rFonts w:hint="eastAsia" w:ascii="仿宋" w:hAnsi="仿宋" w:eastAsia="仿宋"/>
                <w:szCs w:val="21"/>
                <w:highlight w:val="none"/>
              </w:rPr>
              <w:t>企业承诺书</w:t>
            </w:r>
          </w:p>
          <w:p>
            <w:pPr>
              <w:pStyle w:val="5"/>
              <w:rPr>
                <w:rFonts w:hint="eastAsia" w:ascii="仿宋" w:hAnsi="仿宋" w:eastAsia="仿宋" w:cs="宋体"/>
                <w:b w:val="0"/>
                <w:bCs w:val="0"/>
                <w:kern w:val="0"/>
                <w:sz w:val="21"/>
                <w:szCs w:val="21"/>
                <w:highlight w:val="none"/>
                <w:lang w:val="en-US" w:eastAsia="zh-CN" w:bidi="ar-SA"/>
              </w:rPr>
            </w:pPr>
            <w:r>
              <w:rPr>
                <w:rFonts w:hint="eastAsia" w:ascii="仿宋" w:hAnsi="仿宋" w:eastAsia="仿宋" w:cs="宋体"/>
                <w:b w:val="0"/>
                <w:bCs w:val="0"/>
                <w:kern w:val="0"/>
                <w:sz w:val="21"/>
                <w:szCs w:val="21"/>
                <w:highlight w:val="none"/>
                <w:lang w:val="en-US" w:eastAsia="zh-CN" w:bidi="ar-SA"/>
              </w:rPr>
              <w:t>（8分）</w:t>
            </w:r>
          </w:p>
          <w:p>
            <w:pPr>
              <w:widowControl/>
              <w:ind w:left="105" w:hanging="105" w:hangingChars="50"/>
              <w:jc w:val="center"/>
              <w:rPr>
                <w:rFonts w:hint="eastAsia" w:ascii="仿宋" w:hAnsi="仿宋" w:eastAsia="仿宋"/>
                <w:color w:val="auto"/>
                <w:sz w:val="21"/>
                <w:szCs w:val="21"/>
                <w:highlight w:val="none"/>
              </w:rPr>
            </w:pPr>
          </w:p>
        </w:tc>
        <w:tc>
          <w:tcPr>
            <w:tcW w:w="5978" w:type="dxa"/>
            <w:tcBorders>
              <w:top w:val="single" w:color="auto" w:sz="4" w:space="0"/>
              <w:left w:val="single" w:color="auto" w:sz="4" w:space="0"/>
              <w:right w:val="single" w:color="auto" w:sz="4" w:space="0"/>
            </w:tcBorders>
            <w:vAlign w:val="center"/>
          </w:tcPr>
          <w:p>
            <w:pPr>
              <w:widowControl/>
              <w:jc w:val="left"/>
              <w:rPr>
                <w:rFonts w:hint="eastAsia" w:ascii="仿宋" w:hAnsi="仿宋" w:eastAsia="仿宋" w:cs="宋体"/>
                <w:kern w:val="0"/>
                <w:szCs w:val="21"/>
                <w:highlight w:val="none"/>
              </w:rPr>
            </w:pPr>
            <w:r>
              <w:rPr>
                <w:rFonts w:hint="eastAsia" w:ascii="仿宋" w:hAnsi="仿宋" w:eastAsia="仿宋" w:cs="宋体"/>
                <w:kern w:val="0"/>
                <w:szCs w:val="21"/>
                <w:highlight w:val="none"/>
                <w:lang w:val="en-US" w:eastAsia="zh-CN"/>
              </w:rPr>
              <w:t>1</w:t>
            </w:r>
            <w:r>
              <w:rPr>
                <w:rFonts w:hint="eastAsia" w:ascii="仿宋" w:hAnsi="仿宋" w:eastAsia="仿宋" w:cs="宋体"/>
                <w:kern w:val="0"/>
                <w:szCs w:val="21"/>
                <w:highlight w:val="none"/>
              </w:rPr>
              <w:t>、供应商须承诺成交后在</w:t>
            </w:r>
            <w:r>
              <w:rPr>
                <w:rFonts w:hint="eastAsia" w:ascii="仿宋" w:hAnsi="仿宋" w:eastAsia="仿宋" w:cs="宋体"/>
                <w:kern w:val="0"/>
                <w:szCs w:val="21"/>
                <w:highlight w:val="none"/>
                <w:lang w:val="en-US" w:eastAsia="zh-CN"/>
              </w:rPr>
              <w:t>安保服务</w:t>
            </w:r>
            <w:r>
              <w:rPr>
                <w:rFonts w:hint="eastAsia" w:ascii="仿宋" w:hAnsi="仿宋" w:eastAsia="仿宋" w:cs="宋体"/>
                <w:kern w:val="0"/>
                <w:szCs w:val="21"/>
                <w:highlight w:val="none"/>
              </w:rPr>
              <w:t xml:space="preserve">过程中一切因供应商的工作疏忽导致的安全责任问题由供应商自行承担相应风险； </w:t>
            </w:r>
          </w:p>
          <w:p>
            <w:pPr>
              <w:widowControl/>
              <w:jc w:val="left"/>
              <w:rPr>
                <w:rFonts w:hint="eastAsia" w:ascii="仿宋" w:hAnsi="仿宋" w:eastAsia="仿宋" w:cs="宋体"/>
                <w:kern w:val="0"/>
                <w:szCs w:val="21"/>
                <w:highlight w:val="none"/>
              </w:rPr>
            </w:pPr>
            <w:r>
              <w:rPr>
                <w:rFonts w:hint="eastAsia" w:ascii="仿宋" w:hAnsi="仿宋" w:eastAsia="仿宋" w:cs="宋体"/>
                <w:kern w:val="0"/>
                <w:szCs w:val="21"/>
                <w:highlight w:val="none"/>
                <w:lang w:val="en-US" w:eastAsia="zh-CN"/>
              </w:rPr>
              <w:t>2</w:t>
            </w:r>
            <w:r>
              <w:rPr>
                <w:rFonts w:hint="eastAsia" w:ascii="仿宋" w:hAnsi="仿宋" w:eastAsia="仿宋" w:cs="宋体"/>
                <w:kern w:val="0"/>
                <w:szCs w:val="21"/>
                <w:highlight w:val="none"/>
              </w:rPr>
              <w:t>、供应商须承诺成交</w:t>
            </w:r>
            <w:r>
              <w:rPr>
                <w:rFonts w:hint="eastAsia" w:ascii="仿宋" w:hAnsi="仿宋" w:eastAsia="仿宋" w:cs="宋体"/>
                <w:kern w:val="0"/>
                <w:szCs w:val="21"/>
                <w:highlight w:val="none"/>
                <w:lang w:val="en-US" w:eastAsia="zh-CN"/>
              </w:rPr>
              <w:t>后</w:t>
            </w:r>
            <w:r>
              <w:rPr>
                <w:rFonts w:hint="eastAsia" w:ascii="仿宋" w:hAnsi="仿宋" w:eastAsia="仿宋" w:cs="宋体"/>
                <w:kern w:val="0"/>
                <w:szCs w:val="21"/>
                <w:highlight w:val="none"/>
              </w:rPr>
              <w:t>供应商负责处理所有</w:t>
            </w:r>
            <w:r>
              <w:rPr>
                <w:rFonts w:hint="eastAsia" w:ascii="仿宋" w:hAnsi="仿宋" w:eastAsia="仿宋" w:cs="宋体"/>
                <w:kern w:val="0"/>
                <w:szCs w:val="21"/>
                <w:highlight w:val="none"/>
                <w:lang w:val="en-US" w:eastAsia="zh-CN"/>
              </w:rPr>
              <w:t>安保服务人员</w:t>
            </w:r>
            <w:r>
              <w:rPr>
                <w:rFonts w:hint="eastAsia" w:ascii="仿宋" w:hAnsi="仿宋" w:eastAsia="仿宋" w:cs="宋体"/>
                <w:kern w:val="0"/>
                <w:szCs w:val="21"/>
                <w:highlight w:val="none"/>
              </w:rPr>
              <w:t xml:space="preserve">劳务、劳动纠纷、工伤等，与采购人无关； </w:t>
            </w:r>
          </w:p>
          <w:p>
            <w:pPr>
              <w:widowControl/>
              <w:jc w:val="left"/>
              <w:rPr>
                <w:rFonts w:hint="eastAsia" w:ascii="仿宋" w:hAnsi="仿宋" w:eastAsia="仿宋" w:cs="宋体"/>
                <w:kern w:val="0"/>
                <w:szCs w:val="21"/>
                <w:highlight w:val="none"/>
              </w:rPr>
            </w:pPr>
            <w:r>
              <w:rPr>
                <w:rFonts w:hint="eastAsia" w:ascii="仿宋" w:hAnsi="仿宋" w:eastAsia="仿宋" w:cs="宋体"/>
                <w:kern w:val="0"/>
                <w:szCs w:val="21"/>
                <w:highlight w:val="none"/>
                <w:lang w:val="en-US" w:eastAsia="zh-CN"/>
              </w:rPr>
              <w:t>3</w:t>
            </w:r>
            <w:r>
              <w:rPr>
                <w:rFonts w:hint="eastAsia" w:ascii="仿宋" w:hAnsi="仿宋" w:eastAsia="仿宋" w:cs="宋体"/>
                <w:kern w:val="0"/>
                <w:szCs w:val="21"/>
                <w:highlight w:val="none"/>
              </w:rPr>
              <w:t>、供应商须承诺成交后在</w:t>
            </w:r>
            <w:r>
              <w:rPr>
                <w:rFonts w:hint="eastAsia" w:ascii="仿宋" w:hAnsi="仿宋" w:eastAsia="仿宋" w:cs="宋体"/>
                <w:kern w:val="0"/>
                <w:szCs w:val="21"/>
                <w:highlight w:val="none"/>
                <w:lang w:val="en-US" w:eastAsia="zh-CN"/>
              </w:rPr>
              <w:t>安保服务期</w:t>
            </w:r>
            <w:r>
              <w:rPr>
                <w:rFonts w:hint="eastAsia" w:ascii="仿宋" w:hAnsi="仿宋" w:eastAsia="仿宋" w:cs="宋体"/>
                <w:kern w:val="0"/>
                <w:szCs w:val="21"/>
                <w:highlight w:val="none"/>
              </w:rPr>
              <w:t>间必须自觉遵守国家相关法律法规和业主的各项规章制度，确保</w:t>
            </w:r>
            <w:r>
              <w:rPr>
                <w:rFonts w:hint="eastAsia" w:ascii="仿宋" w:hAnsi="仿宋" w:eastAsia="仿宋" w:cs="宋体"/>
                <w:kern w:val="0"/>
                <w:szCs w:val="21"/>
                <w:highlight w:val="none"/>
                <w:lang w:val="en-US" w:eastAsia="zh-CN"/>
              </w:rPr>
              <w:t>安保服务期</w:t>
            </w:r>
            <w:r>
              <w:rPr>
                <w:rFonts w:hint="eastAsia" w:ascii="仿宋" w:hAnsi="仿宋" w:eastAsia="仿宋" w:cs="宋体"/>
                <w:kern w:val="0"/>
                <w:szCs w:val="21"/>
                <w:highlight w:val="none"/>
              </w:rPr>
              <w:t>内的各项</w:t>
            </w:r>
            <w:r>
              <w:rPr>
                <w:rFonts w:hint="eastAsia" w:ascii="仿宋" w:hAnsi="仿宋" w:eastAsia="仿宋" w:cs="宋体"/>
                <w:kern w:val="0"/>
                <w:szCs w:val="21"/>
                <w:highlight w:val="none"/>
                <w:lang w:val="en-US" w:eastAsia="zh-CN"/>
              </w:rPr>
              <w:t>服务</w:t>
            </w:r>
            <w:r>
              <w:rPr>
                <w:rFonts w:hint="eastAsia" w:ascii="仿宋" w:hAnsi="仿宋" w:eastAsia="仿宋" w:cs="宋体"/>
                <w:kern w:val="0"/>
                <w:szCs w:val="21"/>
                <w:highlight w:val="none"/>
              </w:rPr>
              <w:t xml:space="preserve">内容全面到位； </w:t>
            </w:r>
          </w:p>
          <w:p>
            <w:pPr>
              <w:widowControl/>
              <w:jc w:val="left"/>
              <w:rPr>
                <w:rFonts w:ascii="仿宋" w:hAnsi="仿宋" w:eastAsia="仿宋"/>
                <w:szCs w:val="21"/>
                <w:highlight w:val="none"/>
              </w:rPr>
            </w:pPr>
            <w:r>
              <w:rPr>
                <w:rFonts w:hint="eastAsia" w:ascii="仿宋" w:hAnsi="仿宋" w:eastAsia="仿宋" w:cs="宋体"/>
                <w:kern w:val="0"/>
                <w:szCs w:val="21"/>
                <w:highlight w:val="none"/>
                <w:lang w:val="en-US" w:eastAsia="zh-CN"/>
              </w:rPr>
              <w:t>4</w:t>
            </w:r>
            <w:r>
              <w:rPr>
                <w:rFonts w:hint="eastAsia" w:ascii="仿宋" w:hAnsi="仿宋" w:eastAsia="仿宋" w:cs="宋体"/>
                <w:kern w:val="0"/>
                <w:szCs w:val="21"/>
                <w:highlight w:val="none"/>
              </w:rPr>
              <w:t>、供应商须承诺</w:t>
            </w:r>
            <w:r>
              <w:rPr>
                <w:rFonts w:hint="eastAsia" w:ascii="仿宋" w:hAnsi="仿宋" w:eastAsia="仿宋" w:cs="宋体"/>
                <w:kern w:val="0"/>
                <w:szCs w:val="21"/>
                <w:highlight w:val="none"/>
                <w:lang w:val="en-US" w:eastAsia="zh-CN"/>
              </w:rPr>
              <w:t>拟投入本项目所有</w:t>
            </w:r>
            <w:r>
              <w:rPr>
                <w:rFonts w:hint="eastAsia" w:ascii="仿宋" w:hAnsi="仿宋" w:eastAsia="仿宋" w:cs="宋体"/>
                <w:kern w:val="0"/>
                <w:szCs w:val="21"/>
                <w:highlight w:val="none"/>
              </w:rPr>
              <w:t>人员</w:t>
            </w:r>
            <w:r>
              <w:rPr>
                <w:rFonts w:hint="eastAsia" w:ascii="仿宋" w:hAnsi="仿宋" w:eastAsia="仿宋" w:cs="宋体"/>
                <w:kern w:val="0"/>
                <w:szCs w:val="21"/>
                <w:highlight w:val="none"/>
                <w:lang w:eastAsia="zh-CN"/>
              </w:rPr>
              <w:t>无任何犯罪前科</w:t>
            </w:r>
            <w:r>
              <w:rPr>
                <w:rFonts w:hint="eastAsia" w:ascii="仿宋" w:hAnsi="仿宋" w:eastAsia="仿宋" w:cs="宋体"/>
                <w:kern w:val="0"/>
                <w:szCs w:val="21"/>
                <w:highlight w:val="none"/>
                <w:lang w:val="en-US" w:eastAsia="zh-CN"/>
              </w:rPr>
              <w:t>及不良记录</w:t>
            </w:r>
            <w:r>
              <w:rPr>
                <w:rFonts w:hint="eastAsia" w:ascii="仿宋" w:hAnsi="仿宋" w:eastAsia="仿宋" w:cs="宋体"/>
                <w:kern w:val="0"/>
                <w:szCs w:val="21"/>
                <w:highlight w:val="none"/>
                <w:lang w:eastAsia="zh-CN"/>
              </w:rPr>
              <w:t>。</w:t>
            </w:r>
          </w:p>
          <w:p>
            <w:pPr>
              <w:widowControl/>
              <w:rPr>
                <w:rFonts w:hint="eastAsia" w:ascii="仿宋" w:hAnsi="仿宋" w:eastAsia="仿宋" w:cs="宋体"/>
                <w:color w:val="auto"/>
                <w:sz w:val="21"/>
                <w:szCs w:val="21"/>
                <w:highlight w:val="none"/>
                <w:lang w:eastAsia="zh-CN"/>
              </w:rPr>
            </w:pPr>
            <w:r>
              <w:rPr>
                <w:rFonts w:hint="eastAsia" w:ascii="仿宋" w:hAnsi="仿宋" w:eastAsia="仿宋" w:cs="宋体"/>
                <w:b/>
                <w:bCs/>
                <w:szCs w:val="21"/>
                <w:highlight w:val="none"/>
                <w:lang w:val="en-US" w:eastAsia="zh-CN"/>
              </w:rPr>
              <w:t>承诺书格式自拟，</w:t>
            </w:r>
            <w:r>
              <w:rPr>
                <w:rFonts w:hint="eastAsia" w:ascii="仿宋" w:hAnsi="仿宋" w:eastAsia="仿宋" w:cs="宋体"/>
                <w:b/>
                <w:bCs/>
                <w:szCs w:val="21"/>
                <w:highlight w:val="none"/>
              </w:rPr>
              <w:t>以上承诺书每缺一项扣2分。</w:t>
            </w:r>
          </w:p>
        </w:tc>
        <w:tc>
          <w:tcPr>
            <w:tcW w:w="570" w:type="dxa"/>
            <w:tcBorders>
              <w:top w:val="single" w:color="auto" w:sz="4" w:space="0"/>
              <w:left w:val="single" w:color="auto" w:sz="4" w:space="0"/>
              <w:right w:val="single" w:color="auto" w:sz="4" w:space="0"/>
            </w:tcBorders>
            <w:vAlign w:val="center"/>
          </w:tcPr>
          <w:p>
            <w:pPr>
              <w:widowControl/>
              <w:jc w:val="center"/>
              <w:rPr>
                <w:rFonts w:hint="default" w:ascii="仿宋" w:hAnsi="仿宋" w:eastAsia="仿宋" w:cs="宋体"/>
                <w:color w:val="auto"/>
                <w:sz w:val="21"/>
                <w:szCs w:val="21"/>
                <w:highlight w:val="none"/>
                <w:lang w:val="en-US" w:eastAsia="zh-CN"/>
              </w:rPr>
            </w:pPr>
            <w:r>
              <w:rPr>
                <w:rFonts w:hint="eastAsia" w:ascii="仿宋" w:hAnsi="仿宋" w:eastAsia="仿宋" w:cs="宋体"/>
                <w:color w:val="auto"/>
                <w:sz w:val="21"/>
                <w:szCs w:val="21"/>
                <w:highlight w:val="none"/>
                <w:lang w:val="en-US" w:eastAsia="zh-CN"/>
              </w:rPr>
              <w:t>8</w:t>
            </w:r>
          </w:p>
        </w:tc>
        <w:tc>
          <w:tcPr>
            <w:tcW w:w="689" w:type="dxa"/>
            <w:vMerge w:val="continue"/>
            <w:tcBorders>
              <w:left w:val="single" w:color="auto" w:sz="4" w:space="0"/>
              <w:right w:val="single" w:color="auto" w:sz="4" w:space="0"/>
            </w:tcBorders>
            <w:vAlign w:val="center"/>
          </w:tcPr>
          <w:p>
            <w:pPr>
              <w:widowControl/>
              <w:jc w:val="center"/>
              <w:rPr>
                <w:rFonts w:ascii="仿宋" w:hAnsi="仿宋" w:eastAsia="仿宋"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769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lang w:bidi="ar"/>
              </w:rPr>
            </w:pPr>
            <w:r>
              <w:rPr>
                <w:rFonts w:hint="eastAsia" w:ascii="仿宋" w:hAnsi="仿宋" w:eastAsia="仿宋" w:cs="仿宋"/>
                <w:color w:val="auto"/>
                <w:sz w:val="21"/>
                <w:szCs w:val="21"/>
                <w:highlight w:val="none"/>
                <w:lang w:bidi="ar"/>
              </w:rPr>
              <w:t>合计</w:t>
            </w:r>
          </w:p>
        </w:tc>
        <w:tc>
          <w:tcPr>
            <w:tcW w:w="5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100</w:t>
            </w:r>
          </w:p>
        </w:tc>
        <w:tc>
          <w:tcPr>
            <w:tcW w:w="6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1"/>
                <w:szCs w:val="21"/>
                <w:highlight w:val="none"/>
              </w:rPr>
            </w:pPr>
          </w:p>
        </w:tc>
      </w:tr>
    </w:tbl>
    <w:p>
      <w:pPr>
        <w:pStyle w:val="25"/>
        <w:ind w:firstLine="482" w:firstLineChars="200"/>
        <w:rPr>
          <w:rFonts w:ascii="仿宋" w:hAnsi="仿宋" w:eastAsia="仿宋" w:cs="仿宋"/>
          <w:b/>
          <w:bCs/>
          <w:sz w:val="24"/>
          <w:szCs w:val="24"/>
          <w:highlight w:val="none"/>
        </w:rPr>
      </w:pP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说明：</w:t>
      </w:r>
    </w:p>
    <w:p>
      <w:pPr>
        <w:pStyle w:val="45"/>
        <w:spacing w:line="360" w:lineRule="auto"/>
        <w:ind w:left="0" w:firstLine="0"/>
        <w:rPr>
          <w:rFonts w:ascii="仿宋" w:hAnsi="仿宋" w:eastAsia="仿宋" w:cs="仿宋"/>
          <w:b/>
          <w:bCs/>
          <w:sz w:val="24"/>
          <w:szCs w:val="24"/>
          <w:highlight w:val="none"/>
        </w:rPr>
      </w:pPr>
      <w:r>
        <w:rPr>
          <w:rFonts w:hint="eastAsia" w:ascii="仿宋" w:hAnsi="仿宋" w:eastAsia="仿宋" w:cs="仿宋"/>
          <w:b/>
          <w:bCs/>
          <w:sz w:val="24"/>
          <w:szCs w:val="24"/>
          <w:highlight w:val="none"/>
        </w:rPr>
        <w:t>1.对国家认定的节能产品和环保产品分别给予投标价的 5%、5%价格扣除，用扣除后的价格参与评审（特别说明：节能、环保产品必须提供有效的节能产品、环境标志产品认证证书复印件）。</w:t>
      </w:r>
    </w:p>
    <w:p>
      <w:pPr>
        <w:pStyle w:val="45"/>
        <w:spacing w:line="360" w:lineRule="auto"/>
        <w:ind w:left="0" w:firstLine="0"/>
        <w:rPr>
          <w:rFonts w:ascii="仿宋" w:hAnsi="仿宋" w:eastAsia="仿宋" w:cs="仿宋"/>
          <w:b/>
          <w:bCs/>
          <w:sz w:val="24"/>
          <w:szCs w:val="24"/>
          <w:highlight w:val="none"/>
        </w:rPr>
      </w:pPr>
      <w:r>
        <w:rPr>
          <w:rFonts w:hint="eastAsia" w:ascii="仿宋" w:hAnsi="仿宋" w:eastAsia="仿宋" w:cs="仿宋"/>
          <w:b/>
          <w:bCs/>
          <w:sz w:val="24"/>
          <w:szCs w:val="24"/>
          <w:highlight w:val="none"/>
        </w:rPr>
        <w:t>2.小微企业的价格扣除</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对小型和微型企业提供的服务给予10%的扣除，用扣除后的价格参与评审。参加投标的中小企业，应当按照《政府采购促进中小企业发展管理办法》（财库〔2020〕46号）的规定提供《中小企业声明函》（服务）（中小企业划型标准详见《关于印发中小企业划型标准规定的通知》工信部联企业〔2011〕300号）。</w:t>
      </w:r>
    </w:p>
    <w:p>
      <w:pPr>
        <w:spacing w:line="360" w:lineRule="auto"/>
        <w:rPr>
          <w:rFonts w:ascii="仿宋" w:hAnsi="仿宋" w:eastAsia="仿宋" w:cs="仿宋"/>
          <w:sz w:val="24"/>
          <w:szCs w:val="24"/>
          <w:highlight w:val="none"/>
        </w:rPr>
      </w:pPr>
      <w:r>
        <w:rPr>
          <w:rFonts w:hint="eastAsia" w:ascii="仿宋" w:hAnsi="仿宋" w:eastAsia="仿宋" w:cs="仿宋"/>
          <w:b/>
          <w:bCs/>
          <w:sz w:val="24"/>
          <w:szCs w:val="24"/>
          <w:highlight w:val="none"/>
        </w:rPr>
        <w:t>3.监狱和戒毒企业的价格扣除</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3.1 本项目对监狱和戒毒企业（简称监狱企业），给予10%的价格扣除，用扣除后的价格参与评审。</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3.2 监狱企业需提供由省级以上监狱管理局、戒毒管理局（含新疆生产建设兵团）出具的属于监狱企业的证明文件。</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3.3 监狱企业标准请参照《关于政府采购支持监狱企业发展有关问题的通知》（财库〔2014〕68号）。</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4.残疾人福利性单位的价格扣除</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4.1 本项目对残疾人福利性单位，给予10%的价格扣除，用扣除后的价格参与评审。</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4.2 残疾人福利单位需按照采购文件的要求提供《残疾人福利性单位声明函》。</w:t>
      </w:r>
    </w:p>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4.3 残疾人福利单位标准请参照《关于促进残疾人就业政府采购政策的通知》（财库〔2017〕141号）。</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5.监狱企业、残疾人福利单位属于小型、微型企业的，不重复享受政策。</w:t>
      </w:r>
    </w:p>
    <w:p>
      <w:pPr>
        <w:pStyle w:val="36"/>
        <w:spacing w:line="360" w:lineRule="auto"/>
        <w:ind w:firstLine="0"/>
        <w:rPr>
          <w:rFonts w:ascii="仿宋" w:hAnsi="仿宋" w:eastAsia="仿宋" w:cs="仿宋"/>
          <w:b/>
          <w:sz w:val="24"/>
          <w:highlight w:val="none"/>
        </w:rPr>
      </w:pPr>
      <w:r>
        <w:rPr>
          <w:rFonts w:hint="eastAsia" w:ascii="仿宋" w:hAnsi="仿宋" w:eastAsia="仿宋" w:cs="仿宋"/>
          <w:b/>
          <w:bCs/>
          <w:sz w:val="24"/>
          <w:szCs w:val="24"/>
          <w:highlight w:val="none"/>
        </w:rPr>
        <w:t>6.</w:t>
      </w:r>
      <w:r>
        <w:rPr>
          <w:rFonts w:hint="eastAsia" w:ascii="仿宋" w:hAnsi="仿宋" w:eastAsia="仿宋" w:cs="仿宋"/>
          <w:b/>
          <w:sz w:val="24"/>
          <w:highlight w:val="none"/>
        </w:rPr>
        <w:t>评分标准中提到</w:t>
      </w:r>
      <w:r>
        <w:rPr>
          <w:rFonts w:hint="eastAsia" w:ascii="仿宋" w:hAnsi="仿宋" w:eastAsia="仿宋" w:cs="仿宋"/>
          <w:b/>
          <w:bCs/>
          <w:sz w:val="24"/>
          <w:szCs w:val="24"/>
          <w:highlight w:val="none"/>
        </w:rPr>
        <w:t>认证、证明、业绩以有效的证明文件扫描件或复印件为依据。</w:t>
      </w:r>
      <w:r>
        <w:rPr>
          <w:rFonts w:hint="eastAsia" w:ascii="仿宋" w:hAnsi="仿宋" w:eastAsia="仿宋" w:cs="仿宋"/>
          <w:b/>
          <w:sz w:val="24"/>
          <w:highlight w:val="none"/>
        </w:rPr>
        <w:t>要求提供原件核查、备查的资料在磋商前与响应文件一并递交，磋商后不再接收任何原件及资料。</w:t>
      </w:r>
    </w:p>
    <w:p>
      <w:pPr>
        <w:spacing w:line="360" w:lineRule="auto"/>
        <w:rPr>
          <w:rFonts w:ascii="仿宋" w:hAnsi="仿宋" w:eastAsia="仿宋" w:cs="仿宋"/>
          <w:b/>
          <w:bCs/>
          <w:sz w:val="24"/>
          <w:szCs w:val="24"/>
          <w:highlight w:val="none"/>
        </w:rPr>
      </w:pPr>
    </w:p>
    <w:p>
      <w:pPr>
        <w:rPr>
          <w:rFonts w:ascii="仿宋" w:hAnsi="仿宋" w:eastAsia="仿宋" w:cs="仿宋"/>
          <w:b/>
          <w:bCs/>
          <w:sz w:val="28"/>
          <w:szCs w:val="32"/>
          <w:highlight w:val="none"/>
        </w:rPr>
      </w:pPr>
      <w:bookmarkStart w:id="42" w:name="_Toc20406"/>
      <w:r>
        <w:rPr>
          <w:rFonts w:hint="eastAsia" w:ascii="仿宋" w:hAnsi="仿宋" w:eastAsia="仿宋" w:cs="仿宋"/>
          <w:b/>
          <w:bCs/>
          <w:sz w:val="28"/>
          <w:szCs w:val="32"/>
          <w:highlight w:val="none"/>
        </w:rPr>
        <w:br w:type="page"/>
      </w:r>
    </w:p>
    <w:p>
      <w:pPr>
        <w:jc w:val="center"/>
        <w:outlineLvl w:val="0"/>
        <w:rPr>
          <w:rFonts w:ascii="仿宋" w:hAnsi="仿宋" w:eastAsia="仿宋" w:cs="仿宋"/>
          <w:b/>
          <w:bCs/>
          <w:sz w:val="28"/>
          <w:szCs w:val="32"/>
          <w:highlight w:val="none"/>
        </w:rPr>
      </w:pPr>
      <w:bookmarkStart w:id="43" w:name="_Toc15426"/>
      <w:r>
        <w:rPr>
          <w:rFonts w:hint="eastAsia" w:ascii="仿宋" w:hAnsi="仿宋" w:eastAsia="仿宋" w:cs="仿宋"/>
          <w:b/>
          <w:bCs/>
          <w:sz w:val="28"/>
          <w:szCs w:val="32"/>
          <w:highlight w:val="none"/>
        </w:rPr>
        <w:t>第四章  竞争性磋商项目需求</w:t>
      </w:r>
      <w:bookmarkEnd w:id="42"/>
      <w:bookmarkEnd w:id="43"/>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一、项目</w:t>
      </w:r>
      <w:r>
        <w:rPr>
          <w:rFonts w:ascii="仿宋" w:hAnsi="仿宋" w:eastAsia="仿宋"/>
          <w:b/>
          <w:bCs/>
          <w:color w:val="auto"/>
          <w:sz w:val="24"/>
          <w:szCs w:val="24"/>
          <w:highlight w:val="none"/>
        </w:rPr>
        <w:t>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南京市雨花台中学春江分校2024年度校园安保服务</w:t>
      </w:r>
    </w:p>
    <w:p>
      <w:pPr>
        <w:spacing w:line="360" w:lineRule="auto"/>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需求安保服务人员</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人（白班2人，夜班</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南京市雨花台中学春江分校2024年度校园安保服务</w:t>
      </w:r>
      <w:r>
        <w:rPr>
          <w:rFonts w:hint="eastAsia" w:ascii="仿宋" w:hAnsi="仿宋" w:eastAsia="仿宋" w:cs="仿宋"/>
          <w:color w:val="auto"/>
          <w:sz w:val="24"/>
          <w:szCs w:val="24"/>
          <w:highlight w:val="none"/>
        </w:rPr>
        <w:t>要求为负责学校护学岗、安保值班、校园安全巡查等事务性工作保障学校公共设施、师生人身财产安全，维护学校及校园周边环境的秩序，包括车辆出入管理、安全监控、巡查、重点区域检查、校园治安、突发事件应急处置等</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工作日:白班2人，夜班1人（24小时在岗）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节假日及寒暑假：白班1人，夜班1人（24小时在岗）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遇到学校大型活动安排或紧急事项安保人员在岗状态服从学校安排。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白班</w:t>
      </w:r>
      <w:r>
        <w:rPr>
          <w:rFonts w:hint="eastAsia" w:ascii="仿宋" w:hAnsi="仿宋" w:eastAsia="仿宋" w:cs="仿宋"/>
          <w:color w:val="auto"/>
          <w:sz w:val="24"/>
          <w:szCs w:val="24"/>
          <w:highlight w:val="none"/>
          <w:lang w:val="zh-CN"/>
        </w:rPr>
        <w:t>工作时间：7:00—17:00。</w:t>
      </w:r>
      <w:r>
        <w:rPr>
          <w:rFonts w:hint="eastAsia" w:ascii="仿宋" w:hAnsi="仿宋" w:eastAsia="仿宋" w:cs="仿宋"/>
          <w:color w:val="auto"/>
          <w:sz w:val="24"/>
          <w:szCs w:val="24"/>
          <w:highlight w:val="none"/>
          <w:lang w:val="en-US" w:eastAsia="zh-CN"/>
        </w:rPr>
        <w:t>夜班</w:t>
      </w:r>
      <w:r>
        <w:rPr>
          <w:rFonts w:hint="eastAsia" w:ascii="仿宋" w:hAnsi="仿宋" w:eastAsia="仿宋" w:cs="仿宋"/>
          <w:color w:val="auto"/>
          <w:sz w:val="24"/>
          <w:szCs w:val="24"/>
          <w:highlight w:val="none"/>
          <w:lang w:val="zh-CN"/>
        </w:rPr>
        <w:t>工作时间：17:00—7:00。</w:t>
      </w:r>
    </w:p>
    <w:p>
      <w:pPr>
        <w:spacing w:line="360" w:lineRule="auto"/>
        <w:rPr>
          <w:rFonts w:ascii="仿宋" w:hAnsi="仿宋" w:eastAsia="仿宋"/>
          <w:b/>
          <w:color w:val="auto"/>
          <w:sz w:val="24"/>
          <w:szCs w:val="24"/>
          <w:highlight w:val="none"/>
        </w:rPr>
      </w:pPr>
      <w:r>
        <w:rPr>
          <w:rFonts w:hint="eastAsia" w:ascii="仿宋" w:hAnsi="仿宋" w:eastAsia="仿宋"/>
          <w:b/>
          <w:color w:val="auto"/>
          <w:sz w:val="24"/>
          <w:szCs w:val="24"/>
          <w:highlight w:val="none"/>
          <w:lang w:val="en-US" w:eastAsia="zh-CN"/>
        </w:rPr>
        <w:t>三</w:t>
      </w:r>
      <w:r>
        <w:rPr>
          <w:rFonts w:hint="eastAsia" w:ascii="仿宋" w:hAnsi="仿宋" w:eastAsia="仿宋"/>
          <w:b/>
          <w:color w:val="auto"/>
          <w:sz w:val="24"/>
          <w:szCs w:val="24"/>
          <w:highlight w:val="none"/>
        </w:rPr>
        <w:t>、</w:t>
      </w:r>
      <w:r>
        <w:rPr>
          <w:rFonts w:hint="eastAsia" w:ascii="仿宋" w:hAnsi="仿宋" w:eastAsia="仿宋"/>
          <w:b/>
          <w:bCs/>
          <w:color w:val="auto"/>
          <w:sz w:val="24"/>
          <w:highlight w:val="none"/>
        </w:rPr>
        <w:t>人员标准要求</w:t>
      </w:r>
    </w:p>
    <w:p>
      <w:pPr>
        <w:autoSpaceDE w:val="0"/>
        <w:autoSpaceDN w:val="0"/>
        <w:adjustRightInd w:val="0"/>
        <w:spacing w:line="360" w:lineRule="auto"/>
        <w:ind w:firstLine="420"/>
        <w:rPr>
          <w:rFonts w:ascii="仿宋" w:hAnsi="仿宋" w:eastAsia="仿宋"/>
          <w:color w:val="auto"/>
          <w:sz w:val="24"/>
          <w:highlight w:val="none"/>
        </w:rPr>
      </w:pPr>
      <w:r>
        <w:rPr>
          <w:rFonts w:hint="eastAsia" w:ascii="仿宋" w:hAnsi="仿宋" w:eastAsia="仿宋"/>
          <w:color w:val="auto"/>
          <w:sz w:val="24"/>
          <w:highlight w:val="none"/>
        </w:rPr>
        <w:t>（一）年龄满 18 周岁，不超过 50周岁，</w:t>
      </w:r>
      <w:r>
        <w:rPr>
          <w:rFonts w:hint="eastAsia" w:ascii="仿宋" w:hAnsi="仿宋" w:eastAsia="仿宋" w:cs="Times New Roman"/>
          <w:b w:val="0"/>
          <w:bCs w:val="0"/>
          <w:color w:val="auto"/>
          <w:sz w:val="24"/>
          <w:highlight w:val="none"/>
          <w:lang w:val="en-US" w:eastAsia="zh-CN"/>
        </w:rPr>
        <w:t>身体健康</w:t>
      </w:r>
      <w:r>
        <w:rPr>
          <w:rFonts w:hint="eastAsia" w:ascii="仿宋" w:hAnsi="仿宋" w:eastAsia="仿宋"/>
          <w:color w:val="auto"/>
          <w:sz w:val="24"/>
          <w:highlight w:val="none"/>
        </w:rPr>
        <w:t xml:space="preserve">； </w:t>
      </w:r>
    </w:p>
    <w:p>
      <w:pPr>
        <w:autoSpaceDE w:val="0"/>
        <w:autoSpaceDN w:val="0"/>
        <w:adjustRightInd w:val="0"/>
        <w:spacing w:line="360" w:lineRule="auto"/>
        <w:ind w:firstLine="420"/>
        <w:rPr>
          <w:rFonts w:ascii="仿宋" w:hAnsi="仿宋" w:eastAsia="仿宋"/>
          <w:color w:val="auto"/>
          <w:sz w:val="24"/>
          <w:highlight w:val="none"/>
        </w:rPr>
      </w:pPr>
      <w:r>
        <w:rPr>
          <w:rFonts w:hint="eastAsia" w:ascii="仿宋" w:hAnsi="仿宋" w:eastAsia="仿宋"/>
          <w:color w:val="auto"/>
          <w:sz w:val="24"/>
          <w:highlight w:val="none"/>
        </w:rPr>
        <w:t>（二）道德品行良好，无犯罪等不良记录；</w:t>
      </w:r>
    </w:p>
    <w:p>
      <w:pPr>
        <w:autoSpaceDE w:val="0"/>
        <w:autoSpaceDN w:val="0"/>
        <w:adjustRightInd w:val="0"/>
        <w:spacing w:line="360" w:lineRule="auto"/>
        <w:ind w:firstLine="420"/>
        <w:rPr>
          <w:rFonts w:ascii="仿宋" w:hAnsi="仿宋" w:eastAsia="仿宋"/>
          <w:color w:val="auto"/>
          <w:sz w:val="24"/>
          <w:highlight w:val="none"/>
        </w:rPr>
      </w:pPr>
      <w:r>
        <w:rPr>
          <w:rFonts w:hint="eastAsia" w:ascii="仿宋" w:hAnsi="仿宋" w:eastAsia="仿宋"/>
          <w:color w:val="auto"/>
          <w:sz w:val="24"/>
          <w:highlight w:val="none"/>
        </w:rPr>
        <w:t>（三）具备履行职责的身体条件；</w:t>
      </w:r>
    </w:p>
    <w:p>
      <w:pPr>
        <w:autoSpaceDE w:val="0"/>
        <w:autoSpaceDN w:val="0"/>
        <w:adjustRightInd w:val="0"/>
        <w:spacing w:line="360" w:lineRule="auto"/>
        <w:ind w:firstLine="420"/>
        <w:rPr>
          <w:rFonts w:hint="eastAsia" w:ascii="仿宋" w:hAnsi="仿宋" w:eastAsia="仿宋"/>
          <w:color w:val="auto"/>
          <w:sz w:val="24"/>
          <w:highlight w:val="none"/>
        </w:rPr>
      </w:pPr>
      <w:r>
        <w:rPr>
          <w:rFonts w:hint="eastAsia" w:ascii="仿宋" w:hAnsi="仿宋" w:eastAsia="仿宋"/>
          <w:color w:val="auto"/>
          <w:sz w:val="24"/>
          <w:highlight w:val="none"/>
        </w:rPr>
        <w:t>（四）具有符合岗位要求的能力和资格条件</w:t>
      </w:r>
      <w:r>
        <w:rPr>
          <w:rFonts w:hint="eastAsia" w:ascii="仿宋" w:hAnsi="仿宋" w:eastAsia="仿宋"/>
          <w:color w:val="auto"/>
          <w:sz w:val="24"/>
          <w:highlight w:val="none"/>
          <w:lang w:val="en-US" w:eastAsia="zh-CN"/>
        </w:rPr>
        <w:t>(保安员证）</w:t>
      </w:r>
      <w:r>
        <w:rPr>
          <w:rFonts w:hint="eastAsia" w:ascii="仿宋" w:hAnsi="仿宋" w:eastAsia="仿宋"/>
          <w:color w:val="auto"/>
          <w:sz w:val="24"/>
          <w:highlight w:val="none"/>
        </w:rPr>
        <w:t>；</w:t>
      </w:r>
    </w:p>
    <w:p>
      <w:pPr>
        <w:numPr>
          <w:ilvl w:val="0"/>
          <w:numId w:val="0"/>
        </w:numPr>
        <w:autoSpaceDE w:val="0"/>
        <w:autoSpaceDN w:val="0"/>
        <w:adjustRightInd w:val="0"/>
        <w:spacing w:line="360" w:lineRule="auto"/>
        <w:ind w:firstLine="480" w:firstLineChars="200"/>
        <w:rPr>
          <w:rFonts w:hint="eastAsia" w:ascii="仿宋" w:hAnsi="仿宋" w:eastAsia="仿宋" w:cs="Times New Roman"/>
          <w:b w:val="0"/>
          <w:bCs w:val="0"/>
          <w:color w:val="auto"/>
          <w:sz w:val="24"/>
          <w:highlight w:val="none"/>
          <w:lang w:val="en-US" w:eastAsia="zh-CN"/>
        </w:rPr>
      </w:pPr>
      <w:r>
        <w:rPr>
          <w:rFonts w:hint="eastAsia" w:ascii="仿宋" w:hAnsi="仿宋" w:eastAsia="仿宋" w:cs="Times New Roman"/>
          <w:b w:val="0"/>
          <w:bCs w:val="0"/>
          <w:color w:val="auto"/>
          <w:sz w:val="24"/>
          <w:highlight w:val="none"/>
          <w:lang w:val="en-US" w:eastAsia="zh-CN"/>
        </w:rPr>
        <w:t>（五）具有良好的政治素养、见义勇为精神。</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theme="minorBidi"/>
          <w:b/>
          <w:bCs w:val="0"/>
          <w:color w:val="auto"/>
          <w:kern w:val="2"/>
          <w:sz w:val="24"/>
          <w:szCs w:val="24"/>
          <w:highlight w:val="none"/>
          <w:lang w:val="en-US" w:eastAsia="zh-CN" w:bidi="ar-SA"/>
        </w:rPr>
      </w:pPr>
      <w:r>
        <w:rPr>
          <w:rFonts w:hint="eastAsia" w:ascii="仿宋" w:hAnsi="仿宋" w:eastAsia="仿宋" w:cstheme="minorBidi"/>
          <w:b/>
          <w:bCs w:val="0"/>
          <w:color w:val="auto"/>
          <w:kern w:val="2"/>
          <w:sz w:val="24"/>
          <w:szCs w:val="24"/>
          <w:highlight w:val="none"/>
          <w:lang w:val="en-US" w:eastAsia="zh-CN" w:bidi="ar-SA"/>
        </w:rPr>
        <w:t>五、服务要求</w:t>
      </w:r>
    </w:p>
    <w:p>
      <w:pPr>
        <w:jc w:val="center"/>
        <w:rPr>
          <w:rFonts w:hint="eastAsia" w:ascii="仿宋" w:hAnsi="仿宋" w:eastAsia="仿宋" w:cs="仿宋"/>
          <w:sz w:val="22"/>
          <w:szCs w:val="24"/>
          <w:highlight w:val="none"/>
          <w:lang w:val="en-US" w:eastAsia="zh-CN"/>
        </w:rPr>
      </w:pPr>
      <w:r>
        <w:rPr>
          <w:rFonts w:hint="eastAsia" w:ascii="仿宋" w:hAnsi="仿宋" w:eastAsia="仿宋" w:cs="仿宋"/>
          <w:b/>
          <w:color w:val="000000"/>
          <w:sz w:val="22"/>
          <w:szCs w:val="24"/>
          <w:highlight w:val="none"/>
          <w:lang w:val="en-US" w:eastAsia="zh-CN"/>
        </w:rPr>
        <w:t>1.</w:t>
      </w:r>
      <w:r>
        <w:rPr>
          <w:rFonts w:hint="eastAsia" w:ascii="仿宋" w:hAnsi="仿宋" w:eastAsia="仿宋" w:cs="仿宋"/>
          <w:b/>
          <w:color w:val="000000"/>
          <w:sz w:val="22"/>
          <w:szCs w:val="24"/>
          <w:highlight w:val="none"/>
        </w:rPr>
        <w:t>主要工作内容和职责</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主要包含对进、出人员、车辆、物品的管理；大门周边的交通秩序及门前卫生管理；上、放学期间的护学岗安全护卫；落实进出校园其他安全防范要求。</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1)定岗值守，早晚人员进出高峰实行立岗互学制。（含大型活动、会务、参观接待时段）并按照规定，佩戴齐全各项安防器具、规范立岗护学；执勤过程中，热情礼貌、文明用语、不卑不亢。妥善处理师生、家长的各项需求，做到力所能及的帮助和指引，树立良好校园窗口形象。</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2)问询、检查进入校园的外来人员，要问清楚进入事由，联系相关老师核实，无异常后准予进入；外来施工人员或商业推广人员进入作业必须具备学校主管部门出具的书面审批手续；</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3)问询、检查进入校园的各种车辆（如果允许进入的），外部车辆要问清楚进入校园的理由，联系相关老师核实，无异常后准予进入，并提醒校内慢行，规范停车。不得徇私舞弊，私放车辆；</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4)核查进入校园的物资：外部物资带入，要认真核查，防止有毒有害、易燃易爆危险物品进入校园，发现异常的需及时汇报学校主管部门获得审批后方的进入。</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5)校园大门周边的道路交通协助管理及安全秩序维护、机动车和非机动车的停放管理和秩序维护，确保校园大门及通道出入畅通；</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6)做好门岗周边、值班室内的卫生清洁工作，保持责任区域卫生清洁；维护好责任区5S和6T管理，保持现场物和环境的整洁清爽；</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7)校园门岗安装的道闸、护栏、安全警报装置的等设备日常操作和养护，发现故障或异常及时记录并上报学校主管部门协调解决；</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Fonts w:hint="eastAsia" w:ascii="仿宋" w:hAnsi="仿宋" w:eastAsia="仿宋"/>
          <w:color w:val="auto"/>
          <w:sz w:val="24"/>
          <w:highlight w:val="none"/>
        </w:rPr>
      </w:pPr>
      <w:r>
        <w:rPr>
          <w:rFonts w:hint="eastAsia" w:ascii="仿宋" w:hAnsi="仿宋" w:eastAsia="仿宋"/>
          <w:color w:val="auto"/>
          <w:sz w:val="24"/>
          <w:highlight w:val="none"/>
        </w:rPr>
        <w:t>8)对于校园内发生的各类突发应急事件，及时发现、处置和传递信息。熟练使用和操作各类防暴和安防器材，能果断勇敢的与不法犯罪行为作斗争，切实保障校园师生的人身安全和财产安全。</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Fonts w:hint="eastAsia" w:ascii="仿宋" w:hAnsi="仿宋" w:eastAsia="仿宋"/>
          <w:color w:val="auto"/>
          <w:sz w:val="24"/>
          <w:highlight w:val="none"/>
        </w:rPr>
        <w:t>9)按照学校要求提供其他力所能及的综合勤务辅助工作。</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baseline"/>
        <w:rPr>
          <w:rStyle w:val="65"/>
          <w:rFonts w:hint="eastAsia" w:ascii="仿宋" w:hAnsi="仿宋" w:eastAsia="仿宋" w:cs="仿宋"/>
          <w:b/>
          <w:bCs/>
          <w:kern w:val="2"/>
          <w:sz w:val="24"/>
          <w:szCs w:val="24"/>
          <w:highlight w:val="none"/>
          <w:lang w:eastAsia="zh-CN"/>
        </w:rPr>
      </w:pPr>
      <w:r>
        <w:rPr>
          <w:rStyle w:val="65"/>
          <w:rFonts w:hint="eastAsia" w:ascii="仿宋" w:hAnsi="仿宋" w:eastAsia="仿宋" w:cs="仿宋"/>
          <w:b/>
          <w:bCs/>
          <w:kern w:val="2"/>
          <w:sz w:val="24"/>
          <w:szCs w:val="24"/>
          <w:highlight w:val="none"/>
          <w:lang w:eastAsia="zh-CN"/>
        </w:rPr>
        <w:t>2.门岗安防执勤对车辆及外来人员管控具体操作流程</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◆问询来访者姓名和来访事由、被访者姓名；</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◆拨打被访者电话或联系学校安防主管领导进行情况核实；</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◆请来访人员至值班室做好登记工作（包含：来访日期/时间、来访人姓名、联系方式、车辆号牌、来访事由），按照校方规定填写会客单（若有）；</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◆无异常，手续办理完成。予以放进；</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◆会客完毕者出门时，收回会客单（会客单要有被访者签名）。无异常予以放行。</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备注：</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携带易燃易爆、有毒有害化学品的人员和车辆、说明不了来访事由和无法联系被访问内部人员的外来人员，一律不得进入校园。</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发现异常或者发生纠纷时应冷静处理，尽量控制事态升级。无法控制时及时传递信息内部求援。必要时，拨打110报警处理。如来访者情绪激动或者行为对校园师生和财产可能造成侵害的，立即果断处置，使用钢叉、盾牌、辣椒水等防暴器具进行自卫控制，及时汇报校方主管部门并报警处理。事后做好书面记录并及时保存和导出监控资料、执法记录仪资料。积极配合学校甲方和公安机关的调查取证和处理。</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r>
        <w:rPr>
          <w:rStyle w:val="65"/>
          <w:rFonts w:hint="eastAsia" w:ascii="仿宋" w:hAnsi="仿宋" w:eastAsia="仿宋" w:cs="仿宋"/>
          <w:kern w:val="2"/>
          <w:sz w:val="24"/>
          <w:szCs w:val="24"/>
          <w:highlight w:val="none"/>
          <w:lang w:eastAsia="zh-CN"/>
        </w:rPr>
        <w:t> </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5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pStyle w:val="85"/>
              <w:keepNext w:val="0"/>
              <w:keepLines w:val="0"/>
              <w:pageBreakBefore w:val="0"/>
              <w:kinsoku/>
              <w:wordWrap/>
              <w:overflowPunct/>
              <w:topLinePunct w:val="0"/>
              <w:autoSpaceDE/>
              <w:autoSpaceDN/>
              <w:bidi w:val="0"/>
              <w:adjustRightInd/>
              <w:snapToGrid w:val="0"/>
              <w:spacing w:line="360" w:lineRule="auto"/>
              <w:jc w:val="center"/>
              <w:textAlignment w:val="baseline"/>
              <w:rPr>
                <w:rStyle w:val="65"/>
                <w:rFonts w:hint="default" w:ascii="仿宋" w:hAnsi="仿宋" w:eastAsia="仿宋" w:cs="仿宋"/>
                <w:kern w:val="2"/>
                <w:sz w:val="24"/>
                <w:szCs w:val="24"/>
                <w:highlight w:val="none"/>
                <w:vertAlign w:val="baseline"/>
                <w:lang w:val="en-US" w:eastAsia="zh-CN"/>
              </w:rPr>
            </w:pPr>
            <w:r>
              <w:rPr>
                <w:rStyle w:val="65"/>
                <w:rFonts w:hint="eastAsia" w:ascii="仿宋" w:hAnsi="仿宋" w:eastAsia="仿宋" w:cs="仿宋"/>
                <w:kern w:val="2"/>
                <w:sz w:val="24"/>
                <w:szCs w:val="24"/>
                <w:highlight w:val="none"/>
                <w:vertAlign w:val="baseline"/>
                <w:lang w:val="en-US" w:eastAsia="zh-CN"/>
              </w:rPr>
              <w:t>岗位</w:t>
            </w:r>
          </w:p>
        </w:tc>
        <w:tc>
          <w:tcPr>
            <w:tcW w:w="5268" w:type="dxa"/>
          </w:tcPr>
          <w:p>
            <w:pPr>
              <w:pStyle w:val="85"/>
              <w:keepNext w:val="0"/>
              <w:keepLines w:val="0"/>
              <w:pageBreakBefore w:val="0"/>
              <w:kinsoku/>
              <w:wordWrap/>
              <w:overflowPunct/>
              <w:topLinePunct w:val="0"/>
              <w:autoSpaceDE/>
              <w:autoSpaceDN/>
              <w:bidi w:val="0"/>
              <w:adjustRightInd/>
              <w:snapToGrid w:val="0"/>
              <w:spacing w:line="360" w:lineRule="auto"/>
              <w:jc w:val="center"/>
              <w:textAlignment w:val="baseline"/>
              <w:rPr>
                <w:rStyle w:val="65"/>
                <w:rFonts w:hint="default" w:ascii="仿宋" w:hAnsi="仿宋" w:eastAsia="仿宋" w:cs="仿宋"/>
                <w:kern w:val="2"/>
                <w:sz w:val="24"/>
                <w:szCs w:val="24"/>
                <w:highlight w:val="none"/>
                <w:vertAlign w:val="baseline"/>
                <w:lang w:val="en-US" w:eastAsia="zh-CN"/>
              </w:rPr>
            </w:pPr>
            <w:r>
              <w:rPr>
                <w:rStyle w:val="65"/>
                <w:rFonts w:hint="eastAsia" w:ascii="仿宋" w:hAnsi="仿宋" w:eastAsia="仿宋" w:cs="仿宋"/>
                <w:kern w:val="2"/>
                <w:sz w:val="24"/>
                <w:szCs w:val="24"/>
                <w:highlight w:val="none"/>
                <w:vertAlign w:val="baseline"/>
                <w:lang w:val="en-US" w:eastAsia="zh-CN"/>
              </w:rPr>
              <w:t>内容</w:t>
            </w:r>
          </w:p>
        </w:tc>
        <w:tc>
          <w:tcPr>
            <w:tcW w:w="1276" w:type="dxa"/>
            <w:vAlign w:val="center"/>
          </w:tcPr>
          <w:p>
            <w:pPr>
              <w:pStyle w:val="85"/>
              <w:keepNext w:val="0"/>
              <w:keepLines w:val="0"/>
              <w:pageBreakBefore w:val="0"/>
              <w:kinsoku/>
              <w:wordWrap/>
              <w:overflowPunct/>
              <w:topLinePunct w:val="0"/>
              <w:autoSpaceDE/>
              <w:autoSpaceDN/>
              <w:bidi w:val="0"/>
              <w:adjustRightInd/>
              <w:snapToGrid w:val="0"/>
              <w:spacing w:line="360" w:lineRule="auto"/>
              <w:ind w:left="0" w:leftChars="0" w:firstLine="0" w:firstLineChars="0"/>
              <w:jc w:val="both"/>
              <w:textAlignment w:val="baseline"/>
              <w:rPr>
                <w:rStyle w:val="65"/>
                <w:rFonts w:hint="default" w:ascii="仿宋" w:hAnsi="仿宋" w:eastAsia="仿宋" w:cs="仿宋"/>
                <w:kern w:val="2"/>
                <w:sz w:val="24"/>
                <w:szCs w:val="24"/>
                <w:highlight w:val="none"/>
                <w:vertAlign w:val="baseline"/>
                <w:lang w:val="en-US" w:eastAsia="zh-CN"/>
              </w:rPr>
            </w:pPr>
            <w:r>
              <w:rPr>
                <w:rStyle w:val="65"/>
                <w:rFonts w:hint="eastAsia" w:ascii="仿宋" w:hAnsi="仿宋" w:eastAsia="仿宋" w:cs="仿宋"/>
                <w:kern w:val="2"/>
                <w:sz w:val="24"/>
                <w:szCs w:val="24"/>
                <w:highlight w:val="none"/>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pStyle w:val="85"/>
              <w:keepNext w:val="0"/>
              <w:keepLines w:val="0"/>
              <w:pageBreakBefore w:val="0"/>
              <w:kinsoku/>
              <w:wordWrap/>
              <w:overflowPunct/>
              <w:topLinePunct w:val="0"/>
              <w:autoSpaceDE/>
              <w:autoSpaceDN/>
              <w:bidi w:val="0"/>
              <w:adjustRightInd/>
              <w:snapToGrid w:val="0"/>
              <w:spacing w:line="360" w:lineRule="auto"/>
              <w:ind w:left="0" w:leftChars="0" w:firstLine="0" w:firstLineChars="0"/>
              <w:jc w:val="center"/>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白班及夜班保安</w:t>
            </w:r>
          </w:p>
        </w:tc>
        <w:tc>
          <w:tcPr>
            <w:tcW w:w="5268" w:type="dxa"/>
          </w:tcPr>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1.保安员上岗必须穿着制服，仪表端正；</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2.值班保安员要认真做好防火、防盗、防抢劫工作，认真检査设备设施，发现不安全因素应即查明情况，排除险情，并及时报告主管部门及领导。</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3.坚守岗位，提高警惕，发现违法犯罪分子要坚决设法抓获。</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4.执勤过程中要勤巡査，要有敏锐的目光，注意发现可疑的人、事、物，预防案件、事故的发生，力争做到万无一失。</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5.爱护设施设备、公共财物，对岗位内的一切设施、 财务不得随便移动及乱用。熟悉消防器件的位置及使用方法, 遇到突发事件能正确进行处理。</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6.值班期间，对岗位发生的各种情况要认真处理，并且做好详细的书面记载。</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7.遇到紧急、突发性重大事件，要及时向主管领导请示报告。</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8.严格执行交接班制度，按时按规定交接班，不得迟到、早退，更不能误班、漏班。</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9.认真完成领导交办的其他任务。</w:t>
            </w:r>
          </w:p>
          <w:p>
            <w:pPr>
              <w:pStyle w:val="85"/>
              <w:keepNext w:val="0"/>
              <w:keepLines w:val="0"/>
              <w:pageBreakBefore w:val="0"/>
              <w:widowControl w:val="0"/>
              <w:kinsoku/>
              <w:wordWrap/>
              <w:overflowPunct/>
              <w:topLinePunct w:val="0"/>
              <w:autoSpaceDE/>
              <w:autoSpaceDN/>
              <w:bidi w:val="0"/>
              <w:adjustRightInd/>
              <w:snapToGrid w:val="0"/>
              <w:spacing w:line="360" w:lineRule="auto"/>
              <w:ind w:firstLine="0"/>
              <w:jc w:val="left"/>
              <w:textAlignment w:val="baseline"/>
              <w:rPr>
                <w:rStyle w:val="65"/>
                <w:rFonts w:hint="eastAsia" w:ascii="仿宋" w:hAnsi="仿宋" w:eastAsia="仿宋" w:cs="仿宋"/>
                <w:kern w:val="2"/>
                <w:sz w:val="24"/>
                <w:szCs w:val="24"/>
                <w:highlight w:val="none"/>
                <w:vertAlign w:val="baseline"/>
                <w:lang w:eastAsia="zh-CN"/>
              </w:rPr>
            </w:pPr>
            <w:r>
              <w:rPr>
                <w:rStyle w:val="65"/>
                <w:rFonts w:hint="eastAsia" w:ascii="仿宋" w:hAnsi="仿宋" w:eastAsia="仿宋" w:cs="仿宋"/>
                <w:kern w:val="2"/>
                <w:sz w:val="24"/>
                <w:szCs w:val="24"/>
                <w:highlight w:val="none"/>
                <w:vertAlign w:val="baseline"/>
                <w:lang w:eastAsia="zh-CN"/>
              </w:rPr>
              <w:t>10.除基本保安工作外，可以协助学校其他工作。</w:t>
            </w:r>
          </w:p>
        </w:tc>
        <w:tc>
          <w:tcPr>
            <w:tcW w:w="1276" w:type="dxa"/>
            <w:vAlign w:val="center"/>
          </w:tcPr>
          <w:p>
            <w:pPr>
              <w:pStyle w:val="85"/>
              <w:keepNext w:val="0"/>
              <w:keepLines w:val="0"/>
              <w:pageBreakBefore w:val="0"/>
              <w:kinsoku/>
              <w:wordWrap/>
              <w:overflowPunct/>
              <w:topLinePunct w:val="0"/>
              <w:autoSpaceDE/>
              <w:autoSpaceDN/>
              <w:bidi w:val="0"/>
              <w:adjustRightInd/>
              <w:snapToGrid w:val="0"/>
              <w:spacing w:line="360" w:lineRule="auto"/>
              <w:ind w:left="0" w:leftChars="0" w:firstLine="240" w:firstLineChars="100"/>
              <w:jc w:val="both"/>
              <w:textAlignment w:val="baseline"/>
              <w:rPr>
                <w:rStyle w:val="65"/>
                <w:rFonts w:hint="default" w:ascii="仿宋" w:hAnsi="仿宋" w:eastAsia="仿宋" w:cs="仿宋"/>
                <w:kern w:val="2"/>
                <w:sz w:val="24"/>
                <w:szCs w:val="24"/>
                <w:highlight w:val="none"/>
                <w:vertAlign w:val="baseline"/>
                <w:lang w:val="en-US" w:eastAsia="zh-CN"/>
              </w:rPr>
            </w:pPr>
            <w:r>
              <w:rPr>
                <w:rStyle w:val="65"/>
                <w:rFonts w:hint="eastAsia" w:ascii="仿宋" w:hAnsi="仿宋" w:eastAsia="仿宋" w:cs="仿宋"/>
                <w:kern w:val="2"/>
                <w:sz w:val="24"/>
                <w:szCs w:val="24"/>
                <w:highlight w:val="none"/>
                <w:vertAlign w:val="baseline"/>
                <w:lang w:val="en-US" w:eastAsia="zh-CN"/>
              </w:rPr>
              <w:t>4人</w:t>
            </w:r>
          </w:p>
        </w:tc>
      </w:tr>
    </w:tbl>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pP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kern w:val="2"/>
          <w:sz w:val="24"/>
          <w:szCs w:val="24"/>
          <w:highlight w:val="none"/>
          <w:lang w:eastAsia="zh-CN"/>
        </w:rPr>
        <w:sectPr>
          <w:footerReference r:id="rId5" w:type="default"/>
          <w:endnotePr>
            <w:numFmt w:val="decimal"/>
          </w:endnotePr>
          <w:pgSz w:w="11906" w:h="16838"/>
          <w:pgMar w:top="1417" w:right="1757" w:bottom="1417" w:left="1757" w:header="850" w:footer="1020" w:gutter="0"/>
          <w:pgNumType w:fmt="decimal" w:start="1"/>
          <w:cols w:space="720" w:num="1"/>
          <w:docGrid w:linePitch="286" w:charSpace="0"/>
        </w:sectPr>
      </w:pPr>
    </w:p>
    <w:p>
      <w:pPr>
        <w:pStyle w:val="8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baseline"/>
        <w:rPr>
          <w:rStyle w:val="65"/>
          <w:rFonts w:hint="eastAsia" w:ascii="仿宋" w:hAnsi="仿宋" w:eastAsia="仿宋" w:cs="仿宋"/>
          <w:b/>
          <w:bCs/>
          <w:kern w:val="2"/>
          <w:sz w:val="24"/>
          <w:szCs w:val="24"/>
          <w:highlight w:val="none"/>
          <w:lang w:eastAsia="zh-CN"/>
        </w:rPr>
      </w:pPr>
      <w:r>
        <w:rPr>
          <w:rStyle w:val="65"/>
          <w:rFonts w:hint="eastAsia" w:ascii="仿宋" w:hAnsi="仿宋" w:eastAsia="仿宋" w:cs="仿宋"/>
          <w:b/>
          <w:bCs/>
          <w:kern w:val="2"/>
          <w:sz w:val="24"/>
          <w:szCs w:val="24"/>
          <w:highlight w:val="none"/>
          <w:lang w:val="en-US" w:eastAsia="zh-CN"/>
        </w:rPr>
        <w:t>3.</w:t>
      </w:r>
      <w:r>
        <w:rPr>
          <w:rStyle w:val="65"/>
          <w:rFonts w:hint="eastAsia" w:ascii="仿宋" w:hAnsi="仿宋" w:eastAsia="仿宋" w:cs="仿宋"/>
          <w:b/>
          <w:bCs/>
          <w:kern w:val="2"/>
          <w:sz w:val="24"/>
          <w:szCs w:val="24"/>
          <w:highlight w:val="none"/>
          <w:lang w:eastAsia="zh-CN"/>
        </w:rPr>
        <w:t>学校对安保公司的补充要求及管理措施</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安保公司出现重大安全责任事故，或在上级主管部门的检查中屡次违反安保规定等各种违规行为，学校有权利终止或变更合同。</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 </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baseline"/>
        <w:rPr>
          <w:rStyle w:val="65"/>
          <w:rFonts w:hint="eastAsia" w:ascii="仿宋" w:hAnsi="仿宋" w:eastAsia="仿宋" w:cs="仿宋"/>
          <w:b/>
          <w:bCs/>
          <w:kern w:val="2"/>
          <w:sz w:val="24"/>
          <w:szCs w:val="24"/>
          <w:highlight w:val="none"/>
          <w:lang w:val="en-US" w:eastAsia="zh-CN"/>
        </w:rPr>
      </w:pPr>
      <w:r>
        <w:rPr>
          <w:rStyle w:val="65"/>
          <w:rFonts w:hint="eastAsia" w:ascii="仿宋" w:hAnsi="仿宋" w:eastAsia="仿宋" w:cs="仿宋"/>
          <w:b/>
          <w:bCs/>
          <w:kern w:val="2"/>
          <w:sz w:val="24"/>
          <w:szCs w:val="24"/>
          <w:highlight w:val="none"/>
          <w:lang w:val="en-US" w:eastAsia="zh-CN"/>
        </w:rPr>
        <w:t>4.执行安保任务内容</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.1执勤地点：学校门口、校园内相关区域</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4</w:t>
      </w:r>
      <w:r>
        <w:rPr>
          <w:rFonts w:hint="eastAsia" w:ascii="仿宋" w:hAnsi="仿宋" w:eastAsia="仿宋" w:cs="仿宋"/>
          <w:b w:val="0"/>
          <w:bCs/>
          <w:color w:val="000000"/>
          <w:sz w:val="24"/>
          <w:szCs w:val="24"/>
          <w:highlight w:val="none"/>
        </w:rPr>
        <w:t>.</w:t>
      </w:r>
      <w:r>
        <w:rPr>
          <w:rFonts w:hint="eastAsia" w:ascii="仿宋" w:hAnsi="仿宋" w:eastAsia="仿宋" w:cs="仿宋"/>
          <w:b w:val="0"/>
          <w:bCs/>
          <w:color w:val="000000"/>
          <w:sz w:val="24"/>
          <w:szCs w:val="24"/>
          <w:highlight w:val="none"/>
          <w:lang w:val="en-US" w:eastAsia="zh-CN"/>
        </w:rPr>
        <w:t>2</w:t>
      </w:r>
      <w:r>
        <w:rPr>
          <w:rFonts w:hint="eastAsia" w:ascii="仿宋" w:hAnsi="仿宋" w:eastAsia="仿宋" w:cs="仿宋"/>
          <w:b w:val="0"/>
          <w:bCs/>
          <w:color w:val="000000"/>
          <w:sz w:val="24"/>
          <w:szCs w:val="24"/>
          <w:highlight w:val="none"/>
        </w:rPr>
        <w:t>执勤任务：维护校门口交通及车辆秩序、门卫安全值守、上放学高峰护学及校内突发安全事件处理。</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baseline"/>
        <w:rPr>
          <w:rStyle w:val="65"/>
          <w:rFonts w:hint="eastAsia" w:ascii="仿宋" w:hAnsi="仿宋" w:eastAsia="仿宋" w:cs="仿宋"/>
          <w:b/>
          <w:bCs/>
          <w:kern w:val="2"/>
          <w:sz w:val="24"/>
          <w:szCs w:val="24"/>
          <w:highlight w:val="none"/>
          <w:lang w:val="en-US" w:eastAsia="zh-CN"/>
        </w:rPr>
      </w:pPr>
      <w:r>
        <w:rPr>
          <w:rStyle w:val="65"/>
          <w:rFonts w:hint="eastAsia" w:ascii="仿宋" w:hAnsi="仿宋" w:eastAsia="仿宋" w:cs="仿宋"/>
          <w:b/>
          <w:bCs/>
          <w:kern w:val="2"/>
          <w:sz w:val="24"/>
          <w:szCs w:val="24"/>
          <w:highlight w:val="none"/>
          <w:lang w:val="en-US" w:eastAsia="zh-CN"/>
        </w:rPr>
        <w:t>5.保安人员的职责和义务</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rPr>
        <w:t>1保安人员的职责是负责采购人单位的安全工作，不参与其他与校园安全保障工作无关的事项，以确保采购人单位的人身、财产安全及良好的工作秩序：</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（1）工作时间内应按规定着装，佩戴标志，按照规定携带和使用必要的防护器材，遵纪守法，文明执勤，维护采购人的企业形象。</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（2）对无理取闹、滋扰、扰乱秩序者，除了向采购人管理者报告外，应采取措施，果断处理，并及时报警。</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（3）提高警惕，主动巡视，谨防偷窃及其它犯罪行为发生。</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（4）及时发现并消除火灾隐患。</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5）对责任范围内出现的突发事件（停电、停水、火警、自然灾害等），应配合做好应急措施。对刑事，治安事件，应及时制止，并报警，同时保护好现场，必要时协同受害人员将违法犯罪嫌疑人扭送公安机关。</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（6）学生上学及放学，疏通校门口交通，做好治安维护工作，保证学生安全进出校园。</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（7）每节课课间和中午学生吃完中饭休息期间，及时进行校园巡视（根据各学校保安编制，不脱岗的情况下），保证学生在校期间的安全。做好学生安全教育指导工作。</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rPr>
        <w:t>.2供应商派驻的保安人员接受双重领导，并应严格遵守采购人的规章制度；</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（1）按时上下班，不得迟到、早退。</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（2）不得有偷窃、伤害等侵权形为。</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（3）不得打听、泄露采购人秘密。</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（4）执勤期间不可以抽烟；不可以看报、杂志或小说；不可以打私人电话；不得有酗酒、赌博、打架、擅自离岗等不良行为。</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rPr>
        <w:t>.3保安人员不得有以下行为：</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（1）阻碍国家机关工作人员依法执行公务；</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（2）剥夺、限制其他公民的人身自由；</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（3）搜查他人的身体或扣押他人合法证件、合法财产；</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（4）辱骂、殴打他人行为；或教唆殴打、辱骂他人行为；</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（5）滥用防护器材，或违法使用国家禁止使用的器械或物品；</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（6）实行其他不文明举动；</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（7）其他违反法律、法规和规章的行为。</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rPr>
        <w:t>.4因保安人员违反本条规定给采购人造成损失的，供应商应当承担赔偿责任。</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rPr>
        <w:t>.5采购人有权对保安人员执勤情况进行检查监督，对不称职者，采购人有权要求供应商调换。供应商应在收到采购人通知后10天内提供符合采购人要求的替换人员，供应商若未在规定时间内予以调换而造成采购人损失的，由供应商承担责任，并且采购人有权终止合同。</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rPr>
        <w:t>.6对供应商派驻的保安人员，采购人提供工作上的方便。保安人员在采购人执行保安任务时，为维护公共安全，保护公私财产和人身免受侵犯而致使自身伤残、死亡或造成他人人身、财产损失，供应商应根据国家有关法律规定独立承担医疗、工伤、工亡等用人单位责任及损害赔偿责任，不得向采购人提出赔偿要求。</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5</w:t>
      </w:r>
      <w:r>
        <w:rPr>
          <w:rFonts w:hint="eastAsia" w:ascii="仿宋" w:hAnsi="仿宋" w:eastAsia="仿宋" w:cs="仿宋"/>
          <w:b w:val="0"/>
          <w:bCs/>
          <w:color w:val="000000"/>
          <w:sz w:val="24"/>
          <w:szCs w:val="24"/>
          <w:highlight w:val="none"/>
        </w:rPr>
        <w:t>.7为防止供应商派驻采购人的保安人员因发生重大伤亡事故后，供应商应承担责任时缺乏赔偿能力，供应商必须为派驻保安员购买社保或者人身意外商业险。</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baseline"/>
        <w:rPr>
          <w:rStyle w:val="65"/>
          <w:rFonts w:hint="eastAsia" w:ascii="仿宋" w:hAnsi="仿宋" w:eastAsia="仿宋" w:cs="仿宋"/>
          <w:b/>
          <w:bCs/>
          <w:kern w:val="2"/>
          <w:sz w:val="24"/>
          <w:szCs w:val="24"/>
          <w:highlight w:val="none"/>
          <w:lang w:val="en-US" w:eastAsia="zh-CN"/>
        </w:rPr>
      </w:pPr>
      <w:r>
        <w:rPr>
          <w:rStyle w:val="65"/>
          <w:rFonts w:hint="eastAsia" w:ascii="仿宋" w:hAnsi="仿宋" w:eastAsia="仿宋" w:cs="仿宋"/>
          <w:b/>
          <w:bCs/>
          <w:kern w:val="2"/>
          <w:sz w:val="24"/>
          <w:szCs w:val="24"/>
          <w:highlight w:val="none"/>
          <w:lang w:val="en-US" w:eastAsia="zh-CN"/>
        </w:rPr>
        <w:t>6.保安员奖惩制度</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.1奖励细则</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（1）发现并设法抓获各种违法犯罪分子。</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（2）保安员见义勇为，敢于同坏人坏事作斗争，成绩显著者。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（3）积极协助公安机关抓获违法犯罪分子及侦破案件, 成绩显著者。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（4）为搞好学校管区的安全保卫作积极出谋划策，提出合理化建议，效果显著者。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（5）拾金不昧者。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（6）凡在执勤中，日常管理中完成规定目标,无违纪违章行为和其他处罚，各项积极主动、圆满完成任务者。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.2惩罚细则</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（1）保安人员在值班时看小说、玩游戏机、手机、听收 音机或进行其他无关的事情。对屡教不改，造成一定损失的, 将重罚，直至开除。</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（2）上班时间或下班时间及进出车辆必须站立在门岗外。</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（3）保安员在值班室睡觉，对屡教不改，造成一定损失的，予以重罚，直至开除。</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（4）保安员在值班时擅离工作岗位。对屡教不改，造成一定损失的，予以重罚，直至开除。</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（5）酒后执勤（上班前3小时不准饮酒）并造成一定后果。</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（6）为按时交接班。对屡教不改者予以重罚。</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（7）执勤时，保安员着装不整、佩戴不齐。</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（8）未经主管领导批准，私自替人顶班。</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（9）不按规定进行执勤登记，交接班不清楚，互相推卸责任者。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（10）执勤中玩忽职守，疏于防范，致使责任范围内发 生门、窗被撬，发生案件和事故，造成不良影响,视情节 轻重处罚，直至开除。</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（11）验收不细或私自带无关人员进入学校。</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（12）对主管部门及保安部下达的工作任务，未能如期完成，又没有正当理由者。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（13）扣留物品不登记，不上交；捡拾物品不报告、不上交者，另处以处金。</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（14）违反保安器械使用规定，随便转借和使用，对无故损坏、丢失保安装备或其他值勤设施的，按原价赔偿。</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（15）在突发性事件或紧急情况下，临阵脱逃或坐视不管者，视情节处罚，直至开除。</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（16）保安员监守自盗或以权谋私，经他人揭发并查明属实者，解除应聘合同，情节严重者送交公安机关处理。</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（17）保安员法制观念淡薄，参与社会聚众闹事、 赌博等，给保安部声誉严重影响的，做解聘处理。</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（18）无故不参加保安部会议或集体活动者。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（19）不服从上级分配或随意顶撞领导屡教不改的，严肃处理。</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（20）执勤时佩戴执勤岗位证。</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.3学校保安昼夜值班巡逻制度</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为加强学校安全、文明建设，确保学校及师生财产、人以安全，加强校园巡査，对校园内外实施有效监控，及时发现安全隐患，最大限度地避免安全事故的发生，建立良好的校园秩序，保证学校各项工作的顺利进行。</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.3.1工作纪律</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（1）值班保安人员要忠于职守，坚守工作岗位。坚持24小时巡逻护校，重点时间加强巡査，重要部位认真检查，闲杂人员注意盘查，安全隐患坚决排查，加强巡逻密度和次数，确保校园安全。</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（2）值班保安人员按时交接班，不迟到、不早退，不得擅自脱离岗位，每日上晚自习时到治安室到, 值班时间保证通讯工具畅通，一呼即到，不拖拉，不推诿。</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（3）值班保安交接班时要认真填写安全巡逻情况记录，以明确各自的责任。</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（4）值班保安人员禁止酗酒后上岗或在工作中酗酒，值班必须保持清醒的头脑，以便迅速准确地处理突发事件。</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（5）值班保安人员在工作过程中，做到遵纪守法，文明执勤，对校园重点场所勤巡勤査。</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.3.2工作任务</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（1）对校园巡査，做好防火、防盗、防触电、防打架斗殴工作等，确保教学楼、办公楼、图书馆、保管室和宿舍等重点部位的安全。发现安全隐患要及时处理，不能处理的要报告，消除隐患。</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（2）值班保安人员应加强校园巡逻，对校园实施有效的监控。</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（3）在校园内发现可疑人员要积极主动盘问，核实身份。</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（4）巡逻保安人员应熟记各类报警电话号码，一旦发生情况及时报警。</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（5）确定巡逻时间路线和地点，以便及时发现和阻止违法犯罪活动。</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（6）发生突发事件要第一时间时间赶到现场，及时、果断地处理，控制书态，并及时报告。</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 xml:space="preserve">（7）坚持24小时巡逻、守护，白天巡视校园不少于4次，夜间不少于3次，并做好记录。 </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lang w:val="en-US" w:eastAsia="zh-CN"/>
        </w:rPr>
        <w:t>6</w:t>
      </w:r>
      <w:r>
        <w:rPr>
          <w:rFonts w:hint="eastAsia" w:ascii="仿宋" w:hAnsi="仿宋" w:eastAsia="仿宋" w:cs="仿宋"/>
          <w:b w:val="0"/>
          <w:bCs/>
          <w:color w:val="000000"/>
          <w:sz w:val="24"/>
          <w:szCs w:val="24"/>
          <w:highlight w:val="none"/>
        </w:rPr>
        <w:t>.3.3工作考核</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（1）在交接班时间，凡晚到10分钟者视为迟到，提前10分钟离开者视为早退，交接班时间晚到30分钟或提前30分钟离开、值班过程中擅自脱离岗位30分钟者视为矿工。</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（2）校值日领导负责检查值班保安人员工作纪律和工作完成情况，发现未遵守工作纪律和未认真完成工作的情况，将作登记，作为奖惩的依据。</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（3）遵守工作纪律，认真完成工作任务，未发生治安事故，全额发放本职岗位绩效奖金，并视其校情发放一定的奖励。</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（4）旷工、不履行工作职责，造成治安责任事故，将承担事故调査处理责任，情节严重的将依法承担经济、行政和法律责任。</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 </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baseline"/>
        <w:rPr>
          <w:rStyle w:val="65"/>
          <w:rFonts w:hint="eastAsia" w:ascii="仿宋" w:hAnsi="仿宋" w:eastAsia="仿宋" w:cs="仿宋"/>
          <w:b/>
          <w:bCs/>
          <w:kern w:val="2"/>
          <w:sz w:val="24"/>
          <w:szCs w:val="24"/>
          <w:highlight w:val="none"/>
          <w:lang w:val="en-US" w:eastAsia="zh-CN"/>
        </w:rPr>
      </w:pPr>
      <w:r>
        <w:rPr>
          <w:rStyle w:val="65"/>
          <w:rFonts w:hint="eastAsia" w:ascii="仿宋" w:hAnsi="仿宋" w:eastAsia="仿宋" w:cs="仿宋"/>
          <w:b/>
          <w:bCs/>
          <w:kern w:val="2"/>
          <w:sz w:val="24"/>
          <w:szCs w:val="24"/>
          <w:highlight w:val="none"/>
          <w:lang w:val="en-US" w:eastAsia="zh-CN"/>
        </w:rPr>
        <w:t>7.采购人对供应商的补充要求及管理措施</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（1）安保公司出现重大安全责任事故，在上级主管部门的检查中屡次发现问题且整改不够及时，多次违反学校有关规定的情况，多次违反各校园有关门卫的工作要求和制度，学校有权利终止或变更合同。</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（2）仪容仪表端庄大方，严格按照规定着规定服装、持规定器械上岗，上岗队员持证上岗。</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（3）门卫室、休息室，各种警用器械、物品、服装摆放有序，监控、一键报警、电子围栏正常使用，环境卫生干净、整洁，不出现个人生活物品，不随意接收快递、外卖等非学校物品。</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（4）工作期间严格禁止抽烟、酗酒，尤其是夜班，不允许酒后上岗。</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（5）按照各校区规定时间规定地点，定时巡视校园，认真细致巡视，发现安全隐患能够及时上报及时处理。</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（6）热情、主动服务学校，不与家长、教师、学生、同事发生矛盾，对于个人原因造成的矛盾和问题可以及时妥善处理，严禁有实投诉的发生。</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（7）工作期间不玩手机，不做与工作无关的事情，做好人、车登记工作，严禁未经允许进入校园的情况发生，登记本妥善保管，备查。</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（8）校园大门按照规定时间开启和关闭，安保队员按照规定时间规范立岗，做好校门及周边安保工作，非上下学时间，如食堂下班、课后延时服务放学等，开门必须实行立岗原则。</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（9）上课期间学生进出校园手续完善，严禁学生随意进出校园，以此造成的后果，由安保公司承担。</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（10）任何进出学校的财产、物品有权查看和过问，例如：进入东校区地下车库的车辆，安保队员必须做好校园资产的保护、清查工作，防止学校贵重物品的遗失。</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（11）更换队员、队长，必须征得学校的同意，新保安入住，需经过学校面试通过，且必须符合安保岗位和学校的要求。</w:t>
      </w:r>
    </w:p>
    <w:p>
      <w:pPr>
        <w:pBdr>
          <w:top w:val="none" w:color="000000" w:sz="0" w:space="0"/>
          <w:left w:val="none" w:color="000000" w:sz="0" w:space="0"/>
          <w:bottom w:val="none" w:color="000000" w:sz="0" w:space="0"/>
          <w:right w:val="none" w:color="000000" w:sz="0" w:space="0"/>
        </w:pBdr>
        <w:spacing w:before="0" w:after="0" w:line="77" w:lineRule="atLeast"/>
        <w:ind w:left="0" w:right="0" w:firstLine="420"/>
        <w:jc w:val="both"/>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（以上2-9条若有违反，按照1000元/次，对公司进行扣除，10按照责任和损失物品的价值，对公司进行扣除，11为限期整改，不符合要求不发安保费用。）</w:t>
      </w:r>
    </w:p>
    <w:p>
      <w:pPr>
        <w:pBdr>
          <w:top w:val="none" w:color="000000" w:sz="0" w:space="0"/>
          <w:left w:val="none" w:color="000000" w:sz="0" w:space="0"/>
          <w:bottom w:val="none" w:color="000000" w:sz="0" w:space="0"/>
          <w:right w:val="none" w:color="000000" w:sz="0" w:space="0"/>
        </w:pBdr>
        <w:spacing w:before="0" w:after="0" w:line="77" w:lineRule="atLeast"/>
        <w:ind w:left="0" w:right="0" w:firstLine="0"/>
        <w:rPr>
          <w:rFonts w:hint="eastAsia" w:ascii="仿宋" w:hAnsi="仿宋" w:eastAsia="仿宋" w:cs="仿宋"/>
          <w:b w:val="0"/>
          <w:bCs/>
          <w:sz w:val="24"/>
          <w:szCs w:val="24"/>
          <w:highlight w:val="none"/>
        </w:rPr>
      </w:pPr>
      <w:r>
        <w:rPr>
          <w:rFonts w:hint="eastAsia" w:ascii="仿宋" w:hAnsi="仿宋" w:eastAsia="仿宋" w:cs="仿宋"/>
          <w:b w:val="0"/>
          <w:bCs/>
          <w:color w:val="000000"/>
          <w:sz w:val="24"/>
          <w:szCs w:val="24"/>
          <w:highlight w:val="none"/>
        </w:rPr>
        <w:t> </w:t>
      </w:r>
    </w:p>
    <w:p>
      <w:pPr>
        <w:pStyle w:val="85"/>
        <w:keepNext w:val="0"/>
        <w:keepLines w:val="0"/>
        <w:pageBreakBefore w:val="0"/>
        <w:kinsoku/>
        <w:wordWrap/>
        <w:overflowPunct/>
        <w:topLinePunct w:val="0"/>
        <w:autoSpaceDE/>
        <w:autoSpaceDN/>
        <w:bidi w:val="0"/>
        <w:adjustRightInd/>
        <w:snapToGrid w:val="0"/>
        <w:spacing w:line="360" w:lineRule="auto"/>
        <w:ind w:firstLine="0" w:firstLineChars="0"/>
        <w:textAlignment w:val="baseline"/>
        <w:rPr>
          <w:rStyle w:val="65"/>
          <w:rFonts w:hint="eastAsia" w:ascii="仿宋" w:hAnsi="仿宋" w:eastAsia="仿宋" w:cs="仿宋"/>
          <w:b w:val="0"/>
          <w:bCs/>
          <w:kern w:val="2"/>
          <w:sz w:val="24"/>
          <w:szCs w:val="24"/>
          <w:highlight w:val="none"/>
          <w:lang w:eastAsia="zh-CN"/>
        </w:rPr>
        <w:sectPr>
          <w:endnotePr>
            <w:numFmt w:val="decimal"/>
          </w:endnotePr>
          <w:pgSz w:w="11906" w:h="16838"/>
          <w:pgMar w:top="1417" w:right="1757" w:bottom="1417" w:left="1757" w:header="850" w:footer="1020" w:gutter="0"/>
          <w:pgNumType w:fmt="decimal" w:start="1"/>
          <w:cols w:space="720" w:num="1"/>
          <w:docGrid w:linePitch="286" w:charSpace="0"/>
        </w:sectPr>
      </w:pPr>
    </w:p>
    <w:p>
      <w:pPr>
        <w:jc w:val="center"/>
        <w:outlineLvl w:val="0"/>
        <w:rPr>
          <w:rFonts w:ascii="仿宋" w:hAnsi="仿宋" w:eastAsia="仿宋" w:cs="仿宋"/>
          <w:b/>
          <w:bCs/>
          <w:sz w:val="28"/>
          <w:szCs w:val="32"/>
          <w:highlight w:val="none"/>
        </w:rPr>
      </w:pPr>
      <w:bookmarkStart w:id="44" w:name="_Toc23415"/>
      <w:r>
        <w:rPr>
          <w:rFonts w:hint="eastAsia" w:ascii="仿宋" w:hAnsi="仿宋" w:eastAsia="仿宋" w:cs="仿宋"/>
          <w:b/>
          <w:bCs/>
          <w:sz w:val="28"/>
          <w:szCs w:val="32"/>
          <w:highlight w:val="none"/>
        </w:rPr>
        <w:t>第五章  合同草案条款及格式</w:t>
      </w:r>
    </w:p>
    <w:p>
      <w:pPr>
        <w:spacing w:line="360" w:lineRule="auto"/>
        <w:jc w:val="center"/>
        <w:rPr>
          <w:rFonts w:ascii="仿宋" w:hAnsi="仿宋" w:eastAsia="仿宋" w:cs="仿宋"/>
          <w:b/>
          <w:sz w:val="44"/>
          <w:szCs w:val="44"/>
          <w:highlight w:val="none"/>
        </w:rPr>
      </w:pPr>
    </w:p>
    <w:p>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注：本合同仅为合同的参考文本，若与项目需求书内容有冲突，以项目需求书为准，合同签订双方可根据项目的具体要求进行修订。</w:t>
      </w:r>
    </w:p>
    <w:p>
      <w:pPr>
        <w:widowControl/>
        <w:spacing w:line="420" w:lineRule="atLeast"/>
        <w:jc w:val="center"/>
        <w:rPr>
          <w:rFonts w:ascii="宋体" w:hAnsi="宋体" w:eastAsia="宋体" w:cs="宋体"/>
          <w:b/>
          <w:bCs/>
          <w:kern w:val="0"/>
          <w:sz w:val="33"/>
          <w:szCs w:val="33"/>
          <w:highlight w:val="none"/>
        </w:rPr>
        <w:sectPr>
          <w:endnotePr>
            <w:numFmt w:val="decimal"/>
          </w:endnotePr>
          <w:pgSz w:w="11906" w:h="16838"/>
          <w:pgMar w:top="1417" w:right="1757" w:bottom="1417" w:left="1757" w:header="850" w:footer="1020" w:gutter="0"/>
          <w:pgNumType w:fmt="decimal" w:start="1"/>
          <w:cols w:space="720" w:num="1"/>
          <w:docGrid w:linePitch="286" w:charSpace="0"/>
        </w:sectPr>
      </w:pPr>
    </w:p>
    <w:p>
      <w:pPr>
        <w:jc w:val="center"/>
        <w:rPr>
          <w:rFonts w:ascii="仿宋" w:hAnsi="仿宋" w:eastAsia="仿宋" w:cs="仿宋"/>
          <w:b/>
          <w:color w:val="auto"/>
          <w:sz w:val="44"/>
          <w:szCs w:val="44"/>
          <w:highlight w:val="none"/>
        </w:rPr>
      </w:pPr>
    </w:p>
    <w:p>
      <w:pPr>
        <w:jc w:val="center"/>
        <w:rPr>
          <w:rFonts w:ascii="仿宋" w:hAnsi="仿宋" w:eastAsia="仿宋" w:cs="仿宋"/>
          <w:b/>
          <w:color w:val="auto"/>
          <w:sz w:val="44"/>
          <w:szCs w:val="44"/>
          <w:highlight w:val="none"/>
        </w:rPr>
      </w:pPr>
    </w:p>
    <w:p>
      <w:pPr>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南京市政府采购合同</w:t>
      </w:r>
    </w:p>
    <w:p>
      <w:pPr>
        <w:rPr>
          <w:rFonts w:ascii="仿宋" w:hAnsi="仿宋" w:eastAsia="仿宋" w:cs="仿宋"/>
          <w:color w:val="auto"/>
          <w:sz w:val="44"/>
          <w:szCs w:val="44"/>
          <w:highlight w:val="none"/>
        </w:rPr>
      </w:pPr>
    </w:p>
    <w:p>
      <w:pPr>
        <w:rPr>
          <w:rFonts w:ascii="仿宋" w:hAnsi="仿宋" w:eastAsia="仿宋" w:cs="仿宋"/>
          <w:color w:val="auto"/>
          <w:szCs w:val="21"/>
          <w:highlight w:val="none"/>
        </w:rPr>
      </w:pPr>
    </w:p>
    <w:p>
      <w:pPr>
        <w:rPr>
          <w:rFonts w:ascii="仿宋" w:hAnsi="仿宋" w:eastAsia="仿宋" w:cs="仿宋"/>
          <w:color w:val="auto"/>
          <w:szCs w:val="21"/>
          <w:highlight w:val="none"/>
        </w:rPr>
      </w:pPr>
    </w:p>
    <w:p>
      <w:pPr>
        <w:rPr>
          <w:rFonts w:ascii="仿宋" w:hAnsi="仿宋" w:eastAsia="仿宋" w:cs="仿宋"/>
          <w:color w:val="auto"/>
          <w:szCs w:val="21"/>
          <w:highlight w:val="none"/>
        </w:rPr>
      </w:pPr>
    </w:p>
    <w:p>
      <w:pPr>
        <w:rPr>
          <w:rFonts w:ascii="仿宋" w:hAnsi="仿宋" w:eastAsia="仿宋" w:cs="仿宋"/>
          <w:color w:val="auto"/>
          <w:szCs w:val="21"/>
          <w:highlight w:val="none"/>
        </w:rPr>
      </w:pPr>
    </w:p>
    <w:p>
      <w:pPr>
        <w:rPr>
          <w:rFonts w:ascii="仿宋" w:hAnsi="仿宋" w:eastAsia="仿宋" w:cs="仿宋"/>
          <w:color w:val="auto"/>
          <w:szCs w:val="21"/>
          <w:highlight w:val="none"/>
        </w:rPr>
      </w:pPr>
    </w:p>
    <w:p>
      <w:pPr>
        <w:rPr>
          <w:rFonts w:ascii="仿宋" w:hAnsi="仿宋" w:eastAsia="仿宋" w:cs="仿宋"/>
          <w:color w:val="auto"/>
          <w:szCs w:val="21"/>
          <w:highlight w:val="none"/>
        </w:rPr>
      </w:pPr>
    </w:p>
    <w:p>
      <w:pPr>
        <w:spacing w:line="480" w:lineRule="auto"/>
        <w:ind w:firstLine="2249" w:firstLineChars="8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合同编号:</w:t>
      </w:r>
    </w:p>
    <w:p>
      <w:pPr>
        <w:spacing w:line="480" w:lineRule="auto"/>
        <w:ind w:firstLine="2249" w:firstLineChars="8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p>
      <w:pPr>
        <w:spacing w:line="480" w:lineRule="auto"/>
        <w:ind w:firstLine="2249" w:firstLineChars="8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采购</w:t>
      </w:r>
      <w:r>
        <w:rPr>
          <w:rFonts w:hint="eastAsia" w:ascii="仿宋" w:hAnsi="仿宋" w:eastAsia="仿宋" w:cs="仿宋"/>
          <w:b/>
          <w:bCs/>
          <w:color w:val="auto"/>
          <w:sz w:val="28"/>
          <w:szCs w:val="28"/>
          <w:highlight w:val="none"/>
        </w:rPr>
        <w:t>单位:</w:t>
      </w:r>
    </w:p>
    <w:p>
      <w:pPr>
        <w:spacing w:line="480" w:lineRule="auto"/>
        <w:ind w:firstLine="2249" w:firstLineChars="8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服务</w:t>
      </w:r>
      <w:r>
        <w:rPr>
          <w:rFonts w:hint="eastAsia" w:ascii="仿宋" w:hAnsi="仿宋" w:eastAsia="仿宋" w:cs="仿宋"/>
          <w:b/>
          <w:bCs/>
          <w:color w:val="auto"/>
          <w:sz w:val="28"/>
          <w:szCs w:val="28"/>
          <w:highlight w:val="none"/>
        </w:rPr>
        <w:t>单位:</w:t>
      </w:r>
    </w:p>
    <w:p>
      <w:pPr>
        <w:spacing w:line="480" w:lineRule="auto"/>
        <w:ind w:firstLine="2249" w:firstLineChars="8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签订日期:</w:t>
      </w:r>
    </w:p>
    <w:p>
      <w:pPr>
        <w:spacing w:line="480" w:lineRule="auto"/>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rPr>
          <w:rFonts w:ascii="仿宋" w:hAnsi="仿宋" w:eastAsia="仿宋" w:cs="仿宋"/>
          <w:b/>
          <w:bCs/>
          <w:color w:val="auto"/>
          <w:sz w:val="28"/>
          <w:szCs w:val="28"/>
          <w:highlight w:val="none"/>
        </w:rPr>
      </w:pPr>
    </w:p>
    <w:p>
      <w:pPr>
        <w:spacing w:line="48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南京市工商行政管理局</w:t>
      </w:r>
    </w:p>
    <w:p>
      <w:pPr>
        <w:spacing w:line="480" w:lineRule="auto"/>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南京市财政局监制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tbl>
      <w:tblPr>
        <w:tblStyle w:val="27"/>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采购人（以下称甲方） </w:t>
            </w:r>
          </w:p>
        </w:tc>
        <w:tc>
          <w:tcPr>
            <w:tcW w:w="4643" w:type="dxa"/>
            <w:tcBorders>
              <w:top w:val="nil"/>
              <w:left w:val="nil"/>
              <w:bottom w:val="nil"/>
              <w:right w:val="nil"/>
            </w:tcBorders>
          </w:tcPr>
          <w:p>
            <w:pPr>
              <w:autoSpaceDE w:val="0"/>
              <w:autoSpaceDN w:val="0"/>
              <w:adjustRightInd w:val="0"/>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供应商：（以下称乙方）</w:t>
            </w:r>
          </w:p>
          <w:p>
            <w:pPr>
              <w:autoSpaceDE w:val="0"/>
              <w:autoSpaceDN w:val="0"/>
              <w:adjustRightInd w:val="0"/>
              <w:spacing w:line="360" w:lineRule="auto"/>
              <w:rPr>
                <w:rFonts w:ascii="仿宋" w:hAnsi="仿宋" w:eastAsia="仿宋" w:cs="仿宋"/>
                <w:color w:val="auto"/>
                <w:sz w:val="24"/>
                <w:szCs w:val="24"/>
                <w:highlight w:val="none"/>
                <w:lang w:val="zh-CN"/>
              </w:rPr>
            </w:pPr>
          </w:p>
        </w:tc>
      </w:tr>
      <w:tr>
        <w:tblPrEx>
          <w:tblCellMar>
            <w:top w:w="0" w:type="dxa"/>
            <w:left w:w="0" w:type="dxa"/>
            <w:bottom w:w="0" w:type="dxa"/>
            <w:right w:w="0" w:type="dxa"/>
          </w:tblCellMar>
        </w:tblPrEx>
        <w:tc>
          <w:tcPr>
            <w:tcW w:w="4643" w:type="dxa"/>
            <w:tcBorders>
              <w:top w:val="nil"/>
              <w:left w:val="nil"/>
              <w:bottom w:val="nil"/>
              <w:right w:val="nil"/>
            </w:tcBorders>
          </w:tcPr>
          <w:p>
            <w:pPr>
              <w:autoSpaceDE w:val="0"/>
              <w:autoSpaceDN w:val="0"/>
              <w:adjustRightIn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住所地：</w:t>
            </w:r>
          </w:p>
        </w:tc>
        <w:tc>
          <w:tcPr>
            <w:tcW w:w="4643" w:type="dxa"/>
            <w:tcBorders>
              <w:top w:val="nil"/>
              <w:left w:val="nil"/>
              <w:bottom w:val="nil"/>
              <w:right w:val="nil"/>
            </w:tcBorders>
          </w:tcPr>
          <w:p>
            <w:pPr>
              <w:autoSpaceDE w:val="0"/>
              <w:autoSpaceDN w:val="0"/>
              <w:adjustRightIn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住所地：</w:t>
            </w:r>
          </w:p>
        </w:tc>
      </w:tr>
    </w:tbl>
    <w:p>
      <w:pPr>
        <w:autoSpaceDE w:val="0"/>
        <w:autoSpaceDN w:val="0"/>
        <w:adjustRightIn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根据《中华人民共和国政府采购法》、《中华人民共和国民法典》等法律法规的规定，甲乙双方按照</w:t>
      </w:r>
      <w:r>
        <w:rPr>
          <w:rFonts w:hint="eastAsia" w:ascii="仿宋" w:hAnsi="仿宋" w:eastAsia="仿宋" w:cs="仿宋"/>
          <w:color w:val="auto"/>
          <w:sz w:val="24"/>
          <w:szCs w:val="24"/>
          <w:highlight w:val="none"/>
        </w:rPr>
        <w:t>代理公司</w:t>
      </w:r>
      <w:r>
        <w:rPr>
          <w:rFonts w:hint="eastAsia" w:ascii="仿宋" w:hAnsi="仿宋" w:eastAsia="仿宋" w:cs="仿宋"/>
          <w:color w:val="auto"/>
          <w:sz w:val="24"/>
          <w:szCs w:val="24"/>
          <w:highlight w:val="none"/>
          <w:lang w:val="zh-CN"/>
        </w:rPr>
        <w:t>的</w:t>
      </w:r>
      <w:r>
        <w:rPr>
          <w:rFonts w:hint="eastAsia" w:ascii="仿宋" w:hAnsi="仿宋" w:eastAsia="仿宋" w:cs="仿宋"/>
          <w:color w:val="auto"/>
          <w:sz w:val="24"/>
          <w:szCs w:val="24"/>
          <w:highlight w:val="none"/>
        </w:rPr>
        <w:t>竞争性磋商</w:t>
      </w:r>
      <w:r>
        <w:rPr>
          <w:rFonts w:hint="eastAsia" w:ascii="仿宋" w:hAnsi="仿宋" w:eastAsia="仿宋" w:cs="仿宋"/>
          <w:color w:val="auto"/>
          <w:sz w:val="24"/>
          <w:szCs w:val="24"/>
          <w:highlight w:val="none"/>
          <w:lang w:val="zh-CN"/>
        </w:rPr>
        <w:t>结果签订本合同。</w:t>
      </w:r>
    </w:p>
    <w:p>
      <w:pPr>
        <w:autoSpaceDE w:val="0"/>
        <w:autoSpaceDN w:val="0"/>
        <w:adjustRightInd w:val="0"/>
        <w:spacing w:line="360" w:lineRule="auto"/>
        <w:ind w:firstLine="420"/>
        <w:rPr>
          <w:rFonts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第一条</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zh-CN"/>
        </w:rPr>
        <w:t>合同标的</w:t>
      </w:r>
      <w:r>
        <w:rPr>
          <w:rFonts w:hint="eastAsia" w:ascii="仿宋" w:hAnsi="仿宋" w:eastAsia="仿宋" w:cs="仿宋"/>
          <w:color w:val="auto"/>
          <w:sz w:val="24"/>
          <w:szCs w:val="24"/>
          <w:highlight w:val="none"/>
          <w:lang w:val="zh-CN"/>
        </w:rPr>
        <w:t>乙方根据甲方需求提供下列服务：</w:t>
      </w:r>
      <w:r>
        <w:rPr>
          <w:rFonts w:hint="eastAsia" w:ascii="仿宋" w:hAnsi="仿宋" w:eastAsia="仿宋" w:cs="仿宋"/>
          <w:color w:val="auto"/>
          <w:sz w:val="24"/>
          <w:szCs w:val="24"/>
          <w:highlight w:val="none"/>
          <w:u w:val="single"/>
          <w:lang w:eastAsia="zh-CN"/>
        </w:rPr>
        <w:t>南京市雨花台中学春江分校2024年度校园安保服务</w:t>
      </w:r>
      <w:r>
        <w:rPr>
          <w:rFonts w:hint="eastAsia" w:ascii="仿宋" w:hAnsi="仿宋" w:eastAsia="仿宋" w:cs="仿宋"/>
          <w:color w:val="auto"/>
          <w:sz w:val="24"/>
          <w:szCs w:val="24"/>
          <w:highlight w:val="none"/>
          <w:lang w:val="zh-CN"/>
        </w:rPr>
        <w:t>，详见乙方响应文件。</w:t>
      </w:r>
    </w:p>
    <w:p>
      <w:pPr>
        <w:autoSpaceDE w:val="0"/>
        <w:autoSpaceDN w:val="0"/>
        <w:adjustRightInd w:val="0"/>
        <w:spacing w:line="360" w:lineRule="auto"/>
        <w:ind w:firstLine="420"/>
        <w:rPr>
          <w:rFonts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第二条</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zh-CN"/>
        </w:rPr>
        <w:t>合同总价款</w:t>
      </w:r>
      <w:r>
        <w:rPr>
          <w:rFonts w:hint="eastAsia" w:ascii="仿宋" w:hAnsi="仿宋" w:eastAsia="仿宋" w:cs="仿宋"/>
          <w:color w:val="auto"/>
          <w:sz w:val="24"/>
          <w:szCs w:val="24"/>
          <w:highlight w:val="none"/>
          <w:lang w:val="zh-CN"/>
        </w:rPr>
        <w:t>本合同项下服务总价款为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（大写）人民币，分项价款在“投标报价表”中有明确规定。</w:t>
      </w:r>
    </w:p>
    <w:p>
      <w:pPr>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本合同总价款是完成本项目所发生的所有含税费用、支付给员工的工资</w:t>
      </w:r>
      <w:r>
        <w:rPr>
          <w:rFonts w:hint="eastAsia" w:ascii="仿宋" w:hAnsi="仿宋" w:eastAsia="仿宋" w:cs="仿宋"/>
          <w:color w:val="auto"/>
          <w:sz w:val="24"/>
          <w:szCs w:val="24"/>
          <w:highlight w:val="none"/>
          <w:lang w:val="en-US" w:eastAsia="zh-CN"/>
        </w:rPr>
        <w:t>及加班工资（含各种福利费用）</w:t>
      </w:r>
      <w:r>
        <w:rPr>
          <w:rFonts w:hint="eastAsia" w:ascii="仿宋" w:hAnsi="仿宋" w:eastAsia="仿宋" w:cs="仿宋"/>
          <w:color w:val="auto"/>
          <w:sz w:val="24"/>
          <w:szCs w:val="24"/>
          <w:highlight w:val="none"/>
          <w:lang w:val="zh-CN"/>
        </w:rPr>
        <w:t>和国家强制缴纳的各种社会保障资金</w:t>
      </w:r>
      <w:r>
        <w:rPr>
          <w:rFonts w:hint="eastAsia" w:ascii="仿宋" w:hAnsi="仿宋" w:eastAsia="仿宋" w:cs="仿宋"/>
          <w:bCs/>
          <w:color w:val="auto"/>
          <w:sz w:val="24"/>
          <w:szCs w:val="24"/>
          <w:highlight w:val="none"/>
        </w:rPr>
        <w:t>，以</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认为需要的其他费用等</w:t>
      </w:r>
      <w:r>
        <w:rPr>
          <w:rFonts w:hint="eastAsia" w:ascii="仿宋" w:hAnsi="仿宋" w:eastAsia="仿宋" w:cs="仿宋"/>
          <w:color w:val="auto"/>
          <w:sz w:val="24"/>
          <w:szCs w:val="24"/>
          <w:highlight w:val="none"/>
          <w:lang w:val="zh-CN"/>
        </w:rPr>
        <w:t>。</w:t>
      </w:r>
    </w:p>
    <w:p>
      <w:pPr>
        <w:autoSpaceDE w:val="0"/>
        <w:autoSpaceDN w:val="0"/>
        <w:adjustRightInd w:val="0"/>
        <w:spacing w:line="360" w:lineRule="auto"/>
        <w:ind w:firstLine="472" w:firstLineChars="196"/>
        <w:rPr>
          <w:rFonts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lang w:val="zh-CN"/>
        </w:rPr>
        <w:t>第三条</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zh-CN"/>
        </w:rPr>
        <w:t>组成本合同的有关文件</w:t>
      </w:r>
      <w:r>
        <w:rPr>
          <w:rFonts w:hint="eastAsia" w:ascii="仿宋" w:hAnsi="仿宋" w:eastAsia="仿宋" w:cs="仿宋"/>
          <w:color w:val="auto"/>
          <w:sz w:val="24"/>
          <w:szCs w:val="24"/>
          <w:highlight w:val="none"/>
          <w:lang w:val="zh-CN"/>
        </w:rPr>
        <w:t>下列关于</w:t>
      </w:r>
      <w:r>
        <w:rPr>
          <w:rFonts w:hint="eastAsia" w:ascii="仿宋" w:hAnsi="仿宋" w:eastAsia="仿宋" w:cs="仿宋"/>
          <w:color w:val="auto"/>
          <w:sz w:val="24"/>
          <w:szCs w:val="24"/>
          <w:highlight w:val="none"/>
          <w:u w:val="single"/>
          <w:lang w:val="zh-CN"/>
        </w:rPr>
        <w:t>JSTL-CS-2023106</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的</w:t>
      </w:r>
      <w:r>
        <w:rPr>
          <w:rFonts w:hint="eastAsia" w:ascii="仿宋" w:hAnsi="仿宋" w:eastAsia="仿宋" w:cs="仿宋"/>
          <w:color w:val="auto"/>
          <w:sz w:val="24"/>
          <w:szCs w:val="24"/>
          <w:highlight w:val="none"/>
        </w:rPr>
        <w:t>竞争性磋商文件及</w:t>
      </w:r>
      <w:r>
        <w:rPr>
          <w:rFonts w:hint="eastAsia" w:ascii="仿宋" w:hAnsi="仿宋" w:eastAsia="仿宋" w:cs="仿宋"/>
          <w:color w:val="auto"/>
          <w:sz w:val="24"/>
          <w:szCs w:val="24"/>
          <w:highlight w:val="none"/>
          <w:lang w:val="zh-CN"/>
        </w:rPr>
        <w:t>响应文件或与本次采购活动方式相适应的文件及有关附件是本合同不可分割的组成部分，与本合同具有同等法律效力，这些文件包括但不限于：</w:t>
      </w:r>
    </w:p>
    <w:p>
      <w:pPr>
        <w:autoSpaceDE w:val="0"/>
        <w:autoSpaceDN w:val="0"/>
        <w:adjustRightInd w:val="0"/>
        <w:spacing w:line="360" w:lineRule="auto"/>
        <w:ind w:firstLine="42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（1）乙方提供的响应文件和投标报价表；</w:t>
      </w:r>
    </w:p>
    <w:p>
      <w:pPr>
        <w:autoSpaceDE w:val="0"/>
        <w:autoSpaceDN w:val="0"/>
        <w:adjustRightInd w:val="0"/>
        <w:spacing w:line="360" w:lineRule="auto"/>
        <w:ind w:firstLine="42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成交</w:t>
      </w:r>
      <w:r>
        <w:rPr>
          <w:rFonts w:hint="eastAsia" w:ascii="仿宋" w:hAnsi="仿宋" w:eastAsia="仿宋" w:cs="仿宋"/>
          <w:color w:val="auto"/>
          <w:sz w:val="24"/>
          <w:szCs w:val="24"/>
          <w:highlight w:val="none"/>
          <w:lang w:val="zh-CN"/>
        </w:rPr>
        <w:t>通知书；</w:t>
      </w:r>
    </w:p>
    <w:p>
      <w:pPr>
        <w:autoSpaceDE w:val="0"/>
        <w:autoSpaceDN w:val="0"/>
        <w:adjustRightInd w:val="0"/>
        <w:spacing w:line="360" w:lineRule="auto"/>
        <w:ind w:firstLine="420"/>
        <w:jc w:val="lef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rPr>
        <w:t>）甲乙双方商定的其他文件等。</w:t>
      </w:r>
    </w:p>
    <w:p>
      <w:pPr>
        <w:autoSpaceDE w:val="0"/>
        <w:autoSpaceDN w:val="0"/>
        <w:adjustRightInd w:val="0"/>
        <w:spacing w:line="360" w:lineRule="auto"/>
        <w:ind w:firstLine="420"/>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第四条权利保证</w:t>
      </w:r>
    </w:p>
    <w:p>
      <w:pPr>
        <w:autoSpaceDE w:val="0"/>
        <w:autoSpaceDN w:val="0"/>
        <w:adjustRightInd w:val="0"/>
        <w:spacing w:line="360" w:lineRule="auto"/>
        <w:ind w:firstLine="420"/>
        <w:rPr>
          <w:rFonts w:ascii="仿宋" w:hAnsi="仿宋" w:eastAsia="仿宋"/>
          <w:color w:val="auto"/>
          <w:sz w:val="24"/>
          <w:highlight w:val="none"/>
          <w:lang w:val="zh-CN"/>
        </w:rPr>
      </w:pPr>
      <w:r>
        <w:rPr>
          <w:rFonts w:hint="eastAsia" w:ascii="仿宋" w:hAnsi="仿宋" w:eastAsia="仿宋"/>
          <w:color w:val="auto"/>
          <w:sz w:val="24"/>
          <w:highlight w:val="none"/>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360" w:lineRule="auto"/>
        <w:ind w:firstLine="420"/>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第五条质量保证</w:t>
      </w:r>
    </w:p>
    <w:p>
      <w:pPr>
        <w:autoSpaceDE w:val="0"/>
        <w:autoSpaceDN w:val="0"/>
        <w:adjustRightInd w:val="0"/>
        <w:spacing w:line="360" w:lineRule="auto"/>
        <w:ind w:firstLine="420"/>
        <w:rPr>
          <w:rFonts w:ascii="仿宋" w:hAnsi="仿宋" w:eastAsia="仿宋"/>
          <w:color w:val="auto"/>
          <w:sz w:val="24"/>
          <w:highlight w:val="none"/>
          <w:lang w:val="zh-CN"/>
        </w:rPr>
      </w:pPr>
      <w:r>
        <w:rPr>
          <w:rFonts w:hint="eastAsia" w:ascii="仿宋" w:hAnsi="仿宋" w:eastAsia="仿宋"/>
          <w:color w:val="auto"/>
          <w:sz w:val="24"/>
          <w:highlight w:val="none"/>
          <w:lang w:val="zh-CN"/>
        </w:rPr>
        <w:t>乙方所提供的服务的技术规格应与竞争性</w:t>
      </w:r>
      <w:r>
        <w:rPr>
          <w:rFonts w:hint="eastAsia" w:ascii="仿宋" w:hAnsi="仿宋" w:eastAsia="仿宋"/>
          <w:color w:val="auto"/>
          <w:sz w:val="24"/>
          <w:highlight w:val="none"/>
          <w:lang w:val="en-US" w:eastAsia="zh-CN"/>
        </w:rPr>
        <w:t>磋商</w:t>
      </w:r>
      <w:r>
        <w:rPr>
          <w:rFonts w:hint="eastAsia" w:ascii="仿宋" w:hAnsi="仿宋" w:eastAsia="仿宋"/>
          <w:color w:val="auto"/>
          <w:sz w:val="24"/>
          <w:highlight w:val="none"/>
          <w:lang w:val="zh-CN"/>
        </w:rPr>
        <w:t>文件规定的相一致；若技术性能无特殊说明，则按国家有关部门最新颁布的标准及规范为准。</w:t>
      </w:r>
    </w:p>
    <w:p>
      <w:pPr>
        <w:autoSpaceDE w:val="0"/>
        <w:autoSpaceDN w:val="0"/>
        <w:adjustRightInd w:val="0"/>
        <w:spacing w:line="360" w:lineRule="auto"/>
        <w:ind w:firstLine="420"/>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第六条交付和验收</w:t>
      </w:r>
    </w:p>
    <w:p>
      <w:pPr>
        <w:autoSpaceDE w:val="0"/>
        <w:autoSpaceDN w:val="0"/>
        <w:adjustRightInd w:val="0"/>
        <w:spacing w:line="360" w:lineRule="auto"/>
        <w:ind w:firstLine="420"/>
        <w:rPr>
          <w:rFonts w:ascii="仿宋" w:hAnsi="仿宋" w:eastAsia="仿宋"/>
          <w:color w:val="auto"/>
          <w:sz w:val="24"/>
          <w:highlight w:val="none"/>
          <w:lang w:val="zh-CN"/>
        </w:rPr>
      </w:pPr>
      <w:r>
        <w:rPr>
          <w:rFonts w:hint="eastAsia" w:ascii="仿宋" w:hAnsi="仿宋" w:eastAsia="仿宋"/>
          <w:color w:val="auto"/>
          <w:sz w:val="24"/>
          <w:highlight w:val="none"/>
          <w:lang w:val="zh-CN"/>
        </w:rPr>
        <w:t>1、</w:t>
      </w:r>
      <w:r>
        <w:rPr>
          <w:rFonts w:hint="eastAsia" w:ascii="仿宋" w:hAnsi="仿宋" w:eastAsia="仿宋"/>
          <w:color w:val="auto"/>
          <w:sz w:val="24"/>
          <w:highlight w:val="none"/>
          <w:lang w:val="en-US" w:eastAsia="zh-CN"/>
        </w:rPr>
        <w:t>服务期限：202</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年</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月</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日至202</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年</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月</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日</w:t>
      </w:r>
      <w:r>
        <w:rPr>
          <w:rFonts w:hint="eastAsia" w:ascii="仿宋" w:hAnsi="仿宋" w:eastAsia="仿宋"/>
          <w:color w:val="auto"/>
          <w:sz w:val="24"/>
          <w:highlight w:val="none"/>
          <w:lang w:val="zh-CN"/>
        </w:rPr>
        <w:t>。</w:t>
      </w:r>
    </w:p>
    <w:p>
      <w:pPr>
        <w:autoSpaceDE w:val="0"/>
        <w:autoSpaceDN w:val="0"/>
        <w:adjustRightInd w:val="0"/>
        <w:spacing w:line="360" w:lineRule="auto"/>
        <w:ind w:firstLine="420"/>
        <w:rPr>
          <w:rFonts w:ascii="仿宋" w:hAnsi="仿宋" w:eastAsia="仿宋"/>
          <w:color w:val="auto"/>
          <w:sz w:val="24"/>
          <w:highlight w:val="none"/>
          <w:lang w:val="zh-CN"/>
        </w:rPr>
      </w:pPr>
      <w:r>
        <w:rPr>
          <w:rFonts w:ascii="仿宋" w:hAnsi="仿宋" w:eastAsia="仿宋"/>
          <w:color w:val="auto"/>
          <w:sz w:val="24"/>
          <w:highlight w:val="none"/>
          <w:lang w:val="zh-CN"/>
        </w:rPr>
        <w:t>2</w:t>
      </w:r>
      <w:r>
        <w:rPr>
          <w:rFonts w:hint="eastAsia" w:ascii="仿宋" w:hAnsi="仿宋" w:eastAsia="仿宋"/>
          <w:color w:val="auto"/>
          <w:sz w:val="24"/>
          <w:highlight w:val="none"/>
          <w:lang w:val="zh-CN"/>
        </w:rPr>
        <w:t>、验收标准：按行业通行标准进行验收。</w:t>
      </w:r>
    </w:p>
    <w:p>
      <w:pPr>
        <w:autoSpaceDE w:val="0"/>
        <w:autoSpaceDN w:val="0"/>
        <w:adjustRightInd w:val="0"/>
        <w:spacing w:line="360" w:lineRule="auto"/>
        <w:ind w:firstLine="420"/>
        <w:rPr>
          <w:rFonts w:ascii="仿宋" w:hAnsi="仿宋" w:eastAsia="仿宋"/>
          <w:b/>
          <w:bCs/>
          <w:i/>
          <w:iCs/>
          <w:color w:val="auto"/>
          <w:sz w:val="24"/>
          <w:highlight w:val="none"/>
          <w:lang w:val="zh-CN"/>
        </w:rPr>
      </w:pPr>
      <w:r>
        <w:rPr>
          <w:rFonts w:hint="eastAsia" w:ascii="仿宋" w:hAnsi="仿宋" w:eastAsia="仿宋"/>
          <w:b/>
          <w:bCs/>
          <w:color w:val="auto"/>
          <w:sz w:val="24"/>
          <w:highlight w:val="none"/>
          <w:lang w:val="zh-CN"/>
        </w:rPr>
        <w:t>第七条服务费用及支付方式</w:t>
      </w:r>
    </w:p>
    <w:p>
      <w:pPr>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、服务费用：每名</w:t>
      </w:r>
      <w:r>
        <w:rPr>
          <w:rFonts w:hint="eastAsia" w:ascii="仿宋" w:hAnsi="仿宋" w:eastAsia="仿宋"/>
          <w:color w:val="auto"/>
          <w:sz w:val="24"/>
          <w:highlight w:val="none"/>
          <w:lang w:val="en-US" w:eastAsia="zh-CN"/>
        </w:rPr>
        <w:t>安保</w:t>
      </w:r>
      <w:r>
        <w:rPr>
          <w:rFonts w:hint="eastAsia" w:ascii="仿宋" w:hAnsi="仿宋" w:eastAsia="仿宋"/>
          <w:color w:val="auto"/>
          <w:sz w:val="24"/>
          <w:highlight w:val="none"/>
        </w:rPr>
        <w:t>人员每月服务费与报价一致，每人每月服务费为人民币</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元，每月提供</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人，每月小计服务费人民币</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元；年合计服务费人民币</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大写</w:t>
      </w:r>
      <w:r>
        <w:rPr>
          <w:rFonts w:hint="eastAsia" w:ascii="仿宋" w:hAnsi="仿宋" w:eastAsia="仿宋"/>
          <w:color w:val="auto"/>
          <w:sz w:val="24"/>
          <w:highlight w:val="none"/>
          <w:lang w:eastAsia="zh-CN"/>
        </w:rPr>
        <w:t>）</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万元整。此费用包含</w:t>
      </w:r>
      <w:r>
        <w:rPr>
          <w:rFonts w:hint="eastAsia" w:ascii="仿宋" w:hAnsi="仿宋" w:eastAsia="仿宋"/>
          <w:color w:val="auto"/>
          <w:sz w:val="24"/>
          <w:highlight w:val="none"/>
          <w:lang w:val="en-US" w:eastAsia="zh-CN"/>
        </w:rPr>
        <w:t>加班费、</w:t>
      </w:r>
      <w:r>
        <w:rPr>
          <w:rFonts w:hint="eastAsia" w:ascii="仿宋" w:hAnsi="仿宋" w:eastAsia="仿宋"/>
          <w:color w:val="auto"/>
          <w:sz w:val="24"/>
          <w:highlight w:val="none"/>
        </w:rPr>
        <w:t>餐费、住宿费、服装费、保险费、装备费等。</w:t>
      </w:r>
    </w:p>
    <w:p>
      <w:pPr>
        <w:spacing w:line="360" w:lineRule="auto"/>
        <w:ind w:firstLine="480" w:firstLineChars="200"/>
        <w:jc w:val="left"/>
        <w:rPr>
          <w:rFonts w:ascii="仿宋" w:hAnsi="仿宋" w:eastAsia="仿宋"/>
          <w:color w:val="auto"/>
          <w:sz w:val="24"/>
          <w:highlight w:val="none"/>
          <w:lang w:val="zh-CN"/>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、支付方式：乙方应依据甲方提供的考勤核算</w:t>
      </w:r>
      <w:r>
        <w:rPr>
          <w:rFonts w:hint="eastAsia" w:ascii="仿宋" w:hAnsi="仿宋" w:eastAsia="仿宋"/>
          <w:color w:val="auto"/>
          <w:sz w:val="24"/>
          <w:highlight w:val="none"/>
          <w:lang w:val="en-US" w:eastAsia="zh-CN"/>
        </w:rPr>
        <w:t>当</w:t>
      </w:r>
      <w:r>
        <w:rPr>
          <w:rFonts w:hint="eastAsia" w:ascii="仿宋" w:hAnsi="仿宋" w:eastAsia="仿宋"/>
          <w:color w:val="auto"/>
          <w:sz w:val="24"/>
          <w:highlight w:val="none"/>
        </w:rPr>
        <w:t>月发生的费用，并</w:t>
      </w:r>
      <w:r>
        <w:rPr>
          <w:rFonts w:hint="eastAsia" w:ascii="仿宋" w:hAnsi="仿宋" w:eastAsia="仿宋"/>
          <w:color w:val="auto"/>
          <w:sz w:val="24"/>
          <w:highlight w:val="none"/>
          <w:lang w:val="en-US" w:eastAsia="zh-CN"/>
        </w:rPr>
        <w:t>在次</w:t>
      </w:r>
      <w:r>
        <w:rPr>
          <w:rFonts w:hint="eastAsia" w:ascii="仿宋" w:hAnsi="仿宋" w:eastAsia="仿宋"/>
          <w:color w:val="auto"/>
          <w:sz w:val="24"/>
          <w:highlight w:val="none"/>
        </w:rPr>
        <w:t>月5日前向甲方开具发票，甲方收到发票后7个工作日内以</w:t>
      </w:r>
      <w:r>
        <w:rPr>
          <w:rFonts w:hint="eastAsia" w:ascii="仿宋" w:hAnsi="仿宋" w:eastAsia="仿宋"/>
          <w:color w:val="auto"/>
          <w:sz w:val="24"/>
          <w:highlight w:val="none"/>
          <w:u w:val="singl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方式向乙方支付</w:t>
      </w:r>
      <w:r>
        <w:rPr>
          <w:rFonts w:hint="eastAsia" w:ascii="仿宋" w:hAnsi="仿宋" w:eastAsia="仿宋"/>
          <w:color w:val="auto"/>
          <w:sz w:val="24"/>
          <w:highlight w:val="none"/>
          <w:lang w:val="en-US" w:eastAsia="zh-CN"/>
        </w:rPr>
        <w:t>当月</w:t>
      </w:r>
      <w:r>
        <w:rPr>
          <w:rFonts w:hint="eastAsia" w:ascii="仿宋" w:hAnsi="仿宋" w:eastAsia="仿宋"/>
          <w:color w:val="auto"/>
          <w:sz w:val="24"/>
          <w:highlight w:val="none"/>
        </w:rPr>
        <w:t>费用。</w:t>
      </w:r>
    </w:p>
    <w:p>
      <w:pPr>
        <w:autoSpaceDE w:val="0"/>
        <w:autoSpaceDN w:val="0"/>
        <w:adjustRightInd w:val="0"/>
        <w:spacing w:line="360" w:lineRule="auto"/>
        <w:ind w:firstLine="420"/>
        <w:jc w:val="left"/>
        <w:rPr>
          <w:rFonts w:ascii="仿宋" w:hAnsi="仿宋" w:eastAsia="仿宋"/>
          <w:b/>
          <w:bCs/>
          <w:color w:val="auto"/>
          <w:sz w:val="24"/>
          <w:highlight w:val="none"/>
          <w:lang w:val="zh-CN"/>
        </w:rPr>
      </w:pPr>
      <w:r>
        <w:rPr>
          <w:rFonts w:hint="eastAsia" w:ascii="仿宋" w:hAnsi="仿宋" w:eastAsia="仿宋"/>
          <w:b/>
          <w:bCs/>
          <w:color w:val="auto"/>
          <w:sz w:val="24"/>
          <w:highlight w:val="none"/>
          <w:lang w:val="zh-CN"/>
        </w:rPr>
        <w:t>第八条违约责任</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１、甲方无正当理由拒收服务、拒付服务款的，由甲方向乙方偿付合同总价的</w:t>
      </w:r>
      <w:r>
        <w:rPr>
          <w:rFonts w:ascii="仿宋" w:hAnsi="仿宋" w:eastAsia="仿宋" w:cs="宋体"/>
          <w:color w:val="auto"/>
          <w:sz w:val="24"/>
          <w:highlight w:val="none"/>
          <w:lang w:val="zh-CN"/>
        </w:rPr>
        <w:t>5%</w:t>
      </w:r>
      <w:r>
        <w:rPr>
          <w:rFonts w:hint="eastAsia" w:ascii="仿宋" w:hAnsi="仿宋" w:eastAsia="仿宋" w:cs="宋体"/>
          <w:color w:val="auto"/>
          <w:sz w:val="24"/>
          <w:highlight w:val="none"/>
          <w:lang w:val="zh-CN"/>
        </w:rPr>
        <w:t>违约金。</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２、甲方未按合同规定的期限向乙方支付总价款的，每逾期</w:t>
      </w:r>
      <w:r>
        <w:rPr>
          <w:rFonts w:ascii="仿宋" w:hAnsi="仿宋" w:eastAsia="仿宋" w:cs="宋体"/>
          <w:color w:val="auto"/>
          <w:sz w:val="24"/>
          <w:highlight w:val="none"/>
          <w:lang w:val="zh-CN"/>
        </w:rPr>
        <w:t>1</w:t>
      </w:r>
      <w:r>
        <w:rPr>
          <w:rFonts w:hint="eastAsia" w:ascii="仿宋" w:hAnsi="仿宋" w:eastAsia="仿宋" w:cs="宋体"/>
          <w:color w:val="auto"/>
          <w:sz w:val="24"/>
          <w:highlight w:val="none"/>
          <w:lang w:val="zh-CN"/>
        </w:rPr>
        <w:t>天甲方向乙方偿付欠款总额的</w:t>
      </w:r>
      <w:r>
        <w:rPr>
          <w:rFonts w:ascii="仿宋" w:hAnsi="仿宋" w:eastAsia="仿宋" w:cs="宋体"/>
          <w:color w:val="auto"/>
          <w:sz w:val="24"/>
          <w:highlight w:val="none"/>
          <w:lang w:val="zh-CN"/>
        </w:rPr>
        <w:t>5</w:t>
      </w:r>
      <w:r>
        <w:rPr>
          <w:rFonts w:hint="eastAsia" w:ascii="仿宋" w:hAnsi="仿宋" w:eastAsia="仿宋" w:cs="宋体"/>
          <w:color w:val="auto"/>
          <w:sz w:val="24"/>
          <w:highlight w:val="none"/>
          <w:lang w:val="zh-CN"/>
        </w:rPr>
        <w:t>‰逾期违约金，但累计逾期违约金总额不超过欠款总额的</w:t>
      </w:r>
      <w:r>
        <w:rPr>
          <w:rFonts w:ascii="仿宋" w:hAnsi="仿宋" w:eastAsia="仿宋" w:cs="宋体"/>
          <w:color w:val="auto"/>
          <w:sz w:val="24"/>
          <w:highlight w:val="none"/>
          <w:lang w:val="zh-CN"/>
        </w:rPr>
        <w:t xml:space="preserve">5% </w:t>
      </w:r>
      <w:r>
        <w:rPr>
          <w:rFonts w:hint="eastAsia" w:ascii="仿宋" w:hAnsi="仿宋" w:eastAsia="仿宋" w:cs="宋体"/>
          <w:color w:val="auto"/>
          <w:sz w:val="24"/>
          <w:highlight w:val="none"/>
          <w:lang w:val="zh-CN"/>
        </w:rPr>
        <w:t>。</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３、如乙方不能交付服务、完成管护的，乙方应向甲方支付合同总价</w:t>
      </w:r>
      <w:r>
        <w:rPr>
          <w:rFonts w:ascii="仿宋" w:hAnsi="仿宋" w:eastAsia="仿宋" w:cs="宋体"/>
          <w:color w:val="auto"/>
          <w:sz w:val="24"/>
          <w:highlight w:val="none"/>
          <w:lang w:val="zh-CN"/>
        </w:rPr>
        <w:t>5%</w:t>
      </w:r>
      <w:r>
        <w:rPr>
          <w:rFonts w:hint="eastAsia" w:ascii="仿宋" w:hAnsi="仿宋" w:eastAsia="仿宋" w:cs="宋体"/>
          <w:color w:val="auto"/>
          <w:sz w:val="24"/>
          <w:highlight w:val="none"/>
          <w:lang w:val="zh-CN"/>
        </w:rPr>
        <w:t>的违约金。</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４、乙方逾期交付的，每逾期</w:t>
      </w:r>
      <w:r>
        <w:rPr>
          <w:rFonts w:ascii="仿宋" w:hAnsi="仿宋" w:eastAsia="仿宋" w:cs="宋体"/>
          <w:color w:val="auto"/>
          <w:sz w:val="24"/>
          <w:highlight w:val="none"/>
          <w:lang w:val="zh-CN"/>
        </w:rPr>
        <w:t>1</w:t>
      </w:r>
      <w:r>
        <w:rPr>
          <w:rFonts w:hint="eastAsia" w:ascii="仿宋" w:hAnsi="仿宋" w:eastAsia="仿宋" w:cs="宋体"/>
          <w:color w:val="auto"/>
          <w:sz w:val="24"/>
          <w:highlight w:val="none"/>
          <w:lang w:val="zh-CN"/>
        </w:rPr>
        <w:t>天，乙方向甲方偿付合同总额的</w:t>
      </w:r>
      <w:r>
        <w:rPr>
          <w:rFonts w:ascii="仿宋" w:hAnsi="仿宋" w:eastAsia="仿宋" w:cs="宋体"/>
          <w:color w:val="auto"/>
          <w:sz w:val="24"/>
          <w:highlight w:val="none"/>
          <w:lang w:val="zh-CN"/>
        </w:rPr>
        <w:t>5</w:t>
      </w:r>
      <w:r>
        <w:rPr>
          <w:rFonts w:hint="eastAsia" w:ascii="仿宋" w:hAnsi="仿宋" w:eastAsia="仿宋" w:cs="宋体"/>
          <w:color w:val="auto"/>
          <w:sz w:val="24"/>
          <w:highlight w:val="none"/>
          <w:lang w:val="zh-CN"/>
        </w:rPr>
        <w:t>‰的逾期违约金。如乙方逾期交付达</w:t>
      </w:r>
      <w:r>
        <w:rPr>
          <w:rFonts w:ascii="仿宋" w:hAnsi="仿宋" w:eastAsia="仿宋" w:cs="宋体"/>
          <w:color w:val="auto"/>
          <w:sz w:val="24"/>
          <w:highlight w:val="none"/>
          <w:lang w:val="zh-CN"/>
        </w:rPr>
        <w:t>10</w:t>
      </w:r>
      <w:r>
        <w:rPr>
          <w:rFonts w:hint="eastAsia" w:ascii="仿宋" w:hAnsi="仿宋" w:eastAsia="仿宋" w:cs="宋体"/>
          <w:color w:val="auto"/>
          <w:sz w:val="24"/>
          <w:highlight w:val="none"/>
          <w:lang w:val="zh-CN"/>
        </w:rPr>
        <w:t>天，甲方有权解除合同，解除合同的通知自到达乙方时生效。</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5、在乙方承诺的或国家规定的质量保证期内（取两者中最长的期限），如经乙方两次整改仍不能达到合同约定的质量标准，乙方应退回全部合同价款，并按第</w:t>
      </w:r>
      <w:r>
        <w:rPr>
          <w:rFonts w:ascii="仿宋" w:hAnsi="仿宋" w:eastAsia="仿宋" w:cs="宋体"/>
          <w:color w:val="auto"/>
          <w:sz w:val="24"/>
          <w:highlight w:val="none"/>
          <w:lang w:val="zh-CN"/>
        </w:rPr>
        <w:t>3</w:t>
      </w:r>
      <w:r>
        <w:rPr>
          <w:rFonts w:hint="eastAsia" w:ascii="仿宋" w:hAnsi="仿宋" w:eastAsia="仿宋" w:cs="宋体"/>
          <w:color w:val="auto"/>
          <w:sz w:val="24"/>
          <w:highlight w:val="none"/>
          <w:lang w:val="zh-CN"/>
        </w:rPr>
        <w:t>款处理，同时，乙方还须赔偿甲方因此遭受的损失。</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6、乙方在承担上述</w:t>
      </w:r>
      <w:r>
        <w:rPr>
          <w:rFonts w:ascii="仿宋" w:hAnsi="仿宋" w:eastAsia="仿宋" w:cs="宋体"/>
          <w:color w:val="auto"/>
          <w:sz w:val="24"/>
          <w:highlight w:val="none"/>
          <w:lang w:val="zh-CN"/>
        </w:rPr>
        <w:t>4-</w:t>
      </w:r>
      <w:r>
        <w:rPr>
          <w:rFonts w:hint="eastAsia" w:ascii="仿宋" w:hAnsi="仿宋" w:eastAsia="仿宋" w:cs="宋体"/>
          <w:color w:val="auto"/>
          <w:sz w:val="24"/>
          <w:highlight w:val="none"/>
          <w:lang w:val="zh-CN"/>
        </w:rPr>
        <w:t>5款一项或多项违约责任后，仍应继续履行合同规定的义务（甲方解除合同的除外）。甲方未能及时追究乙方的任何一项违约责任并不表明甲方放弃追究乙方该项或其他违约责任。</w:t>
      </w:r>
    </w:p>
    <w:p>
      <w:pPr>
        <w:adjustRightInd w:val="0"/>
        <w:spacing w:line="360" w:lineRule="auto"/>
        <w:ind w:firstLine="420"/>
        <w:rPr>
          <w:rFonts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第九条合同的变更和终止</w:t>
      </w:r>
    </w:p>
    <w:p>
      <w:pPr>
        <w:adjustRightInd w:val="0"/>
        <w:spacing w:line="360" w:lineRule="auto"/>
        <w:ind w:firstLine="480" w:firstLineChars="20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除《政府采购法》第</w:t>
      </w:r>
      <w:r>
        <w:rPr>
          <w:rFonts w:ascii="仿宋" w:hAnsi="仿宋" w:eastAsia="仿宋"/>
          <w:color w:val="auto"/>
          <w:sz w:val="24"/>
          <w:highlight w:val="none"/>
          <w:lang w:val="zh-CN"/>
        </w:rPr>
        <w:t>50</w:t>
      </w:r>
      <w:r>
        <w:rPr>
          <w:rFonts w:hint="eastAsia" w:ascii="仿宋" w:hAnsi="仿宋" w:eastAsia="仿宋" w:cs="宋体"/>
          <w:color w:val="auto"/>
          <w:sz w:val="24"/>
          <w:highlight w:val="none"/>
          <w:lang w:val="zh-CN"/>
        </w:rPr>
        <w:t>条第二款规定的情形外，本合同一经签订，甲乙双方不得擅自变更、中止或终止合同。</w:t>
      </w:r>
    </w:p>
    <w:p>
      <w:pPr>
        <w:adjustRightInd w:val="0"/>
        <w:spacing w:line="360" w:lineRule="auto"/>
        <w:ind w:firstLine="420"/>
        <w:rPr>
          <w:rFonts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第十条合同的转让</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乙方不得擅自部分或全部转让其应履行的合同义务。</w:t>
      </w:r>
    </w:p>
    <w:p>
      <w:pPr>
        <w:adjustRightInd w:val="0"/>
        <w:spacing w:line="360" w:lineRule="auto"/>
        <w:ind w:firstLine="420"/>
        <w:rPr>
          <w:rFonts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第十一条争议的解决</w:t>
      </w:r>
    </w:p>
    <w:p>
      <w:pPr>
        <w:adjustRightInd w:val="0"/>
        <w:spacing w:line="360" w:lineRule="auto"/>
        <w:ind w:firstLine="420"/>
        <w:rPr>
          <w:rFonts w:ascii="仿宋" w:hAnsi="仿宋" w:eastAsia="仿宋" w:cs="宋体"/>
          <w:color w:val="auto"/>
          <w:sz w:val="24"/>
          <w:highlight w:val="none"/>
          <w:lang w:val="zh-CN"/>
        </w:rPr>
      </w:pPr>
      <w:r>
        <w:rPr>
          <w:rFonts w:ascii="仿宋" w:hAnsi="仿宋" w:eastAsia="仿宋" w:cs="宋体"/>
          <w:color w:val="auto"/>
          <w:sz w:val="24"/>
          <w:highlight w:val="none"/>
          <w:lang w:val="zh-CN"/>
        </w:rPr>
        <w:t>1</w:t>
      </w:r>
      <w:r>
        <w:rPr>
          <w:rFonts w:hint="eastAsia" w:ascii="仿宋" w:hAnsi="仿宋" w:eastAsia="仿宋" w:cs="宋体"/>
          <w:color w:val="auto"/>
          <w:sz w:val="24"/>
          <w:highlight w:val="none"/>
          <w:lang w:val="zh-CN"/>
        </w:rPr>
        <w:t>、因服务的质量问题发生争议的，应当邀请国家认可的质量检测机构对服务质量进行鉴定。符合标准的，鉴定费由甲方承担；不符合质量标准的，鉴定费由乙方承担。</w:t>
      </w:r>
    </w:p>
    <w:p>
      <w:pPr>
        <w:adjustRightInd w:val="0"/>
        <w:spacing w:line="360" w:lineRule="auto"/>
        <w:ind w:firstLine="560"/>
        <w:rPr>
          <w:rFonts w:ascii="仿宋" w:hAnsi="仿宋" w:eastAsia="仿宋" w:cs="宋体"/>
          <w:color w:val="auto"/>
          <w:sz w:val="24"/>
          <w:highlight w:val="none"/>
          <w:lang w:val="zh-CN"/>
        </w:rPr>
      </w:pPr>
      <w:r>
        <w:rPr>
          <w:rFonts w:ascii="仿宋" w:hAnsi="仿宋" w:eastAsia="仿宋" w:cs="宋体"/>
          <w:color w:val="auto"/>
          <w:sz w:val="24"/>
          <w:highlight w:val="none"/>
          <w:lang w:val="zh-CN"/>
        </w:rPr>
        <w:t>2</w:t>
      </w:r>
      <w:r>
        <w:rPr>
          <w:rFonts w:hint="eastAsia" w:ascii="仿宋" w:hAnsi="仿宋" w:eastAsia="仿宋" w:cs="宋体"/>
          <w:color w:val="auto"/>
          <w:sz w:val="24"/>
          <w:highlight w:val="none"/>
          <w:lang w:val="zh-CN"/>
        </w:rPr>
        <w:t>、因履行本合同引起的或与本合同有关的争议，甲、乙双方应首先通过友好协商解决，如果协商不能解决争议，则可向甲方所在地有管辖权的人民法院提起诉讼；</w:t>
      </w:r>
    </w:p>
    <w:p>
      <w:pPr>
        <w:adjustRightInd w:val="0"/>
        <w:spacing w:line="360" w:lineRule="auto"/>
        <w:ind w:firstLine="420"/>
        <w:rPr>
          <w:rFonts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第十二条诚实信用</w:t>
      </w:r>
    </w:p>
    <w:p>
      <w:pPr>
        <w:adjustRightInd w:val="0"/>
        <w:spacing w:line="360" w:lineRule="auto"/>
        <w:ind w:firstLine="420"/>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乙方应诚实信用，严格按照竞争性</w:t>
      </w:r>
      <w:r>
        <w:rPr>
          <w:rFonts w:hint="eastAsia" w:ascii="仿宋" w:hAnsi="仿宋" w:eastAsia="仿宋" w:cs="宋体"/>
          <w:color w:val="auto"/>
          <w:sz w:val="24"/>
          <w:highlight w:val="none"/>
          <w:lang w:val="en-US" w:eastAsia="zh-CN"/>
        </w:rPr>
        <w:t>磋商</w:t>
      </w:r>
      <w:r>
        <w:rPr>
          <w:rFonts w:hint="eastAsia" w:ascii="仿宋" w:hAnsi="仿宋" w:eastAsia="仿宋" w:cs="宋体"/>
          <w:color w:val="auto"/>
          <w:sz w:val="24"/>
          <w:highlight w:val="none"/>
          <w:lang w:val="zh-CN"/>
        </w:rPr>
        <w:t>文件要求和</w:t>
      </w:r>
      <w:r>
        <w:rPr>
          <w:rFonts w:hint="eastAsia" w:ascii="仿宋" w:hAnsi="仿宋" w:eastAsia="仿宋" w:cs="宋体"/>
          <w:color w:val="auto"/>
          <w:sz w:val="24"/>
          <w:highlight w:val="none"/>
          <w:lang w:val="en-US" w:eastAsia="zh-CN"/>
        </w:rPr>
        <w:t>响应</w:t>
      </w:r>
      <w:r>
        <w:rPr>
          <w:rFonts w:hint="eastAsia" w:ascii="仿宋" w:hAnsi="仿宋" w:eastAsia="仿宋" w:cs="宋体"/>
          <w:color w:val="auto"/>
          <w:sz w:val="24"/>
          <w:highlight w:val="none"/>
          <w:lang w:val="zh-CN"/>
        </w:rPr>
        <w:t>承诺履行合同，不向甲方进行商业贿赂或者提供不正当利益。</w:t>
      </w:r>
    </w:p>
    <w:p>
      <w:pPr>
        <w:adjustRightInd w:val="0"/>
        <w:spacing w:line="360" w:lineRule="auto"/>
        <w:ind w:firstLine="420"/>
        <w:rPr>
          <w:rFonts w:ascii="仿宋" w:hAnsi="仿宋" w:eastAsia="仿宋" w:cs="宋体"/>
          <w:b/>
          <w:bCs/>
          <w:color w:val="auto"/>
          <w:sz w:val="24"/>
          <w:highlight w:val="none"/>
          <w:lang w:val="zh-CN"/>
        </w:rPr>
      </w:pPr>
      <w:r>
        <w:rPr>
          <w:rFonts w:hint="eastAsia" w:ascii="仿宋" w:hAnsi="仿宋" w:eastAsia="仿宋" w:cs="宋体"/>
          <w:b/>
          <w:bCs/>
          <w:color w:val="auto"/>
          <w:sz w:val="24"/>
          <w:highlight w:val="none"/>
          <w:lang w:val="zh-CN"/>
        </w:rPr>
        <w:t>第十三条合同生效及其他</w:t>
      </w:r>
    </w:p>
    <w:p>
      <w:pPr>
        <w:adjustRightInd w:val="0"/>
        <w:spacing w:line="360" w:lineRule="auto"/>
        <w:ind w:firstLine="420"/>
        <w:rPr>
          <w:rFonts w:ascii="仿宋" w:hAnsi="仿宋" w:eastAsia="仿宋" w:cs="宋体"/>
          <w:color w:val="auto"/>
          <w:sz w:val="24"/>
          <w:highlight w:val="none"/>
          <w:lang w:val="zh-CN"/>
        </w:rPr>
      </w:pPr>
      <w:r>
        <w:rPr>
          <w:rFonts w:ascii="仿宋" w:hAnsi="仿宋" w:eastAsia="仿宋" w:cs="宋体"/>
          <w:color w:val="auto"/>
          <w:sz w:val="24"/>
          <w:highlight w:val="none"/>
          <w:lang w:val="zh-CN"/>
        </w:rPr>
        <w:t>1</w:t>
      </w:r>
      <w:r>
        <w:rPr>
          <w:rFonts w:hint="eastAsia" w:ascii="仿宋" w:hAnsi="仿宋" w:eastAsia="仿宋" w:cs="宋体"/>
          <w:color w:val="auto"/>
          <w:sz w:val="24"/>
          <w:highlight w:val="none"/>
          <w:lang w:val="zh-CN"/>
        </w:rPr>
        <w:t>、本合同自签订之日起签字并</w:t>
      </w:r>
      <w:r>
        <w:rPr>
          <w:rFonts w:hint="eastAsia" w:ascii="仿宋" w:hAnsi="仿宋" w:eastAsia="仿宋" w:cs="宋体"/>
          <w:color w:val="auto"/>
          <w:sz w:val="24"/>
          <w:highlight w:val="none"/>
        </w:rPr>
        <w:t>盖章</w:t>
      </w:r>
      <w:r>
        <w:rPr>
          <w:rFonts w:hint="eastAsia" w:ascii="仿宋" w:hAnsi="仿宋" w:eastAsia="仿宋" w:cs="宋体"/>
          <w:color w:val="auto"/>
          <w:sz w:val="24"/>
          <w:highlight w:val="none"/>
          <w:lang w:val="en-US" w:eastAsia="zh-CN"/>
        </w:rPr>
        <w:t>后</w:t>
      </w:r>
      <w:r>
        <w:rPr>
          <w:rFonts w:hint="eastAsia" w:ascii="仿宋" w:hAnsi="仿宋" w:eastAsia="仿宋" w:cs="宋体"/>
          <w:color w:val="auto"/>
          <w:sz w:val="24"/>
          <w:highlight w:val="none"/>
          <w:lang w:val="zh-CN"/>
        </w:rPr>
        <w:t>生效。</w:t>
      </w:r>
    </w:p>
    <w:p>
      <w:pPr>
        <w:adjustRightInd w:val="0"/>
        <w:spacing w:line="360" w:lineRule="auto"/>
        <w:ind w:firstLine="420"/>
        <w:rPr>
          <w:rFonts w:ascii="仿宋" w:hAnsi="仿宋" w:eastAsia="仿宋" w:cs="宋体"/>
          <w:color w:val="auto"/>
          <w:sz w:val="24"/>
          <w:highlight w:val="none"/>
          <w:lang w:val="zh-CN"/>
        </w:rPr>
      </w:pPr>
      <w:r>
        <w:rPr>
          <w:rFonts w:ascii="仿宋" w:hAnsi="仿宋" w:eastAsia="仿宋" w:cs="宋体"/>
          <w:color w:val="auto"/>
          <w:sz w:val="24"/>
          <w:highlight w:val="none"/>
          <w:lang w:val="zh-CN"/>
        </w:rPr>
        <w:t>2</w:t>
      </w:r>
      <w:r>
        <w:rPr>
          <w:rFonts w:hint="eastAsia" w:ascii="仿宋" w:hAnsi="仿宋" w:eastAsia="仿宋" w:cs="宋体"/>
          <w:color w:val="auto"/>
          <w:sz w:val="24"/>
          <w:highlight w:val="none"/>
          <w:lang w:val="zh-CN"/>
        </w:rPr>
        <w:t>、本合同一式四份，甲乙双方各执一份，一份报送政府采购监督管理部门备案，一份报代理机构备案。</w:t>
      </w:r>
    </w:p>
    <w:p>
      <w:pPr>
        <w:adjustRightInd w:val="0"/>
        <w:spacing w:line="360" w:lineRule="auto"/>
        <w:ind w:firstLine="420"/>
        <w:rPr>
          <w:rFonts w:hint="eastAsia" w:ascii="仿宋" w:hAnsi="仿宋" w:eastAsia="仿宋" w:cs="宋体"/>
          <w:color w:val="auto"/>
          <w:sz w:val="24"/>
          <w:highlight w:val="none"/>
          <w:lang w:val="zh-CN"/>
        </w:rPr>
      </w:pPr>
      <w:r>
        <w:rPr>
          <w:rFonts w:ascii="仿宋" w:hAnsi="仿宋" w:eastAsia="仿宋" w:cs="宋体"/>
          <w:color w:val="auto"/>
          <w:sz w:val="24"/>
          <w:highlight w:val="none"/>
          <w:lang w:val="zh-CN"/>
        </w:rPr>
        <w:t>3</w:t>
      </w:r>
      <w:r>
        <w:rPr>
          <w:rFonts w:hint="eastAsia" w:ascii="仿宋" w:hAnsi="仿宋" w:eastAsia="仿宋" w:cs="宋体"/>
          <w:color w:val="auto"/>
          <w:sz w:val="24"/>
          <w:highlight w:val="none"/>
          <w:lang w:val="zh-CN"/>
        </w:rPr>
        <w:t>、本合同应按照中华人民共和国的现行法律进行解释。</w:t>
      </w:r>
    </w:p>
    <w:p>
      <w:pPr>
        <w:pStyle w:val="36"/>
        <w:keepNext w:val="0"/>
        <w:keepLines w:val="0"/>
        <w:pageBreakBefore w:val="0"/>
        <w:widowControl w:val="0"/>
        <w:kinsoku/>
        <w:wordWrap/>
        <w:overflowPunct/>
        <w:topLinePunct w:val="0"/>
        <w:autoSpaceDE/>
        <w:autoSpaceDN/>
        <w:bidi w:val="0"/>
        <w:adjustRightInd/>
        <w:snapToGrid/>
        <w:spacing w:line="360" w:lineRule="auto"/>
        <w:ind w:firstLine="420" w:firstLineChars="175"/>
        <w:textAlignment w:val="auto"/>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eastAsia="zh-CN"/>
        </w:rPr>
        <w:t>4、乙方负责所有人员劳动合同的签订、社保的缴纳、工伤等劳动纠纷的处理、安全责任事故的处理，与甲方无关。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color w:val="auto"/>
          <w:kern w:val="2"/>
          <w:sz w:val="24"/>
          <w:szCs w:val="22"/>
          <w:highlight w:val="none"/>
          <w:lang w:val="en-US" w:eastAsia="zh-CN" w:bidi="ar-SA"/>
        </w:rPr>
      </w:pPr>
      <w:r>
        <w:rPr>
          <w:rFonts w:hint="eastAsia" w:ascii="仿宋" w:hAnsi="仿宋" w:eastAsia="仿宋" w:cs="宋体"/>
          <w:color w:val="auto"/>
          <w:kern w:val="2"/>
          <w:sz w:val="24"/>
          <w:szCs w:val="22"/>
          <w:highlight w:val="none"/>
          <w:lang w:val="en-US" w:eastAsia="zh-CN" w:bidi="ar-SA"/>
        </w:rPr>
        <w:t>5、甲方有权检查、监督乙方保安人员的值勤、工作情况，如发现有缺勤或工作不负责任等情形，甲方有权要求乙方撤换相关保安人员。</w:t>
      </w:r>
    </w:p>
    <w:p>
      <w:pPr>
        <w:adjustRightInd w:val="0"/>
        <w:spacing w:line="360" w:lineRule="auto"/>
        <w:rPr>
          <w:rFonts w:ascii="仿宋" w:hAnsi="仿宋" w:eastAsia="仿宋" w:cs="宋体"/>
          <w:color w:val="auto"/>
          <w:sz w:val="24"/>
          <w:highlight w:val="none"/>
          <w:lang w:val="zh-CN"/>
        </w:rPr>
      </w:pPr>
    </w:p>
    <w:tbl>
      <w:tblPr>
        <w:tblStyle w:val="27"/>
        <w:tblW w:w="8617" w:type="dxa"/>
        <w:tblInd w:w="-108" w:type="dxa"/>
        <w:tblLayout w:type="fixed"/>
        <w:tblCellMar>
          <w:top w:w="0" w:type="dxa"/>
          <w:left w:w="0" w:type="dxa"/>
          <w:bottom w:w="0" w:type="dxa"/>
          <w:right w:w="0" w:type="dxa"/>
        </w:tblCellMar>
      </w:tblPr>
      <w:tblGrid>
        <w:gridCol w:w="4252"/>
        <w:gridCol w:w="4365"/>
      </w:tblGrid>
      <w:tr>
        <w:tblPrEx>
          <w:tblCellMar>
            <w:top w:w="0" w:type="dxa"/>
            <w:left w:w="0" w:type="dxa"/>
            <w:bottom w:w="0" w:type="dxa"/>
            <w:right w:w="0" w:type="dxa"/>
          </w:tblCellMar>
        </w:tblPrEx>
        <w:trPr>
          <w:trHeight w:val="474" w:hRule="atLeast"/>
        </w:trPr>
        <w:tc>
          <w:tcPr>
            <w:tcW w:w="4252" w:type="dxa"/>
            <w:tcBorders>
              <w:top w:val="nil"/>
              <w:left w:val="nil"/>
              <w:bottom w:val="nil"/>
              <w:right w:val="nil"/>
            </w:tcBorders>
          </w:tcPr>
          <w:p>
            <w:pPr>
              <w:adjustRightInd w:val="0"/>
              <w:spacing w:line="360" w:lineRule="auto"/>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甲方（采购人）：（盖章）</w:t>
            </w:r>
          </w:p>
        </w:tc>
        <w:tc>
          <w:tcPr>
            <w:tcW w:w="4365" w:type="dxa"/>
            <w:tcBorders>
              <w:top w:val="nil"/>
              <w:left w:val="nil"/>
              <w:bottom w:val="nil"/>
              <w:right w:val="nil"/>
            </w:tcBorders>
          </w:tcPr>
          <w:p>
            <w:pPr>
              <w:adjustRightInd w:val="0"/>
              <w:spacing w:line="360" w:lineRule="auto"/>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乙方（供应商）：（盖章）</w:t>
            </w:r>
          </w:p>
        </w:tc>
      </w:tr>
      <w:tr>
        <w:tblPrEx>
          <w:tblCellMar>
            <w:top w:w="0" w:type="dxa"/>
            <w:left w:w="0" w:type="dxa"/>
            <w:bottom w:w="0" w:type="dxa"/>
            <w:right w:w="0" w:type="dxa"/>
          </w:tblCellMar>
        </w:tblPrEx>
        <w:trPr>
          <w:trHeight w:val="474" w:hRule="atLeast"/>
        </w:trPr>
        <w:tc>
          <w:tcPr>
            <w:tcW w:w="4252" w:type="dxa"/>
            <w:tcBorders>
              <w:top w:val="nil"/>
              <w:left w:val="nil"/>
              <w:bottom w:val="nil"/>
              <w:right w:val="nil"/>
            </w:tcBorders>
          </w:tcPr>
          <w:p>
            <w:pPr>
              <w:adjustRightIn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代表人：</w:t>
            </w:r>
          </w:p>
        </w:tc>
        <w:tc>
          <w:tcPr>
            <w:tcW w:w="4365" w:type="dxa"/>
            <w:tcBorders>
              <w:top w:val="nil"/>
              <w:left w:val="nil"/>
              <w:bottom w:val="nil"/>
              <w:right w:val="nil"/>
            </w:tcBorders>
          </w:tcPr>
          <w:p>
            <w:pPr>
              <w:adjustRightIn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代表人</w:t>
            </w:r>
            <w:r>
              <w:rPr>
                <w:rFonts w:hint="eastAsia" w:ascii="仿宋" w:hAnsi="仿宋" w:eastAsia="仿宋" w:cs="宋体"/>
                <w:color w:val="auto"/>
                <w:sz w:val="24"/>
                <w:highlight w:val="none"/>
              </w:rPr>
              <w:t>：</w:t>
            </w:r>
          </w:p>
        </w:tc>
      </w:tr>
      <w:tr>
        <w:tblPrEx>
          <w:tblCellMar>
            <w:top w:w="0" w:type="dxa"/>
            <w:left w:w="0" w:type="dxa"/>
            <w:bottom w:w="0" w:type="dxa"/>
            <w:right w:w="0" w:type="dxa"/>
          </w:tblCellMar>
        </w:tblPrEx>
        <w:trPr>
          <w:trHeight w:val="464" w:hRule="atLeast"/>
        </w:trPr>
        <w:tc>
          <w:tcPr>
            <w:tcW w:w="4252" w:type="dxa"/>
            <w:tcBorders>
              <w:top w:val="nil"/>
              <w:left w:val="nil"/>
              <w:bottom w:val="nil"/>
              <w:right w:val="nil"/>
            </w:tcBorders>
          </w:tcPr>
          <w:p>
            <w:pPr>
              <w:adjustRightIn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电话：</w:t>
            </w:r>
          </w:p>
        </w:tc>
        <w:tc>
          <w:tcPr>
            <w:tcW w:w="4365" w:type="dxa"/>
            <w:tcBorders>
              <w:top w:val="nil"/>
              <w:left w:val="nil"/>
              <w:bottom w:val="nil"/>
              <w:right w:val="nil"/>
            </w:tcBorders>
          </w:tcPr>
          <w:p>
            <w:pPr>
              <w:adjustRightIn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电话：</w:t>
            </w:r>
          </w:p>
        </w:tc>
      </w:tr>
      <w:tr>
        <w:tblPrEx>
          <w:tblCellMar>
            <w:top w:w="0" w:type="dxa"/>
            <w:left w:w="0" w:type="dxa"/>
            <w:bottom w:w="0" w:type="dxa"/>
            <w:right w:w="0" w:type="dxa"/>
          </w:tblCellMar>
        </w:tblPrEx>
        <w:trPr>
          <w:trHeight w:val="474" w:hRule="atLeast"/>
        </w:trPr>
        <w:tc>
          <w:tcPr>
            <w:tcW w:w="4252" w:type="dxa"/>
            <w:tcBorders>
              <w:top w:val="nil"/>
              <w:left w:val="nil"/>
              <w:bottom w:val="nil"/>
              <w:right w:val="nil"/>
            </w:tcBorders>
          </w:tcPr>
          <w:p>
            <w:pPr>
              <w:adjustRightIn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开户银行：</w:t>
            </w:r>
          </w:p>
        </w:tc>
        <w:tc>
          <w:tcPr>
            <w:tcW w:w="4365" w:type="dxa"/>
            <w:tcBorders>
              <w:top w:val="nil"/>
              <w:left w:val="nil"/>
              <w:bottom w:val="nil"/>
              <w:right w:val="nil"/>
            </w:tcBorders>
          </w:tcPr>
          <w:p>
            <w:pPr>
              <w:adjustRightIn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开户银行：</w:t>
            </w:r>
          </w:p>
        </w:tc>
      </w:tr>
      <w:tr>
        <w:tblPrEx>
          <w:tblCellMar>
            <w:top w:w="0" w:type="dxa"/>
            <w:left w:w="0" w:type="dxa"/>
            <w:bottom w:w="0" w:type="dxa"/>
            <w:right w:w="0" w:type="dxa"/>
          </w:tblCellMar>
        </w:tblPrEx>
        <w:trPr>
          <w:trHeight w:val="464" w:hRule="atLeast"/>
        </w:trPr>
        <w:tc>
          <w:tcPr>
            <w:tcW w:w="4252" w:type="dxa"/>
            <w:tcBorders>
              <w:top w:val="nil"/>
              <w:left w:val="nil"/>
              <w:bottom w:val="nil"/>
              <w:right w:val="nil"/>
            </w:tcBorders>
          </w:tcPr>
          <w:p>
            <w:pPr>
              <w:adjustRightInd w:val="0"/>
              <w:spacing w:line="360" w:lineRule="auto"/>
              <w:rPr>
                <w:rFonts w:ascii="仿宋" w:hAnsi="仿宋" w:eastAsia="仿宋" w:cs="宋体"/>
                <w:color w:val="auto"/>
                <w:sz w:val="24"/>
                <w:highlight w:val="none"/>
              </w:rPr>
            </w:pPr>
            <w:r>
              <w:rPr>
                <w:rFonts w:hint="eastAsia" w:ascii="仿宋" w:hAnsi="仿宋" w:eastAsia="仿宋" w:cs="宋体"/>
                <w:color w:val="auto"/>
                <w:sz w:val="24"/>
                <w:highlight w:val="none"/>
                <w:lang w:val="zh-CN"/>
              </w:rPr>
              <w:t>帐号：</w:t>
            </w:r>
          </w:p>
        </w:tc>
        <w:tc>
          <w:tcPr>
            <w:tcW w:w="4365" w:type="dxa"/>
            <w:tcBorders>
              <w:top w:val="nil"/>
              <w:left w:val="nil"/>
              <w:bottom w:val="nil"/>
              <w:right w:val="nil"/>
            </w:tcBorders>
          </w:tcPr>
          <w:p>
            <w:pPr>
              <w:adjustRightInd w:val="0"/>
              <w:spacing w:line="360" w:lineRule="auto"/>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帐号：</w:t>
            </w:r>
          </w:p>
        </w:tc>
      </w:tr>
      <w:tr>
        <w:tblPrEx>
          <w:tblCellMar>
            <w:top w:w="0" w:type="dxa"/>
            <w:left w:w="0" w:type="dxa"/>
            <w:bottom w:w="0" w:type="dxa"/>
            <w:right w:w="0" w:type="dxa"/>
          </w:tblCellMar>
        </w:tblPrEx>
        <w:trPr>
          <w:trHeight w:val="464" w:hRule="atLeast"/>
        </w:trPr>
        <w:tc>
          <w:tcPr>
            <w:tcW w:w="4252" w:type="dxa"/>
            <w:tcBorders>
              <w:top w:val="nil"/>
              <w:left w:val="nil"/>
              <w:bottom w:val="nil"/>
              <w:right w:val="nil"/>
            </w:tcBorders>
          </w:tcPr>
          <w:p>
            <w:pPr>
              <w:adjustRightInd w:val="0"/>
              <w:spacing w:line="360" w:lineRule="auto"/>
              <w:rPr>
                <w:rFonts w:ascii="仿宋" w:hAnsi="仿宋" w:eastAsia="仿宋" w:cs="宋体"/>
                <w:color w:val="auto"/>
                <w:sz w:val="24"/>
                <w:highlight w:val="none"/>
                <w:lang w:val="zh-CN"/>
              </w:rPr>
            </w:pPr>
          </w:p>
        </w:tc>
        <w:tc>
          <w:tcPr>
            <w:tcW w:w="4365" w:type="dxa"/>
            <w:tcBorders>
              <w:top w:val="nil"/>
              <w:left w:val="nil"/>
              <w:bottom w:val="nil"/>
              <w:right w:val="nil"/>
            </w:tcBorders>
          </w:tcPr>
          <w:p>
            <w:pPr>
              <w:adjustRightInd w:val="0"/>
              <w:spacing w:line="360" w:lineRule="auto"/>
              <w:rPr>
                <w:rFonts w:ascii="仿宋" w:hAnsi="仿宋" w:eastAsia="仿宋" w:cs="宋体"/>
                <w:color w:val="auto"/>
                <w:sz w:val="24"/>
                <w:highlight w:val="none"/>
                <w:lang w:val="zh-CN"/>
              </w:rPr>
            </w:pPr>
          </w:p>
        </w:tc>
      </w:tr>
      <w:tr>
        <w:tblPrEx>
          <w:tblCellMar>
            <w:top w:w="0" w:type="dxa"/>
            <w:left w:w="0" w:type="dxa"/>
            <w:bottom w:w="0" w:type="dxa"/>
            <w:right w:w="0" w:type="dxa"/>
          </w:tblCellMar>
        </w:tblPrEx>
        <w:trPr>
          <w:trHeight w:val="527" w:hRule="atLeast"/>
        </w:trPr>
        <w:tc>
          <w:tcPr>
            <w:tcW w:w="4252" w:type="dxa"/>
            <w:tcBorders>
              <w:top w:val="nil"/>
              <w:left w:val="nil"/>
              <w:bottom w:val="nil"/>
              <w:right w:val="nil"/>
            </w:tcBorders>
          </w:tcPr>
          <w:p>
            <w:pPr>
              <w:adjustRightInd w:val="0"/>
              <w:spacing w:line="360" w:lineRule="auto"/>
              <w:rPr>
                <w:rFonts w:ascii="仿宋" w:hAnsi="仿宋" w:eastAsia="仿宋" w:cs="宋体"/>
                <w:color w:val="auto"/>
                <w:sz w:val="24"/>
                <w:highlight w:val="none"/>
                <w:lang w:val="zh-CN"/>
              </w:rPr>
            </w:pPr>
            <w:r>
              <w:rPr>
                <w:rFonts w:hint="eastAsia" w:ascii="仿宋" w:hAnsi="仿宋" w:eastAsia="仿宋" w:cs="宋体"/>
                <w:color w:val="auto"/>
                <w:sz w:val="24"/>
                <w:highlight w:val="none"/>
                <w:lang w:val="zh-CN"/>
              </w:rPr>
              <w:t>日期：年月日</w:t>
            </w:r>
          </w:p>
        </w:tc>
        <w:tc>
          <w:tcPr>
            <w:tcW w:w="4365" w:type="dxa"/>
            <w:tcBorders>
              <w:top w:val="nil"/>
              <w:left w:val="nil"/>
              <w:bottom w:val="nil"/>
              <w:right w:val="nil"/>
            </w:tcBorders>
          </w:tcPr>
          <w:p>
            <w:pPr>
              <w:adjustRightInd w:val="0"/>
              <w:spacing w:line="360" w:lineRule="auto"/>
              <w:rPr>
                <w:rFonts w:ascii="仿宋" w:hAnsi="仿宋" w:eastAsia="仿宋" w:cs="宋体"/>
                <w:color w:val="auto"/>
                <w:sz w:val="24"/>
                <w:highlight w:val="none"/>
                <w:lang w:val="zh-CN"/>
              </w:rPr>
            </w:pPr>
          </w:p>
          <w:p>
            <w:pPr>
              <w:pStyle w:val="36"/>
              <w:rPr>
                <w:color w:val="auto"/>
                <w:highlight w:val="none"/>
                <w:lang w:val="zh-CN"/>
              </w:rPr>
            </w:pPr>
          </w:p>
          <w:p>
            <w:pPr>
              <w:pStyle w:val="36"/>
              <w:rPr>
                <w:color w:val="auto"/>
                <w:highlight w:val="none"/>
                <w:lang w:val="zh-CN"/>
              </w:rPr>
            </w:pPr>
          </w:p>
          <w:p>
            <w:pPr>
              <w:pStyle w:val="36"/>
              <w:rPr>
                <w:color w:val="auto"/>
                <w:highlight w:val="none"/>
                <w:lang w:val="zh-CN"/>
              </w:rPr>
            </w:pPr>
          </w:p>
        </w:tc>
      </w:tr>
    </w:tbl>
    <w:p>
      <w:pPr>
        <w:ind w:firstLine="1040" w:firstLineChars="200"/>
        <w:jc w:val="center"/>
        <w:rPr>
          <w:rFonts w:ascii="仿宋" w:hAnsi="仿宋" w:eastAsia="仿宋"/>
          <w:color w:val="auto"/>
          <w:sz w:val="52"/>
          <w:highlight w:val="none"/>
        </w:rPr>
      </w:pPr>
    </w:p>
    <w:p>
      <w:pPr>
        <w:rPr>
          <w:rFonts w:ascii="仿宋" w:hAnsi="仿宋" w:eastAsia="仿宋" w:cs="仿宋"/>
          <w:b/>
          <w:bCs/>
          <w:color w:val="auto"/>
          <w:sz w:val="28"/>
          <w:szCs w:val="32"/>
          <w:highlight w:val="none"/>
        </w:rPr>
      </w:pPr>
      <w:r>
        <w:rPr>
          <w:rFonts w:hint="eastAsia" w:ascii="仿宋" w:hAnsi="仿宋" w:eastAsia="仿宋" w:cs="仿宋"/>
          <w:b/>
          <w:bCs/>
          <w:color w:val="auto"/>
          <w:sz w:val="28"/>
          <w:szCs w:val="32"/>
          <w:highlight w:val="none"/>
        </w:rPr>
        <w:br w:type="page"/>
      </w:r>
    </w:p>
    <w:p>
      <w:pPr>
        <w:jc w:val="center"/>
        <w:outlineLvl w:val="0"/>
        <w:rPr>
          <w:rFonts w:ascii="仿宋" w:hAnsi="仿宋" w:eastAsia="仿宋" w:cs="仿宋"/>
          <w:b/>
          <w:bCs/>
          <w:sz w:val="28"/>
          <w:szCs w:val="32"/>
          <w:highlight w:val="none"/>
        </w:rPr>
      </w:pPr>
      <w:bookmarkStart w:id="45" w:name="_Toc19346"/>
      <w:r>
        <w:rPr>
          <w:rFonts w:hint="eastAsia" w:ascii="仿宋" w:hAnsi="仿宋" w:eastAsia="仿宋" w:cs="仿宋"/>
          <w:b/>
          <w:bCs/>
          <w:sz w:val="28"/>
          <w:szCs w:val="32"/>
          <w:highlight w:val="none"/>
        </w:rPr>
        <w:t>第六章  响应文件格式</w:t>
      </w:r>
      <w:bookmarkEnd w:id="44"/>
      <w:bookmarkEnd w:id="45"/>
    </w:p>
    <w:p>
      <w:pPr>
        <w:spacing w:line="360" w:lineRule="auto"/>
        <w:rPr>
          <w:rFonts w:ascii="仿宋" w:hAnsi="仿宋" w:eastAsia="仿宋" w:cs="仿宋"/>
          <w:sz w:val="24"/>
          <w:szCs w:val="28"/>
          <w:highlight w:val="none"/>
        </w:rPr>
      </w:pPr>
    </w:p>
    <w:p>
      <w:pPr>
        <w:spacing w:line="360" w:lineRule="auto"/>
        <w:rPr>
          <w:rFonts w:ascii="仿宋" w:hAnsi="仿宋" w:eastAsia="仿宋" w:cs="仿宋"/>
          <w:sz w:val="24"/>
          <w:szCs w:val="28"/>
          <w:highlight w:val="none"/>
        </w:rPr>
      </w:pPr>
      <w:r>
        <w:rPr>
          <w:rFonts w:hint="eastAsia" w:ascii="仿宋" w:hAnsi="仿宋" w:eastAsia="仿宋" w:cs="仿宋"/>
          <w:sz w:val="24"/>
          <w:szCs w:val="28"/>
          <w:highlight w:val="none"/>
        </w:rPr>
        <w:t>封面样式：</w:t>
      </w:r>
    </w:p>
    <w:p>
      <w:pPr>
        <w:pStyle w:val="14"/>
        <w:ind w:firstLine="880"/>
        <w:rPr>
          <w:rFonts w:ascii="仿宋" w:hAnsi="仿宋" w:eastAsia="仿宋" w:cs="仿宋"/>
          <w:highlight w:val="none"/>
          <w:lang w:val="en-US"/>
        </w:rPr>
      </w:pPr>
    </w:p>
    <w:p>
      <w:pPr>
        <w:spacing w:before="55"/>
        <w:ind w:right="616"/>
        <w:jc w:val="right"/>
        <w:rPr>
          <w:rFonts w:ascii="仿宋" w:hAnsi="仿宋" w:eastAsia="仿宋" w:cs="仿宋"/>
          <w:w w:val="95"/>
          <w:sz w:val="32"/>
          <w:highlight w:val="none"/>
        </w:rPr>
      </w:pPr>
    </w:p>
    <w:p>
      <w:pPr>
        <w:spacing w:before="55"/>
        <w:ind w:right="616"/>
        <w:jc w:val="right"/>
        <w:rPr>
          <w:rFonts w:ascii="仿宋" w:hAnsi="仿宋" w:eastAsia="仿宋" w:cs="仿宋"/>
          <w:sz w:val="32"/>
          <w:highlight w:val="none"/>
        </w:rPr>
      </w:pPr>
      <w:r>
        <w:rPr>
          <w:rFonts w:hint="eastAsia" w:ascii="仿宋" w:hAnsi="仿宋" w:eastAsia="仿宋" w:cs="仿宋"/>
          <w:w w:val="95"/>
          <w:sz w:val="32"/>
          <w:highlight w:val="none"/>
        </w:rPr>
        <w:t>正本（副本）</w:t>
      </w:r>
    </w:p>
    <w:p>
      <w:pPr>
        <w:pStyle w:val="10"/>
        <w:rPr>
          <w:rFonts w:ascii="仿宋" w:hAnsi="仿宋" w:eastAsia="仿宋" w:cs="仿宋"/>
          <w:sz w:val="32"/>
          <w:highlight w:val="none"/>
        </w:rPr>
      </w:pPr>
    </w:p>
    <w:p>
      <w:pPr>
        <w:pStyle w:val="10"/>
        <w:rPr>
          <w:rFonts w:ascii="仿宋" w:hAnsi="仿宋" w:eastAsia="仿宋" w:cs="仿宋"/>
          <w:sz w:val="33"/>
          <w:highlight w:val="none"/>
        </w:rPr>
      </w:pPr>
    </w:p>
    <w:p>
      <w:pPr>
        <w:spacing w:line="480" w:lineRule="auto"/>
        <w:jc w:val="center"/>
        <w:rPr>
          <w:rFonts w:ascii="仿宋" w:hAnsi="仿宋" w:eastAsia="仿宋" w:cs="仿宋"/>
          <w:b/>
          <w:bCs/>
          <w:sz w:val="52"/>
          <w:szCs w:val="52"/>
          <w:highlight w:val="none"/>
        </w:rPr>
      </w:pPr>
      <w:r>
        <w:rPr>
          <w:rFonts w:hint="eastAsia" w:ascii="仿宋" w:hAnsi="仿宋" w:eastAsia="仿宋" w:cs="仿宋"/>
          <w:b/>
          <w:bCs/>
          <w:sz w:val="52"/>
          <w:szCs w:val="52"/>
          <w:highlight w:val="none"/>
        </w:rPr>
        <w:t>竞争性磋商响应文件</w:t>
      </w:r>
    </w:p>
    <w:p>
      <w:pPr>
        <w:spacing w:line="480" w:lineRule="auto"/>
        <w:rPr>
          <w:rFonts w:ascii="仿宋" w:hAnsi="仿宋" w:eastAsia="仿宋" w:cs="仿宋"/>
          <w:sz w:val="32"/>
          <w:szCs w:val="32"/>
          <w:highlight w:val="none"/>
        </w:rPr>
      </w:pP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 xml:space="preserve">项目名称：                   </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项目编号：</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供 应 商：                  （单位公章）</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 xml:space="preserve">联 系 人：                  </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 xml:space="preserve">联系方式：                  </w:t>
      </w:r>
    </w:p>
    <w:p>
      <w:pPr>
        <w:spacing w:line="480" w:lineRule="auto"/>
        <w:ind w:firstLine="1280" w:firstLineChars="400"/>
        <w:rPr>
          <w:rFonts w:ascii="仿宋" w:hAnsi="仿宋" w:eastAsia="仿宋" w:cs="仿宋"/>
          <w:sz w:val="32"/>
          <w:szCs w:val="32"/>
          <w:highlight w:val="none"/>
        </w:rPr>
      </w:pPr>
      <w:r>
        <w:rPr>
          <w:rFonts w:hint="eastAsia" w:ascii="仿宋" w:hAnsi="仿宋" w:eastAsia="仿宋" w:cs="仿宋"/>
          <w:sz w:val="32"/>
          <w:szCs w:val="32"/>
          <w:highlight w:val="none"/>
        </w:rPr>
        <w:t xml:space="preserve">联系地址：                  </w:t>
      </w:r>
    </w:p>
    <w:p>
      <w:pPr>
        <w:spacing w:line="480" w:lineRule="auto"/>
        <w:rPr>
          <w:rFonts w:ascii="仿宋" w:hAnsi="仿宋" w:eastAsia="仿宋" w:cs="仿宋"/>
          <w:sz w:val="32"/>
          <w:szCs w:val="32"/>
          <w:highlight w:val="none"/>
        </w:rPr>
      </w:pPr>
      <w:r>
        <w:rPr>
          <w:rFonts w:hint="eastAsia" w:ascii="仿宋" w:hAnsi="仿宋" w:eastAsia="仿宋" w:cs="仿宋"/>
          <w:sz w:val="32"/>
          <w:szCs w:val="32"/>
          <w:highlight w:val="none"/>
        </w:rPr>
        <w:t xml:space="preserve">        年    月    日</w:t>
      </w:r>
    </w:p>
    <w:p>
      <w:pPr>
        <w:widowControl/>
        <w:jc w:val="left"/>
        <w:rPr>
          <w:rFonts w:ascii="仿宋" w:hAnsi="仿宋" w:eastAsia="仿宋" w:cs="仿宋"/>
          <w:b/>
          <w:bCs/>
          <w:szCs w:val="21"/>
          <w:highlight w:val="none"/>
        </w:rPr>
      </w:pPr>
      <w:r>
        <w:rPr>
          <w:rFonts w:hint="eastAsia" w:ascii="仿宋" w:hAnsi="仿宋" w:eastAsia="仿宋" w:cs="仿宋"/>
          <w:b/>
          <w:bCs/>
          <w:szCs w:val="21"/>
          <w:highlight w:val="none"/>
        </w:rPr>
        <w:br w:type="page"/>
      </w:r>
    </w:p>
    <w:p>
      <w:pPr>
        <w:rPr>
          <w:rFonts w:ascii="仿宋" w:hAnsi="仿宋" w:eastAsia="仿宋" w:cs="仿宋"/>
          <w:b/>
          <w:bCs/>
          <w:sz w:val="22"/>
          <w:highlight w:val="none"/>
        </w:rPr>
      </w:pPr>
      <w:r>
        <w:rPr>
          <w:rFonts w:hint="eastAsia" w:ascii="仿宋" w:hAnsi="仿宋" w:eastAsia="仿宋" w:cs="仿宋"/>
          <w:b/>
          <w:bCs/>
          <w:sz w:val="22"/>
          <w:highlight w:val="none"/>
        </w:rPr>
        <w:t>目录样式（请根据实际情况定制目录）：</w:t>
      </w:r>
    </w:p>
    <w:p>
      <w:pPr>
        <w:rPr>
          <w:rFonts w:ascii="仿宋" w:hAnsi="仿宋" w:eastAsia="仿宋" w:cs="仿宋"/>
          <w:sz w:val="22"/>
          <w:highlight w:val="none"/>
        </w:rPr>
      </w:pPr>
    </w:p>
    <w:p>
      <w:pPr>
        <w:tabs>
          <w:tab w:val="left" w:pos="640"/>
        </w:tabs>
        <w:spacing w:before="55"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目  录</w:t>
      </w:r>
    </w:p>
    <w:p>
      <w:pPr>
        <w:pStyle w:val="26"/>
        <w:ind w:left="0" w:leftChars="0" w:firstLine="0" w:firstLineChars="0"/>
        <w:jc w:val="center"/>
        <w:rPr>
          <w:rStyle w:val="65"/>
          <w:rFonts w:ascii="仿宋" w:hAnsi="仿宋" w:eastAsia="仿宋" w:cs="仿宋"/>
          <w:sz w:val="24"/>
          <w:szCs w:val="24"/>
          <w:highlight w:val="none"/>
        </w:rPr>
      </w:pPr>
    </w:p>
    <w:p>
      <w:pPr>
        <w:pStyle w:val="26"/>
        <w:ind w:left="0" w:leftChars="0" w:firstLine="0" w:firstLineChars="0"/>
        <w:jc w:val="center"/>
        <w:rPr>
          <w:rStyle w:val="65"/>
          <w:rFonts w:ascii="仿宋" w:hAnsi="仿宋" w:eastAsia="仿宋" w:cs="仿宋"/>
          <w:sz w:val="24"/>
          <w:szCs w:val="24"/>
          <w:highlight w:val="none"/>
        </w:rPr>
        <w:sectPr>
          <w:endnotePr>
            <w:numFmt w:val="decimal"/>
          </w:endnotePr>
          <w:pgSz w:w="11906" w:h="16838"/>
          <w:pgMar w:top="1417" w:right="1757" w:bottom="1417" w:left="1757" w:header="850" w:footer="1020" w:gutter="0"/>
          <w:pgNumType w:fmt="decimal" w:start="1"/>
          <w:cols w:space="720" w:num="1"/>
          <w:docGrid w:linePitch="286" w:charSpace="0"/>
        </w:sectPr>
      </w:pPr>
      <w:r>
        <w:rPr>
          <w:rStyle w:val="65"/>
          <w:rFonts w:hint="eastAsia" w:ascii="仿宋" w:hAnsi="仿宋" w:eastAsia="仿宋" w:cs="仿宋"/>
          <w:sz w:val="24"/>
          <w:szCs w:val="24"/>
          <w:highlight w:val="none"/>
        </w:rPr>
        <w:t>（注：供应商根据目录顺序编制响应文件并制作目录（须生成页码））</w:t>
      </w:r>
    </w:p>
    <w:p>
      <w:pPr>
        <w:spacing w:line="480" w:lineRule="auto"/>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评分索引表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407"/>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vAlign w:val="center"/>
          </w:tcPr>
          <w:p>
            <w:pPr>
              <w:jc w:val="center"/>
              <w:rPr>
                <w:rFonts w:ascii="仿宋" w:hAnsi="仿宋" w:eastAsia="仿宋" w:cs="仿宋"/>
                <w:b/>
                <w:bCs/>
                <w:kern w:val="0"/>
                <w:highlight w:val="none"/>
              </w:rPr>
            </w:pPr>
            <w:r>
              <w:rPr>
                <w:rFonts w:hint="eastAsia" w:ascii="仿宋" w:hAnsi="仿宋" w:eastAsia="仿宋" w:cs="仿宋"/>
                <w:b/>
                <w:bCs/>
                <w:kern w:val="0"/>
                <w:highlight w:val="none"/>
              </w:rPr>
              <w:t>评分项目</w:t>
            </w:r>
          </w:p>
        </w:tc>
        <w:tc>
          <w:tcPr>
            <w:tcW w:w="1407" w:type="dxa"/>
            <w:vAlign w:val="center"/>
          </w:tcPr>
          <w:p>
            <w:pPr>
              <w:jc w:val="center"/>
              <w:rPr>
                <w:rFonts w:ascii="仿宋" w:hAnsi="仿宋" w:eastAsia="仿宋" w:cs="仿宋"/>
                <w:b/>
                <w:bCs/>
                <w:kern w:val="0"/>
                <w:highlight w:val="none"/>
              </w:rPr>
            </w:pPr>
            <w:r>
              <w:rPr>
                <w:rFonts w:hint="eastAsia" w:ascii="仿宋" w:hAnsi="仿宋" w:eastAsia="仿宋" w:cs="仿宋"/>
                <w:b/>
                <w:bCs/>
                <w:kern w:val="0"/>
                <w:highlight w:val="none"/>
              </w:rPr>
              <w:t>自评得分</w:t>
            </w:r>
          </w:p>
        </w:tc>
        <w:tc>
          <w:tcPr>
            <w:tcW w:w="3616" w:type="dxa"/>
            <w:vAlign w:val="center"/>
          </w:tcPr>
          <w:p>
            <w:pPr>
              <w:jc w:val="center"/>
              <w:rPr>
                <w:rFonts w:ascii="仿宋" w:hAnsi="仿宋" w:eastAsia="仿宋" w:cs="仿宋"/>
                <w:b/>
                <w:bCs/>
                <w:kern w:val="0"/>
                <w:highlight w:val="none"/>
              </w:rPr>
            </w:pPr>
            <w:r>
              <w:rPr>
                <w:rFonts w:hint="eastAsia" w:ascii="仿宋" w:hAnsi="仿宋" w:eastAsia="仿宋" w:cs="仿宋"/>
                <w:b/>
                <w:bCs/>
                <w:kern w:val="0"/>
                <w:highlight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52" w:type="dxa"/>
          </w:tcPr>
          <w:p>
            <w:pPr>
              <w:rPr>
                <w:rFonts w:ascii="仿宋" w:hAnsi="仿宋" w:eastAsia="仿宋" w:cs="仿宋"/>
                <w:b/>
                <w:bCs/>
                <w:kern w:val="0"/>
                <w:highlight w:val="none"/>
              </w:rPr>
            </w:pPr>
          </w:p>
        </w:tc>
        <w:tc>
          <w:tcPr>
            <w:tcW w:w="1407" w:type="dxa"/>
          </w:tcPr>
          <w:p>
            <w:pPr>
              <w:rPr>
                <w:rFonts w:ascii="仿宋" w:hAnsi="仿宋" w:eastAsia="仿宋" w:cs="仿宋"/>
                <w:b/>
                <w:bCs/>
                <w:kern w:val="0"/>
                <w:highlight w:val="none"/>
              </w:rPr>
            </w:pPr>
          </w:p>
        </w:tc>
        <w:tc>
          <w:tcPr>
            <w:tcW w:w="3616" w:type="dxa"/>
          </w:tcPr>
          <w:p>
            <w:pPr>
              <w:rPr>
                <w:rFonts w:ascii="仿宋" w:hAnsi="仿宋" w:eastAsia="仿宋" w:cs="仿宋"/>
                <w:b/>
                <w:bCs/>
                <w:kern w:val="0"/>
                <w:highlight w:val="none"/>
              </w:rPr>
            </w:pPr>
          </w:p>
        </w:tc>
      </w:tr>
    </w:tbl>
    <w:p>
      <w:pPr>
        <w:rPr>
          <w:rFonts w:ascii="仿宋" w:hAnsi="仿宋" w:eastAsia="仿宋" w:cs="仿宋"/>
          <w:highlight w:val="none"/>
        </w:rPr>
      </w:pPr>
    </w:p>
    <w:p>
      <w:pPr>
        <w:pStyle w:val="22"/>
        <w:tabs>
          <w:tab w:val="right" w:leader="dot" w:pos="8302"/>
        </w:tabs>
        <w:rPr>
          <w:rFonts w:ascii="仿宋" w:hAnsi="仿宋" w:eastAsia="仿宋" w:cs="仿宋"/>
          <w:highlight w:val="none"/>
        </w:rPr>
      </w:pPr>
      <w:bookmarkStart w:id="46" w:name="_Toc489655320"/>
    </w:p>
    <w:p>
      <w:pPr>
        <w:rPr>
          <w:rFonts w:ascii="仿宋" w:hAnsi="仿宋" w:eastAsia="仿宋" w:cs="仿宋"/>
          <w:highlight w:val="none"/>
        </w:rPr>
      </w:pPr>
    </w:p>
    <w:p>
      <w:pPr>
        <w:pStyle w:val="36"/>
        <w:rPr>
          <w:rFonts w:ascii="仿宋" w:hAnsi="仿宋" w:eastAsia="仿宋" w:cs="仿宋"/>
          <w:highlight w:val="none"/>
        </w:rPr>
      </w:pPr>
    </w:p>
    <w:p>
      <w:pPr>
        <w:pStyle w:val="36"/>
        <w:rPr>
          <w:rFonts w:ascii="仿宋" w:hAnsi="仿宋" w:eastAsia="仿宋" w:cs="仿宋"/>
          <w:highlight w:val="none"/>
        </w:rPr>
      </w:pPr>
    </w:p>
    <w:p>
      <w:pPr>
        <w:pStyle w:val="36"/>
        <w:rPr>
          <w:rFonts w:ascii="仿宋" w:hAnsi="仿宋" w:eastAsia="仿宋" w:cs="仿宋"/>
          <w:highlight w:val="none"/>
        </w:rPr>
      </w:pPr>
    </w:p>
    <w:p>
      <w:pPr>
        <w:pStyle w:val="36"/>
        <w:rPr>
          <w:rFonts w:ascii="仿宋" w:hAnsi="仿宋" w:eastAsia="仿宋" w:cs="仿宋"/>
          <w:highlight w:val="none"/>
        </w:rPr>
      </w:pPr>
    </w:p>
    <w:p>
      <w:pPr>
        <w:pStyle w:val="36"/>
        <w:rPr>
          <w:rFonts w:ascii="仿宋" w:hAnsi="仿宋" w:eastAsia="仿宋" w:cs="仿宋"/>
          <w:highlight w:val="none"/>
        </w:rPr>
      </w:pPr>
    </w:p>
    <w:p>
      <w:pPr>
        <w:pStyle w:val="36"/>
        <w:rPr>
          <w:rFonts w:ascii="仿宋" w:hAnsi="仿宋" w:eastAsia="仿宋" w:cs="仿宋"/>
          <w:highlight w:val="none"/>
        </w:rPr>
      </w:pPr>
    </w:p>
    <w:p>
      <w:pPr>
        <w:pStyle w:val="36"/>
        <w:rPr>
          <w:rFonts w:ascii="仿宋" w:hAnsi="仿宋" w:eastAsia="仿宋" w:cs="仿宋"/>
          <w:highlight w:val="none"/>
        </w:rPr>
      </w:pPr>
    </w:p>
    <w:p>
      <w:pPr>
        <w:pStyle w:val="36"/>
        <w:rPr>
          <w:rFonts w:ascii="仿宋" w:hAnsi="仿宋" w:eastAsia="仿宋" w:cs="仿宋"/>
          <w:highlight w:val="none"/>
        </w:rPr>
      </w:pPr>
    </w:p>
    <w:p>
      <w:pPr>
        <w:spacing w:line="480" w:lineRule="auto"/>
        <w:jc w:val="center"/>
        <w:rPr>
          <w:rFonts w:ascii="仿宋" w:hAnsi="仿宋" w:eastAsia="仿宋" w:cs="仿宋"/>
          <w:highlight w:val="none"/>
        </w:rPr>
      </w:pPr>
      <w:r>
        <w:rPr>
          <w:rFonts w:hint="eastAsia" w:ascii="仿宋" w:hAnsi="仿宋" w:eastAsia="仿宋" w:cs="仿宋"/>
          <w:b/>
          <w:bCs/>
          <w:sz w:val="32"/>
          <w:szCs w:val="32"/>
          <w:highlight w:val="none"/>
        </w:rPr>
        <w:t>响应文件主要目录及相关证明材料格式、附件</w:t>
      </w:r>
      <w:r>
        <w:rPr>
          <w:rFonts w:hint="eastAsia" w:ascii="仿宋" w:hAnsi="仿宋" w:eastAsia="仿宋" w:cs="仿宋"/>
          <w:highlight w:val="none"/>
        </w:rPr>
        <w:fldChar w:fldCharType="begin"/>
      </w:r>
      <w:r>
        <w:rPr>
          <w:rFonts w:hint="eastAsia" w:ascii="仿宋" w:hAnsi="仿宋" w:eastAsia="仿宋" w:cs="仿宋"/>
          <w:highlight w:val="none"/>
        </w:rPr>
        <w:instrText xml:space="preserve"> TOC \o "1-3" \h \z \u </w:instrText>
      </w:r>
      <w:r>
        <w:rPr>
          <w:rFonts w:hint="eastAsia" w:ascii="仿宋" w:hAnsi="仿宋" w:eastAsia="仿宋" w:cs="仿宋"/>
          <w:highlight w:val="none"/>
        </w:rPr>
        <w:fldChar w:fldCharType="separate"/>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"_Toc15930" </w:instrText>
      </w:r>
      <w:r>
        <w:rPr>
          <w:highlight w:val="none"/>
        </w:rPr>
        <w:fldChar w:fldCharType="separate"/>
      </w:r>
      <w:r>
        <w:rPr>
          <w:rFonts w:hint="eastAsia" w:ascii="仿宋" w:hAnsi="仿宋" w:eastAsia="仿宋" w:cs="仿宋"/>
          <w:bCs/>
          <w:sz w:val="24"/>
          <w:szCs w:val="24"/>
          <w:highlight w:val="none"/>
        </w:rPr>
        <w:t>目录一、磋商申请及声明格式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_Toc15930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"_Toc11817" </w:instrText>
      </w:r>
      <w:r>
        <w:rPr>
          <w:highlight w:val="none"/>
        </w:rPr>
        <w:fldChar w:fldCharType="separate"/>
      </w:r>
      <w:r>
        <w:rPr>
          <w:rFonts w:hint="eastAsia" w:ascii="仿宋" w:hAnsi="仿宋" w:eastAsia="仿宋" w:cs="仿宋"/>
          <w:bCs/>
          <w:sz w:val="24"/>
          <w:szCs w:val="24"/>
          <w:highlight w:val="none"/>
        </w:rPr>
        <w:t>目录二、法定代表人授权委托书格式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_Toc11817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"_Toc20772" </w:instrText>
      </w:r>
      <w:r>
        <w:rPr>
          <w:highlight w:val="none"/>
        </w:rPr>
        <w:fldChar w:fldCharType="separate"/>
      </w:r>
      <w:r>
        <w:rPr>
          <w:rFonts w:hint="eastAsia" w:ascii="仿宋" w:hAnsi="仿宋" w:eastAsia="仿宋" w:cs="仿宋"/>
          <w:bCs/>
          <w:sz w:val="24"/>
          <w:szCs w:val="24"/>
          <w:highlight w:val="none"/>
        </w:rPr>
        <w:t>目录三、报价表格式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_Toc20772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"_Toc7564" </w:instrText>
      </w:r>
      <w:r>
        <w:rPr>
          <w:highlight w:val="none"/>
        </w:rPr>
        <w:fldChar w:fldCharType="separate"/>
      </w:r>
      <w:r>
        <w:rPr>
          <w:rFonts w:hint="eastAsia" w:ascii="仿宋" w:hAnsi="仿宋" w:eastAsia="仿宋" w:cs="仿宋"/>
          <w:bCs/>
          <w:sz w:val="24"/>
          <w:szCs w:val="24"/>
          <w:highlight w:val="none"/>
        </w:rPr>
        <w:t>目录四、分项报价表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_Toc7564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"_Toc12090" </w:instrText>
      </w:r>
      <w:r>
        <w:rPr>
          <w:highlight w:val="none"/>
        </w:rPr>
        <w:fldChar w:fldCharType="separate"/>
      </w:r>
      <w:r>
        <w:rPr>
          <w:rFonts w:hint="eastAsia" w:ascii="仿宋" w:hAnsi="仿宋" w:eastAsia="仿宋" w:cs="仿宋"/>
          <w:bCs/>
          <w:sz w:val="24"/>
          <w:szCs w:val="24"/>
          <w:highlight w:val="none"/>
        </w:rPr>
        <w:t>目录五、资格性和符合性审查响应对照表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_Toc12090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"_Toc4271" </w:instrText>
      </w:r>
      <w:r>
        <w:rPr>
          <w:highlight w:val="none"/>
        </w:rPr>
        <w:fldChar w:fldCharType="separate"/>
      </w:r>
      <w:r>
        <w:rPr>
          <w:rFonts w:hint="eastAsia" w:ascii="仿宋" w:hAnsi="仿宋" w:eastAsia="仿宋" w:cs="仿宋"/>
          <w:bCs/>
          <w:sz w:val="24"/>
          <w:szCs w:val="24"/>
          <w:highlight w:val="none"/>
        </w:rPr>
        <w:t>目录六、资格证明文件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_Toc4271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"_Toc30525" </w:instrText>
      </w:r>
      <w:r>
        <w:rPr>
          <w:highlight w:val="none"/>
        </w:rPr>
        <w:fldChar w:fldCharType="separate"/>
      </w:r>
      <w:r>
        <w:rPr>
          <w:rFonts w:hint="eastAsia" w:ascii="仿宋" w:hAnsi="仿宋" w:eastAsia="仿宋" w:cs="仿宋"/>
          <w:bCs/>
          <w:sz w:val="24"/>
          <w:szCs w:val="24"/>
          <w:highlight w:val="none"/>
        </w:rPr>
        <w:t>目录七、技术条款偏离表格式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_Toc30525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"_Toc30587" </w:instrText>
      </w:r>
      <w:r>
        <w:rPr>
          <w:highlight w:val="none"/>
        </w:rPr>
        <w:fldChar w:fldCharType="separate"/>
      </w:r>
      <w:r>
        <w:rPr>
          <w:rFonts w:hint="eastAsia" w:ascii="仿宋" w:hAnsi="仿宋" w:eastAsia="仿宋" w:cs="仿宋"/>
          <w:bCs/>
          <w:sz w:val="24"/>
          <w:szCs w:val="24"/>
          <w:highlight w:val="none"/>
        </w:rPr>
        <w:t>目录八、商务条款偏离表格式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_Toc30587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"_Toc7419" </w:instrText>
      </w:r>
      <w:r>
        <w:rPr>
          <w:highlight w:val="none"/>
        </w:rPr>
        <w:fldChar w:fldCharType="separate"/>
      </w:r>
      <w:r>
        <w:rPr>
          <w:rFonts w:hint="eastAsia" w:ascii="仿宋" w:hAnsi="仿宋" w:eastAsia="仿宋" w:cs="仿宋"/>
          <w:bCs/>
          <w:sz w:val="24"/>
          <w:szCs w:val="24"/>
          <w:highlight w:val="none"/>
        </w:rPr>
        <w:t>目录九、技术方案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_Toc7419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"_Toc13314" </w:instrText>
      </w:r>
      <w:r>
        <w:rPr>
          <w:highlight w:val="none"/>
        </w:rPr>
        <w:fldChar w:fldCharType="separate"/>
      </w:r>
      <w:r>
        <w:rPr>
          <w:rFonts w:hint="eastAsia" w:ascii="仿宋" w:hAnsi="仿宋" w:eastAsia="仿宋" w:cs="仿宋"/>
          <w:bCs/>
          <w:sz w:val="24"/>
          <w:szCs w:val="24"/>
          <w:highlight w:val="none"/>
        </w:rPr>
        <w:t>目录十、服务与承诺</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_Toc13314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"_Toc10700" </w:instrText>
      </w:r>
      <w:r>
        <w:rPr>
          <w:highlight w:val="none"/>
        </w:rPr>
        <w:fldChar w:fldCharType="separate"/>
      </w:r>
      <w:r>
        <w:rPr>
          <w:rFonts w:hint="eastAsia" w:ascii="仿宋" w:hAnsi="仿宋" w:eastAsia="仿宋" w:cs="仿宋"/>
          <w:bCs/>
          <w:sz w:val="24"/>
          <w:szCs w:val="24"/>
          <w:highlight w:val="none"/>
        </w:rPr>
        <w:t>目录十一、供应商拟投入本项目团队人员一览表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_Toc10700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"_Toc25472" </w:instrText>
      </w:r>
      <w:r>
        <w:rPr>
          <w:highlight w:val="none"/>
        </w:rPr>
        <w:fldChar w:fldCharType="separate"/>
      </w:r>
      <w:r>
        <w:rPr>
          <w:rFonts w:hint="eastAsia" w:ascii="仿宋" w:hAnsi="仿宋" w:eastAsia="仿宋" w:cs="仿宋"/>
          <w:bCs/>
          <w:sz w:val="24"/>
          <w:szCs w:val="24"/>
          <w:highlight w:val="none"/>
        </w:rPr>
        <w:t>目录十二、供应商类似业绩情况表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_Toc25472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"_Toc16925" </w:instrText>
      </w:r>
      <w:r>
        <w:rPr>
          <w:highlight w:val="none"/>
        </w:rPr>
        <w:fldChar w:fldCharType="separate"/>
      </w:r>
      <w:r>
        <w:rPr>
          <w:rFonts w:hint="eastAsia" w:ascii="仿宋" w:hAnsi="仿宋" w:eastAsia="仿宋" w:cs="仿宋"/>
          <w:bCs/>
          <w:sz w:val="24"/>
          <w:szCs w:val="24"/>
          <w:highlight w:val="none"/>
        </w:rPr>
        <w:t>目录十三、投标需要的其他证明文件及材料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_Toc16925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"_Toc11339" </w:instrText>
      </w:r>
      <w:r>
        <w:rPr>
          <w:highlight w:val="none"/>
        </w:rPr>
        <w:fldChar w:fldCharType="separate"/>
      </w:r>
      <w:r>
        <w:rPr>
          <w:rFonts w:hint="eastAsia" w:ascii="仿宋" w:hAnsi="仿宋" w:eastAsia="仿宋" w:cs="仿宋"/>
          <w:bCs/>
          <w:sz w:val="24"/>
          <w:szCs w:val="24"/>
          <w:highlight w:val="none"/>
        </w:rPr>
        <w:t>附件一、政府采购政策</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_Toc11339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rFonts w:ascii="仿宋" w:hAnsi="仿宋" w:eastAsia="仿宋" w:cs="仿宋"/>
          <w:sz w:val="24"/>
          <w:szCs w:val="24"/>
          <w:highlight w:val="none"/>
        </w:rPr>
      </w:pPr>
      <w:r>
        <w:rPr>
          <w:highlight w:val="none"/>
        </w:rPr>
        <w:fldChar w:fldCharType="begin"/>
      </w:r>
      <w:r>
        <w:rPr>
          <w:highlight w:val="none"/>
        </w:rPr>
        <w:instrText xml:space="preserve"> HYPERLINK \l "_Toc8224" </w:instrText>
      </w:r>
      <w:r>
        <w:rPr>
          <w:highlight w:val="none"/>
        </w:rPr>
        <w:fldChar w:fldCharType="separate"/>
      </w:r>
      <w:r>
        <w:rPr>
          <w:rFonts w:hint="eastAsia" w:ascii="仿宋" w:hAnsi="仿宋" w:eastAsia="仿宋" w:cs="仿宋"/>
          <w:bCs/>
          <w:sz w:val="24"/>
          <w:szCs w:val="24"/>
          <w:highlight w:val="none"/>
        </w:rPr>
        <w:t>附件二、无重大违法记录声明格式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_Toc8224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15"/>
        <w:tabs>
          <w:tab w:val="right" w:leader="dot" w:pos="8392"/>
        </w:tabs>
        <w:spacing w:line="480" w:lineRule="auto"/>
        <w:ind w:left="0" w:leftChars="0"/>
        <w:rPr>
          <w:highlight w:val="none"/>
        </w:rPr>
      </w:pPr>
      <w:r>
        <w:rPr>
          <w:highlight w:val="none"/>
        </w:rPr>
        <w:fldChar w:fldCharType="begin"/>
      </w:r>
      <w:r>
        <w:rPr>
          <w:highlight w:val="none"/>
        </w:rPr>
        <w:instrText xml:space="preserve"> HYPERLINK \l "_Toc8249" </w:instrText>
      </w:r>
      <w:r>
        <w:rPr>
          <w:highlight w:val="none"/>
        </w:rPr>
        <w:fldChar w:fldCharType="separate"/>
      </w:r>
      <w:r>
        <w:rPr>
          <w:rFonts w:hint="eastAsia" w:ascii="仿宋" w:hAnsi="仿宋" w:eastAsia="仿宋" w:cs="仿宋"/>
          <w:kern w:val="0"/>
          <w:sz w:val="24"/>
          <w:szCs w:val="24"/>
          <w:highlight w:val="none"/>
          <w:lang w:val="zh-CN"/>
        </w:rPr>
        <w:t>附件</w:t>
      </w:r>
      <w:r>
        <w:rPr>
          <w:rFonts w:hint="eastAsia" w:ascii="仿宋" w:hAnsi="仿宋" w:eastAsia="仿宋" w:cs="仿宋"/>
          <w:kern w:val="0"/>
          <w:sz w:val="24"/>
          <w:szCs w:val="24"/>
          <w:highlight w:val="none"/>
        </w:rPr>
        <w:t>三</w:t>
      </w:r>
      <w:r>
        <w:rPr>
          <w:rFonts w:hint="eastAsia" w:ascii="仿宋" w:hAnsi="仿宋" w:eastAsia="仿宋" w:cs="仿宋"/>
          <w:kern w:val="0"/>
          <w:sz w:val="24"/>
          <w:szCs w:val="24"/>
          <w:highlight w:val="none"/>
          <w:lang w:val="zh-CN"/>
        </w:rPr>
        <w:t>、</w:t>
      </w:r>
      <w:r>
        <w:rPr>
          <w:rFonts w:hint="eastAsia" w:ascii="仿宋" w:hAnsi="仿宋" w:eastAsia="仿宋" w:cs="仿宋"/>
          <w:kern w:val="0"/>
          <w:sz w:val="24"/>
          <w:szCs w:val="24"/>
          <w:highlight w:val="none"/>
        </w:rPr>
        <w:t>南京市政府采购供应商信用记录表暨信用承诺书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_Toc8249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spacing w:line="480" w:lineRule="auto"/>
        <w:jc w:val="center"/>
        <w:rPr>
          <w:rFonts w:ascii="仿宋" w:hAnsi="仿宋" w:eastAsia="仿宋" w:cs="仿宋"/>
          <w:sz w:val="32"/>
          <w:szCs w:val="32"/>
          <w:highlight w:val="none"/>
        </w:rPr>
      </w:pPr>
      <w:r>
        <w:rPr>
          <w:rFonts w:hint="eastAsia" w:ascii="仿宋" w:hAnsi="仿宋" w:eastAsia="仿宋" w:cs="仿宋"/>
          <w:highlight w:val="none"/>
        </w:rPr>
        <w:fldChar w:fldCharType="end"/>
      </w:r>
      <w:bookmarkEnd w:id="46"/>
      <w:r>
        <w:rPr>
          <w:rFonts w:hint="eastAsia" w:ascii="仿宋" w:hAnsi="仿宋" w:eastAsia="仿宋" w:cs="仿宋"/>
          <w:highlight w:val="none"/>
        </w:rPr>
        <w:t>……</w:t>
      </w:r>
    </w:p>
    <w:p>
      <w:pPr>
        <w:rPr>
          <w:rFonts w:ascii="仿宋" w:hAnsi="仿宋" w:eastAsia="仿宋" w:cs="仿宋"/>
          <w:b/>
          <w:bCs/>
          <w:sz w:val="22"/>
          <w:szCs w:val="24"/>
          <w:highlight w:val="none"/>
        </w:rPr>
      </w:pPr>
      <w:r>
        <w:rPr>
          <w:rFonts w:hint="eastAsia" w:ascii="仿宋" w:hAnsi="仿宋" w:eastAsia="仿宋" w:cs="仿宋"/>
          <w:b/>
          <w:bCs/>
          <w:sz w:val="22"/>
          <w:szCs w:val="24"/>
          <w:highlight w:val="none"/>
        </w:rPr>
        <w:br w:type="page"/>
      </w:r>
    </w:p>
    <w:p>
      <w:pPr>
        <w:spacing w:line="360" w:lineRule="auto"/>
        <w:outlineLvl w:val="2"/>
        <w:rPr>
          <w:rFonts w:ascii="仿宋" w:hAnsi="仿宋" w:eastAsia="仿宋" w:cs="仿宋"/>
          <w:b/>
          <w:bCs/>
          <w:sz w:val="22"/>
          <w:highlight w:val="none"/>
        </w:rPr>
      </w:pPr>
      <w:bookmarkStart w:id="47" w:name="_Toc15930"/>
      <w:r>
        <w:rPr>
          <w:rFonts w:hint="eastAsia" w:ascii="仿宋" w:hAnsi="仿宋" w:eastAsia="仿宋" w:cs="仿宋"/>
          <w:b/>
          <w:bCs/>
          <w:sz w:val="22"/>
          <w:highlight w:val="none"/>
        </w:rPr>
        <w:t>目录一、磋商申请及声明格式</w:t>
      </w:r>
      <w:bookmarkEnd w:id="47"/>
    </w:p>
    <w:p>
      <w:pPr>
        <w:pStyle w:val="10"/>
        <w:spacing w:line="360" w:lineRule="auto"/>
        <w:ind w:left="0"/>
        <w:jc w:val="center"/>
        <w:rPr>
          <w:rFonts w:ascii="仿宋" w:hAnsi="仿宋" w:eastAsia="仿宋" w:cs="仿宋"/>
          <w:b/>
          <w:sz w:val="32"/>
          <w:szCs w:val="32"/>
          <w:highlight w:val="none"/>
        </w:rPr>
      </w:pPr>
      <w:r>
        <w:rPr>
          <w:rFonts w:hint="eastAsia" w:ascii="仿宋" w:hAnsi="仿宋" w:eastAsia="仿宋" w:cs="仿宋"/>
          <w:b/>
          <w:sz w:val="32"/>
          <w:szCs w:val="32"/>
          <w:highlight w:val="none"/>
        </w:rPr>
        <w:t>磋商申请及声明</w:t>
      </w:r>
    </w:p>
    <w:p>
      <w:pPr>
        <w:widowControl/>
        <w:shd w:val="clear" w:color="auto" w:fill="FFFFFF"/>
        <w:spacing w:line="360" w:lineRule="auto"/>
        <w:ind w:firstLine="480" w:firstLineChars="200"/>
        <w:rPr>
          <w:rFonts w:ascii="仿宋" w:hAnsi="仿宋" w:eastAsia="仿宋" w:cs="仿宋"/>
          <w:kern w:val="0"/>
          <w:sz w:val="24"/>
          <w:szCs w:val="24"/>
          <w:highlight w:val="none"/>
          <w:lang w:val="zh-CN" w:bidi="zh-CN"/>
        </w:rPr>
      </w:pPr>
      <w:r>
        <w:rPr>
          <w:rFonts w:hint="eastAsia" w:ascii="仿宋" w:hAnsi="仿宋" w:eastAsia="仿宋" w:cs="仿宋"/>
          <w:kern w:val="0"/>
          <w:sz w:val="24"/>
          <w:szCs w:val="24"/>
          <w:highlight w:val="none"/>
          <w:lang w:val="zh-CN" w:bidi="zh-CN"/>
        </w:rPr>
        <w:t>致：XXXXXXXX(采购人)</w:t>
      </w:r>
    </w:p>
    <w:p>
      <w:pPr>
        <w:pStyle w:val="14"/>
        <w:ind w:firstLine="96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江苏同立工程咨询有限公司</w:t>
      </w:r>
    </w:p>
    <w:p>
      <w:pPr>
        <w:pStyle w:val="10"/>
        <w:tabs>
          <w:tab w:val="left" w:pos="5401"/>
          <w:tab w:val="left" w:pos="7458"/>
          <w:tab w:val="left" w:pos="8727"/>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根据贵方（项目名称） （项目编号）磋商公告，我方</w:t>
      </w:r>
      <w:r>
        <w:rPr>
          <w:rFonts w:hint="eastAsia" w:ascii="仿宋" w:hAnsi="仿宋" w:eastAsia="仿宋" w:cs="仿宋"/>
          <w:highlight w:val="none"/>
          <w:lang w:val="en-US"/>
        </w:rPr>
        <w:t>(供应商名称)</w:t>
      </w:r>
      <w:r>
        <w:rPr>
          <w:rFonts w:hint="eastAsia" w:ascii="仿宋" w:hAnsi="仿宋" w:eastAsia="仿宋" w:cs="仿宋"/>
          <w:highlight w:val="none"/>
        </w:rPr>
        <w:t>决定参与本次采购活动，提交响应文件并参加磋商。</w:t>
      </w:r>
    </w:p>
    <w:p>
      <w:pPr>
        <w:pStyle w:val="10"/>
        <w:tabs>
          <w:tab w:val="left" w:pos="5401"/>
          <w:tab w:val="left" w:pos="7458"/>
          <w:tab w:val="left" w:pos="8727"/>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据此函，</w:t>
      </w:r>
      <w:r>
        <w:rPr>
          <w:rFonts w:hint="eastAsia" w:ascii="仿宋" w:hAnsi="仿宋" w:eastAsia="仿宋" w:cs="仿宋"/>
          <w:highlight w:val="none"/>
          <w:lang w:val="en-US"/>
        </w:rPr>
        <w:t>声明</w:t>
      </w:r>
      <w:r>
        <w:rPr>
          <w:rFonts w:hint="eastAsia" w:ascii="仿宋" w:hAnsi="仿宋" w:eastAsia="仿宋" w:cs="仿宋"/>
          <w:highlight w:val="none"/>
        </w:rPr>
        <w:t>如下：</w:t>
      </w:r>
    </w:p>
    <w:p>
      <w:pPr>
        <w:pStyle w:val="10"/>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1.我方的资格条件符合政府采购法和本次采购要求。</w:t>
      </w:r>
    </w:p>
    <w:p>
      <w:pPr>
        <w:pStyle w:val="10"/>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2.我方参加政府采购活动前三年内，在经营活动中没有重大违法记录。</w:t>
      </w:r>
    </w:p>
    <w:p>
      <w:pPr>
        <w:pStyle w:val="10"/>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3.参加本次采购活动前，我方没有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w:t>
      </w:r>
    </w:p>
    <w:p>
      <w:pPr>
        <w:pStyle w:val="10"/>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 xml:space="preserve">4.我方在全国范围内未受过财政部门禁止参加政府采购活动的处罚期限，或在全国范围内受过财政部门禁止参加政府采购活动的处罚期限已满。 </w:t>
      </w:r>
    </w:p>
    <w:p>
      <w:pPr>
        <w:pStyle w:val="10"/>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5.我方与参与本次采购活动的其他供应商的负责人不是同一人，也不存在直接控股、管理关系。</w:t>
      </w:r>
    </w:p>
    <w:p>
      <w:pPr>
        <w:pStyle w:val="10"/>
        <w:tabs>
          <w:tab w:val="left" w:pos="6623"/>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6.我方同意并向贵方提供了与磋商有关的所有证据和资料。</w:t>
      </w:r>
    </w:p>
    <w:p>
      <w:pPr>
        <w:pStyle w:val="10"/>
        <w:tabs>
          <w:tab w:val="left" w:pos="6623"/>
        </w:tabs>
        <w:spacing w:line="360" w:lineRule="auto"/>
        <w:ind w:left="0" w:firstLine="480" w:firstLineChars="200"/>
        <w:rPr>
          <w:rFonts w:ascii="仿宋" w:hAnsi="仿宋" w:eastAsia="仿宋" w:cs="仿宋"/>
          <w:color w:val="auto"/>
          <w:highlight w:val="none"/>
        </w:rPr>
      </w:pPr>
      <w:r>
        <w:rPr>
          <w:rFonts w:hint="eastAsia" w:ascii="仿宋" w:hAnsi="仿宋" w:eastAsia="仿宋" w:cs="仿宋"/>
          <w:color w:val="auto"/>
          <w:highlight w:val="none"/>
          <w:lang w:val="en-US"/>
        </w:rPr>
        <w:t>7.</w:t>
      </w:r>
      <w:r>
        <w:rPr>
          <w:rFonts w:hint="eastAsia" w:ascii="仿宋" w:hAnsi="仿宋" w:eastAsia="仿宋" w:cs="仿宋"/>
          <w:color w:val="auto"/>
          <w:highlight w:val="none"/>
        </w:rPr>
        <w:t>我们的首次磋商报价为（大写）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w:t>
      </w:r>
    </w:p>
    <w:p>
      <w:pPr>
        <w:pStyle w:val="10"/>
        <w:tabs>
          <w:tab w:val="left" w:pos="6623"/>
        </w:tabs>
        <w:spacing w:line="360" w:lineRule="auto"/>
        <w:ind w:left="0" w:firstLine="480" w:firstLineChars="200"/>
        <w:rPr>
          <w:rFonts w:ascii="仿宋" w:hAnsi="仿宋" w:eastAsia="仿宋" w:cs="仿宋"/>
          <w:highlight w:val="none"/>
          <w:lang w:val="en-US"/>
        </w:rPr>
      </w:pPr>
      <w:r>
        <w:rPr>
          <w:rFonts w:hint="eastAsia" w:ascii="仿宋" w:hAnsi="仿宋" w:eastAsia="仿宋" w:cs="仿宋"/>
          <w:highlight w:val="none"/>
          <w:lang w:val="en-US"/>
        </w:rPr>
        <w:t>8.项目负责人（姓名）</w:t>
      </w:r>
      <w:r>
        <w:rPr>
          <w:rFonts w:hint="eastAsia" w:ascii="仿宋" w:hAnsi="仿宋" w:eastAsia="仿宋" w:cs="仿宋"/>
          <w:highlight w:val="none"/>
          <w:u w:val="single"/>
          <w:lang w:val="en-US"/>
        </w:rPr>
        <w:t xml:space="preserve">       </w:t>
      </w:r>
      <w:r>
        <w:rPr>
          <w:rFonts w:hint="eastAsia" w:ascii="仿宋" w:hAnsi="仿宋" w:eastAsia="仿宋" w:cs="仿宋"/>
          <w:highlight w:val="none"/>
          <w:lang w:val="en-US"/>
        </w:rPr>
        <w:t>。</w:t>
      </w:r>
    </w:p>
    <w:p>
      <w:pPr>
        <w:pStyle w:val="10"/>
        <w:spacing w:line="360" w:lineRule="auto"/>
        <w:ind w:left="0" w:firstLine="480" w:firstLineChars="200"/>
        <w:jc w:val="both"/>
        <w:rPr>
          <w:rFonts w:ascii="仿宋" w:hAnsi="仿宋" w:eastAsia="仿宋" w:cs="仿宋"/>
          <w:highlight w:val="none"/>
        </w:rPr>
      </w:pPr>
      <w:r>
        <w:rPr>
          <w:rFonts w:hint="eastAsia" w:ascii="仿宋" w:hAnsi="仿宋" w:eastAsia="仿宋" w:cs="仿宋"/>
          <w:highlight w:val="none"/>
          <w:lang w:val="en-US"/>
        </w:rPr>
        <w:t>9.</w:t>
      </w:r>
      <w:r>
        <w:rPr>
          <w:rFonts w:hint="eastAsia" w:ascii="仿宋" w:hAnsi="仿宋" w:eastAsia="仿宋" w:cs="仿宋"/>
          <w:highlight w:val="none"/>
        </w:rPr>
        <w:t>我们已详细审核全部磋商文件及其有效补充文件，我们放弃对磋商文件任何误解的权利，提交响应文件后，不对磋商文件本身提出质疑。否则，属于不诚信和故意扰乱政府采购活动行为，我们将无条件接受处罚。</w:t>
      </w:r>
    </w:p>
    <w:p>
      <w:pPr>
        <w:pStyle w:val="10"/>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10.</w:t>
      </w:r>
      <w:r>
        <w:rPr>
          <w:rFonts w:hint="eastAsia" w:ascii="仿宋" w:hAnsi="仿宋" w:eastAsia="仿宋" w:cs="仿宋"/>
          <w:highlight w:val="none"/>
        </w:rPr>
        <w:t>一旦我方成交，我方将根据磋商文件的规定，严格履行合同，并保证于承诺的时间完成货物的安装/集成、调试等工作，交付采购人验收、使用。</w:t>
      </w:r>
    </w:p>
    <w:p>
      <w:pPr>
        <w:pStyle w:val="10"/>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11.</w:t>
      </w:r>
      <w:r>
        <w:rPr>
          <w:rFonts w:hint="eastAsia" w:ascii="仿宋" w:hAnsi="仿宋" w:eastAsia="仿宋" w:cs="仿宋"/>
          <w:highlight w:val="none"/>
        </w:rPr>
        <w:t>我方决不提供虚假材料谋取成交、决不采取不正当手段诋毁、排挤其他供应商、决不与采购人、其它供应商或者</w:t>
      </w:r>
      <w:r>
        <w:rPr>
          <w:rFonts w:hint="eastAsia" w:ascii="仿宋" w:hAnsi="仿宋" w:eastAsia="仿宋" w:cs="仿宋"/>
          <w:highlight w:val="none"/>
          <w:lang w:val="en-US"/>
        </w:rPr>
        <w:t>采购代理机构</w:t>
      </w:r>
      <w:r>
        <w:rPr>
          <w:rFonts w:hint="eastAsia" w:ascii="仿宋" w:hAnsi="仿宋" w:eastAsia="仿宋" w:cs="仿宋"/>
          <w:highlight w:val="none"/>
        </w:rPr>
        <w:t>恶意串通、决不向采购人、</w:t>
      </w:r>
      <w:r>
        <w:rPr>
          <w:rFonts w:hint="eastAsia" w:ascii="仿宋" w:hAnsi="仿宋" w:eastAsia="仿宋" w:cs="仿宋"/>
          <w:highlight w:val="none"/>
          <w:lang w:val="en-US"/>
        </w:rPr>
        <w:t>采购代理机构</w:t>
      </w:r>
      <w:r>
        <w:rPr>
          <w:rFonts w:hint="eastAsia" w:ascii="仿宋" w:hAnsi="仿宋" w:eastAsia="仿宋" w:cs="仿宋"/>
          <w:highlight w:val="none"/>
        </w:rPr>
        <w:t>工作人员和磋商小组进行商业贿赂、决不拒绝有关部门监督检查或提供虚假情况，如有违反，无条件接受贵方及相关管理部门的处罚。</w:t>
      </w:r>
    </w:p>
    <w:p>
      <w:pPr>
        <w:pStyle w:val="10"/>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12.</w:t>
      </w:r>
      <w:r>
        <w:rPr>
          <w:rFonts w:hint="eastAsia" w:ascii="仿宋" w:hAnsi="仿宋" w:eastAsia="仿宋" w:cs="仿宋"/>
          <w:highlight w:val="none"/>
        </w:rPr>
        <w:t>我方正式通讯方式为：</w:t>
      </w:r>
    </w:p>
    <w:p>
      <w:pPr>
        <w:pStyle w:val="10"/>
        <w:tabs>
          <w:tab w:val="left" w:pos="5077"/>
        </w:tabs>
        <w:spacing w:line="360" w:lineRule="auto"/>
        <w:ind w:left="0" w:firstLine="480" w:firstLineChars="200"/>
        <w:jc w:val="both"/>
        <w:rPr>
          <w:rFonts w:ascii="仿宋" w:hAnsi="仿宋" w:eastAsia="仿宋" w:cs="仿宋"/>
          <w:highlight w:val="none"/>
          <w:u w:val="single"/>
        </w:rPr>
      </w:pPr>
      <w:r>
        <w:rPr>
          <w:rFonts w:hint="eastAsia" w:ascii="仿宋" w:hAnsi="仿宋" w:eastAsia="仿宋" w:cs="仿宋"/>
          <w:highlight w:val="none"/>
        </w:rPr>
        <w:t>地 址：</w:t>
      </w:r>
      <w:r>
        <w:rPr>
          <w:rFonts w:hint="eastAsia" w:ascii="仿宋" w:hAnsi="仿宋" w:eastAsia="仿宋" w:cs="仿宋"/>
          <w:highlight w:val="none"/>
          <w:u w:val="single"/>
        </w:rPr>
        <w:tab/>
      </w:r>
    </w:p>
    <w:p>
      <w:pPr>
        <w:pStyle w:val="10"/>
        <w:tabs>
          <w:tab w:val="left" w:pos="5077"/>
        </w:tabs>
        <w:spacing w:line="360" w:lineRule="auto"/>
        <w:ind w:left="0" w:firstLine="480" w:firstLineChars="200"/>
        <w:jc w:val="both"/>
        <w:rPr>
          <w:rFonts w:ascii="仿宋" w:hAnsi="仿宋" w:eastAsia="仿宋" w:cs="仿宋"/>
          <w:highlight w:val="none"/>
          <w:u w:val="single"/>
        </w:rPr>
      </w:pPr>
      <w:r>
        <w:rPr>
          <w:rFonts w:hint="eastAsia" w:ascii="仿宋" w:hAnsi="仿宋" w:eastAsia="仿宋" w:cs="仿宋"/>
          <w:highlight w:val="none"/>
        </w:rPr>
        <w:t>电 话：</w:t>
      </w:r>
      <w:r>
        <w:rPr>
          <w:rFonts w:hint="eastAsia" w:ascii="仿宋" w:hAnsi="仿宋" w:eastAsia="仿宋" w:cs="仿宋"/>
          <w:highlight w:val="none"/>
          <w:u w:val="single"/>
        </w:rPr>
        <w:tab/>
      </w:r>
    </w:p>
    <w:p>
      <w:pPr>
        <w:pStyle w:val="10"/>
        <w:spacing w:line="360" w:lineRule="auto"/>
        <w:ind w:left="0" w:firstLine="480" w:firstLineChars="200"/>
        <w:rPr>
          <w:rFonts w:ascii="仿宋" w:hAnsi="仿宋" w:eastAsia="仿宋" w:cs="仿宋"/>
          <w:highlight w:val="none"/>
        </w:rPr>
      </w:pPr>
      <w:r>
        <w:rPr>
          <w:rFonts w:hint="eastAsia" w:ascii="仿宋" w:hAnsi="仿宋" w:eastAsia="仿宋" w:cs="仿宋"/>
          <w:highlight w:val="none"/>
          <w:lang w:val="en-US"/>
        </w:rPr>
        <w:t>13</w:t>
      </w:r>
      <w:r>
        <w:rPr>
          <w:rFonts w:hint="eastAsia" w:ascii="仿宋" w:hAnsi="仿宋" w:eastAsia="仿宋" w:cs="仿宋"/>
          <w:highlight w:val="none"/>
        </w:rPr>
        <w:t>.我方正式开户银行和帐号为：</w:t>
      </w:r>
    </w:p>
    <w:p>
      <w:pPr>
        <w:pStyle w:val="10"/>
        <w:tabs>
          <w:tab w:val="left" w:pos="5198"/>
        </w:tabs>
        <w:spacing w:line="360" w:lineRule="auto"/>
        <w:ind w:left="0" w:firstLine="476" w:firstLineChars="200"/>
        <w:rPr>
          <w:rFonts w:ascii="仿宋" w:hAnsi="仿宋" w:eastAsia="仿宋" w:cs="仿宋"/>
          <w:highlight w:val="none"/>
        </w:rPr>
      </w:pPr>
      <w:r>
        <w:rPr>
          <w:rFonts w:hint="eastAsia" w:ascii="仿宋" w:hAnsi="仿宋" w:eastAsia="仿宋" w:cs="仿宋"/>
          <w:spacing w:val="-1"/>
          <w:highlight w:val="none"/>
        </w:rPr>
        <w:t>开</w:t>
      </w:r>
      <w:r>
        <w:rPr>
          <w:rFonts w:hint="eastAsia" w:ascii="仿宋" w:hAnsi="仿宋" w:eastAsia="仿宋" w:cs="仿宋"/>
          <w:highlight w:val="none"/>
        </w:rPr>
        <w:t>户银行：</w:t>
      </w:r>
      <w:r>
        <w:rPr>
          <w:rFonts w:hint="eastAsia" w:ascii="仿宋" w:hAnsi="仿宋" w:eastAsia="仿宋" w:cs="仿宋"/>
          <w:highlight w:val="none"/>
          <w:u w:val="single"/>
        </w:rPr>
        <w:tab/>
      </w:r>
    </w:p>
    <w:p>
      <w:pPr>
        <w:pStyle w:val="10"/>
        <w:tabs>
          <w:tab w:val="left" w:pos="1270"/>
          <w:tab w:val="left" w:pos="5197"/>
        </w:tabs>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帐</w:t>
      </w:r>
      <w:r>
        <w:rPr>
          <w:rFonts w:hint="eastAsia" w:ascii="仿宋" w:hAnsi="仿宋" w:eastAsia="仿宋" w:cs="仿宋"/>
          <w:highlight w:val="none"/>
        </w:rPr>
        <w:tab/>
      </w:r>
      <w:r>
        <w:rPr>
          <w:rFonts w:hint="eastAsia" w:ascii="仿宋" w:hAnsi="仿宋" w:eastAsia="仿宋" w:cs="仿宋"/>
          <w:spacing w:val="-1"/>
          <w:highlight w:val="none"/>
        </w:rPr>
        <w:t>号</w:t>
      </w:r>
      <w:r>
        <w:rPr>
          <w:rFonts w:hint="eastAsia" w:ascii="仿宋" w:hAnsi="仿宋" w:eastAsia="仿宋" w:cs="仿宋"/>
          <w:highlight w:val="none"/>
        </w:rPr>
        <w:t>：</w:t>
      </w:r>
      <w:r>
        <w:rPr>
          <w:rFonts w:hint="eastAsia" w:ascii="仿宋" w:hAnsi="仿宋" w:eastAsia="仿宋" w:cs="仿宋"/>
          <w:highlight w:val="none"/>
          <w:u w:val="single"/>
        </w:rPr>
        <w:tab/>
      </w:r>
    </w:p>
    <w:p>
      <w:pPr>
        <w:pStyle w:val="10"/>
        <w:tabs>
          <w:tab w:val="left" w:pos="5112"/>
          <w:tab w:val="left" w:pos="5677"/>
        </w:tabs>
        <w:spacing w:line="360" w:lineRule="auto"/>
        <w:ind w:left="0" w:firstLine="476" w:firstLineChars="200"/>
        <w:jc w:val="both"/>
        <w:rPr>
          <w:rFonts w:ascii="仿宋" w:hAnsi="仿宋" w:eastAsia="仿宋" w:cs="仿宋"/>
          <w:highlight w:val="none"/>
          <w:u w:val="single"/>
          <w:lang w:val="en-US"/>
        </w:rPr>
      </w:pPr>
      <w:r>
        <w:rPr>
          <w:rFonts w:hint="eastAsia" w:ascii="仿宋" w:hAnsi="仿宋" w:eastAsia="仿宋" w:cs="仿宋"/>
          <w:spacing w:val="-1"/>
          <w:highlight w:val="none"/>
        </w:rPr>
        <w:t>供</w:t>
      </w:r>
      <w:r>
        <w:rPr>
          <w:rFonts w:hint="eastAsia" w:ascii="仿宋" w:hAnsi="仿宋" w:eastAsia="仿宋" w:cs="仿宋"/>
          <w:highlight w:val="none"/>
        </w:rPr>
        <w:t>应商名称（公章）：</w:t>
      </w:r>
      <w:r>
        <w:rPr>
          <w:rFonts w:hint="eastAsia" w:ascii="仿宋" w:hAnsi="仿宋" w:eastAsia="仿宋" w:cs="仿宋"/>
          <w:highlight w:val="none"/>
          <w:u w:val="single"/>
        </w:rPr>
        <w:tab/>
      </w:r>
    </w:p>
    <w:p>
      <w:pPr>
        <w:pStyle w:val="10"/>
        <w:tabs>
          <w:tab w:val="left" w:pos="1330"/>
          <w:tab w:val="left" w:pos="5677"/>
        </w:tabs>
        <w:spacing w:line="360" w:lineRule="auto"/>
        <w:ind w:left="0" w:firstLine="480" w:firstLineChars="200"/>
        <w:jc w:val="both"/>
        <w:rPr>
          <w:rFonts w:ascii="仿宋" w:hAnsi="仿宋" w:eastAsia="仿宋" w:cs="仿宋"/>
          <w:highlight w:val="none"/>
        </w:rPr>
      </w:pPr>
      <w:r>
        <w:rPr>
          <w:rFonts w:hint="eastAsia" w:ascii="仿宋" w:hAnsi="仿宋" w:eastAsia="仿宋" w:cs="仿宋"/>
          <w:highlight w:val="none"/>
        </w:rPr>
        <w:t>日</w:t>
      </w:r>
      <w:r>
        <w:rPr>
          <w:rFonts w:hint="eastAsia" w:ascii="仿宋" w:hAnsi="仿宋" w:eastAsia="仿宋" w:cs="仿宋"/>
          <w:highlight w:val="none"/>
        </w:rPr>
        <w:tab/>
      </w:r>
      <w:r>
        <w:rPr>
          <w:rFonts w:hint="eastAsia" w:ascii="仿宋" w:hAnsi="仿宋" w:eastAsia="仿宋" w:cs="仿宋"/>
          <w:highlight w:val="none"/>
        </w:rPr>
        <w:t>期：</w:t>
      </w:r>
      <w:r>
        <w:rPr>
          <w:rFonts w:hint="eastAsia" w:ascii="仿宋" w:hAnsi="仿宋" w:eastAsia="仿宋" w:cs="仿宋"/>
          <w:highlight w:val="non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pStyle w:val="10"/>
        <w:spacing w:before="11" w:line="360" w:lineRule="auto"/>
        <w:ind w:left="0"/>
        <w:rPr>
          <w:rFonts w:ascii="仿宋" w:hAnsi="仿宋" w:eastAsia="仿宋" w:cs="仿宋"/>
          <w:highlight w:val="none"/>
          <w:lang w:val="en-US"/>
        </w:rPr>
      </w:pPr>
    </w:p>
    <w:p>
      <w:pPr>
        <w:rPr>
          <w:rFonts w:ascii="仿宋" w:hAnsi="仿宋" w:eastAsia="仿宋" w:cs="仿宋"/>
          <w:b/>
          <w:bCs/>
          <w:sz w:val="22"/>
          <w:highlight w:val="none"/>
        </w:rPr>
      </w:pPr>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48" w:name="_Toc11817"/>
      <w:r>
        <w:rPr>
          <w:rFonts w:hint="eastAsia" w:ascii="仿宋" w:hAnsi="仿宋" w:eastAsia="仿宋" w:cs="仿宋"/>
          <w:b/>
          <w:bCs/>
          <w:sz w:val="22"/>
          <w:highlight w:val="none"/>
        </w:rPr>
        <w:t>目录二、法定代表人授权委托书格式</w:t>
      </w:r>
      <w:bookmarkEnd w:id="48"/>
    </w:p>
    <w:p>
      <w:pPr>
        <w:pStyle w:val="10"/>
        <w:spacing w:line="360" w:lineRule="auto"/>
        <w:ind w:left="0"/>
        <w:jc w:val="center"/>
        <w:rPr>
          <w:rFonts w:ascii="仿宋" w:hAnsi="仿宋" w:eastAsia="仿宋" w:cs="仿宋"/>
          <w:b/>
          <w:sz w:val="32"/>
          <w:szCs w:val="32"/>
          <w:highlight w:val="none"/>
        </w:rPr>
      </w:pPr>
      <w:r>
        <w:rPr>
          <w:rFonts w:hint="eastAsia" w:ascii="仿宋" w:hAnsi="仿宋" w:eastAsia="仿宋" w:cs="仿宋"/>
          <w:b/>
          <w:sz w:val="32"/>
          <w:szCs w:val="32"/>
          <w:highlight w:val="none"/>
        </w:rPr>
        <w:t>法定代表人授权委托书</w:t>
      </w:r>
    </w:p>
    <w:p>
      <w:pPr>
        <w:pStyle w:val="10"/>
        <w:spacing w:before="11" w:line="360" w:lineRule="auto"/>
        <w:ind w:left="0"/>
        <w:rPr>
          <w:rFonts w:ascii="仿宋" w:hAnsi="仿宋" w:eastAsia="仿宋" w:cs="仿宋"/>
          <w:b/>
          <w:sz w:val="22"/>
          <w:szCs w:val="22"/>
          <w:highlight w:val="none"/>
        </w:rPr>
      </w:pPr>
    </w:p>
    <w:p>
      <w:pPr>
        <w:widowControl/>
        <w:shd w:val="clear" w:color="auto" w:fill="FFFFFF"/>
        <w:spacing w:line="360" w:lineRule="auto"/>
        <w:ind w:firstLine="480" w:firstLineChars="200"/>
        <w:rPr>
          <w:rFonts w:ascii="仿宋" w:hAnsi="仿宋" w:eastAsia="仿宋" w:cs="仿宋"/>
          <w:bCs/>
          <w:sz w:val="24"/>
          <w:szCs w:val="24"/>
          <w:highlight w:val="none"/>
        </w:rPr>
      </w:pPr>
      <w:r>
        <w:rPr>
          <w:rFonts w:hint="eastAsia" w:ascii="仿宋" w:hAnsi="仿宋" w:eastAsia="仿宋" w:cs="仿宋"/>
          <w:sz w:val="24"/>
          <w:szCs w:val="24"/>
          <w:highlight w:val="none"/>
        </w:rPr>
        <w:t>致：XXXXXXXX(采购人)</w:t>
      </w:r>
    </w:p>
    <w:p>
      <w:pPr>
        <w:pStyle w:val="14"/>
        <w:ind w:firstLine="96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江苏同立工程咨询有限公司</w:t>
      </w:r>
    </w:p>
    <w:p>
      <w:pPr>
        <w:rPr>
          <w:rFonts w:ascii="仿宋" w:hAnsi="仿宋" w:eastAsia="仿宋" w:cs="仿宋"/>
          <w:sz w:val="24"/>
          <w:szCs w:val="24"/>
          <w:highlight w:val="none"/>
        </w:rPr>
      </w:pPr>
    </w:p>
    <w:p>
      <w:pPr>
        <w:pStyle w:val="10"/>
        <w:tabs>
          <w:tab w:val="left" w:pos="2987"/>
          <w:tab w:val="left" w:pos="3618"/>
          <w:tab w:val="left" w:pos="7647"/>
          <w:tab w:val="left" w:pos="8670"/>
          <w:tab w:val="left" w:pos="8898"/>
        </w:tabs>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本授权书声明：注册于</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供应商住址</w:t>
      </w:r>
      <w:r>
        <w:rPr>
          <w:rFonts w:hint="eastAsia" w:ascii="仿宋" w:hAnsi="仿宋" w:eastAsia="仿宋" w:cs="仿宋"/>
          <w:highlight w:val="none"/>
          <w:lang w:val="en-US"/>
        </w:rPr>
        <w:t>)</w:t>
      </w:r>
      <w:r>
        <w:rPr>
          <w:rFonts w:hint="eastAsia" w:ascii="仿宋" w:hAnsi="仿宋" w:eastAsia="仿宋" w:cs="仿宋"/>
          <w:highlight w:val="none"/>
        </w:rPr>
        <w:t>的</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供应商名称</w:t>
      </w:r>
      <w:r>
        <w:rPr>
          <w:rFonts w:hint="eastAsia" w:ascii="仿宋" w:hAnsi="仿宋" w:eastAsia="仿宋" w:cs="仿宋"/>
          <w:highlight w:val="none"/>
          <w:lang w:val="en-US"/>
        </w:rPr>
        <w:t>)</w:t>
      </w:r>
      <w:r>
        <w:rPr>
          <w:rFonts w:hint="eastAsia" w:ascii="仿宋" w:hAnsi="仿宋" w:eastAsia="仿宋" w:cs="仿宋"/>
          <w:highlight w:val="none"/>
        </w:rPr>
        <w:t>法定代表人</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法定代表人姓名、职务</w:t>
      </w:r>
      <w:r>
        <w:rPr>
          <w:rFonts w:hint="eastAsia" w:ascii="仿宋" w:hAnsi="仿宋" w:eastAsia="仿宋" w:cs="仿宋"/>
          <w:highlight w:val="none"/>
          <w:lang w:val="en-US"/>
        </w:rPr>
        <w:t>)</w:t>
      </w:r>
      <w:r>
        <w:rPr>
          <w:rFonts w:hint="eastAsia" w:ascii="仿宋" w:hAnsi="仿宋" w:eastAsia="仿宋" w:cs="仿宋"/>
          <w:highlight w:val="none"/>
        </w:rPr>
        <w:t>代表本公司授权</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lang w:val="en-US"/>
        </w:rPr>
        <w:t>(</w:t>
      </w:r>
      <w:r>
        <w:rPr>
          <w:rFonts w:hint="eastAsia" w:ascii="仿宋" w:hAnsi="仿宋" w:eastAsia="仿宋" w:cs="仿宋"/>
          <w:highlight w:val="none"/>
        </w:rPr>
        <w:t>供应商代表姓名、职务</w:t>
      </w:r>
      <w:r>
        <w:rPr>
          <w:rFonts w:hint="eastAsia" w:ascii="仿宋" w:hAnsi="仿宋" w:eastAsia="仿宋" w:cs="仿宋"/>
          <w:highlight w:val="none"/>
          <w:lang w:val="en-US"/>
        </w:rPr>
        <w:t>)</w:t>
      </w:r>
      <w:r>
        <w:rPr>
          <w:rFonts w:hint="eastAsia" w:ascii="仿宋" w:hAnsi="仿宋" w:eastAsia="仿宋" w:cs="仿宋"/>
          <w:highlight w:val="none"/>
        </w:rPr>
        <w:t>为本公司的合法代理人，就贵方组织的</w:t>
      </w:r>
      <w:r>
        <w:rPr>
          <w:rFonts w:hint="eastAsia" w:ascii="仿宋" w:hAnsi="仿宋" w:eastAsia="仿宋" w:cs="仿宋"/>
          <w:b/>
          <w:bCs/>
          <w:highlight w:val="none"/>
          <w:u w:val="single"/>
        </w:rPr>
        <w:t xml:space="preserve">  </w:t>
      </w:r>
      <w:r>
        <w:rPr>
          <w:rFonts w:hint="eastAsia" w:ascii="仿宋" w:hAnsi="仿宋" w:eastAsia="仿宋" w:cs="仿宋"/>
          <w:b/>
          <w:bCs/>
          <w:highlight w:val="none"/>
          <w:u w:val="single"/>
          <w:lang w:val="en-US"/>
        </w:rPr>
        <w:t xml:space="preserve">    </w:t>
      </w:r>
      <w:r>
        <w:rPr>
          <w:rFonts w:hint="eastAsia" w:ascii="仿宋" w:hAnsi="仿宋" w:eastAsia="仿宋" w:cs="仿宋"/>
          <w:highlight w:val="none"/>
          <w:lang w:val="en-US"/>
        </w:rPr>
        <w:t>(</w:t>
      </w:r>
      <w:r>
        <w:rPr>
          <w:rFonts w:hint="eastAsia" w:ascii="仿宋" w:hAnsi="仿宋" w:eastAsia="仿宋" w:cs="仿宋"/>
          <w:highlight w:val="none"/>
        </w:rPr>
        <w:t>项目名称</w:t>
      </w:r>
      <w:r>
        <w:rPr>
          <w:rFonts w:hint="eastAsia" w:ascii="仿宋" w:hAnsi="仿宋" w:eastAsia="仿宋" w:cs="仿宋"/>
          <w:highlight w:val="none"/>
          <w:lang w:val="en-US"/>
        </w:rPr>
        <w:t>)</w:t>
      </w:r>
      <w:r>
        <w:rPr>
          <w:rFonts w:hint="eastAsia" w:ascii="仿宋" w:hAnsi="仿宋" w:eastAsia="仿宋" w:cs="仿宋"/>
          <w:highlight w:val="none"/>
          <w:u w:val="single"/>
          <w:lang w:val="en-US"/>
        </w:rPr>
        <w:t xml:space="preserve">        </w:t>
      </w:r>
      <w:r>
        <w:rPr>
          <w:rFonts w:hint="eastAsia" w:ascii="仿宋" w:hAnsi="仿宋" w:eastAsia="仿宋" w:cs="仿宋"/>
          <w:highlight w:val="none"/>
        </w:rPr>
        <w:t>（项目编号）进行磋商报价</w:t>
      </w:r>
      <w:r>
        <w:rPr>
          <w:rFonts w:hint="eastAsia" w:ascii="仿宋" w:hAnsi="仿宋" w:eastAsia="仿宋" w:cs="仿宋"/>
          <w:spacing w:val="-10"/>
          <w:highlight w:val="none"/>
        </w:rPr>
        <w:t>，</w:t>
      </w:r>
      <w:r>
        <w:rPr>
          <w:rFonts w:hint="eastAsia" w:ascii="仿宋" w:hAnsi="仿宋" w:eastAsia="仿宋" w:cs="仿宋"/>
          <w:highlight w:val="none"/>
        </w:rPr>
        <w:t>以本公司名义处理一切与之有关的事务。</w:t>
      </w:r>
    </w:p>
    <w:p>
      <w:pPr>
        <w:widowControl/>
        <w:adjustRightInd w:val="0"/>
        <w:spacing w:line="360" w:lineRule="auto"/>
        <w:ind w:firstLine="480" w:firstLineChars="200"/>
        <w:jc w:val="right"/>
        <w:rPr>
          <w:rFonts w:ascii="仿宋" w:hAnsi="仿宋" w:eastAsia="仿宋" w:cs="仿宋"/>
          <w:sz w:val="24"/>
          <w:szCs w:val="24"/>
          <w:highlight w:val="none"/>
        </w:rPr>
      </w:pPr>
      <w:r>
        <w:rPr>
          <w:rFonts w:hint="eastAsia" w:ascii="仿宋" w:hAnsi="仿宋" w:eastAsia="仿宋" w:cs="仿宋"/>
          <w:sz w:val="24"/>
          <w:szCs w:val="24"/>
          <w:highlight w:val="none"/>
        </w:rPr>
        <w:t>特此声明！</w:t>
      </w:r>
    </w:p>
    <w:p>
      <w:pPr>
        <w:widowControl/>
        <w:adjustRightInd w:val="0"/>
        <w:snapToGrid w:val="0"/>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法定代表人签字或签章：</w:t>
      </w:r>
      <w:r>
        <w:rPr>
          <w:rFonts w:hint="eastAsia" w:ascii="仿宋" w:hAnsi="仿宋" w:eastAsia="仿宋" w:cs="仿宋"/>
          <w:sz w:val="24"/>
          <w:szCs w:val="24"/>
          <w:highlight w:val="none"/>
          <w:u w:val="single"/>
        </w:rPr>
        <w:t xml:space="preserve">                </w:t>
      </w:r>
    </w:p>
    <w:p>
      <w:pPr>
        <w:widowControl/>
        <w:adjustRightInd w:val="0"/>
        <w:snapToGrid w:val="0"/>
        <w:spacing w:line="360" w:lineRule="auto"/>
        <w:ind w:firstLine="480" w:firstLineChars="200"/>
        <w:rPr>
          <w:rFonts w:ascii="仿宋" w:hAnsi="仿宋" w:eastAsia="仿宋" w:cs="仿宋"/>
          <w:sz w:val="24"/>
          <w:szCs w:val="24"/>
          <w:highlight w:val="none"/>
          <w:u w:val="single"/>
        </w:rPr>
      </w:pPr>
      <w:r>
        <w:rPr>
          <w:rFonts w:hint="eastAsia" w:ascii="仿宋" w:hAnsi="仿宋" w:eastAsia="仿宋" w:cs="仿宋"/>
          <w:sz w:val="24"/>
          <w:szCs w:val="24"/>
          <w:highlight w:val="none"/>
        </w:rPr>
        <w:t>供应商名称（公章）：</w:t>
      </w:r>
      <w:r>
        <w:rPr>
          <w:rFonts w:hint="eastAsia" w:ascii="仿宋" w:hAnsi="仿宋" w:eastAsia="仿宋" w:cs="仿宋"/>
          <w:sz w:val="24"/>
          <w:szCs w:val="24"/>
          <w:highlight w:val="none"/>
          <w:u w:val="single"/>
        </w:rPr>
        <w:t xml:space="preserve">                 </w:t>
      </w:r>
    </w:p>
    <w:p>
      <w:pPr>
        <w:pStyle w:val="10"/>
        <w:tabs>
          <w:tab w:val="left" w:pos="2538"/>
          <w:tab w:val="left" w:pos="3978"/>
          <w:tab w:val="left" w:pos="4698"/>
          <w:tab w:val="left" w:pos="5418"/>
        </w:tabs>
        <w:adjustRightInd w:val="0"/>
        <w:snapToGrid w:val="0"/>
        <w:spacing w:line="360" w:lineRule="auto"/>
        <w:ind w:left="0" w:firstLine="480" w:firstLineChars="200"/>
        <w:rPr>
          <w:rFonts w:ascii="仿宋" w:hAnsi="仿宋" w:eastAsia="仿宋" w:cs="仿宋"/>
          <w:highlight w:val="none"/>
        </w:rPr>
      </w:pPr>
      <w:r>
        <w:rPr>
          <w:rFonts w:hint="eastAsia" w:ascii="仿宋" w:hAnsi="仿宋" w:eastAsia="仿宋" w:cs="仿宋"/>
          <w:highlight w:val="none"/>
        </w:rPr>
        <w:t xml:space="preserve">日   </w:t>
      </w:r>
      <w:r>
        <w:rPr>
          <w:rFonts w:hint="eastAsia" w:ascii="仿宋" w:hAnsi="仿宋" w:eastAsia="仿宋" w:cs="仿宋"/>
          <w:highlight w:val="none"/>
          <w:lang w:val="en-US"/>
        </w:rPr>
        <w:t xml:space="preserve"> </w:t>
      </w:r>
      <w:r>
        <w:rPr>
          <w:rFonts w:hint="eastAsia" w:ascii="仿宋" w:hAnsi="仿宋" w:eastAsia="仿宋" w:cs="仿宋"/>
          <w:highlight w:val="none"/>
        </w:rPr>
        <w:t xml:space="preserve">   期：   年    月    日</w:t>
      </w:r>
    </w:p>
    <w:p>
      <w:pPr>
        <w:pStyle w:val="10"/>
        <w:tabs>
          <w:tab w:val="left" w:pos="2538"/>
          <w:tab w:val="left" w:pos="3978"/>
          <w:tab w:val="left" w:pos="4698"/>
          <w:tab w:val="left" w:pos="5418"/>
        </w:tabs>
        <w:adjustRightInd w:val="0"/>
        <w:snapToGrid w:val="0"/>
        <w:spacing w:line="360" w:lineRule="auto"/>
        <w:ind w:left="0" w:firstLine="480" w:firstLineChars="200"/>
        <w:rPr>
          <w:rFonts w:ascii="仿宋" w:hAnsi="仿宋" w:eastAsia="仿宋" w:cs="仿宋"/>
          <w:highlight w:val="none"/>
        </w:rPr>
      </w:pPr>
    </w:p>
    <w:tbl>
      <w:tblPr>
        <w:tblStyle w:val="2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pPr>
              <w:spacing w:line="300" w:lineRule="auto"/>
              <w:jc w:val="left"/>
              <w:rPr>
                <w:rFonts w:ascii="仿宋" w:hAnsi="仿宋" w:eastAsia="仿宋" w:cs="仿宋"/>
                <w:sz w:val="22"/>
                <w:highlight w:val="none"/>
              </w:rPr>
            </w:pPr>
            <w:r>
              <w:rPr>
                <w:rFonts w:hint="eastAsia" w:ascii="仿宋" w:hAnsi="仿宋" w:eastAsia="仿宋" w:cs="仿宋"/>
                <w:sz w:val="22"/>
                <w:highlight w:val="none"/>
              </w:rPr>
              <w:t>法定代表人身份证正反面复印件</w:t>
            </w:r>
          </w:p>
        </w:tc>
      </w:tr>
    </w:tbl>
    <w:p>
      <w:pPr>
        <w:rPr>
          <w:highlight w:val="none"/>
        </w:rPr>
      </w:pPr>
    </w:p>
    <w:p>
      <w:pPr>
        <w:rPr>
          <w:highlight w:val="none"/>
        </w:rPr>
      </w:pPr>
    </w:p>
    <w:tbl>
      <w:tblPr>
        <w:tblStyle w:val="2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8217" w:type="dxa"/>
          </w:tcPr>
          <w:p>
            <w:pPr>
              <w:spacing w:line="300" w:lineRule="auto"/>
              <w:rPr>
                <w:rFonts w:ascii="仿宋" w:hAnsi="仿宋" w:eastAsia="仿宋" w:cs="仿宋"/>
                <w:sz w:val="22"/>
                <w:highlight w:val="none"/>
              </w:rPr>
            </w:pPr>
            <w:r>
              <w:rPr>
                <w:rFonts w:hint="eastAsia" w:ascii="仿宋" w:hAnsi="仿宋" w:eastAsia="仿宋" w:cs="仿宋"/>
                <w:sz w:val="22"/>
                <w:highlight w:val="none"/>
              </w:rPr>
              <w:t>委托代理人身份证正反面复印件</w:t>
            </w:r>
          </w:p>
        </w:tc>
      </w:tr>
    </w:tbl>
    <w:p>
      <w:pPr>
        <w:rPr>
          <w:rFonts w:ascii="仿宋" w:hAnsi="仿宋" w:eastAsia="仿宋" w:cs="仿宋"/>
          <w:b/>
          <w:bCs/>
          <w:sz w:val="22"/>
          <w:szCs w:val="24"/>
          <w:highlight w:val="none"/>
        </w:rPr>
      </w:pPr>
    </w:p>
    <w:p>
      <w:pPr>
        <w:rPr>
          <w:rFonts w:ascii="仿宋" w:hAnsi="仿宋" w:eastAsia="仿宋" w:cs="仿宋"/>
          <w:b/>
          <w:bCs/>
          <w:sz w:val="22"/>
          <w:highlight w:val="none"/>
        </w:rPr>
      </w:pPr>
      <w:bookmarkStart w:id="49" w:name="_Toc19933"/>
      <w:bookmarkStart w:id="50" w:name="_Toc25958"/>
      <w:bookmarkStart w:id="51" w:name="_Toc20772"/>
      <w:bookmarkStart w:id="52" w:name="_Toc12931"/>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r>
        <w:rPr>
          <w:rFonts w:hint="eastAsia" w:ascii="仿宋" w:hAnsi="仿宋" w:eastAsia="仿宋" w:cs="仿宋"/>
          <w:b/>
          <w:bCs/>
          <w:sz w:val="22"/>
          <w:highlight w:val="none"/>
        </w:rPr>
        <w:t>目录三、报价表格式</w:t>
      </w:r>
      <w:bookmarkEnd w:id="49"/>
      <w:bookmarkEnd w:id="50"/>
      <w:bookmarkEnd w:id="51"/>
      <w:bookmarkEnd w:id="52"/>
    </w:p>
    <w:p>
      <w:pPr>
        <w:keepNext/>
        <w:keepLines/>
        <w:spacing w:line="416" w:lineRule="auto"/>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报价汇总表</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项目名称：                                        项目编号：</w:t>
      </w:r>
    </w:p>
    <w:tbl>
      <w:tblPr>
        <w:tblStyle w:val="27"/>
        <w:tblW w:w="8906" w:type="dxa"/>
        <w:tblInd w:w="-40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5"/>
        <w:gridCol w:w="2425"/>
        <w:gridCol w:w="992"/>
        <w:gridCol w:w="1276"/>
        <w:gridCol w:w="3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r>
              <w:rPr>
                <w:rStyle w:val="65"/>
                <w:rFonts w:hint="eastAsia" w:ascii="仿宋" w:hAnsi="仿宋" w:eastAsia="仿宋" w:cs="仿宋"/>
                <w:color w:val="auto"/>
                <w:sz w:val="24"/>
                <w:highlight w:val="none"/>
                <w:lang w:val="zh-CN"/>
              </w:rPr>
              <w:t>序号</w:t>
            </w:r>
          </w:p>
        </w:tc>
        <w:tc>
          <w:tcPr>
            <w:tcW w:w="3417"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r>
              <w:rPr>
                <w:rStyle w:val="65"/>
                <w:rFonts w:hint="eastAsia" w:ascii="仿宋" w:hAnsi="仿宋" w:eastAsia="仿宋" w:cs="仿宋"/>
                <w:color w:val="auto"/>
                <w:sz w:val="24"/>
                <w:highlight w:val="none"/>
                <w:lang w:val="zh-CN"/>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r>
              <w:rPr>
                <w:rStyle w:val="65"/>
                <w:rFonts w:hint="eastAsia" w:ascii="仿宋" w:hAnsi="仿宋" w:eastAsia="仿宋" w:cs="仿宋"/>
                <w:color w:val="auto"/>
                <w:sz w:val="24"/>
                <w:highlight w:val="none"/>
                <w:lang w:val="zh-CN"/>
              </w:rPr>
              <w:t>报价（元）</w:t>
            </w: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r>
              <w:rPr>
                <w:rStyle w:val="65"/>
                <w:rFonts w:hint="eastAsia" w:ascii="仿宋" w:hAnsi="仿宋" w:eastAsia="仿宋" w:cs="仿宋"/>
                <w:b/>
                <w:bCs/>
                <w:color w:val="auto"/>
                <w:kern w:val="0"/>
                <w:sz w:val="24"/>
                <w:highlight w:val="none"/>
              </w:rPr>
              <w:t>小、微型企业报价（元）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pacing w:val="-2"/>
                <w:sz w:val="24"/>
                <w:highlight w:val="none"/>
              </w:rPr>
            </w:pPr>
          </w:p>
        </w:tc>
        <w:tc>
          <w:tcPr>
            <w:tcW w:w="3417"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pacing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pacing w:val="-2"/>
                <w:sz w:val="24"/>
                <w:highlight w:val="none"/>
              </w:rPr>
            </w:pPr>
          </w:p>
        </w:tc>
        <w:tc>
          <w:tcPr>
            <w:tcW w:w="3417"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pacing w:val="-2"/>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95"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pacing w:val="-2"/>
                <w:sz w:val="24"/>
                <w:highlight w:val="none"/>
              </w:rPr>
            </w:pPr>
          </w:p>
        </w:tc>
        <w:tc>
          <w:tcPr>
            <w:tcW w:w="3417" w:type="dxa"/>
            <w:gridSpan w:val="2"/>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pacing w:val="-2"/>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Style w:val="65"/>
                <w:rFonts w:ascii="仿宋" w:hAnsi="仿宋" w:eastAsia="仿宋" w:cs="仿宋"/>
                <w:color w:val="auto"/>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95" w:type="dxa"/>
            <w:tcBorders>
              <w:top w:val="single" w:color="auto" w:sz="4" w:space="0"/>
            </w:tcBorders>
            <w:vAlign w:val="center"/>
          </w:tcPr>
          <w:p>
            <w:pPr>
              <w:jc w:val="center"/>
              <w:rPr>
                <w:rStyle w:val="65"/>
                <w:rFonts w:ascii="仿宋" w:hAnsi="仿宋" w:eastAsia="仿宋" w:cs="仿宋"/>
                <w:color w:val="auto"/>
                <w:spacing w:val="-2"/>
                <w:sz w:val="24"/>
                <w:highlight w:val="none"/>
              </w:rPr>
            </w:pPr>
          </w:p>
        </w:tc>
        <w:tc>
          <w:tcPr>
            <w:tcW w:w="3417" w:type="dxa"/>
            <w:gridSpan w:val="2"/>
            <w:tcBorders>
              <w:top w:val="single" w:color="auto" w:sz="4" w:space="0"/>
            </w:tcBorders>
            <w:vAlign w:val="center"/>
          </w:tcPr>
          <w:p>
            <w:pPr>
              <w:jc w:val="center"/>
              <w:rPr>
                <w:rStyle w:val="65"/>
                <w:rFonts w:ascii="仿宋" w:hAnsi="仿宋" w:eastAsia="仿宋" w:cs="仿宋"/>
                <w:color w:val="auto"/>
                <w:spacing w:val="-2"/>
                <w:sz w:val="24"/>
                <w:highlight w:val="none"/>
              </w:rPr>
            </w:pPr>
          </w:p>
        </w:tc>
        <w:tc>
          <w:tcPr>
            <w:tcW w:w="1276" w:type="dxa"/>
            <w:tcBorders>
              <w:top w:val="single" w:color="auto" w:sz="4" w:space="0"/>
            </w:tcBorders>
            <w:vAlign w:val="center"/>
          </w:tcPr>
          <w:p>
            <w:pPr>
              <w:jc w:val="center"/>
              <w:rPr>
                <w:rStyle w:val="65"/>
                <w:rFonts w:ascii="仿宋" w:hAnsi="仿宋" w:eastAsia="仿宋" w:cs="仿宋"/>
                <w:color w:val="auto"/>
                <w:sz w:val="24"/>
                <w:highlight w:val="none"/>
                <w:lang w:val="zh-CN"/>
              </w:rPr>
            </w:pPr>
          </w:p>
        </w:tc>
        <w:tc>
          <w:tcPr>
            <w:tcW w:w="3118" w:type="dxa"/>
            <w:tcBorders>
              <w:top w:val="single" w:color="auto" w:sz="4" w:space="0"/>
            </w:tcBorders>
            <w:vAlign w:val="center"/>
          </w:tcPr>
          <w:p>
            <w:pPr>
              <w:jc w:val="center"/>
              <w:rPr>
                <w:rStyle w:val="65"/>
                <w:rFonts w:ascii="仿宋" w:hAnsi="仿宋" w:eastAsia="仿宋" w:cs="仿宋"/>
                <w:color w:val="auto"/>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095" w:type="dxa"/>
            <w:vAlign w:val="center"/>
          </w:tcPr>
          <w:p>
            <w:pPr>
              <w:jc w:val="center"/>
              <w:rPr>
                <w:rStyle w:val="65"/>
                <w:rFonts w:ascii="仿宋" w:hAnsi="仿宋" w:eastAsia="仿宋" w:cs="仿宋"/>
                <w:color w:val="auto"/>
                <w:spacing w:val="-2"/>
                <w:sz w:val="24"/>
                <w:highlight w:val="none"/>
              </w:rPr>
            </w:pPr>
          </w:p>
        </w:tc>
        <w:tc>
          <w:tcPr>
            <w:tcW w:w="3417" w:type="dxa"/>
            <w:gridSpan w:val="2"/>
            <w:vAlign w:val="center"/>
          </w:tcPr>
          <w:p>
            <w:pPr>
              <w:jc w:val="center"/>
              <w:rPr>
                <w:rStyle w:val="65"/>
                <w:rFonts w:ascii="仿宋" w:hAnsi="仿宋" w:eastAsia="仿宋" w:cs="仿宋"/>
                <w:color w:val="auto"/>
                <w:spacing w:val="-2"/>
                <w:sz w:val="24"/>
                <w:highlight w:val="none"/>
              </w:rPr>
            </w:pPr>
          </w:p>
        </w:tc>
        <w:tc>
          <w:tcPr>
            <w:tcW w:w="1276" w:type="dxa"/>
            <w:vAlign w:val="center"/>
          </w:tcPr>
          <w:p>
            <w:pPr>
              <w:jc w:val="center"/>
              <w:rPr>
                <w:rStyle w:val="65"/>
                <w:rFonts w:ascii="仿宋" w:hAnsi="仿宋" w:eastAsia="仿宋" w:cs="仿宋"/>
                <w:color w:val="auto"/>
                <w:sz w:val="24"/>
                <w:highlight w:val="none"/>
                <w:lang w:val="zh-CN"/>
              </w:rPr>
            </w:pPr>
          </w:p>
        </w:tc>
        <w:tc>
          <w:tcPr>
            <w:tcW w:w="3118" w:type="dxa"/>
            <w:vAlign w:val="center"/>
          </w:tcPr>
          <w:p>
            <w:pPr>
              <w:jc w:val="center"/>
              <w:rPr>
                <w:rStyle w:val="65"/>
                <w:rFonts w:ascii="仿宋" w:hAnsi="仿宋" w:eastAsia="仿宋" w:cs="仿宋"/>
                <w:color w:val="auto"/>
                <w:sz w:val="24"/>
                <w:highlight w:val="none"/>
                <w:lang w:val="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520" w:type="dxa"/>
            <w:gridSpan w:val="2"/>
            <w:vAlign w:val="center"/>
          </w:tcPr>
          <w:p>
            <w:pPr>
              <w:rPr>
                <w:rStyle w:val="65"/>
                <w:rFonts w:ascii="仿宋" w:hAnsi="仿宋" w:eastAsia="仿宋" w:cs="仿宋"/>
                <w:color w:val="auto"/>
                <w:kern w:val="0"/>
                <w:sz w:val="24"/>
                <w:highlight w:val="none"/>
                <w:lang w:val="zh-CN"/>
              </w:rPr>
            </w:pPr>
            <w:r>
              <w:rPr>
                <w:rStyle w:val="65"/>
                <w:rFonts w:hint="eastAsia" w:ascii="仿宋" w:hAnsi="仿宋" w:eastAsia="仿宋" w:cs="仿宋"/>
                <w:color w:val="auto"/>
                <w:kern w:val="0"/>
                <w:sz w:val="24"/>
                <w:highlight w:val="none"/>
                <w:lang w:val="zh-CN"/>
              </w:rPr>
              <w:t>投标总价（人民币，大写）</w:t>
            </w:r>
          </w:p>
        </w:tc>
        <w:tc>
          <w:tcPr>
            <w:tcW w:w="5386" w:type="dxa"/>
            <w:gridSpan w:val="3"/>
            <w:vAlign w:val="center"/>
          </w:tcPr>
          <w:p>
            <w:pPr>
              <w:rPr>
                <w:rStyle w:val="65"/>
                <w:rFonts w:ascii="仿宋" w:hAnsi="仿宋" w:eastAsia="仿宋" w:cs="仿宋"/>
                <w:color w:val="auto"/>
                <w:kern w:val="0"/>
                <w:sz w:val="24"/>
                <w:highlight w:val="none"/>
                <w:lang w:val="zh-CN"/>
              </w:rPr>
            </w:pPr>
            <w:r>
              <w:rPr>
                <w:rStyle w:val="65"/>
                <w:rFonts w:hint="eastAsia" w:ascii="仿宋" w:hAnsi="仿宋" w:eastAsia="仿宋" w:cs="仿宋"/>
                <w:color w:val="auto"/>
                <w:kern w:val="0"/>
                <w:sz w:val="24"/>
                <w:highlight w:val="none"/>
                <w:lang w:val="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3520" w:type="dxa"/>
            <w:gridSpan w:val="2"/>
            <w:vAlign w:val="center"/>
          </w:tcPr>
          <w:p>
            <w:pPr>
              <w:rPr>
                <w:rStyle w:val="65"/>
                <w:rFonts w:ascii="仿宋" w:hAnsi="仿宋" w:eastAsia="仿宋" w:cs="仿宋"/>
                <w:color w:val="auto"/>
                <w:kern w:val="0"/>
                <w:sz w:val="24"/>
                <w:highlight w:val="none"/>
                <w:lang w:val="zh-CN"/>
              </w:rPr>
            </w:pPr>
            <w:r>
              <w:rPr>
                <w:rStyle w:val="65"/>
                <w:rFonts w:hint="eastAsia" w:ascii="仿宋" w:hAnsi="仿宋" w:eastAsia="仿宋" w:cs="仿宋"/>
                <w:color w:val="auto"/>
                <w:kern w:val="0"/>
                <w:sz w:val="24"/>
                <w:highlight w:val="none"/>
                <w:lang w:val="zh-CN"/>
              </w:rPr>
              <w:t>供应商是否属于小微型企业</w:t>
            </w:r>
          </w:p>
        </w:tc>
        <w:tc>
          <w:tcPr>
            <w:tcW w:w="5386" w:type="dxa"/>
            <w:gridSpan w:val="3"/>
            <w:vAlign w:val="center"/>
          </w:tcPr>
          <w:p>
            <w:pPr>
              <w:rPr>
                <w:rStyle w:val="65"/>
                <w:rFonts w:ascii="仿宋" w:hAnsi="仿宋" w:eastAsia="仿宋" w:cs="仿宋"/>
                <w:color w:val="auto"/>
                <w:kern w:val="0"/>
                <w:sz w:val="24"/>
                <w:highlight w:val="none"/>
                <w:lang w:val="zh-CN"/>
              </w:rPr>
            </w:pPr>
            <w:r>
              <w:rPr>
                <w:rStyle w:val="65"/>
                <w:rFonts w:hint="eastAsia" w:ascii="仿宋" w:hAnsi="仿宋" w:eastAsia="仿宋" w:cs="仿宋"/>
                <w:color w:val="auto"/>
                <w:kern w:val="0"/>
                <w:sz w:val="24"/>
                <w:highlight w:val="none"/>
                <w:lang w:val="zh-CN"/>
              </w:rPr>
              <w:t xml:space="preserve">是   </w:t>
            </w:r>
            <w:r>
              <w:rPr>
                <w:rStyle w:val="65"/>
                <w:rFonts w:hint="eastAsia" w:ascii="仿宋" w:hAnsi="仿宋" w:eastAsia="仿宋" w:cs="仿宋"/>
                <w:color w:val="auto"/>
                <w:kern w:val="0"/>
                <w:sz w:val="24"/>
                <w:highlight w:val="none"/>
              </w:rPr>
              <w:t>或</w:t>
            </w:r>
            <w:r>
              <w:rPr>
                <w:rStyle w:val="65"/>
                <w:rFonts w:hint="eastAsia" w:ascii="仿宋" w:hAnsi="仿宋" w:eastAsia="仿宋" w:cs="仿宋"/>
                <w:color w:val="auto"/>
                <w:kern w:val="0"/>
                <w:sz w:val="24"/>
                <w:highlight w:val="none"/>
                <w:lang w:val="zh-CN"/>
              </w:rPr>
              <w:t xml:space="preserve">   否</w:t>
            </w:r>
          </w:p>
        </w:tc>
      </w:tr>
    </w:tbl>
    <w:p>
      <w:pPr>
        <w:spacing w:line="360" w:lineRule="auto"/>
        <w:rPr>
          <w:rFonts w:ascii="仿宋" w:hAnsi="仿宋" w:eastAsia="仿宋" w:cs="仿宋"/>
          <w:kern w:val="0"/>
          <w:sz w:val="24"/>
          <w:highlight w:val="none"/>
          <w:lang w:val="zh-CN"/>
        </w:rPr>
      </w:pP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供应商名称:（盖章）</w:t>
      </w:r>
    </w:p>
    <w:p>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w:t>
      </w:r>
    </w:p>
    <w:p>
      <w:pPr>
        <w:numPr>
          <w:ilvl w:val="0"/>
          <w:numId w:val="2"/>
        </w:num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在“供应商是否属于小和微型企业”栏后</w:t>
      </w:r>
      <w:r>
        <w:rPr>
          <w:rFonts w:hint="eastAsia" w:ascii="仿宋" w:hAnsi="仿宋" w:eastAsia="仿宋" w:cs="仿宋"/>
          <w:color w:val="auto"/>
          <w:kern w:val="0"/>
          <w:sz w:val="24"/>
          <w:highlight w:val="none"/>
        </w:rPr>
        <w:t>填写</w:t>
      </w:r>
      <w:r>
        <w:rPr>
          <w:rFonts w:hint="eastAsia" w:ascii="仿宋" w:hAnsi="仿宋" w:eastAsia="仿宋" w:cs="仿宋"/>
          <w:color w:val="auto"/>
          <w:kern w:val="0"/>
          <w:sz w:val="24"/>
          <w:highlight w:val="none"/>
          <w:lang w:val="zh-CN"/>
        </w:rPr>
        <w:t>“是”或“否”。</w:t>
      </w:r>
      <w:r>
        <w:rPr>
          <w:rFonts w:hint="eastAsia" w:ascii="仿宋" w:hAnsi="仿宋" w:eastAsia="仿宋" w:cs="仿宋"/>
          <w:color w:val="auto"/>
          <w:sz w:val="24"/>
          <w:highlight w:val="none"/>
        </w:rPr>
        <w:t>如填写“是”，供应商需提供《中小企业声明函》、《残疾人福利性单位声明函》、《属于监狱企业的证明文件》；如为代理商投标，还需提供</w:t>
      </w:r>
      <w:r>
        <w:rPr>
          <w:rFonts w:hint="eastAsia" w:ascii="仿宋" w:hAnsi="仿宋" w:eastAsia="仿宋" w:cs="仿宋"/>
          <w:b/>
          <w:bCs/>
          <w:color w:val="auto"/>
          <w:sz w:val="24"/>
          <w:highlight w:val="none"/>
        </w:rPr>
        <w:t>投标产品制造商出具的上述文件</w:t>
      </w:r>
      <w:r>
        <w:rPr>
          <w:rFonts w:hint="eastAsia" w:ascii="仿宋" w:hAnsi="仿宋" w:eastAsia="仿宋" w:cs="仿宋"/>
          <w:color w:val="auto"/>
          <w:sz w:val="24"/>
          <w:highlight w:val="none"/>
        </w:rPr>
        <w:t>。非小微企业产品不享受价格扣除。如未按要求提供、填写，或相关内容表述不清前后矛盾的，不享受价格扣除。</w:t>
      </w:r>
    </w:p>
    <w:p>
      <w:pPr>
        <w:keepNext/>
        <w:keepLines/>
        <w:spacing w:line="416" w:lineRule="auto"/>
        <w:jc w:val="center"/>
        <w:rPr>
          <w:rFonts w:ascii="仿宋" w:hAnsi="仿宋" w:eastAsia="仿宋" w:cs="仿宋"/>
          <w:b/>
          <w:bCs/>
          <w:sz w:val="22"/>
          <w:szCs w:val="24"/>
          <w:highlight w:val="none"/>
        </w:rPr>
      </w:pPr>
    </w:p>
    <w:p>
      <w:pPr>
        <w:widowControl/>
        <w:adjustRightInd w:val="0"/>
        <w:spacing w:line="360" w:lineRule="auto"/>
        <w:jc w:val="center"/>
        <w:rPr>
          <w:rFonts w:ascii="仿宋" w:hAnsi="仿宋" w:eastAsia="仿宋" w:cs="仿宋"/>
          <w:b/>
          <w:bCs/>
          <w:sz w:val="32"/>
          <w:szCs w:val="32"/>
          <w:highlight w:val="none"/>
        </w:rPr>
      </w:pPr>
    </w:p>
    <w:p>
      <w:pPr>
        <w:widowControl/>
        <w:adjustRightInd w:val="0"/>
        <w:spacing w:line="360" w:lineRule="auto"/>
        <w:jc w:val="center"/>
        <w:rPr>
          <w:rFonts w:ascii="仿宋" w:hAnsi="仿宋" w:eastAsia="仿宋" w:cs="仿宋"/>
          <w:b/>
          <w:bCs/>
          <w:sz w:val="32"/>
          <w:szCs w:val="32"/>
          <w:highlight w:val="none"/>
        </w:rPr>
      </w:pPr>
    </w:p>
    <w:p>
      <w:pPr>
        <w:widowControl/>
        <w:adjustRightInd w:val="0"/>
        <w:spacing w:line="360" w:lineRule="auto"/>
        <w:jc w:val="center"/>
        <w:rPr>
          <w:rFonts w:ascii="仿宋" w:hAnsi="仿宋" w:eastAsia="仿宋" w:cs="仿宋"/>
          <w:b/>
          <w:bCs/>
          <w:sz w:val="32"/>
          <w:szCs w:val="32"/>
          <w:highlight w:val="none"/>
        </w:rPr>
      </w:pPr>
    </w:p>
    <w:p>
      <w:pPr>
        <w:widowControl/>
        <w:adjustRightInd w:val="0"/>
        <w:spacing w:line="360" w:lineRule="auto"/>
        <w:jc w:val="center"/>
        <w:rPr>
          <w:rFonts w:ascii="仿宋" w:hAnsi="仿宋" w:eastAsia="仿宋" w:cs="仿宋"/>
          <w:b/>
          <w:bCs/>
          <w:sz w:val="32"/>
          <w:szCs w:val="32"/>
          <w:highlight w:val="none"/>
        </w:rPr>
      </w:pPr>
    </w:p>
    <w:p>
      <w:pPr>
        <w:widowControl/>
        <w:adjustRightInd w:val="0"/>
        <w:spacing w:line="360" w:lineRule="auto"/>
        <w:jc w:val="center"/>
        <w:rPr>
          <w:rFonts w:ascii="仿宋" w:hAnsi="仿宋" w:eastAsia="仿宋" w:cs="仿宋"/>
          <w:b/>
          <w:bCs/>
          <w:sz w:val="32"/>
          <w:szCs w:val="32"/>
          <w:highlight w:val="none"/>
        </w:rPr>
      </w:pPr>
    </w:p>
    <w:p>
      <w:pPr>
        <w:widowControl/>
        <w:adjustRightInd w:val="0"/>
        <w:spacing w:line="360" w:lineRule="auto"/>
        <w:jc w:val="center"/>
        <w:rPr>
          <w:rFonts w:ascii="仿宋" w:hAnsi="仿宋" w:eastAsia="仿宋" w:cs="仿宋"/>
          <w:b/>
          <w:bCs/>
          <w:sz w:val="32"/>
          <w:szCs w:val="32"/>
          <w:highlight w:val="none"/>
        </w:rPr>
      </w:pPr>
    </w:p>
    <w:p>
      <w:pPr>
        <w:widowControl/>
        <w:adjustRightInd w:val="0"/>
        <w:spacing w:line="360" w:lineRule="auto"/>
        <w:jc w:val="center"/>
        <w:rPr>
          <w:rFonts w:ascii="仿宋" w:hAnsi="仿宋" w:eastAsia="仿宋" w:cs="仿宋"/>
          <w:b/>
          <w:bCs/>
          <w:sz w:val="32"/>
          <w:szCs w:val="32"/>
          <w:highlight w:val="none"/>
        </w:rPr>
      </w:pPr>
    </w:p>
    <w:p>
      <w:pPr>
        <w:widowControl/>
        <w:adjustRightInd w:val="0"/>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二次报价表</w:t>
      </w:r>
    </w:p>
    <w:tbl>
      <w:tblPr>
        <w:tblStyle w:val="2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79"/>
        <w:gridCol w:w="2315"/>
        <w:gridCol w:w="2222"/>
        <w:gridCol w:w="84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17" w:type="dxa"/>
            <w:gridSpan w:val="2"/>
            <w:tcBorders>
              <w:top w:val="single" w:color="auto" w:sz="12" w:space="0"/>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4537" w:type="dxa"/>
            <w:gridSpan w:val="2"/>
            <w:tcBorders>
              <w:top w:val="single" w:color="auto" w:sz="12" w:space="0"/>
            </w:tcBorders>
            <w:vAlign w:val="center"/>
          </w:tcPr>
          <w:p>
            <w:pPr>
              <w:rPr>
                <w:rFonts w:hint="eastAsia" w:ascii="仿宋" w:hAnsi="仿宋" w:eastAsia="仿宋" w:cs="仿宋"/>
                <w:sz w:val="24"/>
                <w:szCs w:val="24"/>
                <w:highlight w:val="none"/>
                <w:lang w:eastAsia="zh-CN"/>
              </w:rPr>
            </w:pPr>
            <w:r>
              <w:rPr>
                <w:rFonts w:hint="eastAsia" w:ascii="仿宋" w:hAnsi="仿宋" w:eastAsia="仿宋" w:cs="仿宋"/>
                <w:bCs/>
                <w:sz w:val="24"/>
                <w:szCs w:val="24"/>
                <w:highlight w:val="none"/>
                <w:lang w:eastAsia="zh-CN"/>
              </w:rPr>
              <w:t>南京市雨花台中学春江分校2024年度校园安保服务</w:t>
            </w:r>
          </w:p>
        </w:tc>
        <w:tc>
          <w:tcPr>
            <w:tcW w:w="840" w:type="dxa"/>
            <w:tcBorders>
              <w:top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项目编号</w:t>
            </w:r>
          </w:p>
        </w:tc>
        <w:tc>
          <w:tcPr>
            <w:tcW w:w="2278" w:type="dxa"/>
            <w:tcBorders>
              <w:top w:val="single" w:color="auto" w:sz="12" w:space="0"/>
              <w:right w:val="single" w:color="auto" w:sz="12" w:space="0"/>
            </w:tcBorders>
            <w:vAlign w:val="center"/>
          </w:tcPr>
          <w:p>
            <w:pPr>
              <w:spacing w:line="360" w:lineRule="auto"/>
              <w:jc w:val="left"/>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lang w:eastAsia="zh-CN"/>
              </w:rPr>
              <w:t>JSTL-CS-2023106</w:t>
            </w:r>
          </w:p>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采购单位</w:t>
            </w:r>
          </w:p>
        </w:tc>
        <w:tc>
          <w:tcPr>
            <w:tcW w:w="7655" w:type="dxa"/>
            <w:gridSpan w:val="4"/>
            <w:tcBorders>
              <w:right w:val="single" w:color="auto" w:sz="12" w:space="0"/>
            </w:tcBorders>
            <w:vAlign w:val="center"/>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南京市雨花台中学春江分校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磋商报价</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单位</w:t>
            </w:r>
          </w:p>
        </w:tc>
        <w:tc>
          <w:tcPr>
            <w:tcW w:w="7655" w:type="dxa"/>
            <w:gridSpan w:val="4"/>
            <w:tcBorders>
              <w:right w:val="single" w:color="auto" w:sz="12" w:space="0"/>
            </w:tcBorders>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417" w:type="dxa"/>
            <w:gridSpan w:val="2"/>
            <w:tcBorders>
              <w:left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磋商日期</w:t>
            </w:r>
          </w:p>
        </w:tc>
        <w:tc>
          <w:tcPr>
            <w:tcW w:w="2315" w:type="dxa"/>
            <w:vAlign w:val="center"/>
          </w:tcPr>
          <w:p>
            <w:pPr>
              <w:rPr>
                <w:rFonts w:ascii="仿宋" w:hAnsi="仿宋" w:eastAsia="仿宋" w:cs="仿宋"/>
                <w:sz w:val="24"/>
                <w:szCs w:val="24"/>
                <w:highlight w:val="none"/>
              </w:rPr>
            </w:pPr>
          </w:p>
        </w:tc>
        <w:tc>
          <w:tcPr>
            <w:tcW w:w="2222"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磋商地点</w:t>
            </w:r>
          </w:p>
        </w:tc>
        <w:tc>
          <w:tcPr>
            <w:tcW w:w="3118" w:type="dxa"/>
            <w:gridSpan w:val="2"/>
            <w:tcBorders>
              <w:right w:val="single" w:color="auto" w:sz="12" w:space="0"/>
            </w:tcBorders>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9072" w:type="dxa"/>
            <w:gridSpan w:val="6"/>
            <w:tcBorders>
              <w:left w:val="single" w:color="auto" w:sz="12" w:space="0"/>
              <w:right w:val="single" w:color="auto" w:sz="12" w:space="0"/>
            </w:tcBorders>
            <w:vAlign w:val="center"/>
          </w:tcPr>
          <w:p>
            <w:pPr>
              <w:spacing w:line="360" w:lineRule="auto"/>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二次报价 （</w:t>
            </w:r>
            <w:r>
              <w:rPr>
                <w:rFonts w:hint="eastAsia" w:ascii="仿宋" w:hAnsi="仿宋" w:eastAsia="仿宋" w:cs="仿宋"/>
                <w:sz w:val="24"/>
                <w:szCs w:val="24"/>
                <w:highlight w:val="none"/>
                <w:lang w:val="en-US" w:eastAsia="zh-CN"/>
              </w:rPr>
              <w:t>总价</w:t>
            </w:r>
            <w:r>
              <w:rPr>
                <w:rFonts w:hint="eastAsia" w:ascii="仿宋" w:hAnsi="仿宋" w:eastAsia="仿宋" w:cs="仿宋"/>
                <w:sz w:val="24"/>
                <w:szCs w:val="24"/>
                <w:highlight w:val="none"/>
              </w:rPr>
              <w:t xml:space="preserve">）小写： </w:t>
            </w:r>
            <w:r>
              <w:rPr>
                <w:rFonts w:hint="eastAsia" w:ascii="仿宋" w:hAnsi="仿宋" w:eastAsia="仿宋" w:cs="仿宋"/>
                <w:sz w:val="24"/>
                <w:szCs w:val="24"/>
                <w:highlight w:val="none"/>
                <w:u w:val="single"/>
              </w:rPr>
              <w:t xml:space="preserve">                                     </w:t>
            </w:r>
          </w:p>
          <w:p>
            <w:pPr>
              <w:pStyle w:val="36"/>
              <w:spacing w:line="360" w:lineRule="auto"/>
              <w:ind w:firstLine="480"/>
              <w:rPr>
                <w:rFonts w:ascii="仿宋" w:hAnsi="仿宋" w:eastAsia="仿宋" w:cs="仿宋"/>
                <w:sz w:val="24"/>
                <w:highlight w:val="none"/>
                <w:u w:val="single"/>
              </w:rPr>
            </w:pPr>
            <w:r>
              <w:rPr>
                <w:rFonts w:hint="eastAsia" w:ascii="仿宋" w:hAnsi="仿宋" w:eastAsia="仿宋" w:cs="仿宋"/>
                <w:sz w:val="24"/>
                <w:highlight w:val="none"/>
              </w:rPr>
              <w:t xml:space="preserve">             大写：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pStyle w:val="36"/>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9072" w:type="dxa"/>
            <w:gridSpan w:val="6"/>
            <w:tcBorders>
              <w:left w:val="single" w:color="auto" w:sz="12" w:space="0"/>
              <w:right w:val="single" w:color="auto" w:sz="12" w:space="0"/>
            </w:tcBorders>
          </w:tcPr>
          <w:p>
            <w:pPr>
              <w:autoSpaceDE w:val="0"/>
              <w:autoSpaceDN w:val="0"/>
              <w:adjustRightInd w:val="0"/>
              <w:jc w:val="center"/>
              <w:rPr>
                <w:rFonts w:ascii="仿宋" w:hAnsi="仿宋" w:eastAsia="仿宋" w:cs="仿宋"/>
                <w:sz w:val="24"/>
                <w:szCs w:val="24"/>
                <w:highlight w:val="none"/>
              </w:rPr>
            </w:pPr>
          </w:p>
          <w:p>
            <w:pPr>
              <w:autoSpaceDE w:val="0"/>
              <w:autoSpaceDN w:val="0"/>
              <w:adjustRightInd w:val="0"/>
              <w:jc w:val="center"/>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r>
              <w:rPr>
                <w:rFonts w:hint="eastAsia" w:ascii="仿宋" w:hAnsi="仿宋" w:eastAsia="仿宋" w:cs="仿宋"/>
                <w:sz w:val="24"/>
                <w:szCs w:val="24"/>
                <w:highlight w:val="none"/>
              </w:rPr>
              <w:t>被授权代理人（签字）</w:t>
            </w:r>
          </w:p>
          <w:p>
            <w:pPr>
              <w:autoSpaceDE w:val="0"/>
              <w:autoSpaceDN w:val="0"/>
              <w:adjustRightInd w:val="0"/>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p>
          <w:p>
            <w:pPr>
              <w:autoSpaceDE w:val="0"/>
              <w:autoSpaceDN w:val="0"/>
              <w:adjustRightInd w:val="0"/>
              <w:rPr>
                <w:rFonts w:ascii="仿宋" w:hAnsi="仿宋" w:eastAsia="仿宋" w:cs="仿宋"/>
                <w:sz w:val="24"/>
                <w:szCs w:val="24"/>
                <w:highlight w:val="none"/>
              </w:rPr>
            </w:pPr>
            <w:r>
              <w:rPr>
                <w:rFonts w:hint="eastAsia" w:ascii="仿宋" w:hAnsi="仿宋" w:eastAsia="仿宋" w:cs="仿宋"/>
                <w:sz w:val="24"/>
                <w:szCs w:val="24"/>
                <w:highlight w:val="none"/>
              </w:rPr>
              <w:t>磋商报价单位（盖章）</w:t>
            </w:r>
          </w:p>
          <w:p>
            <w:pPr>
              <w:autoSpaceDE w:val="0"/>
              <w:autoSpaceDN w:val="0"/>
              <w:adjustRightInd w:val="0"/>
              <w:jc w:val="center"/>
              <w:rPr>
                <w:rFonts w:ascii="仿宋" w:hAnsi="仿宋" w:eastAsia="仿宋" w:cs="仿宋"/>
                <w:sz w:val="24"/>
                <w:szCs w:val="24"/>
                <w:highlight w:val="none"/>
              </w:rPr>
            </w:pPr>
          </w:p>
          <w:p>
            <w:pPr>
              <w:autoSpaceDE w:val="0"/>
              <w:autoSpaceDN w:val="0"/>
              <w:adjustRightInd w:val="0"/>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38" w:type="dxa"/>
            <w:tcBorders>
              <w:left w:val="single" w:color="auto" w:sz="12" w:space="0"/>
              <w:bottom w:val="single" w:color="auto" w:sz="12" w:space="0"/>
            </w:tcBorders>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c>
          <w:tcPr>
            <w:tcW w:w="8434" w:type="dxa"/>
            <w:gridSpan w:val="5"/>
            <w:tcBorders>
              <w:bottom w:val="single" w:color="auto" w:sz="12" w:space="0"/>
              <w:right w:val="single" w:color="auto" w:sz="12" w:space="0"/>
            </w:tcBorders>
          </w:tcPr>
          <w:p>
            <w:pPr>
              <w:jc w:val="center"/>
              <w:rPr>
                <w:rFonts w:ascii="仿宋" w:hAnsi="仿宋" w:eastAsia="仿宋" w:cs="仿宋"/>
                <w:sz w:val="24"/>
                <w:szCs w:val="24"/>
                <w:highlight w:val="none"/>
              </w:rPr>
            </w:pPr>
          </w:p>
        </w:tc>
      </w:tr>
    </w:tbl>
    <w:p>
      <w:pPr>
        <w:spacing w:line="360" w:lineRule="auto"/>
        <w:ind w:firstLine="360" w:firstLineChars="150"/>
        <w:rPr>
          <w:rFonts w:ascii="仿宋" w:hAnsi="仿宋" w:eastAsia="仿宋" w:cs="仿宋"/>
          <w:sz w:val="24"/>
          <w:szCs w:val="24"/>
          <w:highlight w:val="none"/>
        </w:rPr>
      </w:pPr>
      <w:r>
        <w:rPr>
          <w:rFonts w:hint="eastAsia" w:ascii="仿宋" w:hAnsi="仿宋" w:eastAsia="仿宋" w:cs="仿宋"/>
          <w:sz w:val="24"/>
          <w:szCs w:val="24"/>
          <w:highlight w:val="none"/>
        </w:rPr>
        <w:t>说明：</w:t>
      </w:r>
      <w:r>
        <w:rPr>
          <w:rFonts w:hint="eastAsia" w:ascii="仿宋" w:hAnsi="仿宋" w:eastAsia="仿宋" w:cs="仿宋"/>
          <w:b/>
          <w:bCs/>
          <w:sz w:val="24"/>
          <w:szCs w:val="24"/>
          <w:highlight w:val="none"/>
        </w:rPr>
        <w:t>此表需单独打印</w:t>
      </w:r>
      <w:r>
        <w:rPr>
          <w:rFonts w:hint="eastAsia" w:ascii="仿宋" w:hAnsi="仿宋" w:eastAsia="仿宋" w:cs="仿宋"/>
          <w:sz w:val="24"/>
          <w:szCs w:val="24"/>
          <w:highlight w:val="none"/>
        </w:rPr>
        <w:t>，在竞争性磋商现场填写，在竞争性磋商截止时间前，磋商报价单位无需填写此表，但须加盖单位公章后与磋商响应性文件一并密封提交。</w:t>
      </w:r>
    </w:p>
    <w:p>
      <w:pPr>
        <w:rPr>
          <w:rFonts w:ascii="仿宋" w:hAnsi="仿宋" w:eastAsia="仿宋" w:cs="仿宋"/>
          <w:b/>
          <w:bCs/>
          <w:sz w:val="22"/>
          <w:szCs w:val="24"/>
          <w:highlight w:val="none"/>
        </w:rPr>
      </w:pPr>
      <w:r>
        <w:rPr>
          <w:rFonts w:hint="eastAsia" w:ascii="仿宋" w:hAnsi="仿宋" w:eastAsia="仿宋" w:cs="仿宋"/>
          <w:b/>
          <w:bCs/>
          <w:sz w:val="22"/>
          <w:szCs w:val="24"/>
          <w:highlight w:val="none"/>
        </w:rPr>
        <w:br w:type="page"/>
      </w:r>
    </w:p>
    <w:p>
      <w:pPr>
        <w:spacing w:line="360" w:lineRule="auto"/>
        <w:outlineLvl w:val="2"/>
        <w:rPr>
          <w:rFonts w:ascii="仿宋" w:hAnsi="仿宋" w:eastAsia="仿宋" w:cs="仿宋"/>
          <w:b/>
          <w:bCs/>
          <w:sz w:val="22"/>
          <w:highlight w:val="none"/>
        </w:rPr>
      </w:pPr>
      <w:bookmarkStart w:id="53" w:name="_Toc7564"/>
      <w:r>
        <w:rPr>
          <w:rFonts w:hint="eastAsia" w:ascii="仿宋" w:hAnsi="仿宋" w:eastAsia="仿宋" w:cs="仿宋"/>
          <w:b/>
          <w:bCs/>
          <w:sz w:val="22"/>
          <w:highlight w:val="none"/>
        </w:rPr>
        <w:t>目录四、分项报价表</w:t>
      </w:r>
      <w:bookmarkEnd w:id="53"/>
    </w:p>
    <w:p>
      <w:pPr>
        <w:pStyle w:val="36"/>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分项报价表（</w:t>
      </w:r>
      <w:r>
        <w:rPr>
          <w:rFonts w:hint="eastAsia" w:ascii="仿宋" w:hAnsi="仿宋" w:eastAsia="仿宋" w:cs="仿宋"/>
          <w:b/>
          <w:bCs/>
          <w:sz w:val="32"/>
          <w:szCs w:val="32"/>
          <w:highlight w:val="none"/>
          <w:lang w:val="en-US" w:eastAsia="zh-CN"/>
        </w:rPr>
        <w:t>如有</w:t>
      </w:r>
      <w:r>
        <w:rPr>
          <w:rFonts w:hint="eastAsia" w:ascii="仿宋" w:hAnsi="仿宋" w:eastAsia="仿宋" w:cs="仿宋"/>
          <w:b/>
          <w:bCs/>
          <w:sz w:val="32"/>
          <w:szCs w:val="32"/>
          <w:highlight w:val="none"/>
        </w:rPr>
        <w:t>，格式自拟）</w:t>
      </w:r>
    </w:p>
    <w:p>
      <w:pPr>
        <w:jc w:val="center"/>
        <w:rPr>
          <w:rFonts w:ascii="仿宋" w:hAnsi="仿宋" w:eastAsia="仿宋" w:cs="仿宋"/>
          <w:bCs/>
          <w:kern w:val="0"/>
          <w:szCs w:val="24"/>
          <w:highlight w:val="none"/>
        </w:rPr>
      </w:pPr>
    </w:p>
    <w:p>
      <w:pPr>
        <w:spacing w:before="3"/>
        <w:rPr>
          <w:rFonts w:ascii="仿宋" w:hAnsi="仿宋" w:eastAsia="仿宋" w:cs="仿宋"/>
          <w:b/>
          <w:bCs/>
          <w:sz w:val="12"/>
          <w:szCs w:val="12"/>
          <w:highlight w:val="none"/>
        </w:rPr>
      </w:pPr>
    </w:p>
    <w:p>
      <w:pPr>
        <w:jc w:val="center"/>
        <w:rPr>
          <w:rFonts w:ascii="仿宋" w:hAnsi="仿宋" w:eastAsia="仿宋" w:cs="仿宋"/>
          <w:bCs/>
          <w:color w:val="auto"/>
          <w:kern w:val="0"/>
          <w:szCs w:val="24"/>
          <w:highlight w:val="none"/>
        </w:rPr>
      </w:pPr>
    </w:p>
    <w:p>
      <w:pPr>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项目名称：                                           项目编号：</w:t>
      </w:r>
    </w:p>
    <w:tbl>
      <w:tblPr>
        <w:tblStyle w:val="27"/>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193"/>
        <w:gridCol w:w="1217"/>
        <w:gridCol w:w="850"/>
        <w:gridCol w:w="993"/>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709" w:type="dxa"/>
            <w:vAlign w:val="center"/>
          </w:tcPr>
          <w:p>
            <w:pPr>
              <w:jc w:val="center"/>
              <w:rPr>
                <w:rStyle w:val="65"/>
                <w:rFonts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序号</w:t>
            </w:r>
          </w:p>
        </w:tc>
        <w:tc>
          <w:tcPr>
            <w:tcW w:w="1193" w:type="dxa"/>
            <w:vAlign w:val="center"/>
          </w:tcPr>
          <w:p>
            <w:pPr>
              <w:jc w:val="center"/>
              <w:rPr>
                <w:rStyle w:val="65"/>
                <w:rFonts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名称</w:t>
            </w:r>
          </w:p>
        </w:tc>
        <w:tc>
          <w:tcPr>
            <w:tcW w:w="1217" w:type="dxa"/>
            <w:vAlign w:val="center"/>
          </w:tcPr>
          <w:p>
            <w:pPr>
              <w:jc w:val="center"/>
              <w:rPr>
                <w:rStyle w:val="65"/>
                <w:rFonts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数量</w:t>
            </w:r>
          </w:p>
        </w:tc>
        <w:tc>
          <w:tcPr>
            <w:tcW w:w="850" w:type="dxa"/>
            <w:vAlign w:val="center"/>
          </w:tcPr>
          <w:p>
            <w:pPr>
              <w:jc w:val="center"/>
              <w:rPr>
                <w:rStyle w:val="65"/>
                <w:rFonts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单位</w:t>
            </w:r>
          </w:p>
        </w:tc>
        <w:tc>
          <w:tcPr>
            <w:tcW w:w="993" w:type="dxa"/>
            <w:vAlign w:val="center"/>
          </w:tcPr>
          <w:p>
            <w:pPr>
              <w:jc w:val="center"/>
              <w:rPr>
                <w:rStyle w:val="65"/>
                <w:rFonts w:hint="eastAsia"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单价</w:t>
            </w:r>
          </w:p>
          <w:p>
            <w:pPr>
              <w:jc w:val="center"/>
              <w:rPr>
                <w:rStyle w:val="65"/>
                <w:rFonts w:ascii="仿宋" w:hAnsi="仿宋" w:eastAsia="仿宋" w:cs="仿宋"/>
                <w:color w:val="auto"/>
                <w:kern w:val="0"/>
                <w:highlight w:val="none"/>
                <w:lang w:val="zh-CN"/>
              </w:rPr>
            </w:pPr>
            <w:r>
              <w:rPr>
                <w:rStyle w:val="65"/>
                <w:rFonts w:hint="eastAsia" w:ascii="仿宋" w:hAnsi="仿宋" w:eastAsia="仿宋" w:cs="仿宋"/>
                <w:color w:val="auto"/>
                <w:kern w:val="0"/>
                <w:highlight w:val="none"/>
              </w:rPr>
              <w:t>（元）</w:t>
            </w:r>
          </w:p>
        </w:tc>
        <w:tc>
          <w:tcPr>
            <w:tcW w:w="1984" w:type="dxa"/>
            <w:vAlign w:val="center"/>
          </w:tcPr>
          <w:p>
            <w:pPr>
              <w:jc w:val="center"/>
              <w:rPr>
                <w:rStyle w:val="65"/>
                <w:rFonts w:hint="eastAsia"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总价</w:t>
            </w:r>
          </w:p>
          <w:p>
            <w:pPr>
              <w:jc w:val="center"/>
              <w:rPr>
                <w:rStyle w:val="65"/>
                <w:rFonts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（元）</w:t>
            </w:r>
          </w:p>
        </w:tc>
        <w:tc>
          <w:tcPr>
            <w:tcW w:w="1701" w:type="dxa"/>
            <w:vAlign w:val="center"/>
          </w:tcPr>
          <w:p>
            <w:pPr>
              <w:jc w:val="center"/>
              <w:rPr>
                <w:rStyle w:val="65"/>
                <w:rFonts w:hint="default" w:ascii="仿宋" w:hAnsi="仿宋" w:eastAsia="仿宋" w:cs="仿宋"/>
                <w:color w:val="auto"/>
                <w:kern w:val="0"/>
                <w:highlight w:val="none"/>
                <w:lang w:val="en-US" w:eastAsia="zh-CN"/>
              </w:rPr>
            </w:pPr>
            <w:r>
              <w:rPr>
                <w:rStyle w:val="65"/>
                <w:rFonts w:hint="eastAsia" w:ascii="仿宋" w:hAnsi="仿宋" w:eastAsia="仿宋" w:cs="仿宋"/>
                <w:color w:val="auto"/>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5"/>
                <w:rFonts w:ascii="仿宋" w:hAnsi="仿宋" w:eastAsia="仿宋" w:cs="仿宋"/>
                <w:color w:val="auto"/>
                <w:kern w:val="0"/>
                <w:highlight w:val="none"/>
                <w:lang w:val="zh-CN"/>
              </w:rPr>
            </w:pPr>
          </w:p>
        </w:tc>
        <w:tc>
          <w:tcPr>
            <w:tcW w:w="1193" w:type="dxa"/>
          </w:tcPr>
          <w:p>
            <w:pPr>
              <w:rPr>
                <w:rStyle w:val="65"/>
                <w:rFonts w:ascii="仿宋" w:hAnsi="仿宋" w:eastAsia="仿宋" w:cs="仿宋"/>
                <w:color w:val="auto"/>
                <w:kern w:val="0"/>
                <w:highlight w:val="none"/>
                <w:lang w:val="zh-CN"/>
              </w:rPr>
            </w:pPr>
          </w:p>
        </w:tc>
        <w:tc>
          <w:tcPr>
            <w:tcW w:w="1217" w:type="dxa"/>
          </w:tcPr>
          <w:p>
            <w:pPr>
              <w:rPr>
                <w:rStyle w:val="65"/>
                <w:rFonts w:ascii="仿宋" w:hAnsi="仿宋" w:eastAsia="仿宋" w:cs="仿宋"/>
                <w:color w:val="auto"/>
                <w:kern w:val="0"/>
                <w:highlight w:val="none"/>
                <w:lang w:val="zh-CN"/>
              </w:rPr>
            </w:pPr>
          </w:p>
        </w:tc>
        <w:tc>
          <w:tcPr>
            <w:tcW w:w="850" w:type="dxa"/>
          </w:tcPr>
          <w:p>
            <w:pPr>
              <w:rPr>
                <w:rStyle w:val="65"/>
                <w:rFonts w:ascii="仿宋" w:hAnsi="仿宋" w:eastAsia="仿宋" w:cs="仿宋"/>
                <w:color w:val="auto"/>
                <w:kern w:val="0"/>
                <w:highlight w:val="none"/>
                <w:lang w:val="zh-CN"/>
              </w:rPr>
            </w:pPr>
          </w:p>
        </w:tc>
        <w:tc>
          <w:tcPr>
            <w:tcW w:w="993" w:type="dxa"/>
          </w:tcPr>
          <w:p>
            <w:pPr>
              <w:rPr>
                <w:rStyle w:val="65"/>
                <w:rFonts w:ascii="仿宋" w:hAnsi="仿宋" w:eastAsia="仿宋" w:cs="仿宋"/>
                <w:color w:val="auto"/>
                <w:kern w:val="0"/>
                <w:highlight w:val="none"/>
                <w:lang w:val="zh-CN"/>
              </w:rPr>
            </w:pPr>
          </w:p>
        </w:tc>
        <w:tc>
          <w:tcPr>
            <w:tcW w:w="1984" w:type="dxa"/>
          </w:tcPr>
          <w:p>
            <w:pPr>
              <w:rPr>
                <w:rStyle w:val="65"/>
                <w:rFonts w:ascii="仿宋" w:hAnsi="仿宋" w:eastAsia="仿宋" w:cs="仿宋"/>
                <w:color w:val="auto"/>
                <w:kern w:val="0"/>
                <w:highlight w:val="none"/>
                <w:lang w:val="zh-CN"/>
              </w:rPr>
            </w:pPr>
          </w:p>
        </w:tc>
        <w:tc>
          <w:tcPr>
            <w:tcW w:w="1701" w:type="dxa"/>
          </w:tcPr>
          <w:p>
            <w:pPr>
              <w:rPr>
                <w:rStyle w:val="65"/>
                <w:rFonts w:ascii="仿宋" w:hAnsi="仿宋" w:eastAsia="仿宋" w:cs="仿宋"/>
                <w:color w:val="auto"/>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5"/>
                <w:rFonts w:ascii="仿宋" w:hAnsi="仿宋" w:eastAsia="仿宋" w:cs="仿宋"/>
                <w:color w:val="auto"/>
                <w:kern w:val="0"/>
                <w:highlight w:val="none"/>
                <w:lang w:val="zh-CN"/>
              </w:rPr>
            </w:pPr>
          </w:p>
        </w:tc>
        <w:tc>
          <w:tcPr>
            <w:tcW w:w="1193" w:type="dxa"/>
          </w:tcPr>
          <w:p>
            <w:pPr>
              <w:rPr>
                <w:rStyle w:val="65"/>
                <w:rFonts w:ascii="仿宋" w:hAnsi="仿宋" w:eastAsia="仿宋" w:cs="仿宋"/>
                <w:color w:val="auto"/>
                <w:kern w:val="0"/>
                <w:highlight w:val="none"/>
                <w:lang w:val="zh-CN"/>
              </w:rPr>
            </w:pPr>
          </w:p>
        </w:tc>
        <w:tc>
          <w:tcPr>
            <w:tcW w:w="1217" w:type="dxa"/>
          </w:tcPr>
          <w:p>
            <w:pPr>
              <w:rPr>
                <w:rStyle w:val="65"/>
                <w:rFonts w:ascii="仿宋" w:hAnsi="仿宋" w:eastAsia="仿宋" w:cs="仿宋"/>
                <w:color w:val="auto"/>
                <w:kern w:val="0"/>
                <w:highlight w:val="none"/>
                <w:lang w:val="zh-CN"/>
              </w:rPr>
            </w:pPr>
          </w:p>
        </w:tc>
        <w:tc>
          <w:tcPr>
            <w:tcW w:w="850" w:type="dxa"/>
          </w:tcPr>
          <w:p>
            <w:pPr>
              <w:rPr>
                <w:rStyle w:val="65"/>
                <w:rFonts w:ascii="仿宋" w:hAnsi="仿宋" w:eastAsia="仿宋" w:cs="仿宋"/>
                <w:color w:val="auto"/>
                <w:kern w:val="0"/>
                <w:highlight w:val="none"/>
                <w:lang w:val="zh-CN"/>
              </w:rPr>
            </w:pPr>
          </w:p>
        </w:tc>
        <w:tc>
          <w:tcPr>
            <w:tcW w:w="993" w:type="dxa"/>
          </w:tcPr>
          <w:p>
            <w:pPr>
              <w:rPr>
                <w:rStyle w:val="65"/>
                <w:rFonts w:ascii="仿宋" w:hAnsi="仿宋" w:eastAsia="仿宋" w:cs="仿宋"/>
                <w:color w:val="auto"/>
                <w:kern w:val="0"/>
                <w:highlight w:val="none"/>
                <w:lang w:val="zh-CN"/>
              </w:rPr>
            </w:pPr>
          </w:p>
        </w:tc>
        <w:tc>
          <w:tcPr>
            <w:tcW w:w="1984" w:type="dxa"/>
          </w:tcPr>
          <w:p>
            <w:pPr>
              <w:rPr>
                <w:rStyle w:val="65"/>
                <w:rFonts w:ascii="仿宋" w:hAnsi="仿宋" w:eastAsia="仿宋" w:cs="仿宋"/>
                <w:color w:val="auto"/>
                <w:kern w:val="0"/>
                <w:highlight w:val="none"/>
                <w:lang w:val="zh-CN"/>
              </w:rPr>
            </w:pPr>
          </w:p>
        </w:tc>
        <w:tc>
          <w:tcPr>
            <w:tcW w:w="1701" w:type="dxa"/>
          </w:tcPr>
          <w:p>
            <w:pPr>
              <w:rPr>
                <w:rStyle w:val="65"/>
                <w:rFonts w:ascii="仿宋" w:hAnsi="仿宋" w:eastAsia="仿宋" w:cs="仿宋"/>
                <w:color w:val="auto"/>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5"/>
                <w:rFonts w:ascii="仿宋" w:hAnsi="仿宋" w:eastAsia="仿宋" w:cs="仿宋"/>
                <w:color w:val="auto"/>
                <w:kern w:val="0"/>
                <w:highlight w:val="none"/>
                <w:lang w:val="zh-CN"/>
              </w:rPr>
            </w:pPr>
          </w:p>
        </w:tc>
        <w:tc>
          <w:tcPr>
            <w:tcW w:w="1193" w:type="dxa"/>
          </w:tcPr>
          <w:p>
            <w:pPr>
              <w:rPr>
                <w:rStyle w:val="65"/>
                <w:rFonts w:ascii="仿宋" w:hAnsi="仿宋" w:eastAsia="仿宋" w:cs="仿宋"/>
                <w:color w:val="auto"/>
                <w:kern w:val="0"/>
                <w:highlight w:val="none"/>
                <w:lang w:val="zh-CN"/>
              </w:rPr>
            </w:pPr>
          </w:p>
        </w:tc>
        <w:tc>
          <w:tcPr>
            <w:tcW w:w="1217" w:type="dxa"/>
          </w:tcPr>
          <w:p>
            <w:pPr>
              <w:rPr>
                <w:rStyle w:val="65"/>
                <w:rFonts w:ascii="仿宋" w:hAnsi="仿宋" w:eastAsia="仿宋" w:cs="仿宋"/>
                <w:color w:val="auto"/>
                <w:kern w:val="0"/>
                <w:highlight w:val="none"/>
                <w:lang w:val="zh-CN"/>
              </w:rPr>
            </w:pPr>
          </w:p>
        </w:tc>
        <w:tc>
          <w:tcPr>
            <w:tcW w:w="850" w:type="dxa"/>
          </w:tcPr>
          <w:p>
            <w:pPr>
              <w:rPr>
                <w:rStyle w:val="65"/>
                <w:rFonts w:ascii="仿宋" w:hAnsi="仿宋" w:eastAsia="仿宋" w:cs="仿宋"/>
                <w:color w:val="auto"/>
                <w:kern w:val="0"/>
                <w:highlight w:val="none"/>
                <w:lang w:val="zh-CN"/>
              </w:rPr>
            </w:pPr>
          </w:p>
        </w:tc>
        <w:tc>
          <w:tcPr>
            <w:tcW w:w="993" w:type="dxa"/>
          </w:tcPr>
          <w:p>
            <w:pPr>
              <w:rPr>
                <w:rStyle w:val="65"/>
                <w:rFonts w:ascii="仿宋" w:hAnsi="仿宋" w:eastAsia="仿宋" w:cs="仿宋"/>
                <w:color w:val="auto"/>
                <w:kern w:val="0"/>
                <w:highlight w:val="none"/>
                <w:lang w:val="zh-CN"/>
              </w:rPr>
            </w:pPr>
          </w:p>
        </w:tc>
        <w:tc>
          <w:tcPr>
            <w:tcW w:w="1984" w:type="dxa"/>
          </w:tcPr>
          <w:p>
            <w:pPr>
              <w:rPr>
                <w:rStyle w:val="65"/>
                <w:rFonts w:ascii="仿宋" w:hAnsi="仿宋" w:eastAsia="仿宋" w:cs="仿宋"/>
                <w:color w:val="auto"/>
                <w:kern w:val="0"/>
                <w:highlight w:val="none"/>
                <w:lang w:val="zh-CN"/>
              </w:rPr>
            </w:pPr>
          </w:p>
        </w:tc>
        <w:tc>
          <w:tcPr>
            <w:tcW w:w="1701" w:type="dxa"/>
          </w:tcPr>
          <w:p>
            <w:pPr>
              <w:rPr>
                <w:rStyle w:val="65"/>
                <w:rFonts w:ascii="仿宋" w:hAnsi="仿宋" w:eastAsia="仿宋" w:cs="仿宋"/>
                <w:color w:val="auto"/>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5"/>
                <w:rFonts w:ascii="仿宋" w:hAnsi="仿宋" w:eastAsia="仿宋" w:cs="仿宋"/>
                <w:color w:val="auto"/>
                <w:kern w:val="0"/>
                <w:highlight w:val="none"/>
                <w:lang w:val="zh-CN"/>
              </w:rPr>
            </w:pPr>
          </w:p>
        </w:tc>
        <w:tc>
          <w:tcPr>
            <w:tcW w:w="1193" w:type="dxa"/>
          </w:tcPr>
          <w:p>
            <w:pPr>
              <w:rPr>
                <w:rStyle w:val="65"/>
                <w:rFonts w:ascii="仿宋" w:hAnsi="仿宋" w:eastAsia="仿宋" w:cs="仿宋"/>
                <w:color w:val="auto"/>
                <w:kern w:val="0"/>
                <w:highlight w:val="none"/>
                <w:lang w:val="zh-CN"/>
              </w:rPr>
            </w:pPr>
          </w:p>
        </w:tc>
        <w:tc>
          <w:tcPr>
            <w:tcW w:w="1217" w:type="dxa"/>
          </w:tcPr>
          <w:p>
            <w:pPr>
              <w:rPr>
                <w:rStyle w:val="65"/>
                <w:rFonts w:ascii="仿宋" w:hAnsi="仿宋" w:eastAsia="仿宋" w:cs="仿宋"/>
                <w:color w:val="auto"/>
                <w:kern w:val="0"/>
                <w:highlight w:val="none"/>
                <w:lang w:val="zh-CN"/>
              </w:rPr>
            </w:pPr>
          </w:p>
        </w:tc>
        <w:tc>
          <w:tcPr>
            <w:tcW w:w="850" w:type="dxa"/>
          </w:tcPr>
          <w:p>
            <w:pPr>
              <w:rPr>
                <w:rStyle w:val="65"/>
                <w:rFonts w:ascii="仿宋" w:hAnsi="仿宋" w:eastAsia="仿宋" w:cs="仿宋"/>
                <w:color w:val="auto"/>
                <w:kern w:val="0"/>
                <w:highlight w:val="none"/>
                <w:lang w:val="zh-CN"/>
              </w:rPr>
            </w:pPr>
          </w:p>
        </w:tc>
        <w:tc>
          <w:tcPr>
            <w:tcW w:w="993" w:type="dxa"/>
          </w:tcPr>
          <w:p>
            <w:pPr>
              <w:rPr>
                <w:rStyle w:val="65"/>
                <w:rFonts w:ascii="仿宋" w:hAnsi="仿宋" w:eastAsia="仿宋" w:cs="仿宋"/>
                <w:color w:val="auto"/>
                <w:kern w:val="0"/>
                <w:highlight w:val="none"/>
                <w:lang w:val="zh-CN"/>
              </w:rPr>
            </w:pPr>
          </w:p>
        </w:tc>
        <w:tc>
          <w:tcPr>
            <w:tcW w:w="1984" w:type="dxa"/>
          </w:tcPr>
          <w:p>
            <w:pPr>
              <w:rPr>
                <w:rStyle w:val="65"/>
                <w:rFonts w:ascii="仿宋" w:hAnsi="仿宋" w:eastAsia="仿宋" w:cs="仿宋"/>
                <w:color w:val="auto"/>
                <w:kern w:val="0"/>
                <w:highlight w:val="none"/>
                <w:lang w:val="zh-CN"/>
              </w:rPr>
            </w:pPr>
          </w:p>
        </w:tc>
        <w:tc>
          <w:tcPr>
            <w:tcW w:w="1701" w:type="dxa"/>
          </w:tcPr>
          <w:p>
            <w:pPr>
              <w:rPr>
                <w:rStyle w:val="65"/>
                <w:rFonts w:ascii="仿宋" w:hAnsi="仿宋" w:eastAsia="仿宋" w:cs="仿宋"/>
                <w:color w:val="auto"/>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5"/>
                <w:rFonts w:ascii="仿宋" w:hAnsi="仿宋" w:eastAsia="仿宋" w:cs="仿宋"/>
                <w:color w:val="auto"/>
                <w:kern w:val="0"/>
                <w:highlight w:val="none"/>
                <w:lang w:val="zh-CN"/>
              </w:rPr>
            </w:pPr>
          </w:p>
        </w:tc>
        <w:tc>
          <w:tcPr>
            <w:tcW w:w="1193" w:type="dxa"/>
          </w:tcPr>
          <w:p>
            <w:pPr>
              <w:rPr>
                <w:rStyle w:val="65"/>
                <w:rFonts w:ascii="仿宋" w:hAnsi="仿宋" w:eastAsia="仿宋" w:cs="仿宋"/>
                <w:color w:val="auto"/>
                <w:kern w:val="0"/>
                <w:highlight w:val="none"/>
                <w:lang w:val="zh-CN"/>
              </w:rPr>
            </w:pPr>
          </w:p>
        </w:tc>
        <w:tc>
          <w:tcPr>
            <w:tcW w:w="1217" w:type="dxa"/>
          </w:tcPr>
          <w:p>
            <w:pPr>
              <w:rPr>
                <w:rStyle w:val="65"/>
                <w:rFonts w:ascii="仿宋" w:hAnsi="仿宋" w:eastAsia="仿宋" w:cs="仿宋"/>
                <w:color w:val="auto"/>
                <w:kern w:val="0"/>
                <w:highlight w:val="none"/>
                <w:lang w:val="zh-CN"/>
              </w:rPr>
            </w:pPr>
          </w:p>
        </w:tc>
        <w:tc>
          <w:tcPr>
            <w:tcW w:w="850" w:type="dxa"/>
          </w:tcPr>
          <w:p>
            <w:pPr>
              <w:rPr>
                <w:rStyle w:val="65"/>
                <w:rFonts w:ascii="仿宋" w:hAnsi="仿宋" w:eastAsia="仿宋" w:cs="仿宋"/>
                <w:color w:val="auto"/>
                <w:kern w:val="0"/>
                <w:highlight w:val="none"/>
                <w:lang w:val="zh-CN"/>
              </w:rPr>
            </w:pPr>
          </w:p>
        </w:tc>
        <w:tc>
          <w:tcPr>
            <w:tcW w:w="993" w:type="dxa"/>
          </w:tcPr>
          <w:p>
            <w:pPr>
              <w:rPr>
                <w:rStyle w:val="65"/>
                <w:rFonts w:ascii="仿宋" w:hAnsi="仿宋" w:eastAsia="仿宋" w:cs="仿宋"/>
                <w:color w:val="auto"/>
                <w:kern w:val="0"/>
                <w:highlight w:val="none"/>
                <w:lang w:val="zh-CN"/>
              </w:rPr>
            </w:pPr>
          </w:p>
        </w:tc>
        <w:tc>
          <w:tcPr>
            <w:tcW w:w="1984" w:type="dxa"/>
          </w:tcPr>
          <w:p>
            <w:pPr>
              <w:rPr>
                <w:rStyle w:val="65"/>
                <w:rFonts w:ascii="仿宋" w:hAnsi="仿宋" w:eastAsia="仿宋" w:cs="仿宋"/>
                <w:color w:val="auto"/>
                <w:kern w:val="0"/>
                <w:highlight w:val="none"/>
                <w:lang w:val="zh-CN"/>
              </w:rPr>
            </w:pPr>
          </w:p>
        </w:tc>
        <w:tc>
          <w:tcPr>
            <w:tcW w:w="1701" w:type="dxa"/>
          </w:tcPr>
          <w:p>
            <w:pPr>
              <w:rPr>
                <w:rStyle w:val="65"/>
                <w:rFonts w:ascii="仿宋" w:hAnsi="仿宋" w:eastAsia="仿宋" w:cs="仿宋"/>
                <w:color w:val="auto"/>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5"/>
                <w:rFonts w:ascii="仿宋" w:hAnsi="仿宋" w:eastAsia="仿宋" w:cs="仿宋"/>
                <w:color w:val="auto"/>
                <w:kern w:val="0"/>
                <w:highlight w:val="none"/>
                <w:lang w:val="zh-CN"/>
              </w:rPr>
            </w:pPr>
          </w:p>
        </w:tc>
        <w:tc>
          <w:tcPr>
            <w:tcW w:w="1193" w:type="dxa"/>
          </w:tcPr>
          <w:p>
            <w:pPr>
              <w:rPr>
                <w:rStyle w:val="65"/>
                <w:rFonts w:ascii="仿宋" w:hAnsi="仿宋" w:eastAsia="仿宋" w:cs="仿宋"/>
                <w:color w:val="auto"/>
                <w:kern w:val="0"/>
                <w:highlight w:val="none"/>
                <w:lang w:val="zh-CN"/>
              </w:rPr>
            </w:pPr>
          </w:p>
        </w:tc>
        <w:tc>
          <w:tcPr>
            <w:tcW w:w="1217" w:type="dxa"/>
          </w:tcPr>
          <w:p>
            <w:pPr>
              <w:rPr>
                <w:rStyle w:val="65"/>
                <w:rFonts w:ascii="仿宋" w:hAnsi="仿宋" w:eastAsia="仿宋" w:cs="仿宋"/>
                <w:color w:val="auto"/>
                <w:kern w:val="0"/>
                <w:highlight w:val="none"/>
                <w:lang w:val="zh-CN"/>
              </w:rPr>
            </w:pPr>
          </w:p>
        </w:tc>
        <w:tc>
          <w:tcPr>
            <w:tcW w:w="850" w:type="dxa"/>
          </w:tcPr>
          <w:p>
            <w:pPr>
              <w:rPr>
                <w:rStyle w:val="65"/>
                <w:rFonts w:ascii="仿宋" w:hAnsi="仿宋" w:eastAsia="仿宋" w:cs="仿宋"/>
                <w:color w:val="auto"/>
                <w:kern w:val="0"/>
                <w:highlight w:val="none"/>
                <w:lang w:val="zh-CN"/>
              </w:rPr>
            </w:pPr>
          </w:p>
        </w:tc>
        <w:tc>
          <w:tcPr>
            <w:tcW w:w="993" w:type="dxa"/>
          </w:tcPr>
          <w:p>
            <w:pPr>
              <w:rPr>
                <w:rStyle w:val="65"/>
                <w:rFonts w:ascii="仿宋" w:hAnsi="仿宋" w:eastAsia="仿宋" w:cs="仿宋"/>
                <w:color w:val="auto"/>
                <w:kern w:val="0"/>
                <w:highlight w:val="none"/>
                <w:lang w:val="zh-CN"/>
              </w:rPr>
            </w:pPr>
          </w:p>
        </w:tc>
        <w:tc>
          <w:tcPr>
            <w:tcW w:w="1984" w:type="dxa"/>
          </w:tcPr>
          <w:p>
            <w:pPr>
              <w:rPr>
                <w:rStyle w:val="65"/>
                <w:rFonts w:ascii="仿宋" w:hAnsi="仿宋" w:eastAsia="仿宋" w:cs="仿宋"/>
                <w:color w:val="auto"/>
                <w:kern w:val="0"/>
                <w:highlight w:val="none"/>
                <w:lang w:val="zh-CN"/>
              </w:rPr>
            </w:pPr>
          </w:p>
        </w:tc>
        <w:tc>
          <w:tcPr>
            <w:tcW w:w="1701" w:type="dxa"/>
          </w:tcPr>
          <w:p>
            <w:pPr>
              <w:rPr>
                <w:rStyle w:val="65"/>
                <w:rFonts w:ascii="仿宋" w:hAnsi="仿宋" w:eastAsia="仿宋" w:cs="仿宋"/>
                <w:color w:val="auto"/>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09" w:type="dxa"/>
          </w:tcPr>
          <w:p>
            <w:pPr>
              <w:rPr>
                <w:rStyle w:val="65"/>
                <w:rFonts w:ascii="仿宋" w:hAnsi="仿宋" w:eastAsia="仿宋" w:cs="仿宋"/>
                <w:color w:val="auto"/>
                <w:kern w:val="0"/>
                <w:highlight w:val="none"/>
                <w:lang w:val="zh-CN"/>
              </w:rPr>
            </w:pPr>
          </w:p>
        </w:tc>
        <w:tc>
          <w:tcPr>
            <w:tcW w:w="1193" w:type="dxa"/>
          </w:tcPr>
          <w:p>
            <w:pPr>
              <w:rPr>
                <w:rStyle w:val="65"/>
                <w:rFonts w:ascii="仿宋" w:hAnsi="仿宋" w:eastAsia="仿宋" w:cs="仿宋"/>
                <w:color w:val="auto"/>
                <w:kern w:val="0"/>
                <w:highlight w:val="none"/>
                <w:lang w:val="zh-CN"/>
              </w:rPr>
            </w:pPr>
          </w:p>
        </w:tc>
        <w:tc>
          <w:tcPr>
            <w:tcW w:w="1217" w:type="dxa"/>
          </w:tcPr>
          <w:p>
            <w:pPr>
              <w:rPr>
                <w:rStyle w:val="65"/>
                <w:rFonts w:ascii="仿宋" w:hAnsi="仿宋" w:eastAsia="仿宋" w:cs="仿宋"/>
                <w:color w:val="auto"/>
                <w:kern w:val="0"/>
                <w:highlight w:val="none"/>
                <w:lang w:val="zh-CN"/>
              </w:rPr>
            </w:pPr>
          </w:p>
        </w:tc>
        <w:tc>
          <w:tcPr>
            <w:tcW w:w="850" w:type="dxa"/>
          </w:tcPr>
          <w:p>
            <w:pPr>
              <w:rPr>
                <w:rStyle w:val="65"/>
                <w:rFonts w:ascii="仿宋" w:hAnsi="仿宋" w:eastAsia="仿宋" w:cs="仿宋"/>
                <w:color w:val="auto"/>
                <w:kern w:val="0"/>
                <w:highlight w:val="none"/>
                <w:lang w:val="zh-CN"/>
              </w:rPr>
            </w:pPr>
          </w:p>
        </w:tc>
        <w:tc>
          <w:tcPr>
            <w:tcW w:w="993" w:type="dxa"/>
          </w:tcPr>
          <w:p>
            <w:pPr>
              <w:rPr>
                <w:rStyle w:val="65"/>
                <w:rFonts w:ascii="仿宋" w:hAnsi="仿宋" w:eastAsia="仿宋" w:cs="仿宋"/>
                <w:color w:val="auto"/>
                <w:kern w:val="0"/>
                <w:highlight w:val="none"/>
                <w:lang w:val="zh-CN"/>
              </w:rPr>
            </w:pPr>
          </w:p>
        </w:tc>
        <w:tc>
          <w:tcPr>
            <w:tcW w:w="1984" w:type="dxa"/>
          </w:tcPr>
          <w:p>
            <w:pPr>
              <w:rPr>
                <w:rStyle w:val="65"/>
                <w:rFonts w:ascii="仿宋" w:hAnsi="仿宋" w:eastAsia="仿宋" w:cs="仿宋"/>
                <w:color w:val="auto"/>
                <w:kern w:val="0"/>
                <w:highlight w:val="none"/>
                <w:lang w:val="zh-CN"/>
              </w:rPr>
            </w:pPr>
          </w:p>
        </w:tc>
        <w:tc>
          <w:tcPr>
            <w:tcW w:w="1701" w:type="dxa"/>
          </w:tcPr>
          <w:p>
            <w:pPr>
              <w:rPr>
                <w:rStyle w:val="65"/>
                <w:rFonts w:ascii="仿宋" w:hAnsi="仿宋" w:eastAsia="仿宋" w:cs="仿宋"/>
                <w:color w:val="auto"/>
                <w:kern w:val="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1902" w:type="dxa"/>
            <w:gridSpan w:val="2"/>
            <w:vAlign w:val="center"/>
          </w:tcPr>
          <w:p>
            <w:pPr>
              <w:jc w:val="center"/>
              <w:rPr>
                <w:rStyle w:val="65"/>
                <w:rFonts w:ascii="仿宋" w:hAnsi="仿宋" w:eastAsia="仿宋" w:cs="仿宋"/>
                <w:color w:val="auto"/>
                <w:kern w:val="0"/>
                <w:highlight w:val="none"/>
                <w:lang w:val="zh-CN"/>
              </w:rPr>
            </w:pPr>
            <w:r>
              <w:rPr>
                <w:rStyle w:val="65"/>
                <w:rFonts w:hint="eastAsia" w:ascii="仿宋" w:hAnsi="仿宋" w:eastAsia="仿宋" w:cs="仿宋"/>
                <w:color w:val="auto"/>
                <w:kern w:val="0"/>
                <w:highlight w:val="none"/>
                <w:lang w:val="zh-CN"/>
              </w:rPr>
              <w:t>总价小计：</w:t>
            </w:r>
          </w:p>
        </w:tc>
        <w:tc>
          <w:tcPr>
            <w:tcW w:w="6745" w:type="dxa"/>
            <w:gridSpan w:val="5"/>
          </w:tcPr>
          <w:p>
            <w:pPr>
              <w:rPr>
                <w:rStyle w:val="65"/>
                <w:rFonts w:ascii="仿宋" w:hAnsi="仿宋" w:eastAsia="仿宋" w:cs="仿宋"/>
                <w:color w:val="auto"/>
                <w:kern w:val="0"/>
                <w:highlight w:val="none"/>
                <w:lang w:val="zh-CN"/>
              </w:rPr>
            </w:pPr>
          </w:p>
        </w:tc>
      </w:tr>
    </w:tbl>
    <w:p>
      <w:pPr>
        <w:spacing w:line="360" w:lineRule="auto"/>
        <w:jc w:val="left"/>
        <w:rPr>
          <w:rStyle w:val="65"/>
          <w:rFonts w:ascii="仿宋" w:hAnsi="仿宋" w:eastAsia="仿宋" w:cs="仿宋"/>
          <w:color w:val="auto"/>
          <w:kern w:val="0"/>
          <w:sz w:val="24"/>
          <w:highlight w:val="none"/>
          <w:lang w:val="zh-CN"/>
        </w:rPr>
      </w:pPr>
      <w:r>
        <w:rPr>
          <w:rStyle w:val="65"/>
          <w:rFonts w:hint="eastAsia" w:ascii="仿宋" w:hAnsi="仿宋" w:eastAsia="仿宋" w:cs="仿宋"/>
          <w:color w:val="auto"/>
          <w:kern w:val="0"/>
          <w:sz w:val="24"/>
          <w:highlight w:val="none"/>
          <w:lang w:val="zh-CN"/>
        </w:rPr>
        <w:t>供应商名称：</w:t>
      </w:r>
      <w:r>
        <w:rPr>
          <w:rStyle w:val="65"/>
          <w:rFonts w:hint="eastAsia" w:ascii="仿宋" w:hAnsi="仿宋" w:eastAsia="仿宋" w:cs="仿宋"/>
          <w:color w:val="auto"/>
          <w:kern w:val="0"/>
          <w:sz w:val="24"/>
          <w:highlight w:val="none"/>
          <w:u w:val="single"/>
          <w:lang w:val="zh-CN"/>
        </w:rPr>
        <w:t xml:space="preserve">                                            </w:t>
      </w:r>
      <w:r>
        <w:rPr>
          <w:rStyle w:val="65"/>
          <w:rFonts w:hint="eastAsia" w:ascii="仿宋" w:hAnsi="仿宋" w:eastAsia="仿宋" w:cs="仿宋"/>
          <w:color w:val="auto"/>
          <w:kern w:val="0"/>
          <w:sz w:val="24"/>
          <w:highlight w:val="none"/>
          <w:lang w:val="zh-CN"/>
        </w:rPr>
        <w:t>（盖章）</w:t>
      </w:r>
    </w:p>
    <w:p>
      <w:pPr>
        <w:rPr>
          <w:color w:val="auto"/>
          <w:highlight w:val="none"/>
        </w:rPr>
      </w:pPr>
    </w:p>
    <w:p>
      <w:pPr>
        <w:spacing w:line="360" w:lineRule="auto"/>
        <w:rPr>
          <w:rStyle w:val="65"/>
          <w:rFonts w:ascii="仿宋" w:hAnsi="仿宋" w:eastAsia="仿宋" w:cs="仿宋"/>
          <w:b/>
          <w:bCs/>
          <w:color w:val="auto"/>
          <w:kern w:val="0"/>
          <w:sz w:val="24"/>
          <w:highlight w:val="none"/>
        </w:rPr>
      </w:pPr>
    </w:p>
    <w:p>
      <w:pPr>
        <w:spacing w:line="360" w:lineRule="auto"/>
        <w:rPr>
          <w:rStyle w:val="65"/>
          <w:rFonts w:ascii="仿宋" w:hAnsi="仿宋" w:eastAsia="仿宋" w:cs="仿宋"/>
          <w:color w:val="auto"/>
          <w:kern w:val="0"/>
          <w:sz w:val="24"/>
          <w:highlight w:val="none"/>
          <w:lang w:val="zh-CN"/>
        </w:rPr>
      </w:pPr>
      <w:r>
        <w:rPr>
          <w:rStyle w:val="65"/>
          <w:rFonts w:hint="eastAsia" w:ascii="仿宋" w:hAnsi="仿宋" w:eastAsia="仿宋" w:cs="仿宋"/>
          <w:color w:val="auto"/>
          <w:kern w:val="0"/>
          <w:sz w:val="24"/>
          <w:highlight w:val="none"/>
          <w:lang w:val="zh-CN"/>
        </w:rPr>
        <w:t>说明：1、如果行数不够，请自行增加。</w:t>
      </w:r>
    </w:p>
    <w:p>
      <w:pPr>
        <w:pStyle w:val="36"/>
        <w:rPr>
          <w:rFonts w:ascii="仿宋" w:hAnsi="仿宋" w:eastAsia="仿宋" w:cs="仿宋"/>
          <w:b/>
          <w:bCs/>
          <w:sz w:val="12"/>
          <w:szCs w:val="12"/>
          <w:highlight w:val="none"/>
        </w:rPr>
      </w:pPr>
    </w:p>
    <w:p>
      <w:pPr>
        <w:rPr>
          <w:highlight w:val="none"/>
        </w:rPr>
      </w:pPr>
    </w:p>
    <w:p>
      <w:pPr>
        <w:spacing w:before="9"/>
        <w:rPr>
          <w:rFonts w:ascii="仿宋" w:hAnsi="仿宋" w:eastAsia="仿宋" w:cs="仿宋"/>
          <w:sz w:val="9"/>
          <w:szCs w:val="9"/>
          <w:highlight w:val="none"/>
        </w:rPr>
      </w:pPr>
    </w:p>
    <w:p>
      <w:pPr>
        <w:spacing w:line="360" w:lineRule="auto"/>
        <w:ind w:firstLine="480" w:firstLineChars="200"/>
        <w:rPr>
          <w:rStyle w:val="65"/>
          <w:rFonts w:ascii="仿宋" w:hAnsi="仿宋" w:eastAsia="仿宋" w:cs="仿宋"/>
          <w:sz w:val="24"/>
          <w:highlight w:val="none"/>
          <w:lang w:val="zh-CN"/>
        </w:rPr>
      </w:pPr>
    </w:p>
    <w:p>
      <w:pPr>
        <w:pStyle w:val="36"/>
        <w:rPr>
          <w:highlight w:val="none"/>
          <w:lang w:val="zh-CN"/>
        </w:rPr>
      </w:pPr>
    </w:p>
    <w:p>
      <w:pPr>
        <w:rPr>
          <w:highlight w:val="none"/>
        </w:rPr>
      </w:pPr>
    </w:p>
    <w:p>
      <w:pPr>
        <w:spacing w:line="360" w:lineRule="auto"/>
        <w:rPr>
          <w:rStyle w:val="65"/>
          <w:rFonts w:ascii="仿宋" w:hAnsi="仿宋" w:eastAsia="仿宋" w:cs="仿宋"/>
          <w:b/>
          <w:bCs/>
          <w:kern w:val="0"/>
          <w:sz w:val="24"/>
          <w:highlight w:val="none"/>
        </w:rPr>
      </w:pPr>
      <w:bookmarkStart w:id="54" w:name="_Toc2399"/>
      <w:bookmarkStart w:id="55" w:name="_Toc728"/>
      <w:bookmarkStart w:id="56" w:name="_Toc13828"/>
    </w:p>
    <w:p>
      <w:pPr>
        <w:spacing w:line="360" w:lineRule="auto"/>
        <w:rPr>
          <w:rStyle w:val="65"/>
          <w:rFonts w:ascii="仿宋" w:hAnsi="仿宋" w:eastAsia="仿宋" w:cs="仿宋"/>
          <w:b/>
          <w:bCs/>
          <w:kern w:val="0"/>
          <w:sz w:val="24"/>
          <w:highlight w:val="none"/>
        </w:rPr>
      </w:pPr>
    </w:p>
    <w:p>
      <w:pPr>
        <w:spacing w:line="360" w:lineRule="auto"/>
        <w:rPr>
          <w:rStyle w:val="65"/>
          <w:rFonts w:ascii="仿宋" w:hAnsi="仿宋" w:eastAsia="仿宋" w:cs="仿宋"/>
          <w:b/>
          <w:bCs/>
          <w:kern w:val="0"/>
          <w:sz w:val="24"/>
          <w:highlight w:val="none"/>
        </w:rPr>
      </w:pPr>
    </w:p>
    <w:p>
      <w:pPr>
        <w:rPr>
          <w:rFonts w:ascii="仿宋" w:hAnsi="仿宋" w:eastAsia="仿宋" w:cs="仿宋"/>
          <w:b/>
          <w:bCs/>
          <w:sz w:val="22"/>
          <w:highlight w:val="none"/>
        </w:rPr>
      </w:pPr>
    </w:p>
    <w:p>
      <w:pPr>
        <w:rPr>
          <w:rFonts w:ascii="仿宋" w:hAnsi="仿宋" w:eastAsia="仿宋" w:cs="仿宋"/>
          <w:b/>
          <w:bCs/>
          <w:sz w:val="22"/>
          <w:highlight w:val="none"/>
        </w:rPr>
      </w:pPr>
      <w:bookmarkStart w:id="57" w:name="_Toc12090"/>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r>
        <w:rPr>
          <w:rFonts w:hint="eastAsia" w:ascii="仿宋" w:hAnsi="仿宋" w:eastAsia="仿宋" w:cs="仿宋"/>
          <w:b/>
          <w:bCs/>
          <w:sz w:val="22"/>
          <w:highlight w:val="none"/>
        </w:rPr>
        <w:t>目录五、资格性和符合性审查响应对照表</w:t>
      </w:r>
      <w:bookmarkEnd w:id="54"/>
      <w:bookmarkEnd w:id="55"/>
      <w:bookmarkEnd w:id="56"/>
      <w:bookmarkEnd w:id="57"/>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资格性和符合性审查响应对照表</w:t>
      </w:r>
    </w:p>
    <w:p>
      <w:pPr>
        <w:rPr>
          <w:rFonts w:ascii="仿宋" w:hAnsi="仿宋" w:eastAsia="仿宋" w:cs="仿宋"/>
          <w:highlight w:val="none"/>
          <w:u w:val="single"/>
        </w:rPr>
      </w:pPr>
      <w:r>
        <w:rPr>
          <w:rFonts w:hint="eastAsia" w:ascii="仿宋" w:hAnsi="仿宋" w:eastAsia="仿宋" w:cs="仿宋"/>
          <w:sz w:val="24"/>
          <w:highlight w:val="none"/>
        </w:rPr>
        <w:t>项目名称：                                    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063"/>
        <w:gridCol w:w="184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资格性审查响应内容</w:t>
            </w:r>
          </w:p>
        </w:tc>
        <w:tc>
          <w:tcPr>
            <w:tcW w:w="1842"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是否响应</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响应文件中的</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jc w:val="center"/>
              <w:rPr>
                <w:rFonts w:ascii="仿宋" w:hAnsi="仿宋" w:eastAsia="仿宋" w:cs="仿宋"/>
                <w:sz w:val="24"/>
                <w:szCs w:val="24"/>
                <w:highlight w:val="none"/>
              </w:rPr>
            </w:pPr>
          </w:p>
        </w:tc>
        <w:tc>
          <w:tcPr>
            <w:tcW w:w="1888" w:type="dxa"/>
            <w:vAlign w:val="center"/>
          </w:tcPr>
          <w:p>
            <w:pPr>
              <w:jc w:val="cente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4063" w:type="dxa"/>
            <w:vAlign w:val="center"/>
          </w:tcPr>
          <w:p>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符合性审查响应内容</w:t>
            </w:r>
          </w:p>
        </w:tc>
        <w:tc>
          <w:tcPr>
            <w:tcW w:w="1842"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是否响应</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（填是或者否）</w:t>
            </w:r>
          </w:p>
        </w:tc>
        <w:tc>
          <w:tcPr>
            <w:tcW w:w="1888"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响应文件中的</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w:t>
            </w:r>
          </w:p>
        </w:tc>
        <w:tc>
          <w:tcPr>
            <w:tcW w:w="4063" w:type="dxa"/>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竞争性磋商文件中的其他实质性要求</w:t>
            </w:r>
          </w:p>
        </w:tc>
        <w:tc>
          <w:tcPr>
            <w:tcW w:w="1842" w:type="dxa"/>
            <w:vAlign w:val="center"/>
          </w:tcPr>
          <w:p>
            <w:pPr>
              <w:rPr>
                <w:rFonts w:ascii="仿宋" w:hAnsi="仿宋" w:eastAsia="仿宋" w:cs="仿宋"/>
                <w:sz w:val="24"/>
                <w:szCs w:val="24"/>
                <w:highlight w:val="none"/>
              </w:rPr>
            </w:pPr>
          </w:p>
        </w:tc>
        <w:tc>
          <w:tcPr>
            <w:tcW w:w="1888" w:type="dxa"/>
            <w:vAlign w:val="center"/>
          </w:tcPr>
          <w:p>
            <w:pPr>
              <w:rPr>
                <w:rFonts w:ascii="仿宋" w:hAnsi="仿宋" w:eastAsia="仿宋" w:cs="仿宋"/>
                <w:sz w:val="24"/>
                <w:szCs w:val="24"/>
                <w:highlight w:val="none"/>
              </w:rPr>
            </w:pPr>
          </w:p>
        </w:tc>
      </w:tr>
    </w:tbl>
    <w:p>
      <w:pPr>
        <w:spacing w:line="360" w:lineRule="auto"/>
        <w:rPr>
          <w:rFonts w:ascii="仿宋" w:hAnsi="仿宋" w:eastAsia="仿宋" w:cs="仿宋"/>
          <w:kern w:val="0"/>
          <w:sz w:val="24"/>
          <w:highlight w:val="none"/>
          <w:lang w:val="zh-CN"/>
        </w:rPr>
      </w:pP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供应商名称：（盖章）</w:t>
      </w:r>
    </w:p>
    <w:p>
      <w:pPr>
        <w:spacing w:line="360" w:lineRule="auto"/>
        <w:rPr>
          <w:rFonts w:ascii="仿宋" w:hAnsi="仿宋" w:eastAsia="仿宋" w:cs="仿宋"/>
          <w:b/>
          <w:bCs/>
          <w:kern w:val="0"/>
          <w:highlight w:val="none"/>
          <w:lang w:val="zh-CN"/>
        </w:rPr>
      </w:pPr>
      <w:r>
        <w:rPr>
          <w:rFonts w:hint="eastAsia" w:ascii="仿宋" w:hAnsi="仿宋" w:eastAsia="仿宋" w:cs="仿宋"/>
          <w:kern w:val="0"/>
          <w:sz w:val="24"/>
          <w:highlight w:val="none"/>
          <w:lang w:val="zh-CN"/>
        </w:rPr>
        <w:t>说明：如果行数不够，请自行增加。</w:t>
      </w:r>
    </w:p>
    <w:p>
      <w:pPr>
        <w:spacing w:line="560" w:lineRule="exact"/>
        <w:rPr>
          <w:rFonts w:ascii="仿宋" w:hAnsi="仿宋" w:eastAsia="仿宋" w:cs="仿宋"/>
          <w:szCs w:val="21"/>
          <w:highlight w:val="none"/>
        </w:rPr>
      </w:pPr>
      <w:r>
        <w:rPr>
          <w:rFonts w:hint="eastAsia" w:ascii="仿宋" w:hAnsi="仿宋" w:eastAsia="仿宋" w:cs="仿宋"/>
          <w:kern w:val="0"/>
          <w:highlight w:val="none"/>
          <w:lang w:val="zh-CN"/>
        </w:rPr>
        <w:br w:type="page"/>
      </w:r>
    </w:p>
    <w:p>
      <w:pPr>
        <w:spacing w:line="360" w:lineRule="auto"/>
        <w:outlineLvl w:val="2"/>
        <w:rPr>
          <w:rFonts w:ascii="仿宋" w:hAnsi="仿宋" w:eastAsia="仿宋" w:cs="仿宋"/>
          <w:b/>
          <w:bCs/>
          <w:sz w:val="22"/>
          <w:highlight w:val="none"/>
        </w:rPr>
      </w:pPr>
      <w:bookmarkStart w:id="58" w:name="_Toc14392"/>
      <w:bookmarkStart w:id="59" w:name="_Toc28249"/>
      <w:bookmarkStart w:id="60" w:name="_Toc4271"/>
      <w:bookmarkStart w:id="61" w:name="_Toc28593"/>
      <w:r>
        <w:rPr>
          <w:rFonts w:hint="eastAsia" w:ascii="仿宋" w:hAnsi="仿宋" w:eastAsia="仿宋" w:cs="仿宋"/>
          <w:b/>
          <w:bCs/>
          <w:sz w:val="22"/>
          <w:highlight w:val="none"/>
        </w:rPr>
        <w:t>目录六、资格证明文件</w:t>
      </w:r>
      <w:bookmarkEnd w:id="58"/>
      <w:bookmarkEnd w:id="59"/>
      <w:bookmarkEnd w:id="60"/>
      <w:bookmarkEnd w:id="61"/>
    </w:p>
    <w:p>
      <w:pPr>
        <w:spacing w:line="360" w:lineRule="auto"/>
        <w:jc w:val="center"/>
        <w:rPr>
          <w:rFonts w:ascii="仿宋" w:hAnsi="仿宋" w:eastAsia="仿宋" w:cs="仿宋"/>
          <w:b/>
          <w:bCs/>
          <w:sz w:val="32"/>
          <w:szCs w:val="32"/>
          <w:highlight w:val="none"/>
        </w:rPr>
      </w:pPr>
      <w:bookmarkStart w:id="62" w:name="_Toc489655335"/>
      <w:r>
        <w:rPr>
          <w:rFonts w:hint="eastAsia" w:ascii="仿宋" w:hAnsi="仿宋" w:eastAsia="仿宋" w:cs="仿宋"/>
          <w:b/>
          <w:bCs/>
          <w:sz w:val="32"/>
          <w:szCs w:val="32"/>
          <w:highlight w:val="none"/>
        </w:rPr>
        <w:t>资格证明文件</w:t>
      </w:r>
      <w:bookmarkEnd w:id="62"/>
    </w:p>
    <w:p>
      <w:pPr>
        <w:spacing w:line="360" w:lineRule="auto"/>
        <w:ind w:firstLine="484" w:firstLineChars="202"/>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营业执照副本、相关证书等（复印件，加盖公章）；</w:t>
      </w:r>
    </w:p>
    <w:p>
      <w:pPr>
        <w:spacing w:line="360" w:lineRule="auto"/>
        <w:ind w:firstLine="484" w:firstLineChars="202"/>
        <w:rPr>
          <w:rFonts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sz w:val="24"/>
          <w:highlight w:val="none"/>
        </w:rPr>
        <w:t>《南京市政府采购供应商信用记录表暨信用承诺书》（在线打印）；</w:t>
      </w:r>
    </w:p>
    <w:p>
      <w:pPr>
        <w:spacing w:line="360" w:lineRule="auto"/>
        <w:ind w:firstLine="484" w:firstLineChars="202"/>
        <w:rPr>
          <w:rFonts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.法定代表人授权委托书（原件，除法定代表人以外的授权代表必须提供）；</w:t>
      </w:r>
    </w:p>
    <w:p>
      <w:pPr>
        <w:spacing w:line="360" w:lineRule="auto"/>
        <w:ind w:firstLine="484" w:firstLineChars="202"/>
        <w:rPr>
          <w:rFonts w:ascii="仿宋" w:hAnsi="仿宋" w:eastAsia="仿宋" w:cs="仿宋"/>
          <w:kern w:val="0"/>
          <w:sz w:val="24"/>
          <w:highlight w:val="none"/>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.本次采购项目实施所必</w:t>
      </w:r>
      <w:r>
        <w:rPr>
          <w:rFonts w:hint="eastAsia" w:ascii="仿宋" w:hAnsi="仿宋" w:eastAsia="仿宋" w:cs="仿宋"/>
          <w:kern w:val="0"/>
          <w:sz w:val="24"/>
          <w:highlight w:val="none"/>
        </w:rPr>
        <w:t>需</w:t>
      </w:r>
      <w:r>
        <w:rPr>
          <w:rFonts w:hint="eastAsia" w:ascii="仿宋" w:hAnsi="仿宋" w:eastAsia="仿宋" w:cs="仿宋"/>
          <w:kern w:val="0"/>
          <w:sz w:val="24"/>
          <w:highlight w:val="none"/>
          <w:lang w:val="zh-CN"/>
        </w:rPr>
        <w:t>的许可资质证明材料（若有）</w:t>
      </w:r>
      <w:r>
        <w:rPr>
          <w:rFonts w:hint="eastAsia" w:ascii="仿宋" w:hAnsi="仿宋" w:eastAsia="仿宋" w:cs="仿宋"/>
          <w:kern w:val="0"/>
          <w:sz w:val="24"/>
          <w:highlight w:val="none"/>
        </w:rPr>
        <w:t>；</w:t>
      </w:r>
    </w:p>
    <w:p>
      <w:pPr>
        <w:spacing w:line="360" w:lineRule="auto"/>
        <w:ind w:firstLine="484" w:firstLineChars="202"/>
        <w:rPr>
          <w:rFonts w:ascii="仿宋" w:hAnsi="仿宋" w:eastAsia="仿宋" w:cs="仿宋"/>
          <w:kern w:val="0"/>
          <w:sz w:val="24"/>
          <w:highlight w:val="none"/>
        </w:rPr>
      </w:pPr>
      <w:r>
        <w:rPr>
          <w:rFonts w:hint="eastAsia" w:ascii="仿宋" w:hAnsi="仿宋" w:eastAsia="仿宋" w:cs="仿宋"/>
          <w:kern w:val="0"/>
          <w:sz w:val="24"/>
          <w:highlight w:val="none"/>
        </w:rPr>
        <w:t>5.《中小企业声明函》（格式见附件）。</w:t>
      </w:r>
    </w:p>
    <w:p>
      <w:pPr>
        <w:spacing w:line="360" w:lineRule="auto"/>
        <w:ind w:firstLine="482" w:firstLineChars="200"/>
        <w:rPr>
          <w:rFonts w:ascii="仿宋" w:hAnsi="仿宋" w:eastAsia="仿宋" w:cs="仿宋"/>
          <w:b/>
          <w:bCs/>
          <w:kern w:val="0"/>
          <w:sz w:val="24"/>
          <w:highlight w:val="none"/>
        </w:rPr>
      </w:pPr>
    </w:p>
    <w:p>
      <w:pPr>
        <w:spacing w:line="360" w:lineRule="auto"/>
        <w:ind w:firstLine="482" w:firstLineChars="200"/>
        <w:rPr>
          <w:rFonts w:ascii="仿宋" w:hAnsi="仿宋" w:eastAsia="仿宋" w:cs="仿宋"/>
          <w:b/>
          <w:bCs/>
          <w:kern w:val="0"/>
          <w:sz w:val="24"/>
          <w:highlight w:val="none"/>
        </w:rPr>
      </w:pPr>
      <w:r>
        <w:rPr>
          <w:rFonts w:hint="eastAsia" w:ascii="仿宋" w:hAnsi="仿宋" w:eastAsia="仿宋" w:cs="仿宋"/>
          <w:b/>
          <w:bCs/>
          <w:kern w:val="0"/>
          <w:sz w:val="24"/>
          <w:highlight w:val="none"/>
        </w:rPr>
        <w:t>注：</w:t>
      </w:r>
      <w:r>
        <w:rPr>
          <w:rFonts w:hint="eastAsia" w:ascii="仿宋" w:hAnsi="仿宋" w:eastAsia="仿宋" w:cs="仿宋"/>
          <w:b/>
          <w:bCs/>
          <w:kern w:val="0"/>
          <w:sz w:val="24"/>
          <w:highlight w:val="none"/>
          <w:lang w:val="zh-CN"/>
        </w:rPr>
        <w:t>不得以信用承诺书替代</w:t>
      </w:r>
      <w:r>
        <w:rPr>
          <w:rFonts w:hint="eastAsia" w:ascii="仿宋" w:hAnsi="仿宋" w:eastAsia="仿宋" w:cs="仿宋"/>
          <w:b/>
          <w:bCs/>
          <w:kern w:val="0"/>
          <w:sz w:val="24"/>
          <w:highlight w:val="none"/>
        </w:rPr>
        <w:t>的供应商资格证明文件须提供《中华人民共和国政府采购法》第二十二条规定的证明材料：</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（1）符合国家相关规定的财务状况报告</w:t>
      </w:r>
      <w:r>
        <w:rPr>
          <w:rStyle w:val="65"/>
          <w:rFonts w:hint="eastAsia" w:ascii="仿宋" w:hAnsi="仿宋" w:eastAsia="仿宋" w:cs="仿宋"/>
          <w:bCs/>
          <w:sz w:val="24"/>
          <w:highlight w:val="none"/>
          <w:lang w:val="zh-CN"/>
        </w:rPr>
        <w:t>（提供参加本次政府采购活动前的会计报表）；</w:t>
      </w:r>
    </w:p>
    <w:p>
      <w:pPr>
        <w:pStyle w:val="3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（2）依法缴纳税收的证明材料</w:t>
      </w:r>
      <w:r>
        <w:rPr>
          <w:rStyle w:val="65"/>
          <w:rFonts w:hint="eastAsia" w:ascii="仿宋" w:hAnsi="仿宋" w:eastAsia="仿宋" w:cs="仿宋"/>
          <w:bCs/>
          <w:sz w:val="24"/>
          <w:highlight w:val="none"/>
          <w:lang w:val="zh-CN"/>
        </w:rPr>
        <w:t>（提供参加本次政府采购活动前半年内（至少一个月）依法缴纳税收的相关材料）</w:t>
      </w:r>
      <w:r>
        <w:rPr>
          <w:rFonts w:hint="eastAsia" w:ascii="仿宋" w:hAnsi="仿宋" w:eastAsia="仿宋" w:cs="仿宋"/>
          <w:sz w:val="24"/>
          <w:highlight w:val="none"/>
        </w:rPr>
        <w:t>；</w:t>
      </w:r>
    </w:p>
    <w:p>
      <w:pPr>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（3）依法缴纳社会保障资金的证明材料</w:t>
      </w:r>
      <w:r>
        <w:rPr>
          <w:rStyle w:val="65"/>
          <w:rFonts w:hint="eastAsia" w:ascii="仿宋" w:hAnsi="仿宋" w:eastAsia="仿宋" w:cs="仿宋"/>
          <w:bCs/>
          <w:sz w:val="24"/>
          <w:highlight w:val="none"/>
          <w:lang w:val="zh-CN"/>
        </w:rPr>
        <w:t>（提供参加本次政府采购活动前半年内（至少一个月）社会保障资金的相关材料）</w:t>
      </w:r>
      <w:r>
        <w:rPr>
          <w:rFonts w:hint="eastAsia" w:ascii="仿宋" w:hAnsi="仿宋" w:eastAsia="仿宋" w:cs="仿宋"/>
          <w:sz w:val="24"/>
          <w:highlight w:val="none"/>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（4）具备履行政府采购合同所必需的设备和专业技术能力的证明材料；</w:t>
      </w:r>
    </w:p>
    <w:p>
      <w:pPr>
        <w:pStyle w:val="36"/>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（5）参加政府采购活动前三年内的经营活动中没有重大违法记录的证明材料；</w:t>
      </w:r>
    </w:p>
    <w:p>
      <w:pPr>
        <w:spacing w:line="360" w:lineRule="auto"/>
        <w:ind w:firstLine="480" w:firstLineChars="200"/>
        <w:rPr>
          <w:rFonts w:ascii="仿宋" w:hAnsi="仿宋" w:eastAsia="仿宋" w:cs="仿宋"/>
          <w:highlight w:val="none"/>
        </w:rPr>
      </w:pPr>
      <w:r>
        <w:rPr>
          <w:rFonts w:hint="eastAsia" w:ascii="仿宋" w:hAnsi="仿宋" w:eastAsia="仿宋" w:cs="仿宋"/>
          <w:sz w:val="24"/>
          <w:highlight w:val="none"/>
        </w:rPr>
        <w:t>（6）未被列入失信被执行人、重大税收违法案件当事人名单、政府采购严重违法失信行为记录名单的证明材料。</w:t>
      </w:r>
    </w:p>
    <w:p>
      <w:pPr>
        <w:pStyle w:val="36"/>
        <w:spacing w:line="360" w:lineRule="auto"/>
        <w:ind w:firstLine="480"/>
        <w:rPr>
          <w:rFonts w:ascii="仿宋" w:hAnsi="仿宋" w:eastAsia="仿宋" w:cs="仿宋"/>
          <w:highlight w:val="none"/>
        </w:rPr>
      </w:pPr>
      <w:r>
        <w:rPr>
          <w:rFonts w:hint="eastAsia" w:ascii="仿宋" w:hAnsi="仿宋" w:eastAsia="仿宋" w:cs="仿宋"/>
          <w:sz w:val="24"/>
          <w:highlight w:val="none"/>
        </w:rPr>
        <w:t>注：第（5）条重大违法记录，是指供应商因违法经营受到刑事处罚或者责令停产停业、吊销许可证或者执照、较大数额罚款等行政处罚。</w:t>
      </w:r>
    </w:p>
    <w:p>
      <w:pPr>
        <w:spacing w:line="360" w:lineRule="auto"/>
        <w:ind w:firstLine="484" w:firstLineChars="202"/>
        <w:rPr>
          <w:rFonts w:ascii="仿宋" w:hAnsi="仿宋" w:eastAsia="仿宋" w:cs="仿宋"/>
          <w:kern w:val="0"/>
          <w:sz w:val="24"/>
          <w:highlight w:val="none"/>
        </w:rPr>
      </w:pPr>
      <w:r>
        <w:rPr>
          <w:rFonts w:hint="eastAsia" w:ascii="仿宋" w:hAnsi="仿宋" w:eastAsia="仿宋" w:cs="仿宋"/>
          <w:kern w:val="0"/>
          <w:sz w:val="24"/>
          <w:highlight w:val="none"/>
        </w:rPr>
        <w:br w:type="page"/>
      </w:r>
    </w:p>
    <w:p>
      <w:pPr>
        <w:spacing w:line="360" w:lineRule="auto"/>
        <w:outlineLvl w:val="2"/>
        <w:rPr>
          <w:rFonts w:ascii="仿宋" w:hAnsi="仿宋" w:eastAsia="仿宋" w:cs="仿宋"/>
          <w:b/>
          <w:bCs/>
          <w:sz w:val="22"/>
          <w:highlight w:val="none"/>
        </w:rPr>
      </w:pPr>
      <w:bookmarkStart w:id="63" w:name="_Toc19376"/>
      <w:bookmarkStart w:id="64" w:name="_Toc31238"/>
      <w:bookmarkStart w:id="65" w:name="_Toc30525"/>
      <w:bookmarkStart w:id="66" w:name="_Toc7902"/>
      <w:r>
        <w:rPr>
          <w:rFonts w:hint="eastAsia" w:ascii="仿宋" w:hAnsi="仿宋" w:eastAsia="仿宋" w:cs="仿宋"/>
          <w:b/>
          <w:bCs/>
          <w:sz w:val="22"/>
          <w:highlight w:val="none"/>
        </w:rPr>
        <w:t>目录七、技术条款偏离表格式</w:t>
      </w:r>
      <w:bookmarkEnd w:id="63"/>
      <w:bookmarkEnd w:id="64"/>
      <w:bookmarkEnd w:id="65"/>
      <w:bookmarkEnd w:id="66"/>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技术条款偏离表</w:t>
      </w:r>
    </w:p>
    <w:tbl>
      <w:tblPr>
        <w:tblStyle w:val="27"/>
        <w:tblW w:w="0" w:type="auto"/>
        <w:jc w:val="center"/>
        <w:tblLayout w:type="fixed"/>
        <w:tblCellMar>
          <w:top w:w="0" w:type="dxa"/>
          <w:left w:w="0" w:type="dxa"/>
          <w:bottom w:w="0" w:type="dxa"/>
          <w:right w:w="0" w:type="dxa"/>
        </w:tblCellMar>
      </w:tblPr>
      <w:tblGrid>
        <w:gridCol w:w="850"/>
        <w:gridCol w:w="2694"/>
        <w:gridCol w:w="2106"/>
        <w:gridCol w:w="20"/>
        <w:gridCol w:w="1809"/>
        <w:gridCol w:w="1110"/>
      </w:tblGrid>
      <w:tr>
        <w:tblPrEx>
          <w:tblCellMar>
            <w:top w:w="0" w:type="dxa"/>
            <w:left w:w="0" w:type="dxa"/>
            <w:bottom w:w="0" w:type="dxa"/>
            <w:right w:w="0" w:type="dxa"/>
          </w:tblCellMar>
        </w:tblPrEx>
        <w:trPr>
          <w:trHeight w:val="680" w:hRule="atLeast"/>
          <w:jc w:val="center"/>
        </w:trPr>
        <w:tc>
          <w:tcPr>
            <w:tcW w:w="5650" w:type="dxa"/>
            <w:gridSpan w:val="3"/>
            <w:tcBorders>
              <w:top w:val="nil"/>
              <w:left w:val="nil"/>
              <w:bottom w:val="single" w:color="auto" w:sz="6" w:space="0"/>
              <w:right w:val="nil"/>
            </w:tcBorders>
            <w:vAlign w:val="center"/>
          </w:tcPr>
          <w:p>
            <w:pP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项目名称：</w:t>
            </w:r>
          </w:p>
        </w:tc>
        <w:tc>
          <w:tcPr>
            <w:tcW w:w="2939" w:type="dxa"/>
            <w:gridSpan w:val="3"/>
            <w:tcBorders>
              <w:top w:val="nil"/>
              <w:left w:val="nil"/>
              <w:bottom w:val="single" w:color="auto" w:sz="6" w:space="0"/>
              <w:right w:val="nil"/>
            </w:tcBorders>
            <w:vAlign w:val="center"/>
          </w:tcPr>
          <w:p>
            <w:pP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项目编号：</w:t>
            </w: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序号</w:t>
            </w: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竞争性磋商文件条目号</w:t>
            </w: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rPr>
              <w:t>采购</w:t>
            </w:r>
            <w:r>
              <w:rPr>
                <w:rFonts w:hint="eastAsia" w:ascii="仿宋" w:hAnsi="仿宋" w:eastAsia="仿宋" w:cs="仿宋"/>
                <w:kern w:val="0"/>
                <w:sz w:val="24"/>
                <w:highlight w:val="none"/>
                <w:lang w:val="zh-CN"/>
              </w:rPr>
              <w:t>要求规格</w:t>
            </w: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投标响应</w:t>
            </w: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偏离</w:t>
            </w: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r>
        <w:tblPrEx>
          <w:tblCellMar>
            <w:top w:w="0" w:type="dxa"/>
            <w:left w:w="0" w:type="dxa"/>
            <w:bottom w:w="0" w:type="dxa"/>
            <w:right w:w="0" w:type="dxa"/>
          </w:tblCellMar>
        </w:tblPrEx>
        <w:trPr>
          <w:trHeight w:val="680" w:hRule="atLeast"/>
          <w:jc w:val="center"/>
        </w:trPr>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69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212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80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kern w:val="0"/>
                <w:sz w:val="24"/>
                <w:highlight w:val="none"/>
                <w:lang w:val="zh-CN"/>
              </w:rPr>
            </w:pPr>
          </w:p>
        </w:tc>
      </w:tr>
    </w:tbl>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供应商名称：（盖章）</w:t>
      </w:r>
    </w:p>
    <w:p>
      <w:pPr>
        <w:spacing w:line="360" w:lineRule="auto"/>
        <w:rPr>
          <w:rFonts w:ascii="仿宋" w:hAnsi="仿宋" w:eastAsia="仿宋" w:cs="仿宋"/>
          <w:kern w:val="0"/>
          <w:sz w:val="24"/>
          <w:highlight w:val="none"/>
          <w:lang w:val="zh-CN"/>
        </w:rPr>
      </w:pPr>
      <w:bookmarkStart w:id="67" w:name="_Toc15264"/>
      <w:bookmarkStart w:id="68" w:name="_Toc5578"/>
      <w:bookmarkStart w:id="69" w:name="_Toc784"/>
      <w:r>
        <w:rPr>
          <w:rFonts w:hint="eastAsia" w:ascii="仿宋" w:hAnsi="仿宋" w:eastAsia="仿宋" w:cs="仿宋"/>
          <w:kern w:val="0"/>
          <w:sz w:val="24"/>
          <w:highlight w:val="none"/>
          <w:lang w:val="zh-CN"/>
        </w:rPr>
        <w:t>说明：</w:t>
      </w:r>
    </w:p>
    <w:p>
      <w:pPr>
        <w:rPr>
          <w:rFonts w:ascii="仿宋" w:hAnsi="仿宋" w:eastAsia="仿宋" w:cs="仿宋"/>
          <w:b/>
          <w:bCs/>
          <w:sz w:val="22"/>
          <w:highlight w:val="none"/>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、如果行数不够，请自行增加。</w:t>
      </w:r>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70" w:name="_Toc30587"/>
      <w:r>
        <w:rPr>
          <w:rFonts w:hint="eastAsia" w:ascii="仿宋" w:hAnsi="仿宋" w:eastAsia="仿宋" w:cs="仿宋"/>
          <w:b/>
          <w:bCs/>
          <w:sz w:val="22"/>
          <w:highlight w:val="none"/>
        </w:rPr>
        <w:t>目录八、商务条款偏离表格式</w:t>
      </w:r>
      <w:bookmarkEnd w:id="67"/>
      <w:bookmarkEnd w:id="68"/>
      <w:bookmarkEnd w:id="69"/>
      <w:bookmarkEnd w:id="70"/>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商务条款偏离表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2410"/>
        <w:gridCol w:w="2390"/>
        <w:gridCol w:w="20"/>
        <w:gridCol w:w="143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508" w:type="dxa"/>
            <w:gridSpan w:val="3"/>
            <w:tcBorders>
              <w:top w:val="nil"/>
              <w:left w:val="nil"/>
              <w:right w:val="nil"/>
            </w:tcBorders>
            <w:vAlign w:val="center"/>
          </w:tcPr>
          <w:p>
            <w:pPr>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项目名称：</w:t>
            </w:r>
          </w:p>
        </w:tc>
        <w:tc>
          <w:tcPr>
            <w:tcW w:w="2830" w:type="dxa"/>
            <w:gridSpan w:val="3"/>
            <w:tcBorders>
              <w:top w:val="nil"/>
              <w:left w:val="nil"/>
              <w:right w:val="nil"/>
            </w:tcBorders>
            <w:vAlign w:val="center"/>
          </w:tcPr>
          <w:p>
            <w:pPr>
              <w:jc w:val="left"/>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序号</w:t>
            </w:r>
          </w:p>
        </w:tc>
        <w:tc>
          <w:tcPr>
            <w:tcW w:w="2410"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竞争性磋商文件条目号</w:t>
            </w:r>
          </w:p>
        </w:tc>
        <w:tc>
          <w:tcPr>
            <w:tcW w:w="2410" w:type="dxa"/>
            <w:gridSpan w:val="2"/>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竞争性磋商文件要求的商务条款</w:t>
            </w:r>
          </w:p>
        </w:tc>
        <w:tc>
          <w:tcPr>
            <w:tcW w:w="1438"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投标响应</w:t>
            </w:r>
          </w:p>
        </w:tc>
        <w:tc>
          <w:tcPr>
            <w:tcW w:w="1372" w:type="dxa"/>
            <w:vAlign w:val="center"/>
          </w:tcPr>
          <w:p>
            <w:pPr>
              <w:jc w:val="center"/>
              <w:rPr>
                <w:rFonts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lang w:val="zh-CN"/>
              </w:rPr>
            </w:pPr>
          </w:p>
        </w:tc>
        <w:tc>
          <w:tcPr>
            <w:tcW w:w="2410" w:type="dxa"/>
            <w:vAlign w:val="center"/>
          </w:tcPr>
          <w:p>
            <w:pPr>
              <w:jc w:val="center"/>
              <w:rPr>
                <w:rFonts w:ascii="仿宋" w:hAnsi="仿宋" w:eastAsia="仿宋" w:cs="仿宋"/>
                <w:kern w:val="0"/>
                <w:sz w:val="24"/>
                <w:szCs w:val="24"/>
                <w:highlight w:val="none"/>
                <w:lang w:val="zh-CN"/>
              </w:rPr>
            </w:pPr>
          </w:p>
        </w:tc>
        <w:tc>
          <w:tcPr>
            <w:tcW w:w="2410" w:type="dxa"/>
            <w:gridSpan w:val="2"/>
            <w:vAlign w:val="center"/>
          </w:tcPr>
          <w:p>
            <w:pPr>
              <w:jc w:val="center"/>
              <w:rPr>
                <w:rFonts w:ascii="仿宋" w:hAnsi="仿宋" w:eastAsia="仿宋" w:cs="仿宋"/>
                <w:kern w:val="0"/>
                <w:sz w:val="24"/>
                <w:szCs w:val="24"/>
                <w:highlight w:val="none"/>
                <w:lang w:val="zh-CN"/>
              </w:rPr>
            </w:pPr>
          </w:p>
        </w:tc>
        <w:tc>
          <w:tcPr>
            <w:tcW w:w="1438" w:type="dxa"/>
            <w:vAlign w:val="center"/>
          </w:tcPr>
          <w:p>
            <w:pPr>
              <w:jc w:val="center"/>
              <w:rPr>
                <w:rFonts w:ascii="仿宋" w:hAnsi="仿宋" w:eastAsia="仿宋" w:cs="仿宋"/>
                <w:kern w:val="0"/>
                <w:sz w:val="24"/>
                <w:szCs w:val="24"/>
                <w:highlight w:val="none"/>
                <w:lang w:val="zh-CN"/>
              </w:rPr>
            </w:pPr>
          </w:p>
        </w:tc>
        <w:tc>
          <w:tcPr>
            <w:tcW w:w="1372" w:type="dxa"/>
            <w:vAlign w:val="center"/>
          </w:tcPr>
          <w:p>
            <w:pPr>
              <w:jc w:val="center"/>
              <w:rPr>
                <w:rFonts w:ascii="仿宋" w:hAnsi="仿宋" w:eastAsia="仿宋" w:cs="仿宋"/>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08" w:type="dxa"/>
            <w:vAlign w:val="center"/>
          </w:tcPr>
          <w:p>
            <w:pPr>
              <w:jc w:val="center"/>
              <w:rPr>
                <w:rFonts w:ascii="仿宋" w:hAnsi="仿宋" w:eastAsia="仿宋" w:cs="仿宋"/>
                <w:kern w:val="0"/>
                <w:sz w:val="24"/>
                <w:szCs w:val="24"/>
                <w:highlight w:val="none"/>
              </w:rPr>
            </w:pPr>
          </w:p>
        </w:tc>
        <w:tc>
          <w:tcPr>
            <w:tcW w:w="2410" w:type="dxa"/>
            <w:vAlign w:val="center"/>
          </w:tcPr>
          <w:p>
            <w:pPr>
              <w:jc w:val="center"/>
              <w:rPr>
                <w:rFonts w:ascii="仿宋" w:hAnsi="仿宋" w:eastAsia="仿宋" w:cs="仿宋"/>
                <w:kern w:val="0"/>
                <w:sz w:val="24"/>
                <w:szCs w:val="24"/>
                <w:highlight w:val="none"/>
              </w:rPr>
            </w:pPr>
          </w:p>
        </w:tc>
        <w:tc>
          <w:tcPr>
            <w:tcW w:w="2410" w:type="dxa"/>
            <w:gridSpan w:val="2"/>
            <w:vAlign w:val="center"/>
          </w:tcPr>
          <w:p>
            <w:pPr>
              <w:jc w:val="center"/>
              <w:rPr>
                <w:rFonts w:ascii="仿宋" w:hAnsi="仿宋" w:eastAsia="仿宋" w:cs="仿宋"/>
                <w:kern w:val="0"/>
                <w:sz w:val="24"/>
                <w:szCs w:val="24"/>
                <w:highlight w:val="none"/>
              </w:rPr>
            </w:pPr>
          </w:p>
        </w:tc>
        <w:tc>
          <w:tcPr>
            <w:tcW w:w="1438" w:type="dxa"/>
            <w:vAlign w:val="center"/>
          </w:tcPr>
          <w:p>
            <w:pPr>
              <w:jc w:val="center"/>
              <w:rPr>
                <w:rFonts w:ascii="仿宋" w:hAnsi="仿宋" w:eastAsia="仿宋" w:cs="仿宋"/>
                <w:kern w:val="0"/>
                <w:sz w:val="24"/>
                <w:szCs w:val="24"/>
                <w:highlight w:val="none"/>
              </w:rPr>
            </w:pPr>
          </w:p>
        </w:tc>
        <w:tc>
          <w:tcPr>
            <w:tcW w:w="1372" w:type="dxa"/>
            <w:vAlign w:val="center"/>
          </w:tcPr>
          <w:p>
            <w:pPr>
              <w:jc w:val="center"/>
              <w:rPr>
                <w:rFonts w:ascii="仿宋" w:hAnsi="仿宋" w:eastAsia="仿宋" w:cs="仿宋"/>
                <w:kern w:val="0"/>
                <w:sz w:val="24"/>
                <w:szCs w:val="24"/>
                <w:highlight w:val="none"/>
              </w:rPr>
            </w:pPr>
          </w:p>
        </w:tc>
      </w:tr>
    </w:tbl>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供应商名称：（盖章）</w:t>
      </w:r>
    </w:p>
    <w:p>
      <w:pPr>
        <w:spacing w:line="360" w:lineRule="auto"/>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说明：如果行数不够，请自行增加。</w:t>
      </w:r>
    </w:p>
    <w:p>
      <w:pPr>
        <w:rPr>
          <w:rFonts w:ascii="仿宋" w:hAnsi="仿宋" w:eastAsia="仿宋" w:cs="仿宋"/>
          <w:b/>
          <w:bCs/>
          <w:sz w:val="22"/>
          <w:highlight w:val="none"/>
        </w:rPr>
      </w:pPr>
      <w:bookmarkStart w:id="71" w:name="_Toc13021"/>
      <w:bookmarkStart w:id="72" w:name="_Toc1933"/>
      <w:bookmarkStart w:id="73" w:name="_Toc19359"/>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74" w:name="_Toc7419"/>
      <w:r>
        <w:rPr>
          <w:rFonts w:hint="eastAsia" w:ascii="仿宋" w:hAnsi="仿宋" w:eastAsia="仿宋" w:cs="仿宋"/>
          <w:b/>
          <w:bCs/>
          <w:sz w:val="22"/>
          <w:highlight w:val="none"/>
        </w:rPr>
        <w:t>目录九、</w:t>
      </w:r>
      <w:bookmarkEnd w:id="71"/>
      <w:bookmarkEnd w:id="72"/>
      <w:r>
        <w:rPr>
          <w:rFonts w:hint="eastAsia" w:ascii="仿宋" w:hAnsi="仿宋" w:eastAsia="仿宋" w:cs="仿宋"/>
          <w:b/>
          <w:bCs/>
          <w:sz w:val="22"/>
          <w:highlight w:val="none"/>
        </w:rPr>
        <w:t>技术方案</w:t>
      </w:r>
      <w:bookmarkEnd w:id="73"/>
      <w:bookmarkEnd w:id="74"/>
    </w:p>
    <w:p>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技术方案（自行编制）</w:t>
      </w:r>
    </w:p>
    <w:p>
      <w:pPr>
        <w:spacing w:line="360" w:lineRule="auto"/>
        <w:rPr>
          <w:rFonts w:ascii="仿宋" w:hAnsi="仿宋" w:eastAsia="仿宋" w:cs="仿宋"/>
          <w:b/>
          <w:bCs/>
          <w:sz w:val="22"/>
          <w:highlight w:val="none"/>
        </w:rPr>
      </w:pPr>
      <w:bookmarkStart w:id="75" w:name="_Toc5164"/>
      <w:bookmarkStart w:id="76" w:name="_Toc3793"/>
      <w:bookmarkStart w:id="77" w:name="_Toc21802"/>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rPr>
          <w:rFonts w:ascii="仿宋" w:hAnsi="仿宋" w:eastAsia="仿宋" w:cs="仿宋"/>
          <w:b/>
          <w:bCs/>
          <w:sz w:val="22"/>
          <w:highlight w:val="none"/>
        </w:rPr>
      </w:pPr>
    </w:p>
    <w:p>
      <w:pPr>
        <w:spacing w:line="360" w:lineRule="auto"/>
        <w:outlineLvl w:val="2"/>
        <w:rPr>
          <w:rFonts w:ascii="仿宋" w:hAnsi="仿宋" w:eastAsia="仿宋" w:cs="仿宋"/>
          <w:b/>
          <w:bCs/>
          <w:sz w:val="22"/>
          <w:highlight w:val="none"/>
        </w:rPr>
      </w:pPr>
      <w:bookmarkStart w:id="78" w:name="_Toc13314"/>
      <w:r>
        <w:rPr>
          <w:rFonts w:hint="eastAsia" w:ascii="仿宋" w:hAnsi="仿宋" w:eastAsia="仿宋" w:cs="仿宋"/>
          <w:b/>
          <w:bCs/>
          <w:sz w:val="22"/>
          <w:highlight w:val="none"/>
        </w:rPr>
        <w:t>目录十、服务与承诺</w:t>
      </w:r>
      <w:bookmarkEnd w:id="75"/>
      <w:bookmarkEnd w:id="76"/>
      <w:bookmarkEnd w:id="77"/>
      <w:bookmarkEnd w:id="78"/>
    </w:p>
    <w:p>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服务与承诺（自行编制，格式自拟）</w:t>
      </w:r>
    </w:p>
    <w:p>
      <w:pPr>
        <w:rPr>
          <w:rFonts w:ascii="仿宋" w:hAnsi="仿宋" w:eastAsia="仿宋" w:cs="仿宋"/>
          <w:b/>
          <w:bCs/>
          <w:sz w:val="22"/>
          <w:highlight w:val="none"/>
        </w:rPr>
      </w:pPr>
      <w:bookmarkStart w:id="79" w:name="_Toc9250"/>
      <w:bookmarkStart w:id="80" w:name="_Toc30560"/>
      <w:bookmarkStart w:id="81" w:name="_Toc4666"/>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82" w:name="_Toc10700"/>
      <w:r>
        <w:rPr>
          <w:rFonts w:hint="eastAsia" w:ascii="仿宋" w:hAnsi="仿宋" w:eastAsia="仿宋" w:cs="仿宋"/>
          <w:b/>
          <w:bCs/>
          <w:sz w:val="22"/>
          <w:highlight w:val="none"/>
        </w:rPr>
        <w:t>目录十一、供应商拟投入本项目组成员一览表</w:t>
      </w:r>
      <w:bookmarkEnd w:id="79"/>
      <w:bookmarkEnd w:id="80"/>
      <w:bookmarkEnd w:id="81"/>
      <w:bookmarkEnd w:id="82"/>
    </w:p>
    <w:p>
      <w:pPr>
        <w:pStyle w:val="36"/>
        <w:rPr>
          <w:rFonts w:ascii="仿宋" w:hAnsi="仿宋" w:eastAsia="仿宋" w:cs="仿宋"/>
          <w:highlight w:val="none"/>
        </w:rPr>
      </w:pPr>
    </w:p>
    <w:p>
      <w:pPr>
        <w:jc w:val="center"/>
        <w:rPr>
          <w:rFonts w:ascii="仿宋" w:hAnsi="仿宋" w:eastAsia="仿宋" w:cs="仿宋"/>
          <w:b/>
          <w:bCs/>
          <w:sz w:val="32"/>
          <w:szCs w:val="32"/>
          <w:highlight w:val="none"/>
        </w:rPr>
      </w:pPr>
      <w:bookmarkStart w:id="83" w:name="_Toc22477"/>
      <w:r>
        <w:rPr>
          <w:rFonts w:hint="eastAsia" w:ascii="仿宋" w:hAnsi="仿宋" w:eastAsia="仿宋" w:cs="仿宋"/>
          <w:b/>
          <w:bCs/>
          <w:sz w:val="32"/>
          <w:szCs w:val="32"/>
          <w:highlight w:val="none"/>
        </w:rPr>
        <w:t>供应商拟投入本项目组成员一览表</w:t>
      </w:r>
      <w:bookmarkEnd w:id="83"/>
    </w:p>
    <w:p>
      <w:pPr>
        <w:pStyle w:val="36"/>
        <w:rPr>
          <w:rFonts w:ascii="仿宋" w:hAnsi="仿宋" w:eastAsia="仿宋" w:cs="仿宋"/>
          <w:highlight w:val="none"/>
        </w:rPr>
      </w:pPr>
    </w:p>
    <w:p>
      <w:pPr>
        <w:rPr>
          <w:rFonts w:ascii="仿宋" w:hAnsi="仿宋" w:eastAsia="仿宋" w:cs="仿宋"/>
          <w:sz w:val="24"/>
          <w:szCs w:val="24"/>
          <w:highlight w:val="none"/>
        </w:rPr>
      </w:pPr>
      <w:r>
        <w:rPr>
          <w:rFonts w:hint="eastAsia" w:ascii="仿宋" w:hAnsi="仿宋" w:eastAsia="仿宋" w:cs="仿宋"/>
          <w:sz w:val="24"/>
          <w:szCs w:val="24"/>
          <w:highlight w:val="none"/>
        </w:rPr>
        <w:t>项目名称：                                                 项目编号：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pPr>
              <w:rPr>
                <w:rFonts w:ascii="仿宋" w:hAnsi="仿宋" w:eastAsia="仿宋" w:cs="仿宋"/>
                <w:b/>
                <w:highlight w:val="none"/>
              </w:rPr>
            </w:pPr>
            <w:r>
              <w:rPr>
                <w:rFonts w:hint="eastAsia" w:ascii="仿宋" w:hAnsi="仿宋" w:eastAsia="仿宋" w:cs="仿宋"/>
                <w:b/>
                <w:highlight w:val="none"/>
              </w:rPr>
              <w:t>序号</w:t>
            </w:r>
          </w:p>
        </w:tc>
        <w:tc>
          <w:tcPr>
            <w:tcW w:w="810" w:type="dxa"/>
            <w:vAlign w:val="center"/>
          </w:tcPr>
          <w:p>
            <w:pPr>
              <w:rPr>
                <w:rFonts w:ascii="仿宋" w:hAnsi="仿宋" w:eastAsia="仿宋" w:cs="仿宋"/>
                <w:b/>
                <w:highlight w:val="none"/>
              </w:rPr>
            </w:pPr>
            <w:r>
              <w:rPr>
                <w:rFonts w:hint="eastAsia" w:ascii="仿宋" w:hAnsi="仿宋" w:eastAsia="仿宋" w:cs="仿宋"/>
                <w:b/>
                <w:highlight w:val="none"/>
              </w:rPr>
              <w:t>姓名</w:t>
            </w:r>
          </w:p>
        </w:tc>
        <w:tc>
          <w:tcPr>
            <w:tcW w:w="795" w:type="dxa"/>
            <w:vAlign w:val="center"/>
          </w:tcPr>
          <w:p>
            <w:pPr>
              <w:rPr>
                <w:rFonts w:ascii="仿宋" w:hAnsi="仿宋" w:eastAsia="仿宋" w:cs="仿宋"/>
                <w:b/>
                <w:highlight w:val="none"/>
              </w:rPr>
            </w:pPr>
            <w:r>
              <w:rPr>
                <w:rFonts w:hint="eastAsia" w:ascii="仿宋" w:hAnsi="仿宋" w:eastAsia="仿宋" w:cs="仿宋"/>
                <w:b/>
                <w:highlight w:val="none"/>
              </w:rPr>
              <w:t>性别</w:t>
            </w:r>
          </w:p>
        </w:tc>
        <w:tc>
          <w:tcPr>
            <w:tcW w:w="645" w:type="dxa"/>
            <w:vAlign w:val="center"/>
          </w:tcPr>
          <w:p>
            <w:pPr>
              <w:rPr>
                <w:rFonts w:ascii="仿宋" w:hAnsi="仿宋" w:eastAsia="仿宋" w:cs="仿宋"/>
                <w:b/>
                <w:highlight w:val="none"/>
              </w:rPr>
            </w:pPr>
            <w:r>
              <w:rPr>
                <w:rFonts w:hint="eastAsia" w:ascii="仿宋" w:hAnsi="仿宋" w:eastAsia="仿宋" w:cs="仿宋"/>
                <w:b/>
                <w:highlight w:val="none"/>
              </w:rPr>
              <w:t>年龄</w:t>
            </w:r>
          </w:p>
        </w:tc>
        <w:tc>
          <w:tcPr>
            <w:tcW w:w="675" w:type="dxa"/>
            <w:vAlign w:val="center"/>
          </w:tcPr>
          <w:p>
            <w:pPr>
              <w:rPr>
                <w:rFonts w:ascii="仿宋" w:hAnsi="仿宋" w:eastAsia="仿宋" w:cs="仿宋"/>
                <w:b/>
                <w:highlight w:val="none"/>
              </w:rPr>
            </w:pPr>
            <w:r>
              <w:rPr>
                <w:rFonts w:hint="eastAsia" w:ascii="仿宋" w:hAnsi="仿宋" w:eastAsia="仿宋" w:cs="仿宋"/>
                <w:b/>
                <w:highlight w:val="none"/>
              </w:rPr>
              <w:t>专业</w:t>
            </w:r>
          </w:p>
        </w:tc>
        <w:tc>
          <w:tcPr>
            <w:tcW w:w="645" w:type="dxa"/>
            <w:vAlign w:val="center"/>
          </w:tcPr>
          <w:p>
            <w:pPr>
              <w:rPr>
                <w:rFonts w:ascii="仿宋" w:hAnsi="仿宋" w:eastAsia="仿宋" w:cs="仿宋"/>
                <w:b/>
                <w:highlight w:val="none"/>
              </w:rPr>
            </w:pPr>
            <w:r>
              <w:rPr>
                <w:rFonts w:hint="eastAsia" w:ascii="仿宋" w:hAnsi="仿宋" w:eastAsia="仿宋" w:cs="仿宋"/>
                <w:b/>
                <w:highlight w:val="none"/>
              </w:rPr>
              <w:t>学历</w:t>
            </w:r>
          </w:p>
        </w:tc>
        <w:tc>
          <w:tcPr>
            <w:tcW w:w="975" w:type="dxa"/>
            <w:vAlign w:val="center"/>
          </w:tcPr>
          <w:p>
            <w:pPr>
              <w:jc w:val="center"/>
              <w:rPr>
                <w:rFonts w:ascii="仿宋" w:hAnsi="仿宋" w:eastAsia="仿宋" w:cs="仿宋"/>
                <w:b/>
                <w:highlight w:val="none"/>
              </w:rPr>
            </w:pPr>
            <w:r>
              <w:rPr>
                <w:rFonts w:hint="eastAsia" w:ascii="仿宋" w:hAnsi="仿宋" w:eastAsia="仿宋" w:cs="仿宋"/>
                <w:b/>
                <w:highlight w:val="none"/>
              </w:rPr>
              <w:t>执业资格及证书号</w:t>
            </w:r>
          </w:p>
        </w:tc>
        <w:tc>
          <w:tcPr>
            <w:tcW w:w="750" w:type="dxa"/>
            <w:vAlign w:val="center"/>
          </w:tcPr>
          <w:p>
            <w:pPr>
              <w:rPr>
                <w:rFonts w:ascii="仿宋" w:hAnsi="仿宋" w:eastAsia="仿宋" w:cs="仿宋"/>
                <w:b/>
                <w:highlight w:val="none"/>
              </w:rPr>
            </w:pPr>
            <w:r>
              <w:rPr>
                <w:rFonts w:hint="eastAsia" w:ascii="仿宋" w:hAnsi="仿宋" w:eastAsia="仿宋" w:cs="仿宋"/>
                <w:b/>
                <w:highlight w:val="none"/>
              </w:rPr>
              <w:t>技术职称</w:t>
            </w:r>
          </w:p>
        </w:tc>
        <w:tc>
          <w:tcPr>
            <w:tcW w:w="1033" w:type="dxa"/>
            <w:vAlign w:val="center"/>
          </w:tcPr>
          <w:p>
            <w:pPr>
              <w:rPr>
                <w:rFonts w:ascii="仿宋" w:hAnsi="仿宋" w:eastAsia="仿宋" w:cs="仿宋"/>
                <w:b/>
                <w:highlight w:val="none"/>
              </w:rPr>
            </w:pPr>
            <w:r>
              <w:rPr>
                <w:rFonts w:hint="eastAsia" w:ascii="仿宋" w:hAnsi="仿宋" w:eastAsia="仿宋" w:cs="仿宋"/>
                <w:b/>
                <w:highlight w:val="none"/>
              </w:rPr>
              <w:t>相关工作年限而及工作经历</w:t>
            </w:r>
          </w:p>
        </w:tc>
        <w:tc>
          <w:tcPr>
            <w:tcW w:w="975" w:type="dxa"/>
            <w:vAlign w:val="center"/>
          </w:tcPr>
          <w:p>
            <w:pPr>
              <w:rPr>
                <w:rFonts w:ascii="仿宋" w:hAnsi="仿宋" w:eastAsia="仿宋" w:cs="仿宋"/>
                <w:b/>
                <w:highlight w:val="none"/>
              </w:rPr>
            </w:pPr>
            <w:r>
              <w:rPr>
                <w:rFonts w:hint="eastAsia" w:ascii="仿宋" w:hAnsi="仿宋" w:eastAsia="仿宋" w:cs="仿宋"/>
                <w:b/>
                <w:szCs w:val="21"/>
                <w:highlight w:val="none"/>
                <w:lang w:val="zh-CN"/>
              </w:rPr>
              <w:t>拟担任本项目何种工作</w:t>
            </w:r>
          </w:p>
        </w:tc>
        <w:tc>
          <w:tcPr>
            <w:tcW w:w="846" w:type="dxa"/>
            <w:vAlign w:val="center"/>
          </w:tcPr>
          <w:p>
            <w:pPr>
              <w:rPr>
                <w:rFonts w:ascii="仿宋" w:hAnsi="仿宋" w:eastAsia="仿宋" w:cs="仿宋"/>
                <w:b/>
                <w:highlight w:val="none"/>
              </w:rPr>
            </w:pPr>
            <w:r>
              <w:rPr>
                <w:rFonts w:hint="eastAsia" w:ascii="仿宋" w:hAnsi="仿宋" w:eastAsia="仿宋" w:cs="仿宋"/>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67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750"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67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750"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67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750"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67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750"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67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750"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pPr>
              <w:rPr>
                <w:rFonts w:ascii="仿宋" w:hAnsi="仿宋" w:eastAsia="仿宋" w:cs="仿宋"/>
                <w:highlight w:val="none"/>
              </w:rPr>
            </w:pPr>
          </w:p>
        </w:tc>
        <w:tc>
          <w:tcPr>
            <w:tcW w:w="810" w:type="dxa"/>
          </w:tcPr>
          <w:p>
            <w:pPr>
              <w:rPr>
                <w:rFonts w:ascii="仿宋" w:hAnsi="仿宋" w:eastAsia="仿宋" w:cs="仿宋"/>
                <w:highlight w:val="none"/>
              </w:rPr>
            </w:pPr>
          </w:p>
        </w:tc>
        <w:tc>
          <w:tcPr>
            <w:tcW w:w="79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675" w:type="dxa"/>
          </w:tcPr>
          <w:p>
            <w:pPr>
              <w:rPr>
                <w:rFonts w:ascii="仿宋" w:hAnsi="仿宋" w:eastAsia="仿宋" w:cs="仿宋"/>
                <w:highlight w:val="none"/>
              </w:rPr>
            </w:pPr>
          </w:p>
        </w:tc>
        <w:tc>
          <w:tcPr>
            <w:tcW w:w="645"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750" w:type="dxa"/>
          </w:tcPr>
          <w:p>
            <w:pPr>
              <w:rPr>
                <w:rFonts w:ascii="仿宋" w:hAnsi="仿宋" w:eastAsia="仿宋" w:cs="仿宋"/>
                <w:highlight w:val="none"/>
              </w:rPr>
            </w:pPr>
          </w:p>
        </w:tc>
        <w:tc>
          <w:tcPr>
            <w:tcW w:w="1033" w:type="dxa"/>
          </w:tcPr>
          <w:p>
            <w:pPr>
              <w:rPr>
                <w:rFonts w:ascii="仿宋" w:hAnsi="仿宋" w:eastAsia="仿宋" w:cs="仿宋"/>
                <w:highlight w:val="none"/>
              </w:rPr>
            </w:pPr>
          </w:p>
        </w:tc>
        <w:tc>
          <w:tcPr>
            <w:tcW w:w="975" w:type="dxa"/>
          </w:tcPr>
          <w:p>
            <w:pPr>
              <w:rPr>
                <w:rFonts w:ascii="仿宋" w:hAnsi="仿宋" w:eastAsia="仿宋" w:cs="仿宋"/>
                <w:highlight w:val="none"/>
              </w:rPr>
            </w:pPr>
          </w:p>
        </w:tc>
        <w:tc>
          <w:tcPr>
            <w:tcW w:w="846" w:type="dxa"/>
          </w:tcPr>
          <w:p>
            <w:pPr>
              <w:rPr>
                <w:rFonts w:ascii="仿宋" w:hAnsi="仿宋" w:eastAsia="仿宋" w:cs="仿宋"/>
                <w:highlight w:val="none"/>
              </w:rPr>
            </w:pPr>
          </w:p>
        </w:tc>
      </w:tr>
    </w:tbl>
    <w:p>
      <w:pPr>
        <w:rPr>
          <w:rFonts w:ascii="仿宋" w:hAnsi="仿宋" w:eastAsia="仿宋" w:cs="仿宋"/>
          <w:b/>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rPr>
        <w:t>           </w:t>
      </w:r>
      <w:r>
        <w:rPr>
          <w:rFonts w:hint="eastAsia" w:ascii="仿宋" w:hAnsi="仿宋" w:eastAsia="仿宋" w:cs="仿宋"/>
          <w:sz w:val="24"/>
          <w:szCs w:val="24"/>
          <w:highlight w:val="none"/>
        </w:rPr>
        <w:t>（盖章）</w:t>
      </w:r>
    </w:p>
    <w:p>
      <w:pPr>
        <w:pStyle w:val="66"/>
        <w:rPr>
          <w:rFonts w:ascii="仿宋" w:hAnsi="仿宋" w:eastAsia="仿宋" w:cs="仿宋"/>
          <w:color w:val="auto"/>
          <w:highlight w:val="none"/>
        </w:rPr>
      </w:pPr>
    </w:p>
    <w:p>
      <w:pPr>
        <w:rPr>
          <w:rFonts w:ascii="仿宋" w:hAnsi="仿宋" w:eastAsia="仿宋" w:cs="仿宋"/>
          <w:highlight w:val="none"/>
        </w:rPr>
      </w:pPr>
    </w:p>
    <w:p>
      <w:pPr>
        <w:rPr>
          <w:rFonts w:ascii="仿宋" w:hAnsi="仿宋" w:eastAsia="仿宋" w:cs="仿宋"/>
          <w:sz w:val="24"/>
          <w:szCs w:val="24"/>
          <w:highlight w:val="none"/>
        </w:rPr>
      </w:pPr>
      <w:r>
        <w:rPr>
          <w:rFonts w:hint="eastAsia" w:ascii="仿宋" w:hAnsi="仿宋" w:eastAsia="仿宋" w:cs="仿宋"/>
          <w:sz w:val="24"/>
          <w:szCs w:val="24"/>
          <w:highlight w:val="none"/>
        </w:rPr>
        <w:t>说明</w:t>
      </w:r>
    </w:p>
    <w:p>
      <w:pPr>
        <w:rPr>
          <w:rFonts w:ascii="仿宋" w:hAnsi="仿宋" w:eastAsia="仿宋" w:cs="仿宋"/>
          <w:b/>
          <w:sz w:val="24"/>
          <w:szCs w:val="24"/>
          <w:highlight w:val="none"/>
        </w:rPr>
      </w:pPr>
      <w:r>
        <w:rPr>
          <w:rFonts w:hint="eastAsia" w:ascii="仿宋" w:hAnsi="仿宋" w:eastAsia="仿宋" w:cs="仿宋"/>
          <w:sz w:val="24"/>
          <w:szCs w:val="24"/>
          <w:highlight w:val="none"/>
        </w:rPr>
        <w:t>1、</w:t>
      </w:r>
      <w:r>
        <w:rPr>
          <w:rFonts w:hint="eastAsia" w:ascii="仿宋" w:hAnsi="仿宋" w:eastAsia="仿宋" w:cs="仿宋"/>
          <w:b/>
          <w:sz w:val="24"/>
          <w:szCs w:val="24"/>
          <w:highlight w:val="none"/>
        </w:rPr>
        <w:t>“备注”栏，可填写该人员擅长的工作种类；</w:t>
      </w:r>
    </w:p>
    <w:p>
      <w:pPr>
        <w:rPr>
          <w:rFonts w:ascii="仿宋" w:hAnsi="仿宋" w:eastAsia="仿宋" w:cs="仿宋"/>
          <w:sz w:val="24"/>
          <w:szCs w:val="24"/>
          <w:highlight w:val="none"/>
        </w:rPr>
      </w:pPr>
      <w:r>
        <w:rPr>
          <w:rFonts w:hint="eastAsia" w:ascii="仿宋" w:hAnsi="仿宋" w:eastAsia="仿宋" w:cs="仿宋"/>
          <w:sz w:val="24"/>
          <w:szCs w:val="24"/>
          <w:highlight w:val="none"/>
        </w:rPr>
        <w:t>2、如果行数不够，请自行增加。</w:t>
      </w:r>
    </w:p>
    <w:p>
      <w:pPr>
        <w:rPr>
          <w:rFonts w:ascii="仿宋" w:hAnsi="仿宋" w:eastAsia="仿宋" w:cs="仿宋"/>
          <w:sz w:val="24"/>
          <w:szCs w:val="24"/>
          <w:highlight w:val="none"/>
        </w:rPr>
      </w:pPr>
      <w:r>
        <w:rPr>
          <w:rFonts w:hint="eastAsia" w:ascii="仿宋" w:hAnsi="仿宋" w:eastAsia="仿宋" w:cs="仿宋"/>
          <w:sz w:val="24"/>
          <w:szCs w:val="24"/>
          <w:highlight w:val="none"/>
        </w:rPr>
        <w:t>3、所有职称、证明均需要提供有效的复印件（扫描件）。</w:t>
      </w:r>
    </w:p>
    <w:p>
      <w:pPr>
        <w:rPr>
          <w:rFonts w:ascii="仿宋" w:hAnsi="仿宋" w:eastAsia="仿宋" w:cs="仿宋"/>
          <w:sz w:val="24"/>
          <w:szCs w:val="24"/>
          <w:highlight w:val="none"/>
        </w:rPr>
      </w:pPr>
    </w:p>
    <w:p>
      <w:pPr>
        <w:spacing w:line="360" w:lineRule="auto"/>
        <w:rPr>
          <w:rFonts w:ascii="仿宋" w:hAnsi="仿宋" w:eastAsia="仿宋" w:cs="仿宋"/>
          <w:b/>
          <w:bCs/>
          <w:sz w:val="22"/>
          <w:highlight w:val="none"/>
        </w:rPr>
      </w:pPr>
      <w:bookmarkStart w:id="84" w:name="_Toc14763"/>
      <w:bookmarkStart w:id="85" w:name="_Toc27621"/>
      <w:bookmarkStart w:id="86" w:name="_Toc1300"/>
    </w:p>
    <w:p>
      <w:pPr>
        <w:spacing w:line="360" w:lineRule="auto"/>
        <w:outlineLvl w:val="2"/>
        <w:rPr>
          <w:rFonts w:ascii="仿宋" w:hAnsi="仿宋" w:eastAsia="仿宋" w:cs="仿宋"/>
          <w:b/>
          <w:bCs/>
          <w:sz w:val="22"/>
          <w:highlight w:val="none"/>
        </w:rPr>
      </w:pPr>
      <w:bookmarkStart w:id="87" w:name="_Toc25472"/>
      <w:r>
        <w:rPr>
          <w:rFonts w:hint="eastAsia" w:ascii="仿宋" w:hAnsi="仿宋" w:eastAsia="仿宋" w:cs="仿宋"/>
          <w:b/>
          <w:bCs/>
          <w:sz w:val="22"/>
          <w:highlight w:val="none"/>
        </w:rPr>
        <w:t>目录十二、供应商类似业绩情况表</w:t>
      </w:r>
      <w:bookmarkEnd w:id="84"/>
      <w:bookmarkEnd w:id="85"/>
      <w:bookmarkEnd w:id="86"/>
      <w:bookmarkEnd w:id="87"/>
    </w:p>
    <w:p>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供应商类似业绩情况表</w:t>
      </w:r>
    </w:p>
    <w:p>
      <w:pPr>
        <w:pStyle w:val="26"/>
        <w:ind w:left="0" w:leftChars="0"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项目名称：                                        项目编号：</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75"/>
        <w:gridCol w:w="1076"/>
        <w:gridCol w:w="1076"/>
        <w:gridCol w:w="1076"/>
        <w:gridCol w:w="1076"/>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202"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项目名称</w:t>
            </w:r>
          </w:p>
        </w:tc>
        <w:tc>
          <w:tcPr>
            <w:tcW w:w="1203"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业主单位</w:t>
            </w:r>
          </w:p>
        </w:tc>
        <w:tc>
          <w:tcPr>
            <w:tcW w:w="1203"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项目规模</w:t>
            </w:r>
          </w:p>
        </w:tc>
        <w:tc>
          <w:tcPr>
            <w:tcW w:w="1203"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获奖情况</w:t>
            </w:r>
          </w:p>
        </w:tc>
        <w:tc>
          <w:tcPr>
            <w:tcW w:w="1203"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签约及服务时间</w:t>
            </w:r>
          </w:p>
        </w:tc>
        <w:tc>
          <w:tcPr>
            <w:tcW w:w="1203"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联系人及电话</w:t>
            </w:r>
          </w:p>
        </w:tc>
        <w:tc>
          <w:tcPr>
            <w:tcW w:w="1203" w:type="dxa"/>
            <w:vAlign w:val="center"/>
          </w:tcPr>
          <w:p>
            <w:pPr>
              <w:pStyle w:val="26"/>
              <w:ind w:left="0" w:leftChars="0" w:firstLine="0" w:firstLineChars="0"/>
              <w:jc w:val="center"/>
              <w:rPr>
                <w:rFonts w:ascii="仿宋" w:hAnsi="仿宋" w:eastAsia="仿宋" w:cs="仿宋"/>
                <w:b/>
                <w:bCs/>
                <w:szCs w:val="21"/>
                <w:highlight w:val="none"/>
              </w:rPr>
            </w:pPr>
            <w:r>
              <w:rPr>
                <w:rFonts w:hint="eastAsia" w:ascii="仿宋" w:hAnsi="仿宋" w:eastAsia="仿宋" w:cs="仿宋"/>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autoSpaceDE w:val="0"/>
              <w:autoSpaceDN w:val="0"/>
              <w:adjustRightInd w:val="0"/>
              <w:rPr>
                <w:rFonts w:ascii="仿宋" w:hAnsi="仿宋" w:eastAsia="仿宋" w:cs="仿宋"/>
                <w:sz w:val="24"/>
                <w:highlight w:val="none"/>
              </w:rPr>
            </w:pPr>
          </w:p>
        </w:tc>
        <w:tc>
          <w:tcPr>
            <w:tcW w:w="1202"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autoSpaceDE w:val="0"/>
              <w:autoSpaceDN w:val="0"/>
              <w:adjustRightInd w:val="0"/>
              <w:rPr>
                <w:rFonts w:ascii="仿宋" w:hAnsi="仿宋" w:eastAsia="仿宋" w:cs="仿宋"/>
                <w:sz w:val="24"/>
                <w:highlight w:val="none"/>
              </w:rPr>
            </w:pPr>
          </w:p>
        </w:tc>
        <w:tc>
          <w:tcPr>
            <w:tcW w:w="1202"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autoSpaceDE w:val="0"/>
              <w:autoSpaceDN w:val="0"/>
              <w:adjustRightInd w:val="0"/>
              <w:rPr>
                <w:rFonts w:ascii="仿宋" w:hAnsi="仿宋" w:eastAsia="仿宋" w:cs="仿宋"/>
                <w:sz w:val="24"/>
                <w:highlight w:val="none"/>
              </w:rPr>
            </w:pPr>
          </w:p>
        </w:tc>
        <w:tc>
          <w:tcPr>
            <w:tcW w:w="1202"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autoSpaceDE w:val="0"/>
              <w:autoSpaceDN w:val="0"/>
              <w:adjustRightInd w:val="0"/>
              <w:rPr>
                <w:rFonts w:ascii="仿宋" w:hAnsi="仿宋" w:eastAsia="仿宋" w:cs="仿宋"/>
                <w:sz w:val="24"/>
                <w:highlight w:val="none"/>
              </w:rPr>
            </w:pPr>
          </w:p>
        </w:tc>
        <w:tc>
          <w:tcPr>
            <w:tcW w:w="1202"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autoSpaceDE w:val="0"/>
              <w:autoSpaceDN w:val="0"/>
              <w:adjustRightInd w:val="0"/>
              <w:rPr>
                <w:rFonts w:ascii="仿宋" w:hAnsi="仿宋" w:eastAsia="仿宋" w:cs="仿宋"/>
                <w:sz w:val="24"/>
                <w:highlight w:val="none"/>
              </w:rPr>
            </w:pPr>
          </w:p>
        </w:tc>
        <w:tc>
          <w:tcPr>
            <w:tcW w:w="1202"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autoSpaceDE w:val="0"/>
              <w:autoSpaceDN w:val="0"/>
              <w:adjustRightInd w:val="0"/>
              <w:rPr>
                <w:rFonts w:ascii="仿宋" w:hAnsi="仿宋" w:eastAsia="仿宋" w:cs="仿宋"/>
                <w:sz w:val="24"/>
                <w:highlight w:val="none"/>
              </w:rPr>
            </w:pPr>
          </w:p>
        </w:tc>
        <w:tc>
          <w:tcPr>
            <w:tcW w:w="1202"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c>
          <w:tcPr>
            <w:tcW w:w="1203" w:type="dxa"/>
          </w:tcPr>
          <w:p>
            <w:pPr>
              <w:autoSpaceDE w:val="0"/>
              <w:autoSpaceDN w:val="0"/>
              <w:adjustRightInd w:val="0"/>
              <w:rPr>
                <w:rFonts w:ascii="仿宋" w:hAnsi="仿宋" w:eastAsia="仿宋" w:cs="仿宋"/>
                <w:sz w:val="24"/>
                <w:highlight w:val="none"/>
              </w:rPr>
            </w:pPr>
          </w:p>
        </w:tc>
      </w:tr>
    </w:tbl>
    <w:p>
      <w:pPr>
        <w:rPr>
          <w:rFonts w:ascii="仿宋" w:hAnsi="仿宋" w:eastAsia="仿宋" w:cs="仿宋"/>
          <w:b/>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w:t>
      </w:r>
      <w:r>
        <w:rPr>
          <w:rFonts w:hint="eastAsia" w:ascii="仿宋" w:hAnsi="仿宋" w:eastAsia="仿宋" w:cs="仿宋"/>
          <w:sz w:val="24"/>
          <w:highlight w:val="none"/>
        </w:rPr>
        <w:t>（盖章）</w:t>
      </w:r>
    </w:p>
    <w:p>
      <w:pPr>
        <w:rPr>
          <w:rFonts w:ascii="仿宋" w:hAnsi="仿宋" w:eastAsia="仿宋" w:cs="仿宋"/>
          <w:sz w:val="24"/>
          <w:highlight w:val="none"/>
        </w:rPr>
      </w:pPr>
      <w:r>
        <w:rPr>
          <w:rFonts w:hint="eastAsia" w:ascii="仿宋" w:hAnsi="仿宋" w:eastAsia="仿宋" w:cs="仿宋"/>
          <w:sz w:val="24"/>
          <w:highlight w:val="none"/>
        </w:rPr>
        <w:t>说明：</w:t>
      </w:r>
    </w:p>
    <w:p>
      <w:pPr>
        <w:rPr>
          <w:rFonts w:ascii="仿宋" w:hAnsi="仿宋" w:eastAsia="仿宋" w:cs="仿宋"/>
          <w:sz w:val="24"/>
          <w:highlight w:val="none"/>
        </w:rPr>
      </w:pPr>
      <w:r>
        <w:rPr>
          <w:rFonts w:hint="eastAsia" w:ascii="仿宋" w:hAnsi="仿宋" w:eastAsia="仿宋" w:cs="仿宋"/>
          <w:sz w:val="24"/>
          <w:highlight w:val="none"/>
        </w:rPr>
        <w:t>1.如果行数不够，请自行增加。</w:t>
      </w:r>
    </w:p>
    <w:p>
      <w:pPr>
        <w:rPr>
          <w:rFonts w:ascii="仿宋" w:hAnsi="仿宋" w:eastAsia="仿宋" w:cs="仿宋"/>
          <w:sz w:val="24"/>
          <w:highlight w:val="none"/>
        </w:rPr>
      </w:pPr>
      <w:r>
        <w:rPr>
          <w:rFonts w:hint="eastAsia" w:ascii="仿宋" w:hAnsi="仿宋" w:eastAsia="仿宋" w:cs="仿宋"/>
          <w:sz w:val="24"/>
          <w:highlight w:val="none"/>
        </w:rPr>
        <w:t>2.所有业绩均需要提供有效的复印件（扫描件）。</w:t>
      </w:r>
    </w:p>
    <w:p>
      <w:pPr>
        <w:rPr>
          <w:rFonts w:ascii="仿宋" w:hAnsi="仿宋" w:eastAsia="仿宋" w:cs="仿宋"/>
          <w:b/>
          <w:bCs/>
          <w:sz w:val="22"/>
          <w:szCs w:val="24"/>
          <w:highlight w:val="none"/>
        </w:rPr>
      </w:pPr>
      <w:r>
        <w:rPr>
          <w:rFonts w:hint="eastAsia" w:ascii="仿宋" w:hAnsi="仿宋" w:eastAsia="仿宋" w:cs="仿宋"/>
          <w:b/>
          <w:bCs/>
          <w:sz w:val="22"/>
          <w:szCs w:val="24"/>
          <w:highlight w:val="none"/>
        </w:rPr>
        <w:br w:type="page"/>
      </w:r>
    </w:p>
    <w:p>
      <w:pPr>
        <w:spacing w:line="360" w:lineRule="auto"/>
        <w:outlineLvl w:val="2"/>
        <w:rPr>
          <w:rFonts w:ascii="仿宋" w:hAnsi="仿宋" w:eastAsia="仿宋" w:cs="仿宋"/>
          <w:b/>
          <w:bCs/>
          <w:sz w:val="22"/>
          <w:highlight w:val="none"/>
        </w:rPr>
      </w:pPr>
      <w:bookmarkStart w:id="88" w:name="_Toc20556"/>
      <w:bookmarkStart w:id="89" w:name="_Toc16925"/>
      <w:r>
        <w:rPr>
          <w:rFonts w:hint="eastAsia" w:ascii="仿宋" w:hAnsi="仿宋" w:eastAsia="仿宋" w:cs="仿宋"/>
          <w:b/>
          <w:bCs/>
          <w:sz w:val="22"/>
          <w:highlight w:val="none"/>
        </w:rPr>
        <w:t>目录十三、投标需要的其他证明文件及材料</w:t>
      </w:r>
      <w:bookmarkEnd w:id="88"/>
      <w:bookmarkEnd w:id="89"/>
    </w:p>
    <w:p>
      <w:pPr>
        <w:pStyle w:val="36"/>
        <w:spacing w:line="360" w:lineRule="auto"/>
        <w:jc w:val="left"/>
        <w:rPr>
          <w:rFonts w:ascii="仿宋" w:hAnsi="仿宋" w:eastAsia="仿宋" w:cs="仿宋"/>
          <w:b/>
          <w:bCs/>
          <w:sz w:val="24"/>
          <w:highlight w:val="none"/>
        </w:rPr>
      </w:pPr>
    </w:p>
    <w:p>
      <w:pPr>
        <w:pStyle w:val="36"/>
        <w:spacing w:line="360" w:lineRule="auto"/>
        <w:jc w:val="left"/>
        <w:rPr>
          <w:rFonts w:ascii="仿宋" w:hAnsi="仿宋" w:eastAsia="仿宋" w:cs="仿宋"/>
          <w:b/>
          <w:bCs/>
          <w:sz w:val="24"/>
          <w:highlight w:val="none"/>
        </w:rPr>
      </w:pPr>
      <w:r>
        <w:rPr>
          <w:rFonts w:hint="eastAsia" w:ascii="仿宋" w:hAnsi="仿宋" w:eastAsia="仿宋" w:cs="仿宋"/>
          <w:b/>
          <w:bCs/>
          <w:sz w:val="24"/>
          <w:highlight w:val="none"/>
        </w:rPr>
        <w:t>投标需要的其他证明文件及材料（</w:t>
      </w:r>
      <w:r>
        <w:rPr>
          <w:rFonts w:hint="eastAsia" w:ascii="仿宋" w:hAnsi="仿宋" w:eastAsia="仿宋" w:cs="仿宋"/>
          <w:b/>
          <w:bCs/>
          <w:sz w:val="24"/>
          <w:highlight w:val="none"/>
          <w:u w:val="single"/>
        </w:rPr>
        <w:t>南京市政府采购供应商信用记录表暨信用承诺书</w:t>
      </w:r>
      <w:r>
        <w:rPr>
          <w:rFonts w:hint="eastAsia" w:ascii="仿宋" w:hAnsi="仿宋" w:eastAsia="仿宋" w:cs="仿宋"/>
          <w:b/>
          <w:bCs/>
          <w:sz w:val="24"/>
          <w:highlight w:val="none"/>
        </w:rPr>
        <w:t>等其他投标单位认为需要递交的资料）下划线部分的资料必须提供。</w:t>
      </w:r>
    </w:p>
    <w:p>
      <w:pPr>
        <w:rPr>
          <w:rFonts w:ascii="仿宋" w:hAnsi="仿宋" w:eastAsia="仿宋" w:cs="仿宋"/>
          <w:b/>
          <w:bCs/>
          <w:sz w:val="22"/>
          <w:highlight w:val="none"/>
        </w:rPr>
      </w:pPr>
      <w:bookmarkStart w:id="90" w:name="_Toc877"/>
      <w:bookmarkStart w:id="91" w:name="_Toc7449"/>
      <w:bookmarkStart w:id="92" w:name="_Toc5592"/>
      <w:r>
        <w:rPr>
          <w:rFonts w:hint="eastAsia" w:ascii="仿宋" w:hAnsi="仿宋" w:eastAsia="仿宋" w:cs="仿宋"/>
          <w:b/>
          <w:bCs/>
          <w:sz w:val="22"/>
          <w:highlight w:val="none"/>
        </w:rPr>
        <w:br w:type="page"/>
      </w:r>
    </w:p>
    <w:p>
      <w:pPr>
        <w:spacing w:line="360" w:lineRule="auto"/>
        <w:outlineLvl w:val="2"/>
        <w:rPr>
          <w:rFonts w:ascii="仿宋" w:hAnsi="仿宋" w:eastAsia="仿宋" w:cs="仿宋"/>
          <w:b/>
          <w:bCs/>
          <w:sz w:val="22"/>
          <w:highlight w:val="none"/>
        </w:rPr>
      </w:pPr>
      <w:bookmarkStart w:id="93" w:name="_Toc11339"/>
      <w:r>
        <w:rPr>
          <w:rFonts w:hint="eastAsia" w:ascii="仿宋" w:hAnsi="仿宋" w:eastAsia="仿宋" w:cs="仿宋"/>
          <w:b/>
          <w:bCs/>
          <w:sz w:val="22"/>
          <w:highlight w:val="none"/>
        </w:rPr>
        <w:t>附件一、</w:t>
      </w:r>
      <w:bookmarkStart w:id="94" w:name="_Toc524964900"/>
      <w:bookmarkStart w:id="95" w:name="_Toc469583074"/>
      <w:bookmarkStart w:id="96" w:name="_Toc447021131"/>
      <w:r>
        <w:rPr>
          <w:rFonts w:hint="eastAsia" w:ascii="仿宋" w:hAnsi="仿宋" w:eastAsia="仿宋" w:cs="仿宋"/>
          <w:b/>
          <w:bCs/>
          <w:sz w:val="22"/>
          <w:highlight w:val="none"/>
        </w:rPr>
        <w:t>政府采购政策</w:t>
      </w:r>
      <w:bookmarkEnd w:id="90"/>
      <w:bookmarkEnd w:id="91"/>
      <w:bookmarkEnd w:id="92"/>
      <w:bookmarkEnd w:id="93"/>
    </w:p>
    <w:bookmarkEnd w:id="94"/>
    <w:bookmarkEnd w:id="95"/>
    <w:bookmarkEnd w:id="96"/>
    <w:p>
      <w:pPr>
        <w:jc w:val="left"/>
        <w:rPr>
          <w:rFonts w:ascii="仿宋" w:hAnsi="仿宋" w:eastAsia="仿宋" w:cs="仿宋"/>
          <w:sz w:val="36"/>
          <w:szCs w:val="36"/>
          <w:highlight w:val="none"/>
        </w:rPr>
      </w:pPr>
      <w:r>
        <w:rPr>
          <w:rFonts w:hint="eastAsia" w:ascii="仿宋" w:hAnsi="仿宋" w:eastAsia="仿宋" w:cs="仿宋"/>
          <w:b/>
          <w:bCs/>
          <w:sz w:val="24"/>
          <w:szCs w:val="24"/>
          <w:highlight w:val="none"/>
        </w:rPr>
        <w:t>1.中小企业声明函</w:t>
      </w:r>
    </w:p>
    <w:p>
      <w:pPr>
        <w:widowControl/>
        <w:jc w:val="center"/>
        <w:rPr>
          <w:rFonts w:ascii="仿宋" w:hAnsi="仿宋" w:eastAsia="仿宋" w:cs="仿宋"/>
          <w:b/>
          <w:bCs/>
          <w:kern w:val="0"/>
          <w:sz w:val="24"/>
          <w:szCs w:val="24"/>
          <w:highlight w:val="none"/>
        </w:rPr>
      </w:pPr>
    </w:p>
    <w:p>
      <w:pPr>
        <w:widowControl/>
        <w:jc w:val="center"/>
        <w:rPr>
          <w:rFonts w:ascii="仿宋" w:hAnsi="仿宋" w:eastAsia="仿宋" w:cs="仿宋"/>
          <w:sz w:val="24"/>
          <w:szCs w:val="24"/>
          <w:highlight w:val="none"/>
        </w:rPr>
      </w:pPr>
      <w:r>
        <w:rPr>
          <w:rFonts w:hint="eastAsia" w:ascii="仿宋" w:hAnsi="仿宋" w:eastAsia="仿宋" w:cs="仿宋"/>
          <w:b/>
          <w:bCs/>
          <w:kern w:val="0"/>
          <w:sz w:val="24"/>
          <w:szCs w:val="24"/>
          <w:highlight w:val="none"/>
        </w:rPr>
        <w:t>中小企业声明函（服务）</w:t>
      </w:r>
    </w:p>
    <w:p>
      <w:pPr>
        <w:pStyle w:val="36"/>
        <w:rPr>
          <w:rFonts w:ascii="仿宋" w:hAnsi="仿宋" w:eastAsia="仿宋" w:cs="仿宋"/>
          <w:highlight w:val="none"/>
        </w:rPr>
      </w:pP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本公司郑重声明，根据《政府采购促进中小企业发展管理办法》（财库 </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﹝2020﹞46号）的规定，本公司参加</w:t>
      </w:r>
      <w:r>
        <w:rPr>
          <w:rFonts w:hint="eastAsia" w:ascii="仿宋" w:hAnsi="仿宋" w:eastAsia="仿宋" w:cs="仿宋"/>
          <w:sz w:val="24"/>
          <w:szCs w:val="24"/>
          <w:highlight w:val="none"/>
          <w:u w:val="single"/>
          <w:lang w:eastAsia="zh-CN"/>
        </w:rPr>
        <w:t>南京市雨花台中学春江分校</w:t>
      </w:r>
      <w:r>
        <w:rPr>
          <w:rFonts w:hint="eastAsia" w:ascii="仿宋" w:hAnsi="仿宋" w:eastAsia="仿宋" w:cs="仿宋"/>
          <w:kern w:val="0"/>
          <w:sz w:val="24"/>
          <w:szCs w:val="24"/>
          <w:highlight w:val="none"/>
        </w:rPr>
        <w:t>的</w:t>
      </w:r>
      <w:r>
        <w:rPr>
          <w:rFonts w:hint="eastAsia" w:ascii="仿宋" w:hAnsi="仿宋" w:eastAsia="仿宋" w:cs="仿宋"/>
          <w:bCs/>
          <w:sz w:val="24"/>
          <w:szCs w:val="24"/>
          <w:highlight w:val="none"/>
          <w:u w:val="single"/>
          <w:lang w:val="zh-CN"/>
        </w:rPr>
        <w:t>南京市雨花台中学春江分校2024年度校园安保服务</w:t>
      </w:r>
      <w:r>
        <w:rPr>
          <w:rFonts w:hint="eastAsia" w:ascii="仿宋" w:hAnsi="仿宋" w:eastAsia="仿宋" w:cs="仿宋"/>
          <w:kern w:val="0"/>
          <w:sz w:val="24"/>
          <w:szCs w:val="24"/>
          <w:highlight w:val="none"/>
        </w:rPr>
        <w:t>采购活动，</w:t>
      </w:r>
      <w:r>
        <w:rPr>
          <w:rFonts w:hint="eastAsia" w:ascii="仿宋" w:hAnsi="仿宋" w:eastAsia="仿宋" w:cs="仿宋"/>
          <w:sz w:val="24"/>
          <w:szCs w:val="24"/>
          <w:highlight w:val="none"/>
        </w:rPr>
        <w:t>服务全部由符合政策要求的中小企业承接。</w:t>
      </w:r>
      <w:r>
        <w:rPr>
          <w:rFonts w:hint="eastAsia" w:ascii="仿宋" w:hAnsi="仿宋" w:eastAsia="仿宋" w:cs="仿宋"/>
          <w:kern w:val="0"/>
          <w:sz w:val="24"/>
          <w:szCs w:val="24"/>
          <w:highlight w:val="none"/>
        </w:rPr>
        <w:t xml:space="preserve">相关企业的具体情况如下： </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u w:val="single"/>
          <w:lang w:val="zh-CN"/>
        </w:rPr>
        <w:t>南京市雨花台中学春江分校2024年度校园安保服务</w:t>
      </w:r>
      <w:r>
        <w:rPr>
          <w:rFonts w:hint="eastAsia" w:ascii="仿宋" w:hAnsi="仿宋" w:eastAsia="仿宋" w:cs="仿宋"/>
          <w:kern w:val="0"/>
          <w:sz w:val="24"/>
          <w:szCs w:val="24"/>
          <w:highlight w:val="none"/>
        </w:rPr>
        <w:t>，属于</w:t>
      </w:r>
      <w:r>
        <w:rPr>
          <w:rFonts w:hint="eastAsia" w:ascii="仿宋" w:hAnsi="仿宋" w:eastAsia="仿宋" w:cs="仿宋"/>
          <w:sz w:val="24"/>
          <w:szCs w:val="24"/>
          <w:highlight w:val="none"/>
          <w:u w:val="single"/>
          <w:lang w:eastAsia="zh-CN"/>
        </w:rPr>
        <w:t>其他未列明行业</w:t>
      </w: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rPr>
        <w:t>承接企业</w:t>
      </w:r>
      <w:r>
        <w:rPr>
          <w:rFonts w:hint="eastAsia" w:ascii="仿宋" w:hAnsi="仿宋" w:eastAsia="仿宋" w:cs="仿宋"/>
          <w:kern w:val="0"/>
          <w:sz w:val="24"/>
          <w:szCs w:val="24"/>
          <w:highlight w:val="none"/>
        </w:rPr>
        <w:t>为</w:t>
      </w:r>
      <w:r>
        <w:rPr>
          <w:rFonts w:hint="eastAsia" w:ascii="仿宋" w:hAnsi="仿宋" w:eastAsia="仿宋" w:cs="仿宋"/>
          <w:i/>
          <w:iCs/>
          <w:kern w:val="0"/>
          <w:sz w:val="24"/>
          <w:szCs w:val="24"/>
          <w:highlight w:val="none"/>
          <w:u w:val="single"/>
        </w:rPr>
        <w:t>（企业名称）</w:t>
      </w:r>
      <w:r>
        <w:rPr>
          <w:rFonts w:hint="eastAsia" w:ascii="仿宋" w:hAnsi="仿宋" w:eastAsia="仿宋" w:cs="仿宋"/>
          <w:kern w:val="0"/>
          <w:sz w:val="24"/>
          <w:szCs w:val="24"/>
          <w:highlight w:val="none"/>
        </w:rPr>
        <w:t>，从业人员</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人，营业收入为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万元，资产总额为</w:t>
      </w:r>
      <w:r>
        <w:rPr>
          <w:rFonts w:hint="eastAsia" w:ascii="仿宋" w:hAnsi="仿宋" w:eastAsia="仿宋" w:cs="仿宋"/>
          <w:kern w:val="0"/>
          <w:sz w:val="24"/>
          <w:szCs w:val="24"/>
          <w:highlight w:val="none"/>
          <w:u w:val="single"/>
        </w:rPr>
        <w:t xml:space="preserve">  </w:t>
      </w:r>
      <w:r>
        <w:rPr>
          <w:rFonts w:hint="eastAsia" w:ascii="仿宋" w:hAnsi="仿宋" w:eastAsia="仿宋" w:cs="仿宋"/>
          <w:kern w:val="0"/>
          <w:sz w:val="24"/>
          <w:szCs w:val="24"/>
          <w:highlight w:val="none"/>
        </w:rPr>
        <w:t>万元，属于</w:t>
      </w:r>
      <w:r>
        <w:rPr>
          <w:rFonts w:hint="eastAsia" w:ascii="仿宋" w:hAnsi="仿宋" w:eastAsia="仿宋" w:cs="仿宋"/>
          <w:i/>
          <w:iCs/>
          <w:kern w:val="0"/>
          <w:sz w:val="24"/>
          <w:szCs w:val="24"/>
          <w:highlight w:val="none"/>
          <w:u w:val="single"/>
        </w:rPr>
        <w:t>（中型企业、小型企业、微型企业）</w:t>
      </w:r>
      <w:r>
        <w:rPr>
          <w:rFonts w:hint="eastAsia" w:ascii="仿宋" w:hAnsi="仿宋" w:eastAsia="仿宋" w:cs="仿宋"/>
          <w:kern w:val="0"/>
          <w:sz w:val="24"/>
          <w:szCs w:val="24"/>
          <w:highlight w:val="none"/>
        </w:rPr>
        <w:t xml:space="preserve">； </w:t>
      </w:r>
    </w:p>
    <w:p>
      <w:pPr>
        <w:widowControl/>
        <w:spacing w:line="360" w:lineRule="auto"/>
        <w:ind w:firstLine="480" w:firstLineChars="200"/>
        <w:jc w:val="left"/>
        <w:rPr>
          <w:rFonts w:ascii="仿宋" w:hAnsi="仿宋" w:eastAsia="仿宋" w:cs="仿宋"/>
          <w:kern w:val="0"/>
          <w:sz w:val="24"/>
          <w:szCs w:val="24"/>
          <w:highlight w:val="none"/>
        </w:rPr>
      </w:pP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以上企业，不属于大企业的分支机构，不存在控股股东为大企业的情形，也不存在与大企业的负责人为同一人的情形。 </w:t>
      </w:r>
    </w:p>
    <w:p>
      <w:pPr>
        <w:widowControl/>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本企业对上述声明内容的真实性负责。如有虚假，将依法承担相应责任。 </w:t>
      </w:r>
    </w:p>
    <w:p>
      <w:pPr>
        <w:widowControl/>
        <w:spacing w:line="360" w:lineRule="auto"/>
        <w:ind w:firstLine="5520" w:firstLineChars="23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 xml:space="preserve">企业名称（盖章）： </w:t>
      </w:r>
    </w:p>
    <w:p>
      <w:pPr>
        <w:widowControl/>
        <w:spacing w:line="360" w:lineRule="auto"/>
        <w:ind w:firstLine="5520" w:firstLineChars="2300"/>
        <w:jc w:val="left"/>
        <w:rPr>
          <w:rFonts w:ascii="仿宋" w:hAnsi="仿宋" w:eastAsia="仿宋" w:cs="仿宋"/>
          <w:sz w:val="24"/>
          <w:szCs w:val="24"/>
          <w:highlight w:val="none"/>
        </w:rPr>
      </w:pPr>
      <w:r>
        <w:rPr>
          <w:rFonts w:hint="eastAsia" w:ascii="仿宋" w:hAnsi="仿宋" w:eastAsia="仿宋" w:cs="仿宋"/>
          <w:kern w:val="0"/>
          <w:sz w:val="24"/>
          <w:szCs w:val="24"/>
          <w:highlight w:val="none"/>
        </w:rPr>
        <w:t>日 期</w:t>
      </w: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sz w:val="24"/>
          <w:highlight w:val="none"/>
        </w:rPr>
      </w:pPr>
    </w:p>
    <w:p>
      <w:pPr>
        <w:widowControl/>
        <w:spacing w:line="360" w:lineRule="auto"/>
        <w:ind w:firstLine="480" w:firstLineChars="200"/>
        <w:jc w:val="left"/>
        <w:rPr>
          <w:rFonts w:ascii="仿宋" w:hAnsi="仿宋" w:eastAsia="仿宋" w:cs="仿宋"/>
          <w:kern w:val="0"/>
          <w:sz w:val="24"/>
          <w:szCs w:val="24"/>
          <w:highlight w:val="none"/>
        </w:rPr>
      </w:pPr>
      <w:r>
        <w:rPr>
          <w:rFonts w:hint="eastAsia" w:ascii="仿宋" w:hAnsi="仿宋" w:eastAsia="仿宋" w:cs="仿宋"/>
          <w:sz w:val="24"/>
          <w:highlight w:val="none"/>
        </w:rPr>
        <w:t>注：1、</w:t>
      </w:r>
      <w:r>
        <w:rPr>
          <w:rFonts w:hint="eastAsia" w:ascii="仿宋" w:hAnsi="仿宋" w:eastAsia="仿宋" w:cs="仿宋"/>
          <w:kern w:val="0"/>
          <w:sz w:val="24"/>
          <w:szCs w:val="24"/>
          <w:highlight w:val="none"/>
        </w:rPr>
        <w:t>从业人员、营业收入、资产总额填报上一年度数据，无上一年度数据的新成立企业可不填报。</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b/>
          <w:bCs/>
          <w:sz w:val="24"/>
          <w:highlight w:val="none"/>
        </w:rPr>
      </w:pPr>
      <w:bookmarkStart w:id="97" w:name="_Toc10884"/>
      <w:bookmarkStart w:id="98" w:name="_Toc15614"/>
      <w:r>
        <w:rPr>
          <w:rFonts w:hint="eastAsia" w:ascii="仿宋" w:hAnsi="仿宋" w:eastAsia="仿宋" w:cs="仿宋"/>
          <w:b/>
          <w:bCs/>
          <w:sz w:val="24"/>
          <w:highlight w:val="none"/>
        </w:rPr>
        <w:br w:type="page"/>
      </w:r>
      <w:r>
        <w:rPr>
          <w:rFonts w:hint="eastAsia" w:ascii="仿宋" w:hAnsi="仿宋" w:eastAsia="仿宋" w:cs="仿宋"/>
          <w:b/>
          <w:bCs/>
          <w:sz w:val="24"/>
          <w:highlight w:val="none"/>
        </w:rPr>
        <w:t>2.残疾人福利性单位声明函</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本单位对上述声明的真实性负责。如有虚假，将依法承担相应责任。 </w:t>
      </w:r>
    </w:p>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单位名称（盖章）： </w:t>
      </w:r>
    </w:p>
    <w:p>
      <w:pPr>
        <w:spacing w:line="360" w:lineRule="auto"/>
        <w:ind w:firstLine="480" w:firstLineChars="200"/>
        <w:jc w:val="center"/>
        <w:rPr>
          <w:rFonts w:ascii="仿宋" w:hAnsi="仿宋" w:eastAsia="仿宋" w:cs="仿宋"/>
          <w:sz w:val="24"/>
          <w:highlight w:val="none"/>
        </w:rPr>
      </w:pPr>
      <w:r>
        <w:rPr>
          <w:rFonts w:hint="eastAsia" w:ascii="仿宋" w:hAnsi="仿宋" w:eastAsia="仿宋" w:cs="仿宋"/>
          <w:sz w:val="24"/>
          <w:highlight w:val="none"/>
        </w:rPr>
        <w:t xml:space="preserve">                    日  期：</w:t>
      </w:r>
    </w:p>
    <w:p>
      <w:pPr>
        <w:spacing w:line="360" w:lineRule="auto"/>
        <w:rPr>
          <w:rFonts w:ascii="仿宋" w:hAnsi="仿宋" w:eastAsia="仿宋" w:cs="仿宋"/>
          <w:b/>
          <w:bCs/>
          <w:sz w:val="24"/>
          <w:highlight w:val="none"/>
        </w:rPr>
      </w:pPr>
    </w:p>
    <w:p>
      <w:pPr>
        <w:spacing w:line="360" w:lineRule="auto"/>
        <w:rPr>
          <w:rFonts w:ascii="仿宋" w:hAnsi="仿宋" w:eastAsia="仿宋" w:cs="仿宋"/>
          <w:b/>
          <w:bCs/>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3.属于监狱企业的证明文件</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（提供由省级以上监狱管理局、戒毒管理局(含新疆生产建设兵团)出具的属于监狱企业的证明文件）</w:t>
      </w:r>
    </w:p>
    <w:p>
      <w:pPr>
        <w:spacing w:line="360" w:lineRule="auto"/>
        <w:ind w:firstLine="480" w:firstLineChars="200"/>
        <w:jc w:val="center"/>
        <w:rPr>
          <w:rFonts w:ascii="仿宋" w:hAnsi="仿宋" w:eastAsia="仿宋" w:cs="仿宋"/>
          <w:sz w:val="24"/>
          <w:highlight w:val="none"/>
        </w:rPr>
      </w:pPr>
    </w:p>
    <w:p>
      <w:pPr>
        <w:spacing w:line="360" w:lineRule="auto"/>
        <w:ind w:firstLine="480" w:firstLineChars="200"/>
        <w:jc w:val="center"/>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4.节能产品认证证书</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 xml:space="preserve">（提供国家确定的认证机构出具的、处于有效期之内的产品认证证书） </w:t>
      </w:r>
    </w:p>
    <w:p>
      <w:pPr>
        <w:spacing w:line="360" w:lineRule="auto"/>
        <w:ind w:firstLine="480" w:firstLineChars="200"/>
        <w:jc w:val="left"/>
        <w:rPr>
          <w:rFonts w:ascii="仿宋" w:hAnsi="仿宋" w:eastAsia="仿宋" w:cs="仿宋"/>
          <w:sz w:val="24"/>
          <w:highlight w:val="none"/>
        </w:rPr>
      </w:pPr>
    </w:p>
    <w:p>
      <w:pPr>
        <w:spacing w:line="360" w:lineRule="auto"/>
        <w:ind w:firstLine="480" w:firstLineChars="200"/>
        <w:jc w:val="left"/>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5.环境标志产品认证证书</w:t>
      </w:r>
    </w:p>
    <w:p>
      <w:pPr>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（提供国家确定的认证机构出具的、处于有效期之内的产品认证证书）</w:t>
      </w:r>
    </w:p>
    <w:p>
      <w:pPr>
        <w:spacing w:line="360" w:lineRule="auto"/>
        <w:ind w:firstLine="480" w:firstLineChars="200"/>
        <w:jc w:val="center"/>
        <w:rPr>
          <w:rFonts w:ascii="仿宋" w:hAnsi="仿宋" w:eastAsia="仿宋" w:cs="仿宋"/>
          <w:sz w:val="24"/>
          <w:highlight w:val="none"/>
        </w:rPr>
      </w:pPr>
    </w:p>
    <w:p>
      <w:pPr>
        <w:spacing w:line="360" w:lineRule="auto"/>
        <w:ind w:firstLine="480" w:firstLineChars="200"/>
        <w:jc w:val="center"/>
        <w:rPr>
          <w:rFonts w:ascii="仿宋" w:hAnsi="仿宋" w:eastAsia="仿宋" w:cs="仿宋"/>
          <w:sz w:val="24"/>
          <w:highlight w:val="none"/>
        </w:rPr>
      </w:pP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6.进口产品转让技术、消化吸收再创新方案</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（对于允许进口产品参加的项目）</w:t>
      </w:r>
    </w:p>
    <w:p>
      <w:pPr>
        <w:pStyle w:val="4"/>
        <w:keepLines w:val="0"/>
        <w:tabs>
          <w:tab w:val="left" w:pos="903"/>
          <w:tab w:val="left" w:pos="1440"/>
          <w:tab w:val="left" w:pos="5670"/>
        </w:tabs>
        <w:spacing w:before="240" w:after="240"/>
        <w:rPr>
          <w:rFonts w:ascii="仿宋" w:hAnsi="仿宋" w:eastAsia="仿宋" w:cs="仿宋"/>
          <w:sz w:val="24"/>
          <w:szCs w:val="24"/>
          <w:highlight w:val="none"/>
        </w:rPr>
      </w:pPr>
      <w:r>
        <w:rPr>
          <w:rFonts w:hint="eastAsia" w:ascii="仿宋" w:hAnsi="仿宋" w:eastAsia="仿宋" w:cs="仿宋"/>
          <w:highlight w:val="none"/>
        </w:rPr>
        <w:br w:type="page"/>
      </w:r>
      <w:bookmarkStart w:id="99" w:name="_Toc17942"/>
      <w:bookmarkStart w:id="100" w:name="_Toc8224"/>
      <w:r>
        <w:rPr>
          <w:rFonts w:hint="eastAsia" w:ascii="仿宋" w:hAnsi="仿宋" w:eastAsia="仿宋" w:cs="仿宋"/>
          <w:sz w:val="24"/>
          <w:szCs w:val="24"/>
          <w:highlight w:val="none"/>
        </w:rPr>
        <w:t>附件二、无重大违法记录声明格式</w:t>
      </w:r>
      <w:bookmarkEnd w:id="97"/>
      <w:bookmarkEnd w:id="98"/>
      <w:bookmarkEnd w:id="99"/>
      <w:bookmarkEnd w:id="100"/>
    </w:p>
    <w:p>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无重大违法记录声明</w:t>
      </w:r>
    </w:p>
    <w:p>
      <w:pPr>
        <w:spacing w:line="360" w:lineRule="auto"/>
        <w:rPr>
          <w:rFonts w:ascii="仿宋" w:hAnsi="仿宋" w:eastAsia="仿宋" w:cs="仿宋"/>
          <w:sz w:val="24"/>
          <w:highlight w:val="none"/>
        </w:rPr>
      </w:pPr>
      <w:r>
        <w:rPr>
          <w:rFonts w:hint="eastAsia" w:ascii="仿宋" w:hAnsi="仿宋" w:eastAsia="仿宋" w:cs="仿宋"/>
          <w:b/>
          <w:sz w:val="24"/>
          <w:szCs w:val="21"/>
          <w:highlight w:val="none"/>
          <w:lang w:val="zh-CN"/>
        </w:rPr>
        <w:t>南京市雨花台中学春江分校</w:t>
      </w:r>
      <w:r>
        <w:rPr>
          <w:rFonts w:hint="eastAsia" w:ascii="仿宋" w:hAnsi="仿宋" w:eastAsia="仿宋" w:cs="仿宋"/>
          <w:sz w:val="24"/>
          <w:highlight w:val="none"/>
        </w:rPr>
        <w:t>：</w:t>
      </w:r>
    </w:p>
    <w:p>
      <w:pPr>
        <w:spacing w:line="360" w:lineRule="auto"/>
        <w:rPr>
          <w:rFonts w:ascii="仿宋" w:hAnsi="仿宋" w:eastAsia="仿宋" w:cs="仿宋"/>
          <w:sz w:val="24"/>
          <w:highlight w:val="none"/>
        </w:rPr>
      </w:pPr>
      <w:r>
        <w:rPr>
          <w:rFonts w:hint="eastAsia" w:ascii="仿宋" w:hAnsi="仿宋" w:eastAsia="仿宋" w:cs="仿宋"/>
          <w:sz w:val="24"/>
          <w:highlight w:val="none"/>
        </w:rPr>
        <w:t>我单位（供应商名称）郑重声明：</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参加政府采购活动前3年内在经营活动中（在下划线上如实填写：有或没有）重大违法记录。</w:t>
      </w:r>
    </w:p>
    <w:p>
      <w:pPr>
        <w:spacing w:line="360" w:lineRule="auto"/>
        <w:ind w:firstLine="484" w:firstLineChars="202"/>
        <w:rPr>
          <w:rFonts w:ascii="仿宋" w:hAnsi="仿宋" w:eastAsia="仿宋" w:cs="仿宋"/>
          <w:sz w:val="24"/>
          <w:highlight w:val="none"/>
        </w:rPr>
      </w:pPr>
      <w:r>
        <w:rPr>
          <w:rFonts w:hint="eastAsia" w:ascii="仿宋" w:hAnsi="仿宋" w:eastAsia="仿宋" w:cs="仿宋"/>
          <w:sz w:val="24"/>
          <w:highlight w:val="none"/>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声明人（公章）：</w:t>
      </w:r>
    </w:p>
    <w:p>
      <w:pPr>
        <w:spacing w:line="360" w:lineRule="auto"/>
        <w:rPr>
          <w:rFonts w:ascii="仿宋" w:hAnsi="仿宋" w:eastAsia="仿宋" w:cs="仿宋"/>
          <w:b/>
          <w:bCs/>
          <w:sz w:val="24"/>
          <w:highlight w:val="none"/>
        </w:rPr>
      </w:pPr>
      <w:r>
        <w:rPr>
          <w:rFonts w:hint="eastAsia" w:ascii="仿宋" w:hAnsi="仿宋" w:eastAsia="仿宋" w:cs="仿宋"/>
          <w:sz w:val="24"/>
          <w:highlight w:val="none"/>
        </w:rPr>
        <w:t>日期：   年   月   日</w:t>
      </w:r>
    </w:p>
    <w:p>
      <w:pPr>
        <w:pStyle w:val="4"/>
        <w:tabs>
          <w:tab w:val="left" w:pos="903"/>
          <w:tab w:val="left" w:pos="1440"/>
          <w:tab w:val="left" w:pos="5670"/>
        </w:tabs>
        <w:spacing w:before="20" w:after="20" w:line="360" w:lineRule="auto"/>
        <w:rPr>
          <w:rFonts w:ascii="仿宋" w:hAnsi="仿宋" w:eastAsia="仿宋" w:cs="仿宋"/>
          <w:kern w:val="0"/>
          <w:sz w:val="24"/>
          <w:szCs w:val="28"/>
          <w:highlight w:val="none"/>
          <w:lang w:val="zh-CN"/>
        </w:rPr>
      </w:pPr>
      <w:r>
        <w:rPr>
          <w:rFonts w:hint="eastAsia" w:ascii="仿宋" w:hAnsi="仿宋" w:eastAsia="仿宋" w:cs="仿宋"/>
          <w:highlight w:val="none"/>
        </w:rPr>
        <w:br w:type="page"/>
      </w:r>
      <w:bookmarkStart w:id="101" w:name="_Toc8249"/>
      <w:bookmarkStart w:id="102" w:name="_Toc16637"/>
      <w:bookmarkStart w:id="103" w:name="_Toc11716"/>
      <w:r>
        <w:rPr>
          <w:rFonts w:hint="eastAsia" w:ascii="仿宋" w:hAnsi="仿宋" w:eastAsia="仿宋" w:cs="仿宋"/>
          <w:kern w:val="0"/>
          <w:sz w:val="24"/>
          <w:szCs w:val="28"/>
          <w:highlight w:val="none"/>
          <w:lang w:val="zh-CN"/>
        </w:rPr>
        <w:t>附件</w:t>
      </w:r>
      <w:r>
        <w:rPr>
          <w:rFonts w:hint="eastAsia" w:ascii="仿宋" w:hAnsi="仿宋" w:eastAsia="仿宋" w:cs="仿宋"/>
          <w:kern w:val="0"/>
          <w:sz w:val="24"/>
          <w:szCs w:val="28"/>
          <w:highlight w:val="none"/>
        </w:rPr>
        <w:t>三</w:t>
      </w:r>
      <w:r>
        <w:rPr>
          <w:rFonts w:hint="eastAsia" w:ascii="仿宋" w:hAnsi="仿宋" w:eastAsia="仿宋" w:cs="仿宋"/>
          <w:kern w:val="0"/>
          <w:sz w:val="24"/>
          <w:szCs w:val="28"/>
          <w:highlight w:val="none"/>
          <w:lang w:val="zh-CN"/>
        </w:rPr>
        <w:t>、</w:t>
      </w:r>
      <w:r>
        <w:rPr>
          <w:rFonts w:hint="eastAsia" w:ascii="仿宋" w:hAnsi="仿宋" w:eastAsia="仿宋" w:cs="仿宋"/>
          <w:kern w:val="0"/>
          <w:sz w:val="24"/>
          <w:szCs w:val="28"/>
          <w:highlight w:val="none"/>
        </w:rPr>
        <w:t>南京市政府采购供应商信用记录表暨信用承诺书</w:t>
      </w:r>
      <w:bookmarkEnd w:id="101"/>
      <w:bookmarkEnd w:id="102"/>
      <w:bookmarkEnd w:id="103"/>
    </w:p>
    <w:p>
      <w:pPr>
        <w:pStyle w:val="36"/>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南京市政府采购供应商信用记录表暨信用承诺书</w:t>
      </w:r>
    </w:p>
    <w:p>
      <w:pPr>
        <w:spacing w:line="360" w:lineRule="auto"/>
        <w:jc w:val="center"/>
        <w:rPr>
          <w:rFonts w:ascii="仿宋" w:hAnsi="仿宋" w:eastAsia="仿宋" w:cs="仿宋"/>
          <w:sz w:val="20"/>
          <w:highlight w:val="none"/>
        </w:rPr>
      </w:pPr>
      <w:r>
        <w:rPr>
          <w:rFonts w:hint="eastAsia" w:ascii="仿宋" w:hAnsi="仿宋" w:eastAsia="仿宋" w:cs="仿宋"/>
          <w:szCs w:val="21"/>
          <w:highlight w:val="none"/>
        </w:rPr>
        <w:t>（仅为示范格式，直接填写无效，需至“南京政府采购供应商诚信档案管理系统”在线打印）</w:t>
      </w:r>
    </w:p>
    <w:p>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20  年  月  日</w:t>
      </w:r>
    </w:p>
    <w:tbl>
      <w:tblPr>
        <w:tblStyle w:val="28"/>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单位名称</w:t>
            </w:r>
          </w:p>
        </w:tc>
        <w:tc>
          <w:tcPr>
            <w:tcW w:w="2052" w:type="dxa"/>
            <w:vAlign w:val="center"/>
          </w:tcPr>
          <w:p>
            <w:pPr>
              <w:spacing w:line="251" w:lineRule="exact"/>
              <w:ind w:left="20"/>
              <w:jc w:val="center"/>
              <w:rPr>
                <w:rFonts w:ascii="仿宋" w:hAnsi="仿宋" w:eastAsia="仿宋" w:cs="仿宋"/>
                <w:b/>
                <w:bCs/>
                <w:sz w:val="24"/>
                <w:highlight w:val="none"/>
              </w:rPr>
            </w:pPr>
          </w:p>
        </w:tc>
        <w:tc>
          <w:tcPr>
            <w:tcW w:w="2298"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统一社会信用代码</w:t>
            </w:r>
          </w:p>
        </w:tc>
        <w:tc>
          <w:tcPr>
            <w:tcW w:w="2125" w:type="dxa"/>
            <w:vAlign w:val="center"/>
          </w:tcPr>
          <w:p>
            <w:pPr>
              <w:spacing w:line="251" w:lineRule="exact"/>
              <w:ind w:left="20"/>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法定代表人</w:t>
            </w:r>
          </w:p>
        </w:tc>
        <w:tc>
          <w:tcPr>
            <w:tcW w:w="2052" w:type="dxa"/>
            <w:vAlign w:val="center"/>
          </w:tcPr>
          <w:p>
            <w:pPr>
              <w:spacing w:line="251" w:lineRule="exact"/>
              <w:ind w:left="20"/>
              <w:jc w:val="center"/>
              <w:rPr>
                <w:rFonts w:ascii="仿宋" w:hAnsi="仿宋" w:eastAsia="仿宋" w:cs="仿宋"/>
                <w:b/>
                <w:bCs/>
                <w:sz w:val="24"/>
                <w:highlight w:val="none"/>
              </w:rPr>
            </w:pPr>
          </w:p>
        </w:tc>
        <w:tc>
          <w:tcPr>
            <w:tcW w:w="2298"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联系人</w:t>
            </w:r>
          </w:p>
        </w:tc>
        <w:tc>
          <w:tcPr>
            <w:tcW w:w="2125" w:type="dxa"/>
            <w:vAlign w:val="center"/>
          </w:tcPr>
          <w:p>
            <w:pPr>
              <w:spacing w:line="251" w:lineRule="exact"/>
              <w:ind w:left="20"/>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联系地址</w:t>
            </w:r>
          </w:p>
        </w:tc>
        <w:tc>
          <w:tcPr>
            <w:tcW w:w="2052" w:type="dxa"/>
            <w:vAlign w:val="center"/>
          </w:tcPr>
          <w:p>
            <w:pPr>
              <w:spacing w:line="251" w:lineRule="exact"/>
              <w:ind w:left="20"/>
              <w:jc w:val="center"/>
              <w:rPr>
                <w:rFonts w:ascii="仿宋" w:hAnsi="仿宋" w:eastAsia="仿宋" w:cs="仿宋"/>
                <w:b/>
                <w:bCs/>
                <w:sz w:val="24"/>
                <w:highlight w:val="none"/>
              </w:rPr>
            </w:pPr>
          </w:p>
        </w:tc>
        <w:tc>
          <w:tcPr>
            <w:tcW w:w="2298" w:type="dxa"/>
            <w:vAlign w:val="center"/>
          </w:tcPr>
          <w:p>
            <w:pPr>
              <w:spacing w:line="251" w:lineRule="exact"/>
              <w:ind w:left="20"/>
              <w:jc w:val="center"/>
              <w:rPr>
                <w:rFonts w:ascii="仿宋" w:hAnsi="仿宋" w:eastAsia="仿宋" w:cs="仿宋"/>
                <w:b/>
                <w:bCs/>
                <w:sz w:val="24"/>
                <w:highlight w:val="none"/>
              </w:rPr>
            </w:pPr>
            <w:r>
              <w:rPr>
                <w:rFonts w:hint="eastAsia" w:ascii="仿宋" w:hAnsi="仿宋" w:eastAsia="仿宋" w:cs="仿宋"/>
                <w:b/>
                <w:bCs/>
                <w:sz w:val="24"/>
                <w:highlight w:val="none"/>
              </w:rPr>
              <w:t>联系电话</w:t>
            </w:r>
          </w:p>
        </w:tc>
        <w:tc>
          <w:tcPr>
            <w:tcW w:w="2125" w:type="dxa"/>
            <w:vAlign w:val="center"/>
          </w:tcPr>
          <w:p>
            <w:pPr>
              <w:spacing w:line="251" w:lineRule="exact"/>
              <w:ind w:left="20"/>
              <w:jc w:val="center"/>
              <w:rPr>
                <w:rFonts w:ascii="仿宋" w:hAnsi="仿宋" w:eastAsia="仿宋" w:cs="仿宋"/>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pPr>
              <w:spacing w:line="251" w:lineRule="exact"/>
              <w:ind w:left="20"/>
              <w:jc w:val="center"/>
              <w:rPr>
                <w:rFonts w:ascii="仿宋" w:hAnsi="仿宋" w:eastAsia="仿宋" w:cs="仿宋"/>
                <w:sz w:val="24"/>
                <w:highlight w:val="none"/>
              </w:rPr>
            </w:pPr>
            <w:r>
              <w:rPr>
                <w:rFonts w:hint="eastAsia" w:ascii="仿宋" w:hAnsi="仿宋" w:eastAsia="仿宋" w:cs="仿宋"/>
                <w:b/>
                <w:bCs/>
                <w:sz w:val="24"/>
                <w:highlight w:val="none"/>
              </w:rPr>
              <w:t>诚信档案记录情况</w:t>
            </w:r>
          </w:p>
        </w:tc>
        <w:tc>
          <w:tcPr>
            <w:tcW w:w="6475" w:type="dxa"/>
            <w:gridSpan w:val="3"/>
            <w:vAlign w:val="center"/>
          </w:tcPr>
          <w:p>
            <w:pPr>
              <w:spacing w:line="251" w:lineRule="exact"/>
              <w:ind w:left="20"/>
              <w:jc w:val="center"/>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pPr>
              <w:spacing w:line="251" w:lineRule="exact"/>
              <w:ind w:left="20"/>
              <w:jc w:val="center"/>
              <w:rPr>
                <w:rFonts w:ascii="仿宋" w:hAnsi="仿宋" w:eastAsia="仿宋" w:cs="仿宋"/>
                <w:sz w:val="24"/>
                <w:highlight w:val="none"/>
              </w:rPr>
            </w:pPr>
            <w:r>
              <w:rPr>
                <w:rFonts w:hint="eastAsia" w:ascii="仿宋" w:hAnsi="仿宋" w:eastAsia="仿宋" w:cs="仿宋"/>
                <w:b/>
                <w:bCs/>
                <w:sz w:val="24"/>
                <w:highlight w:val="none"/>
              </w:rPr>
              <w:t>信用承诺</w:t>
            </w:r>
          </w:p>
        </w:tc>
        <w:tc>
          <w:tcPr>
            <w:tcW w:w="6475" w:type="dxa"/>
            <w:gridSpan w:val="3"/>
            <w:vAlign w:val="center"/>
          </w:tcPr>
          <w:p>
            <w:pPr>
              <w:spacing w:line="274" w:lineRule="exact"/>
              <w:ind w:right="60" w:firstLine="474" w:firstLineChars="200"/>
              <w:jc w:val="left"/>
              <w:rPr>
                <w:rFonts w:ascii="仿宋" w:hAnsi="仿宋" w:eastAsia="仿宋" w:cs="仿宋"/>
                <w:w w:val="99"/>
                <w:sz w:val="24"/>
                <w:highlight w:val="none"/>
              </w:rPr>
            </w:pPr>
            <w:r>
              <w:rPr>
                <w:rFonts w:hint="eastAsia" w:ascii="仿宋" w:hAnsi="仿宋" w:eastAsia="仿宋" w:cs="仿宋"/>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pPr>
              <w:spacing w:line="251" w:lineRule="exact"/>
              <w:ind w:left="20"/>
              <w:jc w:val="center"/>
              <w:rPr>
                <w:rFonts w:ascii="仿宋" w:hAnsi="仿宋" w:eastAsia="仿宋" w:cs="仿宋"/>
                <w:sz w:val="24"/>
                <w:highlight w:val="none"/>
              </w:rPr>
            </w:pPr>
          </w:p>
          <w:p>
            <w:pPr>
              <w:spacing w:line="251" w:lineRule="exact"/>
              <w:ind w:left="20"/>
              <w:jc w:val="center"/>
              <w:rPr>
                <w:rFonts w:ascii="仿宋" w:hAnsi="仿宋" w:eastAsia="仿宋" w:cs="仿宋"/>
                <w:sz w:val="24"/>
                <w:highlight w:val="none"/>
              </w:rPr>
            </w:pPr>
          </w:p>
          <w:p>
            <w:pPr>
              <w:spacing w:line="251" w:lineRule="exact"/>
              <w:ind w:left="20"/>
              <w:jc w:val="center"/>
              <w:rPr>
                <w:rFonts w:ascii="仿宋" w:hAnsi="仿宋" w:eastAsia="仿宋" w:cs="仿宋"/>
                <w:sz w:val="24"/>
                <w:highlight w:val="none"/>
              </w:rPr>
            </w:pPr>
          </w:p>
          <w:p>
            <w:pPr>
              <w:spacing w:line="251" w:lineRule="exact"/>
              <w:ind w:left="20"/>
              <w:jc w:val="center"/>
              <w:rPr>
                <w:rFonts w:ascii="仿宋" w:hAnsi="仿宋" w:eastAsia="仿宋" w:cs="仿宋"/>
                <w:sz w:val="24"/>
                <w:highlight w:val="none"/>
              </w:rPr>
            </w:pPr>
          </w:p>
          <w:p>
            <w:pPr>
              <w:spacing w:line="274" w:lineRule="exact"/>
              <w:ind w:left="23"/>
              <w:jc w:val="center"/>
              <w:rPr>
                <w:rFonts w:ascii="仿宋" w:hAnsi="仿宋" w:eastAsia="仿宋" w:cs="仿宋"/>
                <w:sz w:val="24"/>
                <w:highlight w:val="none"/>
              </w:rPr>
            </w:pPr>
            <w:r>
              <w:rPr>
                <w:rFonts w:hint="eastAsia" w:ascii="仿宋" w:hAnsi="仿宋" w:eastAsia="仿宋" w:cs="仿宋"/>
                <w:sz w:val="24"/>
                <w:highlight w:val="none"/>
              </w:rPr>
              <w:t xml:space="preserve">         供应商名称（盖章）：</w:t>
            </w:r>
          </w:p>
          <w:p>
            <w:pPr>
              <w:spacing w:line="274" w:lineRule="exact"/>
              <w:ind w:left="23"/>
              <w:jc w:val="center"/>
              <w:rPr>
                <w:rFonts w:ascii="仿宋" w:hAnsi="仿宋" w:eastAsia="仿宋" w:cs="仿宋"/>
                <w:sz w:val="24"/>
                <w:highlight w:val="none"/>
              </w:rPr>
            </w:pPr>
            <w:r>
              <w:rPr>
                <w:rFonts w:hint="eastAsia" w:ascii="仿宋" w:hAnsi="仿宋" w:eastAsia="仿宋" w:cs="仿宋"/>
                <w:sz w:val="24"/>
                <w:highlight w:val="none"/>
              </w:rPr>
              <w:t xml:space="preserve">         法定代表人（签字）：</w:t>
            </w:r>
          </w:p>
          <w:p>
            <w:pPr>
              <w:spacing w:line="274" w:lineRule="exact"/>
              <w:ind w:left="23"/>
              <w:jc w:val="center"/>
              <w:rPr>
                <w:rFonts w:ascii="仿宋" w:hAnsi="仿宋" w:eastAsia="仿宋" w:cs="仿宋"/>
                <w:sz w:val="24"/>
                <w:highlight w:val="none"/>
              </w:rPr>
            </w:pPr>
            <w:r>
              <w:rPr>
                <w:rFonts w:hint="eastAsia" w:ascii="仿宋" w:hAnsi="仿宋" w:eastAsia="仿宋" w:cs="仿宋"/>
                <w:sz w:val="24"/>
                <w:highlight w:val="none"/>
              </w:rPr>
              <w:t xml:space="preserve">        二〇   年  月    日</w:t>
            </w:r>
          </w:p>
        </w:tc>
      </w:tr>
    </w:tbl>
    <w:p>
      <w:pPr>
        <w:widowControl/>
        <w:jc w:val="left"/>
        <w:rPr>
          <w:rFonts w:ascii="仿宋" w:hAnsi="仿宋" w:eastAsia="仿宋" w:cs="仿宋"/>
          <w:b/>
          <w:bCs/>
          <w:sz w:val="22"/>
          <w:highlight w:val="none"/>
        </w:rPr>
      </w:pPr>
    </w:p>
    <w:sectPr>
      <w:footerReference r:id="rId6" w:type="default"/>
      <w:pgSz w:w="11906" w:h="16838"/>
      <w:pgMar w:top="1417" w:right="1757" w:bottom="1417" w:left="1757" w:header="851" w:footer="102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ascii="仿宋" w:hAnsi="仿宋" w:eastAsia="仿宋" w:cs="仿宋"/>
        <w:lang w:val="en-US" w:eastAsia="zh-CN"/>
      </w:rPr>
    </w:pPr>
    <w:r>
      <w:rPr>
        <w:rFonts w:hint="eastAsia" w:ascii="仿宋" w:hAnsi="仿宋" w:eastAsia="仿宋" w:cs="仿宋"/>
        <w:lang w:val="en-US"/>
      </w:rPr>
      <w:t xml:space="preserve">                                        </w:t>
    </w:r>
    <w:r>
      <w:rPr>
        <w:rFonts w:hint="eastAsia" w:ascii="仿宋" w:hAnsi="仿宋" w:eastAsia="仿宋" w:cs="仿宋"/>
        <w:lang w:val="en-US" w:eastAsia="zh-CN"/>
      </w:rPr>
      <w:t xml:space="preserve">                             江苏同立工程咨询有限公司</w:t>
    </w:r>
    <w:r>
      <w:rPr>
        <w:rFonts w:hint="eastAsia" w:ascii="仿宋" w:hAnsi="仿宋" w:eastAsia="仿宋" w:cs="仿宋"/>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ascii="仿宋" w:hAnsi="仿宋" w:eastAsia="仿宋" w:cs="仿宋"/>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ascii="仿宋" w:hAnsi="仿宋" w:eastAsia="仿宋" w:cs="仿宋"/>
        <w:lang w:val="en-US"/>
      </w:rPr>
      <w:t xml:space="preserve">                                         </w:t>
    </w:r>
    <w:r>
      <w:rPr>
        <w:rFonts w:hint="eastAsia" w:ascii="仿宋" w:hAnsi="仿宋" w:eastAsia="仿宋" w:cs="仿宋"/>
        <w:lang w:val="en-US" w:eastAsia="zh-CN"/>
      </w:rPr>
      <w:t xml:space="preserve">                            江苏同立工程咨询有限公司</w:t>
    </w:r>
    <w:r>
      <w:rPr>
        <w:rFonts w:hint="eastAsia" w:ascii="仿宋" w:hAnsi="仿宋" w:eastAsia="仿宋" w:cs="仿宋"/>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261"/>
        <w:tab w:val="center" w:pos="4256"/>
      </w:tabs>
      <w:rPr>
        <w:rFonts w:ascii="仿宋" w:hAnsi="仿宋" w:eastAsia="仿宋" w:cs="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p>
                </w:txbxContent>
              </v:textbox>
            </v:shape>
          </w:pict>
        </mc:Fallback>
      </mc:AlternateContent>
    </w:r>
    <w:r>
      <w:rPr>
        <w:rFonts w:hint="eastAsia" w:ascii="仿宋" w:hAnsi="仿宋" w:eastAsia="仿宋" w:cs="仿宋"/>
        <w:lang w:val="en-US" w:eastAsia="zh-CN"/>
      </w:rPr>
      <w:t>江苏同立工程咨询有限公司</w:t>
    </w:r>
    <w:r>
      <w:rPr>
        <w:rFonts w:hint="eastAsia" w:ascii="仿宋" w:hAnsi="仿宋" w:eastAsia="仿宋" w:cs="仿宋"/>
        <w:lang w:val="en-US"/>
      </w:rPr>
      <w:t xml:space="preserve">                                            </w:t>
    </w:r>
  </w:p>
  <w:p>
    <w:pPr>
      <w:pStyle w:val="10"/>
      <w:spacing w:line="14" w:lineRule="auto"/>
      <w:ind w:left="0"/>
      <w:rPr>
        <w:rFonts w:ascii="仿宋" w:hAnsi="仿宋" w:eastAsia="仿宋" w:cs="仿宋"/>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eastAsia="宋体"/>
        <w:lang w:eastAsia="zh-CN"/>
      </w:rPr>
    </w:pPr>
    <w:r>
      <w:rPr>
        <w:rFonts w:hint="eastAsia" w:ascii="仿宋" w:hAnsi="仿宋" w:eastAsia="仿宋" w:cs="仿宋"/>
        <w:lang w:eastAsia="zh-CN"/>
      </w:rPr>
      <w:t>南京市雨花台中学春江分校2024年度校园安保服务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A6B71"/>
    <w:multiLevelType w:val="singleLevel"/>
    <w:tmpl w:val="A51A6B71"/>
    <w:lvl w:ilvl="0" w:tentative="0">
      <w:start w:val="1"/>
      <w:numFmt w:val="decimal"/>
      <w:suff w:val="nothing"/>
      <w:lvlText w:val="%1、"/>
      <w:lvlJc w:val="left"/>
    </w:lvl>
  </w:abstractNum>
  <w:abstractNum w:abstractNumId="1">
    <w:nsid w:val="B5DCB8BA"/>
    <w:multiLevelType w:val="singleLevel"/>
    <w:tmpl w:val="B5DCB8BA"/>
    <w:lvl w:ilvl="0" w:tentative="0">
      <w:start w:val="1"/>
      <w:numFmt w:val="decimal"/>
      <w:suff w:val="nothing"/>
      <w:lvlText w:val="%1、"/>
      <w:lvlJc w:val="left"/>
      <w:rPr>
        <w:rFonts w:hint="default" w:ascii="仿宋" w:hAnsi="仿宋" w:eastAsia="仿宋" w:cs="仿宋"/>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6020"/>
  <w:drawingGridHorizontalSpacing w:val="105"/>
  <w:drawingGridVerticalSpacing w:val="156"/>
  <w:noPunctuationKerning w:val="1"/>
  <w:characterSpacingControl w:val="compressPunctuation"/>
  <w:hdrShapeDefaults>
    <o:shapelayout v:ext="edit">
      <o:idmap v:ext="edit" data="3,4"/>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NTk2MmU4ZTU3Yzg0N2I1OTlhYjcyZmE1Y2UyNWMifQ=="/>
  </w:docVars>
  <w:rsids>
    <w:rsidRoot w:val="00172A27"/>
    <w:rsid w:val="00002154"/>
    <w:rsid w:val="00013C28"/>
    <w:rsid w:val="0002250F"/>
    <w:rsid w:val="00022D50"/>
    <w:rsid w:val="000330F2"/>
    <w:rsid w:val="0003550B"/>
    <w:rsid w:val="00041BB0"/>
    <w:rsid w:val="00042829"/>
    <w:rsid w:val="000449B5"/>
    <w:rsid w:val="00044EB7"/>
    <w:rsid w:val="0004666D"/>
    <w:rsid w:val="0005432C"/>
    <w:rsid w:val="00054EC9"/>
    <w:rsid w:val="00055D19"/>
    <w:rsid w:val="00060528"/>
    <w:rsid w:val="00061D15"/>
    <w:rsid w:val="0007004E"/>
    <w:rsid w:val="00087E12"/>
    <w:rsid w:val="000930FA"/>
    <w:rsid w:val="00094DBB"/>
    <w:rsid w:val="000B6419"/>
    <w:rsid w:val="000C247A"/>
    <w:rsid w:val="000C5555"/>
    <w:rsid w:val="000D0F95"/>
    <w:rsid w:val="000E1F4E"/>
    <w:rsid w:val="000E4164"/>
    <w:rsid w:val="000E47EC"/>
    <w:rsid w:val="000E52FF"/>
    <w:rsid w:val="0010327E"/>
    <w:rsid w:val="00107E2A"/>
    <w:rsid w:val="00111A56"/>
    <w:rsid w:val="0011287E"/>
    <w:rsid w:val="001145A9"/>
    <w:rsid w:val="001155F7"/>
    <w:rsid w:val="00117B04"/>
    <w:rsid w:val="0012249E"/>
    <w:rsid w:val="00124DD7"/>
    <w:rsid w:val="001258A8"/>
    <w:rsid w:val="00132945"/>
    <w:rsid w:val="00132F51"/>
    <w:rsid w:val="0013657A"/>
    <w:rsid w:val="00142587"/>
    <w:rsid w:val="001544CC"/>
    <w:rsid w:val="00157D8D"/>
    <w:rsid w:val="0016312F"/>
    <w:rsid w:val="00167717"/>
    <w:rsid w:val="00172A27"/>
    <w:rsid w:val="00174B0F"/>
    <w:rsid w:val="00174D70"/>
    <w:rsid w:val="00176579"/>
    <w:rsid w:val="00180B58"/>
    <w:rsid w:val="0019210A"/>
    <w:rsid w:val="00192F56"/>
    <w:rsid w:val="001A04DF"/>
    <w:rsid w:val="001A1A6B"/>
    <w:rsid w:val="001C1384"/>
    <w:rsid w:val="001D16A7"/>
    <w:rsid w:val="001D18CA"/>
    <w:rsid w:val="001D383F"/>
    <w:rsid w:val="001E2973"/>
    <w:rsid w:val="001F2EAB"/>
    <w:rsid w:val="001F3227"/>
    <w:rsid w:val="001F5041"/>
    <w:rsid w:val="001F5191"/>
    <w:rsid w:val="0020233D"/>
    <w:rsid w:val="00203BE9"/>
    <w:rsid w:val="00213CFF"/>
    <w:rsid w:val="002153A3"/>
    <w:rsid w:val="00223EA5"/>
    <w:rsid w:val="00224ADD"/>
    <w:rsid w:val="00225A20"/>
    <w:rsid w:val="00235469"/>
    <w:rsid w:val="00240503"/>
    <w:rsid w:val="002427AE"/>
    <w:rsid w:val="00246236"/>
    <w:rsid w:val="0025064E"/>
    <w:rsid w:val="00260742"/>
    <w:rsid w:val="00262D71"/>
    <w:rsid w:val="00263837"/>
    <w:rsid w:val="002665AD"/>
    <w:rsid w:val="002761D4"/>
    <w:rsid w:val="002776DB"/>
    <w:rsid w:val="00281B70"/>
    <w:rsid w:val="00281E26"/>
    <w:rsid w:val="002911C5"/>
    <w:rsid w:val="002931CA"/>
    <w:rsid w:val="00293677"/>
    <w:rsid w:val="002A297C"/>
    <w:rsid w:val="002A37A1"/>
    <w:rsid w:val="002A3BF3"/>
    <w:rsid w:val="002A593D"/>
    <w:rsid w:val="002B0D65"/>
    <w:rsid w:val="002B18CC"/>
    <w:rsid w:val="002B1BFE"/>
    <w:rsid w:val="002B42F8"/>
    <w:rsid w:val="002D358B"/>
    <w:rsid w:val="002D7AD1"/>
    <w:rsid w:val="002E430B"/>
    <w:rsid w:val="002E516C"/>
    <w:rsid w:val="002E6B29"/>
    <w:rsid w:val="002E7192"/>
    <w:rsid w:val="00303129"/>
    <w:rsid w:val="00305F4C"/>
    <w:rsid w:val="003109DE"/>
    <w:rsid w:val="00317ED2"/>
    <w:rsid w:val="00322894"/>
    <w:rsid w:val="00323C7E"/>
    <w:rsid w:val="0034229F"/>
    <w:rsid w:val="0035051B"/>
    <w:rsid w:val="00355DAA"/>
    <w:rsid w:val="00370479"/>
    <w:rsid w:val="00370F05"/>
    <w:rsid w:val="003744DD"/>
    <w:rsid w:val="00383FEB"/>
    <w:rsid w:val="00387FE8"/>
    <w:rsid w:val="003A1C7B"/>
    <w:rsid w:val="003A29DA"/>
    <w:rsid w:val="003A3DB1"/>
    <w:rsid w:val="003A4166"/>
    <w:rsid w:val="003A69EB"/>
    <w:rsid w:val="003B7561"/>
    <w:rsid w:val="003C3AB7"/>
    <w:rsid w:val="003D20FD"/>
    <w:rsid w:val="003E1347"/>
    <w:rsid w:val="003E271F"/>
    <w:rsid w:val="003E286E"/>
    <w:rsid w:val="003E7B06"/>
    <w:rsid w:val="003F100B"/>
    <w:rsid w:val="003F4AA2"/>
    <w:rsid w:val="0040098E"/>
    <w:rsid w:val="004068FF"/>
    <w:rsid w:val="00406FAC"/>
    <w:rsid w:val="00407EF3"/>
    <w:rsid w:val="00414315"/>
    <w:rsid w:val="004202D2"/>
    <w:rsid w:val="00421581"/>
    <w:rsid w:val="00423561"/>
    <w:rsid w:val="00424F84"/>
    <w:rsid w:val="004563DE"/>
    <w:rsid w:val="00466374"/>
    <w:rsid w:val="00474718"/>
    <w:rsid w:val="00483ABD"/>
    <w:rsid w:val="004910BC"/>
    <w:rsid w:val="00491C58"/>
    <w:rsid w:val="0049229F"/>
    <w:rsid w:val="004938E7"/>
    <w:rsid w:val="004A0F54"/>
    <w:rsid w:val="004B04D1"/>
    <w:rsid w:val="004B203D"/>
    <w:rsid w:val="004C259B"/>
    <w:rsid w:val="004D2CF3"/>
    <w:rsid w:val="004D46A5"/>
    <w:rsid w:val="004D6147"/>
    <w:rsid w:val="004D7CBE"/>
    <w:rsid w:val="004E5B32"/>
    <w:rsid w:val="004F01BD"/>
    <w:rsid w:val="004F3A49"/>
    <w:rsid w:val="004F4EDE"/>
    <w:rsid w:val="004F5398"/>
    <w:rsid w:val="004F6C68"/>
    <w:rsid w:val="005007CF"/>
    <w:rsid w:val="005029AF"/>
    <w:rsid w:val="0051026D"/>
    <w:rsid w:val="005138D9"/>
    <w:rsid w:val="0052111C"/>
    <w:rsid w:val="00524151"/>
    <w:rsid w:val="00530C07"/>
    <w:rsid w:val="005406D8"/>
    <w:rsid w:val="00543F93"/>
    <w:rsid w:val="00546871"/>
    <w:rsid w:val="005533ED"/>
    <w:rsid w:val="005715E3"/>
    <w:rsid w:val="005751D3"/>
    <w:rsid w:val="005842E6"/>
    <w:rsid w:val="00587B54"/>
    <w:rsid w:val="005901FF"/>
    <w:rsid w:val="005A0C5B"/>
    <w:rsid w:val="005A12A6"/>
    <w:rsid w:val="005A21EF"/>
    <w:rsid w:val="005A3495"/>
    <w:rsid w:val="005A460B"/>
    <w:rsid w:val="005A48E2"/>
    <w:rsid w:val="005A524D"/>
    <w:rsid w:val="005B13D6"/>
    <w:rsid w:val="005B1CD4"/>
    <w:rsid w:val="005B6FC2"/>
    <w:rsid w:val="005C0E9C"/>
    <w:rsid w:val="005C406D"/>
    <w:rsid w:val="005C4711"/>
    <w:rsid w:val="005C74A4"/>
    <w:rsid w:val="005D207A"/>
    <w:rsid w:val="005D5BA6"/>
    <w:rsid w:val="005E2E0F"/>
    <w:rsid w:val="005E3122"/>
    <w:rsid w:val="005E377E"/>
    <w:rsid w:val="005E3950"/>
    <w:rsid w:val="005E6919"/>
    <w:rsid w:val="005F2F35"/>
    <w:rsid w:val="00607F7D"/>
    <w:rsid w:val="00613381"/>
    <w:rsid w:val="00615EA1"/>
    <w:rsid w:val="00616542"/>
    <w:rsid w:val="006262F9"/>
    <w:rsid w:val="0063504B"/>
    <w:rsid w:val="006414B9"/>
    <w:rsid w:val="006502F5"/>
    <w:rsid w:val="00653A1B"/>
    <w:rsid w:val="0066029A"/>
    <w:rsid w:val="006655B8"/>
    <w:rsid w:val="00673785"/>
    <w:rsid w:val="0067581E"/>
    <w:rsid w:val="006810B9"/>
    <w:rsid w:val="006854A0"/>
    <w:rsid w:val="006909BB"/>
    <w:rsid w:val="006A1968"/>
    <w:rsid w:val="006A3CEC"/>
    <w:rsid w:val="006A4179"/>
    <w:rsid w:val="006B0BDF"/>
    <w:rsid w:val="006B5E7A"/>
    <w:rsid w:val="006B6C2C"/>
    <w:rsid w:val="006C2D89"/>
    <w:rsid w:val="006C475D"/>
    <w:rsid w:val="006D3946"/>
    <w:rsid w:val="006D41EC"/>
    <w:rsid w:val="006D4DFB"/>
    <w:rsid w:val="006E076C"/>
    <w:rsid w:val="006E5612"/>
    <w:rsid w:val="006E69B9"/>
    <w:rsid w:val="006F19A7"/>
    <w:rsid w:val="006F1EE7"/>
    <w:rsid w:val="00706BD2"/>
    <w:rsid w:val="00710C78"/>
    <w:rsid w:val="00712103"/>
    <w:rsid w:val="007150A3"/>
    <w:rsid w:val="007150CE"/>
    <w:rsid w:val="00715DBD"/>
    <w:rsid w:val="007225FA"/>
    <w:rsid w:val="00724EA4"/>
    <w:rsid w:val="0072625E"/>
    <w:rsid w:val="00726E3F"/>
    <w:rsid w:val="00730587"/>
    <w:rsid w:val="00741845"/>
    <w:rsid w:val="00745A7D"/>
    <w:rsid w:val="007541D4"/>
    <w:rsid w:val="00754D2D"/>
    <w:rsid w:val="0075527A"/>
    <w:rsid w:val="007572CB"/>
    <w:rsid w:val="007619A3"/>
    <w:rsid w:val="00766CB8"/>
    <w:rsid w:val="00771921"/>
    <w:rsid w:val="00775B18"/>
    <w:rsid w:val="00777911"/>
    <w:rsid w:val="00777920"/>
    <w:rsid w:val="0078685E"/>
    <w:rsid w:val="00790770"/>
    <w:rsid w:val="00794325"/>
    <w:rsid w:val="007A3163"/>
    <w:rsid w:val="007A4DEA"/>
    <w:rsid w:val="007A566B"/>
    <w:rsid w:val="007A57BB"/>
    <w:rsid w:val="007B6839"/>
    <w:rsid w:val="007C0F11"/>
    <w:rsid w:val="007C17BB"/>
    <w:rsid w:val="007D04CB"/>
    <w:rsid w:val="007D16C1"/>
    <w:rsid w:val="007E0836"/>
    <w:rsid w:val="007E1B7B"/>
    <w:rsid w:val="007E20E8"/>
    <w:rsid w:val="007E5BD7"/>
    <w:rsid w:val="007E5D96"/>
    <w:rsid w:val="007E7295"/>
    <w:rsid w:val="007F38B7"/>
    <w:rsid w:val="007F7E8C"/>
    <w:rsid w:val="008045B5"/>
    <w:rsid w:val="008065F5"/>
    <w:rsid w:val="008123B4"/>
    <w:rsid w:val="00813EC0"/>
    <w:rsid w:val="00816F45"/>
    <w:rsid w:val="00821FD4"/>
    <w:rsid w:val="0082553C"/>
    <w:rsid w:val="0082694C"/>
    <w:rsid w:val="008317A6"/>
    <w:rsid w:val="008349CD"/>
    <w:rsid w:val="00841F97"/>
    <w:rsid w:val="0085146C"/>
    <w:rsid w:val="00853293"/>
    <w:rsid w:val="00853A75"/>
    <w:rsid w:val="0085432D"/>
    <w:rsid w:val="00860BAC"/>
    <w:rsid w:val="00860D34"/>
    <w:rsid w:val="0086538B"/>
    <w:rsid w:val="00866CAF"/>
    <w:rsid w:val="00874D56"/>
    <w:rsid w:val="008750A3"/>
    <w:rsid w:val="00881B6D"/>
    <w:rsid w:val="0089178E"/>
    <w:rsid w:val="008A1309"/>
    <w:rsid w:val="008A39E2"/>
    <w:rsid w:val="008B3127"/>
    <w:rsid w:val="008B3DCA"/>
    <w:rsid w:val="008B77B8"/>
    <w:rsid w:val="008E0A0B"/>
    <w:rsid w:val="008E4BB4"/>
    <w:rsid w:val="008E4EF6"/>
    <w:rsid w:val="008E678E"/>
    <w:rsid w:val="008F1C00"/>
    <w:rsid w:val="008F38DA"/>
    <w:rsid w:val="008F57A7"/>
    <w:rsid w:val="00902A02"/>
    <w:rsid w:val="00904C33"/>
    <w:rsid w:val="009104E2"/>
    <w:rsid w:val="00917A30"/>
    <w:rsid w:val="00923E50"/>
    <w:rsid w:val="00932F4C"/>
    <w:rsid w:val="00935722"/>
    <w:rsid w:val="0093717C"/>
    <w:rsid w:val="00941869"/>
    <w:rsid w:val="00943FB2"/>
    <w:rsid w:val="009452AC"/>
    <w:rsid w:val="00952928"/>
    <w:rsid w:val="00956F71"/>
    <w:rsid w:val="009574F7"/>
    <w:rsid w:val="00962B5E"/>
    <w:rsid w:val="00964C59"/>
    <w:rsid w:val="00974495"/>
    <w:rsid w:val="00976A46"/>
    <w:rsid w:val="009856E4"/>
    <w:rsid w:val="00993F7C"/>
    <w:rsid w:val="0099656B"/>
    <w:rsid w:val="009A221E"/>
    <w:rsid w:val="009A2443"/>
    <w:rsid w:val="009A3B58"/>
    <w:rsid w:val="009A4C69"/>
    <w:rsid w:val="009A6E21"/>
    <w:rsid w:val="009B2602"/>
    <w:rsid w:val="009B50F0"/>
    <w:rsid w:val="009B635A"/>
    <w:rsid w:val="009C0179"/>
    <w:rsid w:val="009C0534"/>
    <w:rsid w:val="009C1A44"/>
    <w:rsid w:val="009C5961"/>
    <w:rsid w:val="009C61A3"/>
    <w:rsid w:val="009D0358"/>
    <w:rsid w:val="009D1BD1"/>
    <w:rsid w:val="009D23AD"/>
    <w:rsid w:val="009D494E"/>
    <w:rsid w:val="009D4A80"/>
    <w:rsid w:val="009D78D1"/>
    <w:rsid w:val="009D7DEF"/>
    <w:rsid w:val="009E28F0"/>
    <w:rsid w:val="009E2AFF"/>
    <w:rsid w:val="009E35C1"/>
    <w:rsid w:val="009E6339"/>
    <w:rsid w:val="009E67E4"/>
    <w:rsid w:val="009F0C8A"/>
    <w:rsid w:val="009F1C47"/>
    <w:rsid w:val="009F7041"/>
    <w:rsid w:val="00A01D93"/>
    <w:rsid w:val="00A03BE7"/>
    <w:rsid w:val="00A0662C"/>
    <w:rsid w:val="00A164BC"/>
    <w:rsid w:val="00A21ED4"/>
    <w:rsid w:val="00A23A2C"/>
    <w:rsid w:val="00A2464B"/>
    <w:rsid w:val="00A257F4"/>
    <w:rsid w:val="00A35878"/>
    <w:rsid w:val="00A40965"/>
    <w:rsid w:val="00A42692"/>
    <w:rsid w:val="00A42EFE"/>
    <w:rsid w:val="00A44EDD"/>
    <w:rsid w:val="00A467D5"/>
    <w:rsid w:val="00A50227"/>
    <w:rsid w:val="00A51A58"/>
    <w:rsid w:val="00A57C05"/>
    <w:rsid w:val="00A616A2"/>
    <w:rsid w:val="00A6333A"/>
    <w:rsid w:val="00A646D4"/>
    <w:rsid w:val="00A65AD2"/>
    <w:rsid w:val="00A7526C"/>
    <w:rsid w:val="00A80CF9"/>
    <w:rsid w:val="00A826D5"/>
    <w:rsid w:val="00A83466"/>
    <w:rsid w:val="00A84A69"/>
    <w:rsid w:val="00A90775"/>
    <w:rsid w:val="00A91EA4"/>
    <w:rsid w:val="00A9233E"/>
    <w:rsid w:val="00AB091A"/>
    <w:rsid w:val="00AB6279"/>
    <w:rsid w:val="00AB7F87"/>
    <w:rsid w:val="00AC2C45"/>
    <w:rsid w:val="00AC75F0"/>
    <w:rsid w:val="00AC7D9F"/>
    <w:rsid w:val="00AD1D00"/>
    <w:rsid w:val="00AE46CF"/>
    <w:rsid w:val="00AF1F4B"/>
    <w:rsid w:val="00AF2FF5"/>
    <w:rsid w:val="00AF3252"/>
    <w:rsid w:val="00AF346E"/>
    <w:rsid w:val="00AF4308"/>
    <w:rsid w:val="00AF4DEC"/>
    <w:rsid w:val="00AF5A61"/>
    <w:rsid w:val="00AF6E13"/>
    <w:rsid w:val="00B02411"/>
    <w:rsid w:val="00B039B0"/>
    <w:rsid w:val="00B0501E"/>
    <w:rsid w:val="00B16F66"/>
    <w:rsid w:val="00B1789B"/>
    <w:rsid w:val="00B30E91"/>
    <w:rsid w:val="00B35DFC"/>
    <w:rsid w:val="00B417AB"/>
    <w:rsid w:val="00B47574"/>
    <w:rsid w:val="00B5255A"/>
    <w:rsid w:val="00B54FC7"/>
    <w:rsid w:val="00B552DA"/>
    <w:rsid w:val="00B56CAD"/>
    <w:rsid w:val="00B57929"/>
    <w:rsid w:val="00B57938"/>
    <w:rsid w:val="00B666FD"/>
    <w:rsid w:val="00B66DD6"/>
    <w:rsid w:val="00B66DEC"/>
    <w:rsid w:val="00B6758E"/>
    <w:rsid w:val="00B73147"/>
    <w:rsid w:val="00B77656"/>
    <w:rsid w:val="00B843BB"/>
    <w:rsid w:val="00B906D8"/>
    <w:rsid w:val="00BA4A8D"/>
    <w:rsid w:val="00BA7447"/>
    <w:rsid w:val="00BB269B"/>
    <w:rsid w:val="00BB7892"/>
    <w:rsid w:val="00BC1CBB"/>
    <w:rsid w:val="00BC332B"/>
    <w:rsid w:val="00BD16F3"/>
    <w:rsid w:val="00BD322E"/>
    <w:rsid w:val="00BD4B6C"/>
    <w:rsid w:val="00BD5A50"/>
    <w:rsid w:val="00BD5E8D"/>
    <w:rsid w:val="00BE1A14"/>
    <w:rsid w:val="00BE2328"/>
    <w:rsid w:val="00BE25E9"/>
    <w:rsid w:val="00BE4DEC"/>
    <w:rsid w:val="00BF22CC"/>
    <w:rsid w:val="00BF58CE"/>
    <w:rsid w:val="00C05867"/>
    <w:rsid w:val="00C07244"/>
    <w:rsid w:val="00C075E8"/>
    <w:rsid w:val="00C105A0"/>
    <w:rsid w:val="00C12B84"/>
    <w:rsid w:val="00C142CE"/>
    <w:rsid w:val="00C2118F"/>
    <w:rsid w:val="00C251C3"/>
    <w:rsid w:val="00C25ADF"/>
    <w:rsid w:val="00C310F9"/>
    <w:rsid w:val="00C32435"/>
    <w:rsid w:val="00C32552"/>
    <w:rsid w:val="00C32A50"/>
    <w:rsid w:val="00C43696"/>
    <w:rsid w:val="00C50A72"/>
    <w:rsid w:val="00C5127D"/>
    <w:rsid w:val="00C51AF6"/>
    <w:rsid w:val="00C60CCD"/>
    <w:rsid w:val="00C6113F"/>
    <w:rsid w:val="00C66347"/>
    <w:rsid w:val="00C671FE"/>
    <w:rsid w:val="00C7011F"/>
    <w:rsid w:val="00C70691"/>
    <w:rsid w:val="00C73829"/>
    <w:rsid w:val="00C764EF"/>
    <w:rsid w:val="00C76AFA"/>
    <w:rsid w:val="00C83912"/>
    <w:rsid w:val="00C85060"/>
    <w:rsid w:val="00C931C6"/>
    <w:rsid w:val="00C93D52"/>
    <w:rsid w:val="00C975B3"/>
    <w:rsid w:val="00CA131C"/>
    <w:rsid w:val="00CA4904"/>
    <w:rsid w:val="00CB0CE1"/>
    <w:rsid w:val="00CB32BE"/>
    <w:rsid w:val="00CB45AA"/>
    <w:rsid w:val="00CB4B17"/>
    <w:rsid w:val="00CB566D"/>
    <w:rsid w:val="00CB6043"/>
    <w:rsid w:val="00CC37F5"/>
    <w:rsid w:val="00CC3D7C"/>
    <w:rsid w:val="00CC54A9"/>
    <w:rsid w:val="00CC59FB"/>
    <w:rsid w:val="00CC6A0E"/>
    <w:rsid w:val="00CD3390"/>
    <w:rsid w:val="00CE42D8"/>
    <w:rsid w:val="00CE7904"/>
    <w:rsid w:val="00CE7C43"/>
    <w:rsid w:val="00CF37B4"/>
    <w:rsid w:val="00CF3D01"/>
    <w:rsid w:val="00CF715A"/>
    <w:rsid w:val="00D058CD"/>
    <w:rsid w:val="00D32701"/>
    <w:rsid w:val="00D3472E"/>
    <w:rsid w:val="00D36890"/>
    <w:rsid w:val="00D4299E"/>
    <w:rsid w:val="00D439DE"/>
    <w:rsid w:val="00D51B02"/>
    <w:rsid w:val="00D51D57"/>
    <w:rsid w:val="00D51DB0"/>
    <w:rsid w:val="00D5394B"/>
    <w:rsid w:val="00D5698B"/>
    <w:rsid w:val="00D6072E"/>
    <w:rsid w:val="00D6107B"/>
    <w:rsid w:val="00D62651"/>
    <w:rsid w:val="00D660B8"/>
    <w:rsid w:val="00D71ED8"/>
    <w:rsid w:val="00D735E6"/>
    <w:rsid w:val="00D766A0"/>
    <w:rsid w:val="00D83374"/>
    <w:rsid w:val="00D87F23"/>
    <w:rsid w:val="00D90612"/>
    <w:rsid w:val="00D94142"/>
    <w:rsid w:val="00D9436D"/>
    <w:rsid w:val="00D95DA4"/>
    <w:rsid w:val="00DA0D36"/>
    <w:rsid w:val="00DB305A"/>
    <w:rsid w:val="00DB3CF9"/>
    <w:rsid w:val="00DB4465"/>
    <w:rsid w:val="00DB5562"/>
    <w:rsid w:val="00DB6858"/>
    <w:rsid w:val="00DB76F2"/>
    <w:rsid w:val="00DC37B8"/>
    <w:rsid w:val="00DC5911"/>
    <w:rsid w:val="00DC7093"/>
    <w:rsid w:val="00DD0020"/>
    <w:rsid w:val="00DD4CBF"/>
    <w:rsid w:val="00DD58AD"/>
    <w:rsid w:val="00DD6BFE"/>
    <w:rsid w:val="00DE3C98"/>
    <w:rsid w:val="00DE6C4D"/>
    <w:rsid w:val="00DF27E1"/>
    <w:rsid w:val="00DF733D"/>
    <w:rsid w:val="00E012FF"/>
    <w:rsid w:val="00E037C7"/>
    <w:rsid w:val="00E04E1B"/>
    <w:rsid w:val="00E07793"/>
    <w:rsid w:val="00E2154B"/>
    <w:rsid w:val="00E242F9"/>
    <w:rsid w:val="00E25AC2"/>
    <w:rsid w:val="00E31311"/>
    <w:rsid w:val="00E35745"/>
    <w:rsid w:val="00E35CF8"/>
    <w:rsid w:val="00E3624E"/>
    <w:rsid w:val="00E439EC"/>
    <w:rsid w:val="00E44361"/>
    <w:rsid w:val="00E63ADB"/>
    <w:rsid w:val="00E70096"/>
    <w:rsid w:val="00E701D6"/>
    <w:rsid w:val="00E72AD1"/>
    <w:rsid w:val="00E81343"/>
    <w:rsid w:val="00E86778"/>
    <w:rsid w:val="00E873D8"/>
    <w:rsid w:val="00E965A8"/>
    <w:rsid w:val="00EA2B9D"/>
    <w:rsid w:val="00EA4805"/>
    <w:rsid w:val="00EA5416"/>
    <w:rsid w:val="00EA7C4A"/>
    <w:rsid w:val="00EB2C81"/>
    <w:rsid w:val="00EB7FD0"/>
    <w:rsid w:val="00EE11D5"/>
    <w:rsid w:val="00EE2F18"/>
    <w:rsid w:val="00EE44E5"/>
    <w:rsid w:val="00EE61AC"/>
    <w:rsid w:val="00EF3B2A"/>
    <w:rsid w:val="00F0578F"/>
    <w:rsid w:val="00F1281C"/>
    <w:rsid w:val="00F132A3"/>
    <w:rsid w:val="00F212B9"/>
    <w:rsid w:val="00F24FC2"/>
    <w:rsid w:val="00F3156C"/>
    <w:rsid w:val="00F32AB7"/>
    <w:rsid w:val="00F32F1F"/>
    <w:rsid w:val="00F425F9"/>
    <w:rsid w:val="00F47A44"/>
    <w:rsid w:val="00F509CB"/>
    <w:rsid w:val="00F55596"/>
    <w:rsid w:val="00F6429E"/>
    <w:rsid w:val="00F676DD"/>
    <w:rsid w:val="00F73A5C"/>
    <w:rsid w:val="00F80390"/>
    <w:rsid w:val="00F81D7E"/>
    <w:rsid w:val="00F855DC"/>
    <w:rsid w:val="00F90826"/>
    <w:rsid w:val="00F976D9"/>
    <w:rsid w:val="00FA2C9F"/>
    <w:rsid w:val="00FA2ECE"/>
    <w:rsid w:val="00FB1BF2"/>
    <w:rsid w:val="00FB22E4"/>
    <w:rsid w:val="00FC2EA5"/>
    <w:rsid w:val="00FC30EF"/>
    <w:rsid w:val="00FD2E65"/>
    <w:rsid w:val="00FD6A5F"/>
    <w:rsid w:val="00FD6BFF"/>
    <w:rsid w:val="00FE34D3"/>
    <w:rsid w:val="00FE68F0"/>
    <w:rsid w:val="00FF1751"/>
    <w:rsid w:val="00FF2203"/>
    <w:rsid w:val="00FF3B77"/>
    <w:rsid w:val="00FF4659"/>
    <w:rsid w:val="01300237"/>
    <w:rsid w:val="013E4434"/>
    <w:rsid w:val="015971EC"/>
    <w:rsid w:val="01C612C1"/>
    <w:rsid w:val="01EF6277"/>
    <w:rsid w:val="01F241F9"/>
    <w:rsid w:val="01F82835"/>
    <w:rsid w:val="020E02AA"/>
    <w:rsid w:val="021138F7"/>
    <w:rsid w:val="02113ED7"/>
    <w:rsid w:val="0213766F"/>
    <w:rsid w:val="021C73E5"/>
    <w:rsid w:val="021D24F0"/>
    <w:rsid w:val="02281EB5"/>
    <w:rsid w:val="02331ABF"/>
    <w:rsid w:val="02930E1A"/>
    <w:rsid w:val="02976A42"/>
    <w:rsid w:val="02FA76A8"/>
    <w:rsid w:val="033D4255"/>
    <w:rsid w:val="035C31C1"/>
    <w:rsid w:val="03AA2E74"/>
    <w:rsid w:val="03C21CD0"/>
    <w:rsid w:val="03F91A6C"/>
    <w:rsid w:val="043A7135"/>
    <w:rsid w:val="0457743B"/>
    <w:rsid w:val="0495080F"/>
    <w:rsid w:val="04992E6B"/>
    <w:rsid w:val="049B394B"/>
    <w:rsid w:val="04ED23F9"/>
    <w:rsid w:val="04F264E2"/>
    <w:rsid w:val="04F61AD1"/>
    <w:rsid w:val="05023479"/>
    <w:rsid w:val="05151950"/>
    <w:rsid w:val="0523406D"/>
    <w:rsid w:val="052D4195"/>
    <w:rsid w:val="055C301D"/>
    <w:rsid w:val="05647E81"/>
    <w:rsid w:val="059B3918"/>
    <w:rsid w:val="05E21EE0"/>
    <w:rsid w:val="05E27A84"/>
    <w:rsid w:val="06076B5B"/>
    <w:rsid w:val="06105B8D"/>
    <w:rsid w:val="063915C3"/>
    <w:rsid w:val="06641B87"/>
    <w:rsid w:val="066E4848"/>
    <w:rsid w:val="068723D9"/>
    <w:rsid w:val="06AD69DC"/>
    <w:rsid w:val="06BD2F6F"/>
    <w:rsid w:val="070A3901"/>
    <w:rsid w:val="075D0694"/>
    <w:rsid w:val="07641CA8"/>
    <w:rsid w:val="078539E2"/>
    <w:rsid w:val="07EC0192"/>
    <w:rsid w:val="07F37E52"/>
    <w:rsid w:val="07F535CA"/>
    <w:rsid w:val="080A35CE"/>
    <w:rsid w:val="080C528C"/>
    <w:rsid w:val="081C46F9"/>
    <w:rsid w:val="088D2954"/>
    <w:rsid w:val="08986B20"/>
    <w:rsid w:val="08C77405"/>
    <w:rsid w:val="0900204C"/>
    <w:rsid w:val="0900233D"/>
    <w:rsid w:val="09366BD8"/>
    <w:rsid w:val="0974717E"/>
    <w:rsid w:val="099B3DB1"/>
    <w:rsid w:val="09C14A7E"/>
    <w:rsid w:val="0A2968A1"/>
    <w:rsid w:val="0A5039E5"/>
    <w:rsid w:val="0A5847B8"/>
    <w:rsid w:val="0A5A1927"/>
    <w:rsid w:val="0A745FB7"/>
    <w:rsid w:val="0A7A3133"/>
    <w:rsid w:val="0A7E3AF3"/>
    <w:rsid w:val="0A8350BD"/>
    <w:rsid w:val="0A8C2699"/>
    <w:rsid w:val="0A8D3D36"/>
    <w:rsid w:val="0AB3505F"/>
    <w:rsid w:val="0AC97281"/>
    <w:rsid w:val="0ACA211C"/>
    <w:rsid w:val="0B352404"/>
    <w:rsid w:val="0B3D4D45"/>
    <w:rsid w:val="0B44426C"/>
    <w:rsid w:val="0B7664A0"/>
    <w:rsid w:val="0B9271EF"/>
    <w:rsid w:val="0BA929A1"/>
    <w:rsid w:val="0BEE607A"/>
    <w:rsid w:val="0C4E48D1"/>
    <w:rsid w:val="0C833643"/>
    <w:rsid w:val="0CC31B45"/>
    <w:rsid w:val="0CEC25BF"/>
    <w:rsid w:val="0D500A41"/>
    <w:rsid w:val="0DC14460"/>
    <w:rsid w:val="0E384549"/>
    <w:rsid w:val="0E780A8A"/>
    <w:rsid w:val="0EBE5D19"/>
    <w:rsid w:val="0F024CF3"/>
    <w:rsid w:val="0F164BE1"/>
    <w:rsid w:val="0F261065"/>
    <w:rsid w:val="0F2B198D"/>
    <w:rsid w:val="0F56514F"/>
    <w:rsid w:val="0F7418CF"/>
    <w:rsid w:val="0F953DB9"/>
    <w:rsid w:val="0F992E7F"/>
    <w:rsid w:val="0FB877BC"/>
    <w:rsid w:val="0FBD7E87"/>
    <w:rsid w:val="0FDF6C11"/>
    <w:rsid w:val="0FF038E5"/>
    <w:rsid w:val="0FF12E5A"/>
    <w:rsid w:val="0FFF0B81"/>
    <w:rsid w:val="10461710"/>
    <w:rsid w:val="107B4D5D"/>
    <w:rsid w:val="109263DF"/>
    <w:rsid w:val="10CC1156"/>
    <w:rsid w:val="10D05C6E"/>
    <w:rsid w:val="10EF3901"/>
    <w:rsid w:val="11467576"/>
    <w:rsid w:val="118600C7"/>
    <w:rsid w:val="12096398"/>
    <w:rsid w:val="122F231B"/>
    <w:rsid w:val="123D6042"/>
    <w:rsid w:val="125F37AD"/>
    <w:rsid w:val="128623DC"/>
    <w:rsid w:val="12AD1C47"/>
    <w:rsid w:val="12B709AD"/>
    <w:rsid w:val="12B852FB"/>
    <w:rsid w:val="12CA4C91"/>
    <w:rsid w:val="13021759"/>
    <w:rsid w:val="13561AB1"/>
    <w:rsid w:val="135D568E"/>
    <w:rsid w:val="135E4E2D"/>
    <w:rsid w:val="13CC3B21"/>
    <w:rsid w:val="141B3394"/>
    <w:rsid w:val="14445DAD"/>
    <w:rsid w:val="14530B5F"/>
    <w:rsid w:val="14627FE2"/>
    <w:rsid w:val="1474166A"/>
    <w:rsid w:val="14781FD6"/>
    <w:rsid w:val="14863036"/>
    <w:rsid w:val="148E0DD7"/>
    <w:rsid w:val="14BC1F60"/>
    <w:rsid w:val="14DD44D0"/>
    <w:rsid w:val="14E1607D"/>
    <w:rsid w:val="15001CD4"/>
    <w:rsid w:val="152853ED"/>
    <w:rsid w:val="15317685"/>
    <w:rsid w:val="16107F50"/>
    <w:rsid w:val="16403C39"/>
    <w:rsid w:val="16685D83"/>
    <w:rsid w:val="16762FB8"/>
    <w:rsid w:val="1685314C"/>
    <w:rsid w:val="16972633"/>
    <w:rsid w:val="16975F3E"/>
    <w:rsid w:val="16BF6938"/>
    <w:rsid w:val="17037EA1"/>
    <w:rsid w:val="17093551"/>
    <w:rsid w:val="17134D69"/>
    <w:rsid w:val="174805DF"/>
    <w:rsid w:val="179A3051"/>
    <w:rsid w:val="17D276CD"/>
    <w:rsid w:val="17E56385"/>
    <w:rsid w:val="18177F23"/>
    <w:rsid w:val="181A39A4"/>
    <w:rsid w:val="182A3CED"/>
    <w:rsid w:val="1880568A"/>
    <w:rsid w:val="18866153"/>
    <w:rsid w:val="18CF1311"/>
    <w:rsid w:val="191B0D2B"/>
    <w:rsid w:val="19472294"/>
    <w:rsid w:val="19540841"/>
    <w:rsid w:val="197056D9"/>
    <w:rsid w:val="19A8293B"/>
    <w:rsid w:val="1A7A42D7"/>
    <w:rsid w:val="1A7D2671"/>
    <w:rsid w:val="1A9E7717"/>
    <w:rsid w:val="1AC33E35"/>
    <w:rsid w:val="1AD02149"/>
    <w:rsid w:val="1AE8371E"/>
    <w:rsid w:val="1AF02AC6"/>
    <w:rsid w:val="1AF63501"/>
    <w:rsid w:val="1B2A618A"/>
    <w:rsid w:val="1B46240B"/>
    <w:rsid w:val="1B5F58D1"/>
    <w:rsid w:val="1B6E1928"/>
    <w:rsid w:val="1B8915A9"/>
    <w:rsid w:val="1B8D1DE8"/>
    <w:rsid w:val="1B95091F"/>
    <w:rsid w:val="1BB92824"/>
    <w:rsid w:val="1BDC4E08"/>
    <w:rsid w:val="1C30446F"/>
    <w:rsid w:val="1C3C1EE6"/>
    <w:rsid w:val="1C4E0B38"/>
    <w:rsid w:val="1C6059AF"/>
    <w:rsid w:val="1C732DB0"/>
    <w:rsid w:val="1C8916A6"/>
    <w:rsid w:val="1C980A44"/>
    <w:rsid w:val="1C9A5B6B"/>
    <w:rsid w:val="1CB25FAA"/>
    <w:rsid w:val="1CC655B2"/>
    <w:rsid w:val="1CC92D0D"/>
    <w:rsid w:val="1CE74FED"/>
    <w:rsid w:val="1D265169"/>
    <w:rsid w:val="1D2F14C5"/>
    <w:rsid w:val="1D4059E3"/>
    <w:rsid w:val="1D750E5D"/>
    <w:rsid w:val="1DC31E39"/>
    <w:rsid w:val="1DF13AFD"/>
    <w:rsid w:val="1E225196"/>
    <w:rsid w:val="1E292C50"/>
    <w:rsid w:val="1E322828"/>
    <w:rsid w:val="1E4946EC"/>
    <w:rsid w:val="1E4A0152"/>
    <w:rsid w:val="1E543091"/>
    <w:rsid w:val="1E5F3E8A"/>
    <w:rsid w:val="1E9B2A6E"/>
    <w:rsid w:val="1EDE3F7C"/>
    <w:rsid w:val="1EF33D04"/>
    <w:rsid w:val="1EF43972"/>
    <w:rsid w:val="1EF47F34"/>
    <w:rsid w:val="1F1370CE"/>
    <w:rsid w:val="1F2F1037"/>
    <w:rsid w:val="1F3124D1"/>
    <w:rsid w:val="1F446200"/>
    <w:rsid w:val="1F8A2797"/>
    <w:rsid w:val="1FB71E94"/>
    <w:rsid w:val="1FE808F5"/>
    <w:rsid w:val="204210C7"/>
    <w:rsid w:val="207B2C16"/>
    <w:rsid w:val="20A26336"/>
    <w:rsid w:val="20F842B8"/>
    <w:rsid w:val="215869F4"/>
    <w:rsid w:val="21693AB7"/>
    <w:rsid w:val="21C86F0B"/>
    <w:rsid w:val="21DE7335"/>
    <w:rsid w:val="21F225A7"/>
    <w:rsid w:val="21FE65F8"/>
    <w:rsid w:val="2296124B"/>
    <w:rsid w:val="229E48DB"/>
    <w:rsid w:val="22A24BB1"/>
    <w:rsid w:val="22A82893"/>
    <w:rsid w:val="22AD4512"/>
    <w:rsid w:val="22CC769A"/>
    <w:rsid w:val="22EE5862"/>
    <w:rsid w:val="230B6B0C"/>
    <w:rsid w:val="23480771"/>
    <w:rsid w:val="23A2644A"/>
    <w:rsid w:val="23A83C63"/>
    <w:rsid w:val="23D067D1"/>
    <w:rsid w:val="23E514B6"/>
    <w:rsid w:val="242B03F0"/>
    <w:rsid w:val="243F4A1B"/>
    <w:rsid w:val="2453426A"/>
    <w:rsid w:val="245348A4"/>
    <w:rsid w:val="24912949"/>
    <w:rsid w:val="249E629B"/>
    <w:rsid w:val="24B91272"/>
    <w:rsid w:val="25254691"/>
    <w:rsid w:val="252E3BF9"/>
    <w:rsid w:val="2540611D"/>
    <w:rsid w:val="2568338B"/>
    <w:rsid w:val="25880124"/>
    <w:rsid w:val="25CF7ED4"/>
    <w:rsid w:val="25DF5936"/>
    <w:rsid w:val="264750B1"/>
    <w:rsid w:val="264C0B4E"/>
    <w:rsid w:val="26833B18"/>
    <w:rsid w:val="26F92CD1"/>
    <w:rsid w:val="272E26D1"/>
    <w:rsid w:val="27313F6F"/>
    <w:rsid w:val="274E68CF"/>
    <w:rsid w:val="27997271"/>
    <w:rsid w:val="27B12E63"/>
    <w:rsid w:val="27F0056F"/>
    <w:rsid w:val="27F37CC1"/>
    <w:rsid w:val="27F709E2"/>
    <w:rsid w:val="2815563F"/>
    <w:rsid w:val="28237D5C"/>
    <w:rsid w:val="286C3843"/>
    <w:rsid w:val="289415BD"/>
    <w:rsid w:val="28961927"/>
    <w:rsid w:val="28DB4B9D"/>
    <w:rsid w:val="28F71047"/>
    <w:rsid w:val="294A68B7"/>
    <w:rsid w:val="2968354D"/>
    <w:rsid w:val="296C5733"/>
    <w:rsid w:val="29771E55"/>
    <w:rsid w:val="2A067D86"/>
    <w:rsid w:val="2A3750D6"/>
    <w:rsid w:val="2A7A1D90"/>
    <w:rsid w:val="2AAB6697"/>
    <w:rsid w:val="2ADD7510"/>
    <w:rsid w:val="2B163212"/>
    <w:rsid w:val="2B5404CF"/>
    <w:rsid w:val="2B7D258A"/>
    <w:rsid w:val="2C2E61A3"/>
    <w:rsid w:val="2C672E25"/>
    <w:rsid w:val="2C7F2837"/>
    <w:rsid w:val="2D723244"/>
    <w:rsid w:val="2D8C0151"/>
    <w:rsid w:val="2DA91BD7"/>
    <w:rsid w:val="2DBA2E4F"/>
    <w:rsid w:val="2DD51B30"/>
    <w:rsid w:val="2DF11978"/>
    <w:rsid w:val="2E234840"/>
    <w:rsid w:val="2E506385"/>
    <w:rsid w:val="2E5A7BC9"/>
    <w:rsid w:val="2EA238DC"/>
    <w:rsid w:val="2F10090E"/>
    <w:rsid w:val="2F2A3765"/>
    <w:rsid w:val="2F4A7F4B"/>
    <w:rsid w:val="2F574E35"/>
    <w:rsid w:val="2F5D265B"/>
    <w:rsid w:val="2F6A35DF"/>
    <w:rsid w:val="2F7758E3"/>
    <w:rsid w:val="2F8A4162"/>
    <w:rsid w:val="2FA5127F"/>
    <w:rsid w:val="2FFC0843"/>
    <w:rsid w:val="305C369C"/>
    <w:rsid w:val="306E7328"/>
    <w:rsid w:val="30784977"/>
    <w:rsid w:val="308B6C0A"/>
    <w:rsid w:val="309C0DFE"/>
    <w:rsid w:val="30E7511B"/>
    <w:rsid w:val="311709BC"/>
    <w:rsid w:val="314E571E"/>
    <w:rsid w:val="31605B7D"/>
    <w:rsid w:val="317406CC"/>
    <w:rsid w:val="31BA6727"/>
    <w:rsid w:val="31C303AB"/>
    <w:rsid w:val="31F41E32"/>
    <w:rsid w:val="32383D22"/>
    <w:rsid w:val="32877888"/>
    <w:rsid w:val="32CB210B"/>
    <w:rsid w:val="32E527E2"/>
    <w:rsid w:val="33025030"/>
    <w:rsid w:val="334E6B61"/>
    <w:rsid w:val="341E7629"/>
    <w:rsid w:val="34621C0C"/>
    <w:rsid w:val="349F4C0E"/>
    <w:rsid w:val="34B128F9"/>
    <w:rsid w:val="34B37A96"/>
    <w:rsid w:val="34CB6EC1"/>
    <w:rsid w:val="34E10FF0"/>
    <w:rsid w:val="34F42464"/>
    <w:rsid w:val="356036AA"/>
    <w:rsid w:val="356D67CB"/>
    <w:rsid w:val="35767C45"/>
    <w:rsid w:val="35C772CB"/>
    <w:rsid w:val="35DC79E1"/>
    <w:rsid w:val="35EC3B9A"/>
    <w:rsid w:val="3628134B"/>
    <w:rsid w:val="362B09BD"/>
    <w:rsid w:val="3664645C"/>
    <w:rsid w:val="36834F5D"/>
    <w:rsid w:val="36864C18"/>
    <w:rsid w:val="36CC15BF"/>
    <w:rsid w:val="375A291B"/>
    <w:rsid w:val="37A50695"/>
    <w:rsid w:val="37E87E3B"/>
    <w:rsid w:val="37EE653A"/>
    <w:rsid w:val="37F810C0"/>
    <w:rsid w:val="38003C16"/>
    <w:rsid w:val="38356408"/>
    <w:rsid w:val="383B0E5C"/>
    <w:rsid w:val="386B78DF"/>
    <w:rsid w:val="38B6505D"/>
    <w:rsid w:val="3905761D"/>
    <w:rsid w:val="39203497"/>
    <w:rsid w:val="393873DF"/>
    <w:rsid w:val="39536F00"/>
    <w:rsid w:val="39651D0F"/>
    <w:rsid w:val="39AC0D4D"/>
    <w:rsid w:val="39C26CA9"/>
    <w:rsid w:val="39D3186F"/>
    <w:rsid w:val="39D75B27"/>
    <w:rsid w:val="39D937ED"/>
    <w:rsid w:val="3A0C3ADA"/>
    <w:rsid w:val="3A4C6D4D"/>
    <w:rsid w:val="3A52002D"/>
    <w:rsid w:val="3AD2403C"/>
    <w:rsid w:val="3AE003F4"/>
    <w:rsid w:val="3AFE1656"/>
    <w:rsid w:val="3B3F4A55"/>
    <w:rsid w:val="3B533B0F"/>
    <w:rsid w:val="3B993640"/>
    <w:rsid w:val="3BA808C3"/>
    <w:rsid w:val="3BDC2340"/>
    <w:rsid w:val="3BF82E56"/>
    <w:rsid w:val="3C787552"/>
    <w:rsid w:val="3C7D6B98"/>
    <w:rsid w:val="3C7E67E2"/>
    <w:rsid w:val="3C884BA3"/>
    <w:rsid w:val="3CB7035C"/>
    <w:rsid w:val="3CE97868"/>
    <w:rsid w:val="3CF61143"/>
    <w:rsid w:val="3D023F8C"/>
    <w:rsid w:val="3D09728C"/>
    <w:rsid w:val="3D54230E"/>
    <w:rsid w:val="3D556267"/>
    <w:rsid w:val="3DA467A4"/>
    <w:rsid w:val="3E6543FE"/>
    <w:rsid w:val="3E9B07DF"/>
    <w:rsid w:val="3E9F49F3"/>
    <w:rsid w:val="3ECD4126"/>
    <w:rsid w:val="3EE33949"/>
    <w:rsid w:val="3F2B24C8"/>
    <w:rsid w:val="3F4013BC"/>
    <w:rsid w:val="3F43193F"/>
    <w:rsid w:val="3F504744"/>
    <w:rsid w:val="3F591E5E"/>
    <w:rsid w:val="3F670E4D"/>
    <w:rsid w:val="3F942025"/>
    <w:rsid w:val="3FAD1270"/>
    <w:rsid w:val="3FC54241"/>
    <w:rsid w:val="3FE02686"/>
    <w:rsid w:val="4044615F"/>
    <w:rsid w:val="40730401"/>
    <w:rsid w:val="40900D0E"/>
    <w:rsid w:val="40E855C1"/>
    <w:rsid w:val="411E0D3B"/>
    <w:rsid w:val="41432E7B"/>
    <w:rsid w:val="41546D80"/>
    <w:rsid w:val="41661B9E"/>
    <w:rsid w:val="41712E61"/>
    <w:rsid w:val="41883E45"/>
    <w:rsid w:val="419600E7"/>
    <w:rsid w:val="41977EDA"/>
    <w:rsid w:val="41BC164D"/>
    <w:rsid w:val="41C66A98"/>
    <w:rsid w:val="423A5EA4"/>
    <w:rsid w:val="42882EF2"/>
    <w:rsid w:val="429100E4"/>
    <w:rsid w:val="42AE33B4"/>
    <w:rsid w:val="42B443E5"/>
    <w:rsid w:val="42D812EB"/>
    <w:rsid w:val="43097B59"/>
    <w:rsid w:val="43140081"/>
    <w:rsid w:val="434A1C46"/>
    <w:rsid w:val="437D4B8C"/>
    <w:rsid w:val="439F4EE1"/>
    <w:rsid w:val="445671D7"/>
    <w:rsid w:val="4475336E"/>
    <w:rsid w:val="44D913B8"/>
    <w:rsid w:val="45140443"/>
    <w:rsid w:val="452151CC"/>
    <w:rsid w:val="45292656"/>
    <w:rsid w:val="452F6B11"/>
    <w:rsid w:val="45604C08"/>
    <w:rsid w:val="456F23DB"/>
    <w:rsid w:val="4589644C"/>
    <w:rsid w:val="458A5AF1"/>
    <w:rsid w:val="45CF6389"/>
    <w:rsid w:val="45DD7344"/>
    <w:rsid w:val="45F37C26"/>
    <w:rsid w:val="46132D66"/>
    <w:rsid w:val="461971D1"/>
    <w:rsid w:val="46377F79"/>
    <w:rsid w:val="46A00372"/>
    <w:rsid w:val="46CB1893"/>
    <w:rsid w:val="470968A1"/>
    <w:rsid w:val="472E4253"/>
    <w:rsid w:val="474D04FA"/>
    <w:rsid w:val="474D3B6C"/>
    <w:rsid w:val="47592D4F"/>
    <w:rsid w:val="4789579F"/>
    <w:rsid w:val="47C562E2"/>
    <w:rsid w:val="482A6F1B"/>
    <w:rsid w:val="48642B04"/>
    <w:rsid w:val="48BA5527"/>
    <w:rsid w:val="48EA37DB"/>
    <w:rsid w:val="48EC3DC4"/>
    <w:rsid w:val="492F5D74"/>
    <w:rsid w:val="493B4BC5"/>
    <w:rsid w:val="49502BA3"/>
    <w:rsid w:val="495616A1"/>
    <w:rsid w:val="49B86AC5"/>
    <w:rsid w:val="49D20FDE"/>
    <w:rsid w:val="49F35BF3"/>
    <w:rsid w:val="49F41619"/>
    <w:rsid w:val="4A2D4613"/>
    <w:rsid w:val="4A515D62"/>
    <w:rsid w:val="4A6D11CD"/>
    <w:rsid w:val="4A82734F"/>
    <w:rsid w:val="4A9A7F99"/>
    <w:rsid w:val="4AE025BA"/>
    <w:rsid w:val="4B1A3EE7"/>
    <w:rsid w:val="4B6211F2"/>
    <w:rsid w:val="4B67753E"/>
    <w:rsid w:val="4BB11529"/>
    <w:rsid w:val="4C490191"/>
    <w:rsid w:val="4C5E4270"/>
    <w:rsid w:val="4C7622A1"/>
    <w:rsid w:val="4C893A88"/>
    <w:rsid w:val="4C8A5D4C"/>
    <w:rsid w:val="4CAD6942"/>
    <w:rsid w:val="4D3239A5"/>
    <w:rsid w:val="4D3D0F77"/>
    <w:rsid w:val="4D3F08E5"/>
    <w:rsid w:val="4D752558"/>
    <w:rsid w:val="4D840BB7"/>
    <w:rsid w:val="4D891B60"/>
    <w:rsid w:val="4D8F37A3"/>
    <w:rsid w:val="4DC67B5B"/>
    <w:rsid w:val="4DCF3558"/>
    <w:rsid w:val="4E5403C0"/>
    <w:rsid w:val="4E814DD1"/>
    <w:rsid w:val="4EBA22C5"/>
    <w:rsid w:val="4F05196A"/>
    <w:rsid w:val="4F0B1F7B"/>
    <w:rsid w:val="4F17258B"/>
    <w:rsid w:val="4F2F6737"/>
    <w:rsid w:val="4F3C69CB"/>
    <w:rsid w:val="4F822D0B"/>
    <w:rsid w:val="4F9A09D5"/>
    <w:rsid w:val="4FB05ACA"/>
    <w:rsid w:val="50667CE7"/>
    <w:rsid w:val="50A934C8"/>
    <w:rsid w:val="50AF75AD"/>
    <w:rsid w:val="51063DF3"/>
    <w:rsid w:val="5145199B"/>
    <w:rsid w:val="51735551"/>
    <w:rsid w:val="5174264D"/>
    <w:rsid w:val="51913D5C"/>
    <w:rsid w:val="51A35A9A"/>
    <w:rsid w:val="51CA5E84"/>
    <w:rsid w:val="51CE27CF"/>
    <w:rsid w:val="51ED5DC5"/>
    <w:rsid w:val="51F3109A"/>
    <w:rsid w:val="52113FD0"/>
    <w:rsid w:val="525C3053"/>
    <w:rsid w:val="52663B46"/>
    <w:rsid w:val="52B46AE1"/>
    <w:rsid w:val="52B753C1"/>
    <w:rsid w:val="52C50461"/>
    <w:rsid w:val="52D27B05"/>
    <w:rsid w:val="52DF1DEA"/>
    <w:rsid w:val="52E92274"/>
    <w:rsid w:val="52EA7C2A"/>
    <w:rsid w:val="53195734"/>
    <w:rsid w:val="531B6EE3"/>
    <w:rsid w:val="537D0FF4"/>
    <w:rsid w:val="53FB2849"/>
    <w:rsid w:val="54085ED4"/>
    <w:rsid w:val="54161C73"/>
    <w:rsid w:val="54237616"/>
    <w:rsid w:val="5453797F"/>
    <w:rsid w:val="5474270F"/>
    <w:rsid w:val="54751090"/>
    <w:rsid w:val="54DE4E87"/>
    <w:rsid w:val="5560560C"/>
    <w:rsid w:val="558357FE"/>
    <w:rsid w:val="55B70A15"/>
    <w:rsid w:val="55B94FAC"/>
    <w:rsid w:val="560B1CAC"/>
    <w:rsid w:val="56124098"/>
    <w:rsid w:val="562D19DE"/>
    <w:rsid w:val="56346CAE"/>
    <w:rsid w:val="563C2B72"/>
    <w:rsid w:val="564B3EFA"/>
    <w:rsid w:val="564F4226"/>
    <w:rsid w:val="56777DD1"/>
    <w:rsid w:val="56AA0845"/>
    <w:rsid w:val="56C70FBA"/>
    <w:rsid w:val="56CD4278"/>
    <w:rsid w:val="56F4461F"/>
    <w:rsid w:val="570F1BEE"/>
    <w:rsid w:val="571E09EC"/>
    <w:rsid w:val="57252252"/>
    <w:rsid w:val="57684EDC"/>
    <w:rsid w:val="577B37C3"/>
    <w:rsid w:val="57844D0D"/>
    <w:rsid w:val="57B32716"/>
    <w:rsid w:val="57C4647E"/>
    <w:rsid w:val="57D954CC"/>
    <w:rsid w:val="58606442"/>
    <w:rsid w:val="588428BF"/>
    <w:rsid w:val="58C46142"/>
    <w:rsid w:val="59301A29"/>
    <w:rsid w:val="594367B2"/>
    <w:rsid w:val="5945681C"/>
    <w:rsid w:val="5975265E"/>
    <w:rsid w:val="597E799C"/>
    <w:rsid w:val="5A1520EE"/>
    <w:rsid w:val="5A3F0021"/>
    <w:rsid w:val="5A5F76DB"/>
    <w:rsid w:val="5A6A4DF9"/>
    <w:rsid w:val="5A953A68"/>
    <w:rsid w:val="5AB24091"/>
    <w:rsid w:val="5B1C64C2"/>
    <w:rsid w:val="5B312AD2"/>
    <w:rsid w:val="5B33135D"/>
    <w:rsid w:val="5BBB047E"/>
    <w:rsid w:val="5BFE7C9F"/>
    <w:rsid w:val="5C1D4A9B"/>
    <w:rsid w:val="5C57258F"/>
    <w:rsid w:val="5C7667BC"/>
    <w:rsid w:val="5C9D22EC"/>
    <w:rsid w:val="5CED210B"/>
    <w:rsid w:val="5D1B5452"/>
    <w:rsid w:val="5D540B5A"/>
    <w:rsid w:val="5DA01818"/>
    <w:rsid w:val="5DD563C2"/>
    <w:rsid w:val="5DE52DE2"/>
    <w:rsid w:val="5DE77386"/>
    <w:rsid w:val="5DED5051"/>
    <w:rsid w:val="5DF96266"/>
    <w:rsid w:val="5E027C51"/>
    <w:rsid w:val="5E0F1C0D"/>
    <w:rsid w:val="5E662A08"/>
    <w:rsid w:val="5E802181"/>
    <w:rsid w:val="5EF35ACE"/>
    <w:rsid w:val="5EF82098"/>
    <w:rsid w:val="5F0454EA"/>
    <w:rsid w:val="5F2B6AE9"/>
    <w:rsid w:val="5F693AA0"/>
    <w:rsid w:val="5F906D7E"/>
    <w:rsid w:val="5FC1648A"/>
    <w:rsid w:val="5FF612D7"/>
    <w:rsid w:val="602F3469"/>
    <w:rsid w:val="603F00F4"/>
    <w:rsid w:val="60464C67"/>
    <w:rsid w:val="604F48D4"/>
    <w:rsid w:val="60855A45"/>
    <w:rsid w:val="609A49D0"/>
    <w:rsid w:val="60AA6610"/>
    <w:rsid w:val="60DF7E6F"/>
    <w:rsid w:val="610225D7"/>
    <w:rsid w:val="61077514"/>
    <w:rsid w:val="613C49C0"/>
    <w:rsid w:val="61623951"/>
    <w:rsid w:val="61BB4042"/>
    <w:rsid w:val="622715F4"/>
    <w:rsid w:val="627D68DD"/>
    <w:rsid w:val="62851D93"/>
    <w:rsid w:val="62C05CBD"/>
    <w:rsid w:val="62E573E1"/>
    <w:rsid w:val="62FD1D28"/>
    <w:rsid w:val="6302421E"/>
    <w:rsid w:val="630D2F5A"/>
    <w:rsid w:val="63664D38"/>
    <w:rsid w:val="63B733AC"/>
    <w:rsid w:val="63C438DB"/>
    <w:rsid w:val="641F397E"/>
    <w:rsid w:val="64260404"/>
    <w:rsid w:val="64685ACB"/>
    <w:rsid w:val="646E2D7A"/>
    <w:rsid w:val="64B4350F"/>
    <w:rsid w:val="64C725BA"/>
    <w:rsid w:val="65156A79"/>
    <w:rsid w:val="65A90B99"/>
    <w:rsid w:val="65E63B9C"/>
    <w:rsid w:val="662E562F"/>
    <w:rsid w:val="663234BB"/>
    <w:rsid w:val="663743F7"/>
    <w:rsid w:val="664B1C51"/>
    <w:rsid w:val="665F4362"/>
    <w:rsid w:val="66755E80"/>
    <w:rsid w:val="66BC11F5"/>
    <w:rsid w:val="670C3429"/>
    <w:rsid w:val="674351BD"/>
    <w:rsid w:val="679269DE"/>
    <w:rsid w:val="6797036D"/>
    <w:rsid w:val="67EF21DB"/>
    <w:rsid w:val="6814782F"/>
    <w:rsid w:val="681744E0"/>
    <w:rsid w:val="681C1AF7"/>
    <w:rsid w:val="68617509"/>
    <w:rsid w:val="68C5699F"/>
    <w:rsid w:val="68CE646E"/>
    <w:rsid w:val="68D859D6"/>
    <w:rsid w:val="68DF6598"/>
    <w:rsid w:val="68ED3493"/>
    <w:rsid w:val="690F03EC"/>
    <w:rsid w:val="69310028"/>
    <w:rsid w:val="695710FA"/>
    <w:rsid w:val="69884AD4"/>
    <w:rsid w:val="69A2427D"/>
    <w:rsid w:val="69DA124B"/>
    <w:rsid w:val="69FC3274"/>
    <w:rsid w:val="6A06292E"/>
    <w:rsid w:val="6A1A2066"/>
    <w:rsid w:val="6A372D2A"/>
    <w:rsid w:val="6A4C13CF"/>
    <w:rsid w:val="6AB317C7"/>
    <w:rsid w:val="6AC024D3"/>
    <w:rsid w:val="6AF040F6"/>
    <w:rsid w:val="6AFB56DF"/>
    <w:rsid w:val="6B1D4AFE"/>
    <w:rsid w:val="6B1E6F65"/>
    <w:rsid w:val="6B250CC2"/>
    <w:rsid w:val="6B3002A2"/>
    <w:rsid w:val="6B3709F5"/>
    <w:rsid w:val="6B39235A"/>
    <w:rsid w:val="6BAF47CD"/>
    <w:rsid w:val="6BD42820"/>
    <w:rsid w:val="6BDD7ABE"/>
    <w:rsid w:val="6C322CE1"/>
    <w:rsid w:val="6C4C227F"/>
    <w:rsid w:val="6C6607A7"/>
    <w:rsid w:val="6C7D5D61"/>
    <w:rsid w:val="6CC6062F"/>
    <w:rsid w:val="6CDC5D27"/>
    <w:rsid w:val="6CFA2CC6"/>
    <w:rsid w:val="6D55023D"/>
    <w:rsid w:val="6D67315E"/>
    <w:rsid w:val="6DBA4319"/>
    <w:rsid w:val="6DC16CC2"/>
    <w:rsid w:val="6E163439"/>
    <w:rsid w:val="6E2B47E7"/>
    <w:rsid w:val="6E300579"/>
    <w:rsid w:val="6E91041D"/>
    <w:rsid w:val="6ECD58F9"/>
    <w:rsid w:val="6ED5414F"/>
    <w:rsid w:val="6F0F4163"/>
    <w:rsid w:val="6F20184F"/>
    <w:rsid w:val="6F681A8C"/>
    <w:rsid w:val="6F775864"/>
    <w:rsid w:val="6F920C04"/>
    <w:rsid w:val="6F9BEFC1"/>
    <w:rsid w:val="6FA36ACF"/>
    <w:rsid w:val="6FDA4AEE"/>
    <w:rsid w:val="6FE1556A"/>
    <w:rsid w:val="6FE1663F"/>
    <w:rsid w:val="70282B3D"/>
    <w:rsid w:val="70855203"/>
    <w:rsid w:val="70862426"/>
    <w:rsid w:val="70BC1865"/>
    <w:rsid w:val="70CC4FC7"/>
    <w:rsid w:val="71415395"/>
    <w:rsid w:val="715678D9"/>
    <w:rsid w:val="71A11B12"/>
    <w:rsid w:val="72092311"/>
    <w:rsid w:val="725C28D8"/>
    <w:rsid w:val="72E62DBB"/>
    <w:rsid w:val="72E871A5"/>
    <w:rsid w:val="73263829"/>
    <w:rsid w:val="735C36EF"/>
    <w:rsid w:val="73834873"/>
    <w:rsid w:val="738644A1"/>
    <w:rsid w:val="739F7F92"/>
    <w:rsid w:val="73A14BDF"/>
    <w:rsid w:val="73C179F6"/>
    <w:rsid w:val="74262987"/>
    <w:rsid w:val="743D52CE"/>
    <w:rsid w:val="74C84A7C"/>
    <w:rsid w:val="74CA165E"/>
    <w:rsid w:val="74CA6436"/>
    <w:rsid w:val="74DF2278"/>
    <w:rsid w:val="74E734FB"/>
    <w:rsid w:val="74F63839"/>
    <w:rsid w:val="75305945"/>
    <w:rsid w:val="754D0BA5"/>
    <w:rsid w:val="75D93E7F"/>
    <w:rsid w:val="75DA6B4D"/>
    <w:rsid w:val="75E36EE3"/>
    <w:rsid w:val="75FD1618"/>
    <w:rsid w:val="76210D95"/>
    <w:rsid w:val="76486F0F"/>
    <w:rsid w:val="773919DC"/>
    <w:rsid w:val="774C5829"/>
    <w:rsid w:val="7759095F"/>
    <w:rsid w:val="77870FDC"/>
    <w:rsid w:val="779F38A6"/>
    <w:rsid w:val="77AC4141"/>
    <w:rsid w:val="77C2043B"/>
    <w:rsid w:val="77F008AA"/>
    <w:rsid w:val="77FC0FFD"/>
    <w:rsid w:val="78947487"/>
    <w:rsid w:val="78A143AA"/>
    <w:rsid w:val="78EB094C"/>
    <w:rsid w:val="78F60935"/>
    <w:rsid w:val="793B5B55"/>
    <w:rsid w:val="7960354A"/>
    <w:rsid w:val="79845EB0"/>
    <w:rsid w:val="79E60332"/>
    <w:rsid w:val="7A09042E"/>
    <w:rsid w:val="7A146AD1"/>
    <w:rsid w:val="7A28432B"/>
    <w:rsid w:val="7A2A7C64"/>
    <w:rsid w:val="7A780F72"/>
    <w:rsid w:val="7A817E28"/>
    <w:rsid w:val="7AC8672F"/>
    <w:rsid w:val="7AE21594"/>
    <w:rsid w:val="7B160627"/>
    <w:rsid w:val="7B413445"/>
    <w:rsid w:val="7B5564A4"/>
    <w:rsid w:val="7B6C04C1"/>
    <w:rsid w:val="7B9C5B73"/>
    <w:rsid w:val="7BEE0FE0"/>
    <w:rsid w:val="7BF13A92"/>
    <w:rsid w:val="7C41741F"/>
    <w:rsid w:val="7C444D20"/>
    <w:rsid w:val="7C9C7F15"/>
    <w:rsid w:val="7CA02ABE"/>
    <w:rsid w:val="7CAC1243"/>
    <w:rsid w:val="7CB60958"/>
    <w:rsid w:val="7CD66A2E"/>
    <w:rsid w:val="7D1606C2"/>
    <w:rsid w:val="7D2510FB"/>
    <w:rsid w:val="7D292894"/>
    <w:rsid w:val="7D450D50"/>
    <w:rsid w:val="7D6B7708"/>
    <w:rsid w:val="7DED5C0D"/>
    <w:rsid w:val="7E2022C2"/>
    <w:rsid w:val="7E410D6F"/>
    <w:rsid w:val="7E8A669D"/>
    <w:rsid w:val="7E961FB1"/>
    <w:rsid w:val="7EBD6359"/>
    <w:rsid w:val="7F0A2BB5"/>
    <w:rsid w:val="7F2757FC"/>
    <w:rsid w:val="7F2B5B87"/>
    <w:rsid w:val="7F4D29C0"/>
    <w:rsid w:val="7F601546"/>
    <w:rsid w:val="7F657D2D"/>
    <w:rsid w:val="7F9F50BA"/>
    <w:rsid w:val="7FB96A4E"/>
    <w:rsid w:val="7FD3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8"/>
    <w:qFormat/>
    <w:uiPriority w:val="1"/>
    <w:pPr>
      <w:tabs>
        <w:tab w:val="left" w:pos="903"/>
      </w:tabs>
      <w:autoSpaceDE w:val="0"/>
      <w:autoSpaceDN w:val="0"/>
      <w:spacing w:line="378" w:lineRule="exact"/>
      <w:jc w:val="left"/>
      <w:outlineLvl w:val="0"/>
    </w:pPr>
    <w:rPr>
      <w:rFonts w:ascii="黑体" w:hAnsi="黑体" w:eastAsia="黑体" w:cs="黑体"/>
      <w:kern w:val="0"/>
      <w:sz w:val="32"/>
      <w:szCs w:val="32"/>
      <w:lang w:val="zh-CN" w:bidi="zh-CN"/>
    </w:rPr>
  </w:style>
  <w:style w:type="paragraph" w:styleId="3">
    <w:name w:val="heading 2"/>
    <w:basedOn w:val="1"/>
    <w:next w:val="1"/>
    <w:link w:val="4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9"/>
    <w:unhideWhenUsed/>
    <w:qFormat/>
    <w:uiPriority w:val="1"/>
    <w:pPr>
      <w:keepNext/>
      <w:keepLines/>
      <w:spacing w:before="260" w:after="260" w:line="416" w:lineRule="auto"/>
      <w:outlineLvl w:val="2"/>
    </w:pPr>
    <w:rPr>
      <w:b/>
      <w:bCs/>
      <w:sz w:val="32"/>
      <w:szCs w:val="32"/>
    </w:rPr>
  </w:style>
  <w:style w:type="paragraph" w:styleId="5">
    <w:name w:val="heading 4"/>
    <w:basedOn w:val="1"/>
    <w:next w:val="1"/>
    <w:link w:val="42"/>
    <w:unhideWhenUsed/>
    <w:qFormat/>
    <w:uiPriority w:val="1"/>
    <w:pPr>
      <w:keepNext/>
      <w:keepLines/>
      <w:autoSpaceDE w:val="0"/>
      <w:autoSpaceDN w:val="0"/>
      <w:spacing w:before="280" w:after="290" w:line="376" w:lineRule="auto"/>
      <w:jc w:val="left"/>
      <w:outlineLvl w:val="3"/>
    </w:pPr>
    <w:rPr>
      <w:rFonts w:asciiTheme="majorHAnsi" w:hAnsiTheme="majorHAnsi" w:eastAsiaTheme="majorEastAsia" w:cstheme="majorBidi"/>
      <w:b/>
      <w:bCs/>
      <w:kern w:val="0"/>
      <w:sz w:val="28"/>
      <w:szCs w:val="28"/>
      <w:lang w:val="zh-CN" w:bidi="zh-CN"/>
    </w:rPr>
  </w:style>
  <w:style w:type="paragraph" w:styleId="6">
    <w:name w:val="heading 5"/>
    <w:basedOn w:val="1"/>
    <w:next w:val="1"/>
    <w:link w:val="57"/>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等线" w:hAnsi="等线" w:eastAsia="等线" w:cs="Arial"/>
      <w:b/>
      <w:sz w:val="24"/>
      <w:szCs w:val="20"/>
    </w:rPr>
  </w:style>
  <w:style w:type="paragraph" w:styleId="8">
    <w:name w:val="Document Map"/>
    <w:basedOn w:val="1"/>
    <w:link w:val="47"/>
    <w:unhideWhenUsed/>
    <w:qFormat/>
    <w:uiPriority w:val="0"/>
    <w:pPr>
      <w:autoSpaceDE w:val="0"/>
      <w:autoSpaceDN w:val="0"/>
      <w:jc w:val="left"/>
    </w:pPr>
    <w:rPr>
      <w:rFonts w:ascii="宋体" w:hAnsi="宋体" w:eastAsia="宋体" w:cs="宋体"/>
      <w:kern w:val="0"/>
      <w:sz w:val="24"/>
      <w:szCs w:val="24"/>
      <w:lang w:val="zh-CN" w:bidi="zh-CN"/>
    </w:rPr>
  </w:style>
  <w:style w:type="paragraph" w:styleId="9">
    <w:name w:val="annotation text"/>
    <w:basedOn w:val="1"/>
    <w:link w:val="44"/>
    <w:unhideWhenUsed/>
    <w:qFormat/>
    <w:uiPriority w:val="99"/>
    <w:pPr>
      <w:autoSpaceDE w:val="0"/>
      <w:autoSpaceDN w:val="0"/>
      <w:jc w:val="left"/>
    </w:pPr>
    <w:rPr>
      <w:rFonts w:ascii="宋体" w:hAnsi="宋体" w:eastAsia="宋体" w:cs="宋体"/>
      <w:kern w:val="0"/>
      <w:sz w:val="22"/>
      <w:lang w:val="zh-CN" w:bidi="zh-CN"/>
    </w:rPr>
  </w:style>
  <w:style w:type="paragraph" w:styleId="10">
    <w:name w:val="Body Text"/>
    <w:basedOn w:val="1"/>
    <w:next w:val="11"/>
    <w:link w:val="43"/>
    <w:qFormat/>
    <w:uiPriority w:val="1"/>
    <w:pPr>
      <w:autoSpaceDE w:val="0"/>
      <w:autoSpaceDN w:val="0"/>
      <w:ind w:left="618"/>
      <w:jc w:val="left"/>
    </w:pPr>
    <w:rPr>
      <w:rFonts w:ascii="宋体" w:hAnsi="宋体" w:eastAsia="宋体" w:cs="宋体"/>
      <w:kern w:val="0"/>
      <w:sz w:val="24"/>
      <w:szCs w:val="24"/>
      <w:lang w:val="zh-CN" w:bidi="zh-CN"/>
    </w:rPr>
  </w:style>
  <w:style w:type="paragraph" w:styleId="11">
    <w:name w:val="index 7"/>
    <w:basedOn w:val="1"/>
    <w:next w:val="1"/>
    <w:qFormat/>
    <w:uiPriority w:val="0"/>
    <w:pPr>
      <w:ind w:left="2520"/>
    </w:pPr>
  </w:style>
  <w:style w:type="paragraph" w:styleId="12">
    <w:name w:val="Body Text Indent"/>
    <w:basedOn w:val="1"/>
    <w:next w:val="1"/>
    <w:link w:val="58"/>
    <w:semiHidden/>
    <w:unhideWhenUsed/>
    <w:qFormat/>
    <w:uiPriority w:val="99"/>
    <w:pPr>
      <w:spacing w:after="120"/>
      <w:ind w:left="420" w:leftChars="200"/>
    </w:pPr>
  </w:style>
  <w:style w:type="paragraph" w:styleId="13">
    <w:name w:val="Block Text"/>
    <w:basedOn w:val="1"/>
    <w:qFormat/>
    <w:uiPriority w:val="99"/>
    <w:pPr>
      <w:spacing w:line="360" w:lineRule="auto"/>
      <w:ind w:left="420" w:right="-334" w:rightChars="-159" w:firstLine="420" w:firstLineChars="200"/>
    </w:pPr>
    <w:rPr>
      <w:rFonts w:ascii="Times New Roman" w:hAnsi="Times New Roman" w:eastAsia="宋体" w:cs="Times New Roman"/>
      <w:spacing w:val="20"/>
      <w:sz w:val="24"/>
    </w:rPr>
  </w:style>
  <w:style w:type="paragraph" w:styleId="14">
    <w:name w:val="index 4"/>
    <w:basedOn w:val="1"/>
    <w:next w:val="1"/>
    <w:unhideWhenUsed/>
    <w:qFormat/>
    <w:uiPriority w:val="99"/>
    <w:pPr>
      <w:autoSpaceDE w:val="0"/>
      <w:autoSpaceDN w:val="0"/>
      <w:spacing w:line="360" w:lineRule="auto"/>
      <w:ind w:firstLine="840" w:firstLineChars="400"/>
      <w:jc w:val="left"/>
    </w:pPr>
    <w:rPr>
      <w:rFonts w:ascii="宋体" w:hAnsi="宋体" w:eastAsia="宋体" w:cs="宋体"/>
      <w:kern w:val="0"/>
      <w:sz w:val="22"/>
      <w:lang w:val="zh-CN" w:bidi="zh-CN"/>
    </w:rPr>
  </w:style>
  <w:style w:type="paragraph" w:styleId="15">
    <w:name w:val="toc 3"/>
    <w:basedOn w:val="1"/>
    <w:next w:val="1"/>
    <w:semiHidden/>
    <w:unhideWhenUsed/>
    <w:qFormat/>
    <w:uiPriority w:val="39"/>
    <w:pPr>
      <w:ind w:left="840" w:leftChars="400"/>
    </w:pPr>
  </w:style>
  <w:style w:type="paragraph" w:styleId="16">
    <w:name w:val="Plain Text"/>
    <w:basedOn w:val="1"/>
    <w:link w:val="48"/>
    <w:qFormat/>
    <w:uiPriority w:val="0"/>
    <w:rPr>
      <w:rFonts w:ascii="宋体" w:hAnsi="Courier New"/>
    </w:rPr>
  </w:style>
  <w:style w:type="paragraph" w:styleId="17">
    <w:name w:val="Body Text Indent 2"/>
    <w:basedOn w:val="1"/>
    <w:unhideWhenUsed/>
    <w:qFormat/>
    <w:uiPriority w:val="0"/>
    <w:pPr>
      <w:spacing w:after="120" w:line="480" w:lineRule="auto"/>
      <w:ind w:left="420" w:leftChars="200"/>
    </w:pPr>
  </w:style>
  <w:style w:type="paragraph" w:styleId="18">
    <w:name w:val="Balloon Text"/>
    <w:basedOn w:val="1"/>
    <w:link w:val="50"/>
    <w:unhideWhenUsed/>
    <w:qFormat/>
    <w:uiPriority w:val="99"/>
    <w:pPr>
      <w:autoSpaceDE w:val="0"/>
      <w:autoSpaceDN w:val="0"/>
      <w:jc w:val="left"/>
    </w:pPr>
    <w:rPr>
      <w:rFonts w:ascii="宋体" w:hAnsi="宋体" w:eastAsia="宋体" w:cs="宋体"/>
      <w:kern w:val="0"/>
      <w:sz w:val="18"/>
      <w:szCs w:val="18"/>
      <w:lang w:val="zh-CN" w:bidi="zh-CN"/>
    </w:rPr>
  </w:style>
  <w:style w:type="paragraph" w:styleId="19">
    <w:name w:val="footer"/>
    <w:basedOn w:val="1"/>
    <w:link w:val="51"/>
    <w:unhideWhenUsed/>
    <w:qFormat/>
    <w:uiPriority w:val="99"/>
    <w:pPr>
      <w:tabs>
        <w:tab w:val="center" w:pos="4153"/>
        <w:tab w:val="right" w:pos="8306"/>
      </w:tabs>
      <w:autoSpaceDE w:val="0"/>
      <w:autoSpaceDN w:val="0"/>
      <w:snapToGrid w:val="0"/>
      <w:jc w:val="left"/>
    </w:pPr>
    <w:rPr>
      <w:rFonts w:ascii="宋体" w:hAnsi="宋体" w:eastAsia="宋体" w:cs="宋体"/>
      <w:kern w:val="0"/>
      <w:sz w:val="18"/>
      <w:szCs w:val="18"/>
      <w:lang w:val="zh-CN" w:bidi="zh-CN"/>
    </w:rPr>
  </w:style>
  <w:style w:type="paragraph" w:styleId="20">
    <w:name w:val="envelope return"/>
    <w:basedOn w:val="1"/>
    <w:unhideWhenUsed/>
    <w:qFormat/>
    <w:uiPriority w:val="99"/>
    <w:pPr>
      <w:snapToGrid w:val="0"/>
    </w:pPr>
    <w:rPr>
      <w:rFonts w:ascii="Cambria" w:hAnsi="Cambria" w:eastAsia="宋体" w:cs="Times New Roman"/>
    </w:rPr>
  </w:style>
  <w:style w:type="paragraph" w:styleId="21">
    <w:name w:val="header"/>
    <w:basedOn w:val="1"/>
    <w:link w:val="52"/>
    <w:unhideWhenUsed/>
    <w:qFormat/>
    <w:uiPriority w:val="99"/>
    <w:pPr>
      <w:pBdr>
        <w:bottom w:val="single" w:color="auto" w:sz="6" w:space="1"/>
      </w:pBdr>
      <w:tabs>
        <w:tab w:val="center" w:pos="4153"/>
        <w:tab w:val="right" w:pos="8306"/>
      </w:tabs>
      <w:autoSpaceDE w:val="0"/>
      <w:autoSpaceDN w:val="0"/>
      <w:snapToGrid w:val="0"/>
      <w:jc w:val="center"/>
    </w:pPr>
    <w:rPr>
      <w:rFonts w:ascii="宋体" w:hAnsi="宋体" w:eastAsia="宋体" w:cs="宋体"/>
      <w:kern w:val="0"/>
      <w:sz w:val="18"/>
      <w:szCs w:val="18"/>
      <w:lang w:val="zh-CN" w:bidi="zh-CN"/>
    </w:rPr>
  </w:style>
  <w:style w:type="paragraph" w:styleId="22">
    <w:name w:val="toc 1"/>
    <w:basedOn w:val="1"/>
    <w:next w:val="1"/>
    <w:qFormat/>
    <w:uiPriority w:val="39"/>
    <w:pPr>
      <w:autoSpaceDE w:val="0"/>
      <w:autoSpaceDN w:val="0"/>
      <w:spacing w:before="866"/>
      <w:ind w:left="618"/>
      <w:jc w:val="left"/>
    </w:pPr>
    <w:rPr>
      <w:rFonts w:ascii="宋体" w:hAnsi="宋体" w:eastAsia="宋体" w:cs="宋体"/>
      <w:b/>
      <w:bCs/>
      <w:kern w:val="0"/>
      <w:sz w:val="24"/>
      <w:szCs w:val="24"/>
      <w:lang w:val="zh-CN" w:bidi="zh-CN"/>
    </w:rPr>
  </w:style>
  <w:style w:type="paragraph" w:styleId="23">
    <w:name w:val="toc 2"/>
    <w:basedOn w:val="1"/>
    <w:next w:val="1"/>
    <w:semiHidden/>
    <w:unhideWhenUsed/>
    <w:qFormat/>
    <w:uiPriority w:val="39"/>
    <w:pPr>
      <w:ind w:left="420" w:leftChars="200"/>
    </w:pPr>
  </w:style>
  <w:style w:type="paragraph" w:styleId="24">
    <w:name w:val="annotation subject"/>
    <w:basedOn w:val="9"/>
    <w:next w:val="9"/>
    <w:link w:val="46"/>
    <w:unhideWhenUsed/>
    <w:qFormat/>
    <w:uiPriority w:val="99"/>
    <w:pPr>
      <w:autoSpaceDE/>
      <w:autoSpaceDN/>
    </w:pPr>
    <w:rPr>
      <w:rFonts w:asciiTheme="minorHAnsi" w:hAnsiTheme="minorHAnsi" w:eastAsiaTheme="minorEastAsia" w:cstheme="minorBidi"/>
      <w:b/>
      <w:bCs/>
      <w:kern w:val="2"/>
      <w:sz w:val="21"/>
      <w:lang w:val="en-US" w:bidi="ar-SA"/>
    </w:rPr>
  </w:style>
  <w:style w:type="paragraph" w:styleId="25">
    <w:name w:val="Body Text First Indent"/>
    <w:basedOn w:val="10"/>
    <w:link w:val="60"/>
    <w:unhideWhenUsed/>
    <w:qFormat/>
    <w:uiPriority w:val="99"/>
    <w:pPr>
      <w:autoSpaceDE/>
      <w:autoSpaceDN/>
      <w:spacing w:after="120"/>
      <w:ind w:left="0" w:firstLine="420" w:firstLineChars="100"/>
      <w:jc w:val="both"/>
    </w:pPr>
    <w:rPr>
      <w:rFonts w:asciiTheme="minorHAnsi" w:hAnsiTheme="minorHAnsi" w:eastAsiaTheme="minorEastAsia" w:cstheme="minorBidi"/>
      <w:kern w:val="2"/>
      <w:sz w:val="21"/>
      <w:szCs w:val="22"/>
      <w:lang w:val="en-US" w:bidi="ar-SA"/>
    </w:rPr>
  </w:style>
  <w:style w:type="paragraph" w:styleId="26">
    <w:name w:val="Body Text First Indent 2"/>
    <w:basedOn w:val="12"/>
    <w:link w:val="59"/>
    <w:semiHidden/>
    <w:unhideWhenUsed/>
    <w:qFormat/>
    <w:uiPriority w:val="99"/>
    <w:pPr>
      <w:ind w:firstLine="420" w:firstLineChars="200"/>
    </w:pPr>
  </w:style>
  <w:style w:type="table" w:styleId="28">
    <w:name w:val="Table Grid"/>
    <w:basedOn w:val="2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Emphasis"/>
    <w:basedOn w:val="29"/>
    <w:qFormat/>
    <w:uiPriority w:val="20"/>
    <w:rPr>
      <w:i/>
    </w:rPr>
  </w:style>
  <w:style w:type="character" w:styleId="33">
    <w:name w:val="Hyperlink"/>
    <w:basedOn w:val="29"/>
    <w:unhideWhenUsed/>
    <w:qFormat/>
    <w:uiPriority w:val="99"/>
    <w:rPr>
      <w:color w:val="0563C1" w:themeColor="hyperlink"/>
      <w:u w:val="single"/>
      <w14:textFill>
        <w14:solidFill>
          <w14:schemeClr w14:val="hlink"/>
        </w14:solidFill>
      </w14:textFill>
    </w:rPr>
  </w:style>
  <w:style w:type="character" w:styleId="34">
    <w:name w:val="annotation reference"/>
    <w:basedOn w:val="29"/>
    <w:unhideWhenUsed/>
    <w:qFormat/>
    <w:uiPriority w:val="99"/>
    <w:rPr>
      <w:sz w:val="21"/>
      <w:szCs w:val="21"/>
    </w:rPr>
  </w:style>
  <w:style w:type="paragraph" w:customStyle="1" w:styleId="35">
    <w:name w:val="首行缩进"/>
    <w:basedOn w:val="1"/>
    <w:qFormat/>
    <w:uiPriority w:val="0"/>
    <w:pPr>
      <w:spacing w:line="360" w:lineRule="auto"/>
      <w:ind w:firstLine="420" w:firstLineChars="200"/>
    </w:pPr>
    <w:rPr>
      <w:sz w:val="20"/>
    </w:rPr>
  </w:style>
  <w:style w:type="paragraph" w:styleId="36">
    <w:name w:val="List Paragraph"/>
    <w:basedOn w:val="1"/>
    <w:next w:val="1"/>
    <w:qFormat/>
    <w:uiPriority w:val="34"/>
    <w:pPr>
      <w:ind w:firstLine="420"/>
    </w:pPr>
  </w:style>
  <w:style w:type="paragraph" w:customStyle="1" w:styleId="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一级标题"/>
    <w:basedOn w:val="1"/>
    <w:qFormat/>
    <w:uiPriority w:val="0"/>
    <w:pPr>
      <w:tabs>
        <w:tab w:val="left" w:pos="903"/>
      </w:tabs>
      <w:spacing w:line="360" w:lineRule="auto"/>
      <w:ind w:left="900" w:hanging="420"/>
    </w:pPr>
    <w:rPr>
      <w:rFonts w:ascii="Arial" w:hAnsi="Arial" w:cs="Arial"/>
      <w:sz w:val="24"/>
    </w:rPr>
  </w:style>
  <w:style w:type="character" w:customStyle="1" w:styleId="39">
    <w:name w:val="标题 3 字符"/>
    <w:basedOn w:val="29"/>
    <w:link w:val="4"/>
    <w:qFormat/>
    <w:uiPriority w:val="1"/>
    <w:rPr>
      <w:b/>
      <w:bCs/>
      <w:sz w:val="32"/>
      <w:szCs w:val="32"/>
    </w:rPr>
  </w:style>
  <w:style w:type="character" w:customStyle="1" w:styleId="40">
    <w:name w:val="标题 1 字符"/>
    <w:basedOn w:val="29"/>
    <w:qFormat/>
    <w:uiPriority w:val="1"/>
    <w:rPr>
      <w:rFonts w:ascii="黑体" w:hAnsi="黑体" w:eastAsia="黑体" w:cs="黑体"/>
      <w:kern w:val="0"/>
      <w:sz w:val="32"/>
      <w:szCs w:val="32"/>
      <w:lang w:val="zh-CN" w:bidi="zh-CN"/>
    </w:rPr>
  </w:style>
  <w:style w:type="character" w:customStyle="1" w:styleId="41">
    <w:name w:val="标题 2 字符"/>
    <w:basedOn w:val="29"/>
    <w:link w:val="3"/>
    <w:qFormat/>
    <w:uiPriority w:val="1"/>
    <w:rPr>
      <w:rFonts w:asciiTheme="majorHAnsi" w:hAnsiTheme="majorHAnsi" w:eastAsiaTheme="majorEastAsia" w:cstheme="majorBidi"/>
      <w:b/>
      <w:bCs/>
      <w:sz w:val="32"/>
      <w:szCs w:val="32"/>
    </w:rPr>
  </w:style>
  <w:style w:type="character" w:customStyle="1" w:styleId="42">
    <w:name w:val="标题 4 字符"/>
    <w:basedOn w:val="29"/>
    <w:link w:val="5"/>
    <w:qFormat/>
    <w:uiPriority w:val="1"/>
    <w:rPr>
      <w:rFonts w:asciiTheme="majorHAnsi" w:hAnsiTheme="majorHAnsi" w:eastAsiaTheme="majorEastAsia" w:cstheme="majorBidi"/>
      <w:b/>
      <w:bCs/>
      <w:kern w:val="0"/>
      <w:sz w:val="28"/>
      <w:szCs w:val="28"/>
      <w:lang w:val="zh-CN" w:bidi="zh-CN"/>
    </w:rPr>
  </w:style>
  <w:style w:type="character" w:customStyle="1" w:styleId="43">
    <w:name w:val="正文文本 字符"/>
    <w:basedOn w:val="29"/>
    <w:link w:val="10"/>
    <w:qFormat/>
    <w:uiPriority w:val="1"/>
    <w:rPr>
      <w:rFonts w:ascii="宋体" w:hAnsi="宋体" w:eastAsia="宋体" w:cs="宋体"/>
      <w:kern w:val="0"/>
      <w:sz w:val="24"/>
      <w:szCs w:val="24"/>
      <w:lang w:val="zh-CN" w:bidi="zh-CN"/>
    </w:rPr>
  </w:style>
  <w:style w:type="character" w:customStyle="1" w:styleId="44">
    <w:name w:val="批注文字 字符"/>
    <w:basedOn w:val="29"/>
    <w:link w:val="9"/>
    <w:semiHidden/>
    <w:qFormat/>
    <w:uiPriority w:val="99"/>
    <w:rPr>
      <w:rFonts w:ascii="宋体" w:hAnsi="宋体" w:eastAsia="宋体" w:cs="宋体"/>
      <w:kern w:val="0"/>
      <w:sz w:val="22"/>
      <w:lang w:val="zh-CN" w:bidi="zh-CN"/>
    </w:rPr>
  </w:style>
  <w:style w:type="paragraph" w:customStyle="1" w:styleId="45">
    <w:name w:val="列出段落1"/>
    <w:basedOn w:val="1"/>
    <w:qFormat/>
    <w:uiPriority w:val="1"/>
    <w:pPr>
      <w:autoSpaceDE w:val="0"/>
      <w:autoSpaceDN w:val="0"/>
      <w:ind w:left="618" w:firstLine="240"/>
      <w:jc w:val="left"/>
    </w:pPr>
    <w:rPr>
      <w:rFonts w:ascii="宋体" w:hAnsi="宋体" w:eastAsia="宋体" w:cs="宋体"/>
      <w:kern w:val="0"/>
      <w:sz w:val="22"/>
      <w:lang w:val="zh-CN" w:bidi="zh-CN"/>
    </w:rPr>
  </w:style>
  <w:style w:type="character" w:customStyle="1" w:styleId="46">
    <w:name w:val="批注主题 字符"/>
    <w:basedOn w:val="44"/>
    <w:link w:val="24"/>
    <w:semiHidden/>
    <w:qFormat/>
    <w:uiPriority w:val="99"/>
    <w:rPr>
      <w:rFonts w:ascii="宋体" w:hAnsi="宋体" w:eastAsia="宋体" w:cs="宋体"/>
      <w:b/>
      <w:bCs/>
      <w:kern w:val="0"/>
      <w:sz w:val="22"/>
      <w:lang w:val="zh-CN" w:bidi="zh-CN"/>
    </w:rPr>
  </w:style>
  <w:style w:type="character" w:customStyle="1" w:styleId="47">
    <w:name w:val="文档结构图 字符"/>
    <w:basedOn w:val="29"/>
    <w:link w:val="8"/>
    <w:semiHidden/>
    <w:qFormat/>
    <w:uiPriority w:val="99"/>
    <w:rPr>
      <w:rFonts w:ascii="宋体" w:hAnsi="宋体" w:eastAsia="宋体" w:cs="宋体"/>
      <w:kern w:val="0"/>
      <w:sz w:val="24"/>
      <w:szCs w:val="24"/>
      <w:lang w:val="zh-CN" w:bidi="zh-CN"/>
    </w:rPr>
  </w:style>
  <w:style w:type="character" w:customStyle="1" w:styleId="48">
    <w:name w:val="纯文本 字符1"/>
    <w:basedOn w:val="29"/>
    <w:link w:val="16"/>
    <w:qFormat/>
    <w:uiPriority w:val="0"/>
    <w:rPr>
      <w:rFonts w:ascii="宋体" w:hAnsi="Courier New"/>
    </w:rPr>
  </w:style>
  <w:style w:type="character" w:customStyle="1" w:styleId="49">
    <w:name w:val="纯文本 字符"/>
    <w:basedOn w:val="29"/>
    <w:semiHidden/>
    <w:qFormat/>
    <w:uiPriority w:val="99"/>
    <w:rPr>
      <w:rFonts w:hAnsi="Courier New" w:cs="Courier New" w:asciiTheme="minorEastAsia"/>
    </w:rPr>
  </w:style>
  <w:style w:type="character" w:customStyle="1" w:styleId="50">
    <w:name w:val="批注框文本 字符"/>
    <w:basedOn w:val="29"/>
    <w:link w:val="18"/>
    <w:semiHidden/>
    <w:qFormat/>
    <w:uiPriority w:val="99"/>
    <w:rPr>
      <w:rFonts w:ascii="宋体" w:hAnsi="宋体" w:eastAsia="宋体" w:cs="宋体"/>
      <w:kern w:val="0"/>
      <w:sz w:val="18"/>
      <w:szCs w:val="18"/>
      <w:lang w:val="zh-CN" w:bidi="zh-CN"/>
    </w:rPr>
  </w:style>
  <w:style w:type="character" w:customStyle="1" w:styleId="51">
    <w:name w:val="页脚 字符"/>
    <w:basedOn w:val="29"/>
    <w:link w:val="19"/>
    <w:qFormat/>
    <w:uiPriority w:val="99"/>
    <w:rPr>
      <w:rFonts w:ascii="宋体" w:hAnsi="宋体" w:eastAsia="宋体" w:cs="宋体"/>
      <w:kern w:val="0"/>
      <w:sz w:val="18"/>
      <w:szCs w:val="18"/>
      <w:lang w:val="zh-CN" w:bidi="zh-CN"/>
    </w:rPr>
  </w:style>
  <w:style w:type="character" w:customStyle="1" w:styleId="52">
    <w:name w:val="页眉 字符"/>
    <w:basedOn w:val="29"/>
    <w:link w:val="21"/>
    <w:qFormat/>
    <w:uiPriority w:val="99"/>
    <w:rPr>
      <w:rFonts w:ascii="宋体" w:hAnsi="宋体" w:eastAsia="宋体" w:cs="宋体"/>
      <w:kern w:val="0"/>
      <w:sz w:val="18"/>
      <w:szCs w:val="18"/>
      <w:lang w:val="zh-CN" w:bidi="zh-CN"/>
    </w:rPr>
  </w:style>
  <w:style w:type="paragraph" w:customStyle="1" w:styleId="53">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54">
    <w:name w:val="列出段落11"/>
    <w:basedOn w:val="1"/>
    <w:qFormat/>
    <w:uiPriority w:val="0"/>
    <w:pPr>
      <w:widowControl/>
      <w:autoSpaceDE w:val="0"/>
      <w:autoSpaceDN w:val="0"/>
      <w:ind w:left="720"/>
      <w:contextualSpacing/>
      <w:jc w:val="left"/>
    </w:pPr>
    <w:rPr>
      <w:rFonts w:ascii="Arial" w:hAnsi="Arial" w:eastAsia="黑体" w:cs="宋体"/>
      <w:kern w:val="0"/>
      <w:sz w:val="24"/>
      <w:szCs w:val="24"/>
      <w:lang w:val="zh-CN" w:eastAsia="en-US" w:bidi="zh-CN"/>
    </w:rPr>
  </w:style>
  <w:style w:type="paragraph" w:customStyle="1" w:styleId="55">
    <w:name w:val="正文_2_62"/>
    <w:basedOn w:val="1"/>
    <w:qFormat/>
    <w:uiPriority w:val="0"/>
    <w:pPr>
      <w:autoSpaceDE w:val="0"/>
      <w:autoSpaceDN w:val="0"/>
      <w:jc w:val="left"/>
    </w:pPr>
    <w:rPr>
      <w:rFonts w:ascii="Times New Roman" w:hAnsi="Times New Roman" w:eastAsia="宋体" w:cs="Times New Roman"/>
      <w:kern w:val="0"/>
      <w:sz w:val="22"/>
      <w:szCs w:val="21"/>
      <w:lang w:val="zh-CN" w:bidi="zh-CN"/>
    </w:rPr>
  </w:style>
  <w:style w:type="character" w:customStyle="1" w:styleId="56">
    <w:name w:val="未处理的提及1"/>
    <w:basedOn w:val="29"/>
    <w:unhideWhenUsed/>
    <w:qFormat/>
    <w:uiPriority w:val="99"/>
    <w:rPr>
      <w:color w:val="605E5C"/>
      <w:shd w:val="clear" w:color="auto" w:fill="E1DFDD"/>
    </w:rPr>
  </w:style>
  <w:style w:type="character" w:customStyle="1" w:styleId="57">
    <w:name w:val="标题 5 字符"/>
    <w:basedOn w:val="29"/>
    <w:link w:val="6"/>
    <w:semiHidden/>
    <w:qFormat/>
    <w:uiPriority w:val="9"/>
    <w:rPr>
      <w:b/>
      <w:bCs/>
      <w:kern w:val="2"/>
      <w:sz w:val="28"/>
      <w:szCs w:val="28"/>
    </w:rPr>
  </w:style>
  <w:style w:type="character" w:customStyle="1" w:styleId="58">
    <w:name w:val="正文文本缩进 字符"/>
    <w:basedOn w:val="29"/>
    <w:link w:val="12"/>
    <w:semiHidden/>
    <w:qFormat/>
    <w:uiPriority w:val="99"/>
    <w:rPr>
      <w:kern w:val="2"/>
      <w:sz w:val="21"/>
      <w:szCs w:val="22"/>
    </w:rPr>
  </w:style>
  <w:style w:type="character" w:customStyle="1" w:styleId="59">
    <w:name w:val="正文文本首行缩进 2 字符"/>
    <w:basedOn w:val="58"/>
    <w:link w:val="26"/>
    <w:semiHidden/>
    <w:qFormat/>
    <w:uiPriority w:val="99"/>
    <w:rPr>
      <w:kern w:val="2"/>
      <w:sz w:val="21"/>
      <w:szCs w:val="22"/>
    </w:rPr>
  </w:style>
  <w:style w:type="character" w:customStyle="1" w:styleId="60">
    <w:name w:val="正文文本首行缩进 字符"/>
    <w:basedOn w:val="43"/>
    <w:link w:val="25"/>
    <w:qFormat/>
    <w:uiPriority w:val="99"/>
    <w:rPr>
      <w:rFonts w:ascii="宋体" w:hAnsi="宋体" w:eastAsia="宋体" w:cs="宋体"/>
      <w:kern w:val="2"/>
      <w:sz w:val="21"/>
      <w:szCs w:val="22"/>
      <w:lang w:val="zh-CN" w:bidi="zh-CN"/>
    </w:rPr>
  </w:style>
  <w:style w:type="paragraph" w:customStyle="1" w:styleId="61">
    <w:name w:val="H正文"/>
    <w:basedOn w:val="62"/>
    <w:qFormat/>
    <w:uiPriority w:val="0"/>
  </w:style>
  <w:style w:type="paragraph" w:customStyle="1" w:styleId="62">
    <w:name w:val="标题-正文"/>
    <w:basedOn w:val="1"/>
    <w:qFormat/>
    <w:uiPriority w:val="7"/>
    <w:pPr>
      <w:spacing w:before="60" w:after="60" w:line="360" w:lineRule="auto"/>
      <w:ind w:firstLine="480" w:firstLineChars="200"/>
    </w:pPr>
    <w:rPr>
      <w:rFonts w:ascii="Times New Roman" w:hAnsi="Times New Roman" w:eastAsia="宋体"/>
      <w:sz w:val="24"/>
      <w:szCs w:val="24"/>
    </w:rPr>
  </w:style>
  <w:style w:type="paragraph" w:customStyle="1" w:styleId="63">
    <w:name w:val="章标题"/>
    <w:next w:val="64"/>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NormalCharacter"/>
    <w:semiHidden/>
    <w:qFormat/>
    <w:uiPriority w:val="0"/>
  </w:style>
  <w:style w:type="paragraph" w:customStyle="1" w:styleId="66">
    <w:name w:val="11"/>
    <w:next w:val="12"/>
    <w:qFormat/>
    <w:uiPriority w:val="0"/>
    <w:pPr>
      <w:widowControl w:val="0"/>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样式 首行缩进:  0 字符"/>
    <w:basedOn w:val="1"/>
    <w:qFormat/>
    <w:uiPriority w:val="0"/>
  </w:style>
  <w:style w:type="character" w:customStyle="1" w:styleId="69">
    <w:name w:val="font41"/>
    <w:qFormat/>
    <w:uiPriority w:val="0"/>
    <w:rPr>
      <w:rFonts w:hint="eastAsia" w:ascii="仿宋" w:hAnsi="仿宋" w:eastAsia="仿宋" w:cs="仿宋"/>
      <w:color w:val="FF0000"/>
      <w:sz w:val="21"/>
      <w:szCs w:val="21"/>
      <w:u w:val="none"/>
    </w:rPr>
  </w:style>
  <w:style w:type="character" w:customStyle="1" w:styleId="70">
    <w:name w:val="font21"/>
    <w:basedOn w:val="29"/>
    <w:qFormat/>
    <w:uiPriority w:val="0"/>
    <w:rPr>
      <w:rFonts w:hint="eastAsia" w:ascii="仿宋" w:hAnsi="仿宋" w:eastAsia="仿宋" w:cs="仿宋"/>
      <w:color w:val="000000"/>
      <w:sz w:val="20"/>
      <w:szCs w:val="20"/>
      <w:u w:val="none"/>
    </w:rPr>
  </w:style>
  <w:style w:type="paragraph" w:customStyle="1" w:styleId="71">
    <w:name w:val="z-窗体顶端1"/>
    <w:basedOn w:val="1"/>
    <w:qFormat/>
    <w:uiPriority w:val="0"/>
    <w:pPr>
      <w:ind w:firstLine="420" w:firstLineChars="200"/>
    </w:pPr>
  </w:style>
  <w:style w:type="paragraph" w:styleId="7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UserStyle_327"/>
    <w:qFormat/>
    <w:uiPriority w:val="0"/>
    <w:pPr>
      <w:textAlignment w:val="baseline"/>
    </w:pPr>
    <w:rPr>
      <w:rFonts w:ascii="宋体" w:hAnsi="Calibri" w:eastAsia="宋体" w:cs="Times New Roman"/>
      <w:color w:val="000000"/>
      <w:sz w:val="24"/>
      <w:szCs w:val="24"/>
      <w:lang w:val="en-US" w:eastAsia="zh-CN" w:bidi="ar-SA"/>
    </w:rPr>
  </w:style>
  <w:style w:type="paragraph" w:customStyle="1" w:styleId="74">
    <w:name w:val="Body text|1"/>
    <w:basedOn w:val="1"/>
    <w:qFormat/>
    <w:uiPriority w:val="0"/>
    <w:pPr>
      <w:spacing w:after="160" w:line="480" w:lineRule="auto"/>
      <w:ind w:firstLine="220"/>
    </w:pPr>
    <w:rPr>
      <w:rFonts w:ascii="宋体" w:hAnsi="宋体" w:eastAsia="宋体" w:cs="宋体"/>
      <w:sz w:val="26"/>
      <w:szCs w:val="26"/>
      <w:lang w:val="zh-TW" w:eastAsia="zh-TW" w:bidi="zh-TW"/>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正文1"/>
    <w:basedOn w:val="1"/>
    <w:next w:val="1"/>
    <w:qFormat/>
    <w:uiPriority w:val="0"/>
    <w:pPr>
      <w:widowControl/>
      <w:spacing w:line="360" w:lineRule="auto"/>
      <w:ind w:left="357" w:firstLine="420"/>
      <w:jc w:val="left"/>
    </w:pPr>
    <w:rPr>
      <w:rFonts w:cs="Arial"/>
      <w:szCs w:val="20"/>
    </w:rPr>
  </w:style>
  <w:style w:type="character" w:customStyle="1" w:styleId="78">
    <w:name w:val="标题 1 字符1"/>
    <w:link w:val="2"/>
    <w:qFormat/>
    <w:uiPriority w:val="99"/>
    <w:rPr>
      <w:rFonts w:ascii="黑体" w:hAnsi="黑体" w:eastAsia="黑体"/>
      <w:sz w:val="72"/>
      <w:szCs w:val="72"/>
    </w:rPr>
  </w:style>
  <w:style w:type="paragraph" w:customStyle="1" w:styleId="7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80">
    <w:name w:val="表格"/>
    <w:basedOn w:val="1"/>
    <w:qFormat/>
    <w:uiPriority w:val="0"/>
    <w:pPr>
      <w:spacing w:line="360" w:lineRule="exact"/>
      <w:jc w:val="center"/>
    </w:pPr>
    <w:rPr>
      <w:rFonts w:ascii="Times New Roman" w:hAnsi="Times New Roman"/>
      <w:sz w:val="28"/>
      <w:szCs w:val="21"/>
    </w:rPr>
  </w:style>
  <w:style w:type="character" w:customStyle="1" w:styleId="81">
    <w:name w:val="zhengwen1"/>
    <w:qFormat/>
    <w:uiPriority w:val="99"/>
    <w:rPr>
      <w:sz w:val="21"/>
    </w:rPr>
  </w:style>
  <w:style w:type="paragraph" w:customStyle="1" w:styleId="82">
    <w:name w:val="标准文本"/>
    <w:basedOn w:val="1"/>
    <w:qFormat/>
    <w:uiPriority w:val="0"/>
    <w:pPr>
      <w:spacing w:line="360" w:lineRule="auto"/>
      <w:ind w:firstLine="480" w:firstLineChars="200"/>
    </w:pPr>
    <w:rPr>
      <w:rFonts w:cs="宋体"/>
      <w:sz w:val="24"/>
    </w:rPr>
  </w:style>
  <w:style w:type="paragraph" w:customStyle="1" w:styleId="83">
    <w:name w:val="UserStyle_0"/>
    <w:basedOn w:val="1"/>
    <w:qFormat/>
    <w:uiPriority w:val="0"/>
    <w:pPr>
      <w:spacing w:line="360" w:lineRule="auto"/>
      <w:ind w:firstLine="480" w:firstLineChars="200"/>
      <w:jc w:val="left"/>
      <w:textAlignment w:val="baseline"/>
    </w:pPr>
    <w:rPr>
      <w:rFonts w:ascii="宋体" w:hAnsi="宋体" w:eastAsia="Calibri"/>
      <w:sz w:val="24"/>
      <w:szCs w:val="24"/>
      <w:lang w:val="en-US" w:eastAsia="en-US" w:bidi="ar-SA"/>
    </w:rPr>
  </w:style>
  <w:style w:type="paragraph" w:customStyle="1" w:styleId="84">
    <w:name w:val="BodyText"/>
    <w:basedOn w:val="1"/>
    <w:qFormat/>
    <w:uiPriority w:val="0"/>
    <w:pPr>
      <w:spacing w:before="34"/>
      <w:ind w:left="118"/>
      <w:textAlignment w:val="baseline"/>
    </w:pPr>
    <w:rPr>
      <w:rFonts w:ascii="宋体" w:hAnsi="宋体" w:eastAsia="宋体"/>
      <w:sz w:val="24"/>
      <w:szCs w:val="24"/>
    </w:rPr>
  </w:style>
  <w:style w:type="paragraph" w:customStyle="1" w:styleId="85">
    <w:name w:val="NormalIndent"/>
    <w:basedOn w:val="1"/>
    <w:qFormat/>
    <w:uiPriority w:val="0"/>
    <w:pPr>
      <w:ind w:firstLine="420"/>
      <w:textAlignment w:val="baseline"/>
    </w:pPr>
  </w:style>
  <w:style w:type="paragraph" w:customStyle="1" w:styleId="86">
    <w:name w:val="Heading3"/>
    <w:next w:val="1"/>
    <w:qFormat/>
    <w:uiPriority w:val="0"/>
    <w:pPr>
      <w:textAlignment w:val="baseline"/>
    </w:pPr>
    <w:rPr>
      <w:rFonts w:ascii="黑体" w:hAnsi="黑体" w:eastAsia="黑体" w:cs="Times New Roman"/>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553ADF-5FFD-4E83-A2CC-987AFC7E7E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24315</Words>
  <Characters>25324</Characters>
  <Lines>257</Lines>
  <Paragraphs>72</Paragraphs>
  <TotalTime>2</TotalTime>
  <ScaleCrop>false</ScaleCrop>
  <LinksUpToDate>false</LinksUpToDate>
  <CharactersWithSpaces>26482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2022-04-07T00:07:00Z</dcterms:created>
  <dc:creator>34617</dc:creator>
  <cp:lastModifiedBy>张林</cp:lastModifiedBy>
  <cp:lastPrinted>2022-09-13T01:07:00Z</cp:lastPrinted>
  <dcterms:modified xsi:type="dcterms:W3CDTF">2023-12-15T03:22:50Z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14606EEFF0DB46AC98900E7DE77AA7B0_13</vt:lpwstr>
  </property>
</Properties>
</file>