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16"/>
        <w:rPr>
          <w:rFonts w:hint="eastAsia" w:ascii="宋体" w:hAnsi="宋体" w:eastAsia="宋体" w:cs="宋体"/>
        </w:rPr>
      </w:pPr>
      <w:r>
        <w:rPr>
          <w:rFonts w:hint="eastAsia" w:cs="宋体"/>
          <w:w w:val="95"/>
          <w:lang w:val="en-US" w:eastAsia="zh-CN"/>
        </w:rPr>
        <w:t>竞争性磋商</w:t>
      </w:r>
      <w:r>
        <w:rPr>
          <w:rFonts w:hint="eastAsia" w:ascii="宋体" w:hAnsi="宋体" w:eastAsia="宋体" w:cs="宋体"/>
          <w:w w:val="95"/>
        </w:rPr>
        <w:t>文</w:t>
      </w:r>
      <w:r>
        <w:rPr>
          <w:rFonts w:hint="eastAsia" w:ascii="宋体" w:hAnsi="宋体" w:eastAsia="宋体" w:cs="宋体"/>
          <w:spacing w:val="-10"/>
          <w:w w:val="95"/>
        </w:rPr>
        <w:t>件</w:t>
      </w:r>
    </w:p>
    <w:p>
      <w:pPr>
        <w:pStyle w:val="9"/>
        <w:rPr>
          <w:rFonts w:hint="eastAsia" w:ascii="宋体" w:hAnsi="宋体" w:eastAsia="宋体" w:cs="宋体"/>
          <w:b/>
          <w:sz w:val="82"/>
          <w:u w:val="none"/>
        </w:rPr>
      </w:pPr>
    </w:p>
    <w:p>
      <w:pPr>
        <w:pStyle w:val="9"/>
        <w:spacing w:before="10"/>
        <w:rPr>
          <w:rFonts w:hint="eastAsia" w:ascii="仿宋" w:hAnsi="仿宋" w:eastAsia="仿宋" w:cs="仿宋"/>
          <w:b/>
          <w:sz w:val="81"/>
          <w:u w:val="none"/>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b/>
          <w:sz w:val="36"/>
          <w:lang w:val="en-US" w:eastAsia="zh-CN"/>
        </w:rPr>
      </w:pPr>
      <w:r>
        <w:rPr>
          <w:rFonts w:hint="eastAsia" w:ascii="宋体" w:hAnsi="宋体" w:eastAsia="宋体" w:cs="宋体"/>
          <w:b/>
          <w:spacing w:val="-2"/>
          <w:w w:val="95"/>
          <w:sz w:val="36"/>
        </w:rPr>
        <w:t>项目编号：</w:t>
      </w:r>
      <w:r>
        <w:rPr>
          <w:rFonts w:hint="eastAsia" w:cs="宋体"/>
          <w:b/>
          <w:spacing w:val="-2"/>
          <w:w w:val="95"/>
          <w:sz w:val="36"/>
          <w:lang w:eastAsia="zh-CN"/>
        </w:rPr>
        <w:t>NJJS20220010</w:t>
      </w:r>
    </w:p>
    <w:p>
      <w:pPr>
        <w:keepNext w:val="0"/>
        <w:keepLines w:val="0"/>
        <w:pageBreakBefore w:val="0"/>
        <w:widowControl w:val="0"/>
        <w:kinsoku/>
        <w:wordWrap/>
        <w:overflowPunct/>
        <w:topLinePunct w:val="0"/>
        <w:autoSpaceDE w:val="0"/>
        <w:autoSpaceDN w:val="0"/>
        <w:bidi w:val="0"/>
        <w:adjustRightInd/>
        <w:snapToGrid/>
        <w:spacing w:before="38" w:line="360" w:lineRule="auto"/>
        <w:ind w:left="0" w:right="1190" w:firstLine="0"/>
        <w:jc w:val="left"/>
        <w:textAlignment w:val="auto"/>
        <w:rPr>
          <w:rFonts w:hint="eastAsia" w:ascii="宋体" w:hAnsi="宋体" w:eastAsia="宋体" w:cs="宋体"/>
          <w:b/>
          <w:spacing w:val="-2"/>
          <w:w w:val="95"/>
          <w:sz w:val="36"/>
          <w:lang w:eastAsia="zh-CN"/>
        </w:rPr>
      </w:pPr>
      <w:r>
        <w:rPr>
          <w:rFonts w:hint="eastAsia" w:ascii="宋体" w:hAnsi="宋体" w:eastAsia="宋体" w:cs="宋体"/>
          <w:b/>
          <w:spacing w:val="-2"/>
          <w:w w:val="95"/>
          <w:sz w:val="36"/>
        </w:rPr>
        <w:t>项目名称：</w:t>
      </w:r>
      <w:r>
        <w:rPr>
          <w:rFonts w:hint="eastAsia" w:cs="宋体"/>
          <w:b/>
          <w:spacing w:val="-2"/>
          <w:w w:val="95"/>
          <w:sz w:val="36"/>
          <w:lang w:eastAsia="zh-CN"/>
        </w:rPr>
        <w:t>2022年度石湫街道中天堡翻水线更新改造工程</w:t>
      </w:r>
    </w:p>
    <w:p>
      <w:pPr>
        <w:keepNext w:val="0"/>
        <w:keepLines w:val="0"/>
        <w:pageBreakBefore w:val="0"/>
        <w:widowControl w:val="0"/>
        <w:kinsoku/>
        <w:wordWrap/>
        <w:overflowPunct/>
        <w:topLinePunct w:val="0"/>
        <w:autoSpaceDE w:val="0"/>
        <w:autoSpaceDN w:val="0"/>
        <w:bidi w:val="0"/>
        <w:adjustRightInd/>
        <w:snapToGrid/>
        <w:spacing w:before="38" w:line="360" w:lineRule="auto"/>
        <w:ind w:left="0" w:right="1190" w:firstLine="0"/>
        <w:jc w:val="left"/>
        <w:textAlignment w:val="auto"/>
        <w:rPr>
          <w:rFonts w:hint="eastAsia" w:ascii="宋体" w:hAnsi="宋体" w:eastAsia="宋体" w:cs="宋体"/>
          <w:b/>
          <w:sz w:val="36"/>
        </w:rPr>
      </w:pPr>
      <w:r>
        <w:rPr>
          <w:rFonts w:hint="eastAsia" w:ascii="宋体" w:hAnsi="宋体" w:eastAsia="宋体" w:cs="宋体"/>
          <w:b/>
          <w:spacing w:val="-2"/>
          <w:sz w:val="36"/>
        </w:rPr>
        <w:t>采购类别：</w:t>
      </w:r>
      <w:r>
        <w:rPr>
          <w:rFonts w:hint="eastAsia" w:cs="宋体"/>
          <w:b/>
          <w:spacing w:val="-2"/>
          <w:sz w:val="36"/>
          <w:lang w:val="en-US" w:eastAsia="zh-CN"/>
        </w:rPr>
        <w:t>工程</w:t>
      </w:r>
      <w:r>
        <w:rPr>
          <w:rFonts w:hint="eastAsia" w:ascii="宋体" w:hAnsi="宋体" w:eastAsia="宋体" w:cs="宋体"/>
          <w:b/>
          <w:spacing w:val="-2"/>
          <w:sz w:val="36"/>
        </w:rPr>
        <w:t>类</w:t>
      </w: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rPr>
          <w:rFonts w:hint="eastAsia" w:ascii="宋体" w:hAnsi="宋体" w:eastAsia="宋体" w:cs="宋体"/>
          <w:b/>
          <w:sz w:val="36"/>
          <w:u w:val="none"/>
        </w:rPr>
      </w:pPr>
    </w:p>
    <w:p>
      <w:pPr>
        <w:pStyle w:val="9"/>
        <w:spacing w:before="7"/>
        <w:rPr>
          <w:rFonts w:hint="eastAsia" w:ascii="宋体" w:hAnsi="宋体" w:eastAsia="宋体" w:cs="宋体"/>
          <w:b/>
          <w:sz w:val="40"/>
          <w:u w:val="none"/>
        </w:rPr>
      </w:pPr>
    </w:p>
    <w:p>
      <w:pPr>
        <w:spacing w:before="0" w:line="302" w:lineRule="auto"/>
        <w:ind w:right="1911" w:firstLine="679" w:firstLineChars="200"/>
        <w:jc w:val="both"/>
        <w:rPr>
          <w:rFonts w:hint="eastAsia" w:ascii="宋体" w:hAnsi="宋体" w:eastAsia="宋体" w:cs="宋体"/>
          <w:b/>
          <w:spacing w:val="-2"/>
          <w:w w:val="95"/>
          <w:sz w:val="36"/>
          <w:lang w:eastAsia="zh-CN"/>
        </w:rPr>
      </w:pPr>
      <w:r>
        <w:rPr>
          <w:rFonts w:hint="eastAsia" w:ascii="宋体" w:hAnsi="宋体" w:eastAsia="宋体" w:cs="宋体"/>
          <w:b/>
          <w:spacing w:val="-2"/>
          <w:w w:val="95"/>
          <w:sz w:val="36"/>
        </w:rPr>
        <w:t>采购人：</w:t>
      </w:r>
      <w:r>
        <w:rPr>
          <w:rFonts w:hint="eastAsia" w:ascii="宋体" w:hAnsi="宋体" w:eastAsia="宋体" w:cs="宋体"/>
          <w:b/>
          <w:spacing w:val="-2"/>
          <w:w w:val="95"/>
          <w:sz w:val="36"/>
          <w:lang w:eastAsia="zh-CN"/>
        </w:rPr>
        <w:t>南京市溧水区人民政府石湫街道办事处</w:t>
      </w:r>
    </w:p>
    <w:p>
      <w:pPr>
        <w:spacing w:before="0" w:line="302" w:lineRule="auto"/>
        <w:ind w:right="1911" w:firstLine="679" w:firstLineChars="200"/>
        <w:jc w:val="both"/>
        <w:rPr>
          <w:rFonts w:hint="eastAsia" w:ascii="宋体" w:hAnsi="宋体" w:eastAsia="宋体" w:cs="宋体"/>
          <w:b/>
          <w:spacing w:val="-2"/>
          <w:w w:val="95"/>
          <w:sz w:val="36"/>
          <w:lang w:eastAsia="zh-CN"/>
        </w:rPr>
      </w:pPr>
      <w:r>
        <w:rPr>
          <w:rFonts w:hint="eastAsia" w:ascii="宋体" w:hAnsi="宋体" w:eastAsia="宋体" w:cs="宋体"/>
          <w:b/>
          <w:spacing w:val="-2"/>
          <w:w w:val="95"/>
          <w:sz w:val="36"/>
          <w:lang w:eastAsia="zh-CN"/>
        </w:rPr>
        <w:t> </w:t>
      </w:r>
    </w:p>
    <w:p>
      <w:pPr>
        <w:spacing w:before="0" w:line="302" w:lineRule="auto"/>
        <w:ind w:right="1911"/>
        <w:jc w:val="center"/>
        <w:rPr>
          <w:rFonts w:hint="eastAsia" w:ascii="宋体" w:hAnsi="宋体" w:eastAsia="宋体" w:cs="宋体"/>
          <w:b/>
          <w:spacing w:val="-8"/>
          <w:sz w:val="36"/>
          <w:lang w:eastAsia="zh-CN"/>
        </w:rPr>
      </w:pPr>
      <w:r>
        <w:rPr>
          <w:rFonts w:hint="eastAsia" w:ascii="宋体" w:hAnsi="宋体" w:eastAsia="宋体" w:cs="宋体"/>
          <w:b/>
          <w:spacing w:val="-8"/>
          <w:sz w:val="36"/>
        </w:rPr>
        <w:t>采购代理机构：</w:t>
      </w:r>
      <w:r>
        <w:rPr>
          <w:rFonts w:hint="eastAsia" w:ascii="宋体" w:hAnsi="宋体" w:eastAsia="宋体" w:cs="宋体"/>
          <w:b/>
          <w:spacing w:val="-8"/>
          <w:sz w:val="36"/>
          <w:lang w:eastAsia="zh-CN"/>
        </w:rPr>
        <w:t>南京玖盛工程咨询管理有限公司</w:t>
      </w:r>
    </w:p>
    <w:p>
      <w:pPr>
        <w:pStyle w:val="12"/>
        <w:rPr>
          <w:rFonts w:hint="eastAsia"/>
          <w:lang w:eastAsia="zh-CN"/>
        </w:rPr>
      </w:pPr>
    </w:p>
    <w:p>
      <w:pPr>
        <w:spacing w:before="2"/>
        <w:ind w:left="3548" w:right="0" w:firstLine="0"/>
        <w:jc w:val="left"/>
        <w:rPr>
          <w:rFonts w:hint="eastAsia" w:ascii="宋体" w:hAnsi="宋体" w:eastAsia="宋体" w:cs="宋体"/>
          <w:b/>
          <w:sz w:val="36"/>
        </w:rPr>
      </w:pPr>
      <w:r>
        <w:rPr>
          <w:rFonts w:hint="eastAsia" w:ascii="宋体" w:hAnsi="宋体" w:eastAsia="宋体" w:cs="宋体"/>
          <w:b/>
          <w:spacing w:val="-2"/>
          <w:w w:val="95"/>
          <w:sz w:val="36"/>
        </w:rPr>
        <w:t>二〇</w:t>
      </w:r>
      <w:r>
        <w:rPr>
          <w:rFonts w:hint="eastAsia" w:ascii="宋体" w:hAnsi="宋体" w:eastAsia="宋体" w:cs="宋体"/>
          <w:b/>
          <w:spacing w:val="-4"/>
          <w:w w:val="95"/>
          <w:sz w:val="36"/>
        </w:rPr>
        <w:t>二</w:t>
      </w:r>
      <w:r>
        <w:rPr>
          <w:rFonts w:hint="eastAsia" w:ascii="宋体" w:hAnsi="宋体" w:eastAsia="宋体" w:cs="宋体"/>
          <w:b/>
          <w:spacing w:val="-4"/>
          <w:w w:val="95"/>
          <w:sz w:val="36"/>
          <w:lang w:val="en-US" w:eastAsia="zh-CN"/>
        </w:rPr>
        <w:t>二</w:t>
      </w:r>
      <w:r>
        <w:rPr>
          <w:rFonts w:hint="eastAsia" w:ascii="宋体" w:hAnsi="宋体" w:eastAsia="宋体" w:cs="宋体"/>
          <w:b/>
          <w:spacing w:val="-4"/>
          <w:w w:val="95"/>
          <w:sz w:val="36"/>
        </w:rPr>
        <w:t>年</w:t>
      </w:r>
      <w:r>
        <w:rPr>
          <w:rFonts w:hint="eastAsia" w:ascii="宋体" w:hAnsi="宋体" w:eastAsia="宋体" w:cs="宋体"/>
          <w:b/>
          <w:spacing w:val="-4"/>
          <w:w w:val="95"/>
          <w:sz w:val="36"/>
          <w:lang w:val="en-US" w:eastAsia="zh-CN"/>
        </w:rPr>
        <w:t>八</w:t>
      </w:r>
      <w:r>
        <w:rPr>
          <w:rFonts w:hint="eastAsia" w:ascii="宋体" w:hAnsi="宋体" w:eastAsia="宋体" w:cs="宋体"/>
          <w:b/>
          <w:spacing w:val="-4"/>
          <w:w w:val="95"/>
          <w:sz w:val="36"/>
        </w:rPr>
        <w:t>月</w:t>
      </w:r>
    </w:p>
    <w:p>
      <w:pPr>
        <w:spacing w:after="0"/>
        <w:jc w:val="left"/>
        <w:rPr>
          <w:rFonts w:hint="eastAsia" w:ascii="宋体" w:hAnsi="宋体" w:eastAsia="宋体" w:cs="宋体"/>
          <w:sz w:val="36"/>
        </w:rPr>
        <w:sectPr>
          <w:type w:val="continuous"/>
          <w:pgSz w:w="11910" w:h="16840"/>
          <w:pgMar w:top="1580" w:right="320" w:bottom="280" w:left="1200" w:header="720" w:footer="720" w:gutter="0"/>
          <w:cols w:space="720" w:num="1"/>
        </w:sectPr>
      </w:pPr>
    </w:p>
    <w:p>
      <w:pPr>
        <w:pStyle w:val="4"/>
        <w:spacing w:before="25"/>
        <w:ind w:right="693"/>
        <w:rPr>
          <w:rFonts w:hint="eastAsia" w:ascii="宋体" w:hAnsi="宋体" w:eastAsia="宋体" w:cs="宋体"/>
          <w:color w:val="auto"/>
        </w:rPr>
      </w:pPr>
      <w:r>
        <w:rPr>
          <w:rFonts w:hint="eastAsia" w:ascii="宋体" w:hAnsi="宋体" w:eastAsia="宋体" w:cs="宋体"/>
          <w:color w:val="auto"/>
          <w:spacing w:val="-5"/>
        </w:rPr>
        <w:t>总目录</w:t>
      </w:r>
    </w:p>
    <w:p>
      <w:pPr>
        <w:pStyle w:val="9"/>
        <w:spacing w:before="6"/>
        <w:rPr>
          <w:rFonts w:hint="eastAsia" w:ascii="宋体" w:hAnsi="宋体" w:eastAsia="宋体" w:cs="宋体"/>
          <w:b/>
          <w:sz w:val="45"/>
          <w:u w:val="none"/>
        </w:rPr>
      </w:pPr>
    </w:p>
    <w:p>
      <w:pPr>
        <w:numPr>
          <w:ilvl w:val="0"/>
          <w:numId w:val="1"/>
        </w:numPr>
        <w:tabs>
          <w:tab w:val="left" w:pos="2016"/>
        </w:tabs>
        <w:spacing w:before="0" w:line="324" w:lineRule="auto"/>
        <w:ind w:left="216" w:right="6568" w:firstLine="0"/>
        <w:jc w:val="left"/>
        <w:rPr>
          <w:rFonts w:hint="eastAsia" w:ascii="宋体" w:hAnsi="宋体" w:eastAsia="宋体" w:cs="宋体"/>
          <w:spacing w:val="-4"/>
          <w:sz w:val="36"/>
        </w:rPr>
      </w:pPr>
      <w:r>
        <w:rPr>
          <w:rFonts w:hint="eastAsia" w:cs="宋体"/>
          <w:spacing w:val="-4"/>
          <w:sz w:val="36"/>
          <w:lang w:val="en-US" w:eastAsia="zh-CN"/>
        </w:rPr>
        <w:t>采购公告</w:t>
      </w:r>
    </w:p>
    <w:p>
      <w:pPr>
        <w:numPr>
          <w:ilvl w:val="0"/>
          <w:numId w:val="0"/>
        </w:numPr>
        <w:tabs>
          <w:tab w:val="left" w:pos="2016"/>
        </w:tabs>
        <w:spacing w:before="0" w:line="324" w:lineRule="auto"/>
        <w:ind w:left="216" w:leftChars="0" w:right="6568" w:rightChars="0"/>
        <w:jc w:val="left"/>
        <w:rPr>
          <w:rFonts w:hint="eastAsia" w:ascii="宋体" w:hAnsi="宋体" w:eastAsia="宋体" w:cs="宋体"/>
          <w:sz w:val="36"/>
        </w:rPr>
      </w:pPr>
      <w:r>
        <w:rPr>
          <w:rFonts w:hint="eastAsia" w:ascii="宋体" w:hAnsi="宋体" w:eastAsia="宋体" w:cs="宋体"/>
          <w:spacing w:val="-4"/>
          <w:sz w:val="36"/>
        </w:rPr>
        <w:t>第二章</w:t>
      </w:r>
      <w:r>
        <w:rPr>
          <w:rFonts w:hint="eastAsia" w:ascii="宋体" w:hAnsi="宋体" w:eastAsia="宋体" w:cs="宋体"/>
          <w:sz w:val="36"/>
        </w:rPr>
        <w:tab/>
      </w:r>
      <w:r>
        <w:rPr>
          <w:rFonts w:hint="eastAsia" w:ascii="宋体" w:hAnsi="宋体" w:eastAsia="宋体" w:cs="宋体"/>
          <w:spacing w:val="-4"/>
          <w:sz w:val="36"/>
        </w:rPr>
        <w:t>供应商须知第三章</w:t>
      </w:r>
      <w:r>
        <w:rPr>
          <w:rFonts w:hint="eastAsia" w:ascii="宋体" w:hAnsi="宋体" w:eastAsia="宋体" w:cs="宋体"/>
          <w:sz w:val="36"/>
        </w:rPr>
        <w:tab/>
      </w:r>
      <w:r>
        <w:rPr>
          <w:rFonts w:hint="eastAsia" w:ascii="宋体" w:hAnsi="宋体" w:eastAsia="宋体" w:cs="宋体"/>
          <w:spacing w:val="-4"/>
          <w:sz w:val="36"/>
        </w:rPr>
        <w:t>评标标准</w:t>
      </w:r>
    </w:p>
    <w:p>
      <w:pPr>
        <w:tabs>
          <w:tab w:val="left" w:pos="2016"/>
        </w:tabs>
        <w:spacing w:before="4" w:line="324" w:lineRule="auto"/>
        <w:ind w:left="216" w:right="3689" w:firstLine="0"/>
        <w:jc w:val="left"/>
        <w:rPr>
          <w:rFonts w:hint="eastAsia" w:ascii="宋体" w:hAnsi="宋体" w:eastAsia="宋体" w:cs="宋体"/>
          <w:sz w:val="36"/>
        </w:rPr>
      </w:pPr>
      <w:r>
        <w:rPr>
          <w:rFonts w:hint="eastAsia" w:ascii="宋体" w:hAnsi="宋体" w:eastAsia="宋体" w:cs="宋体"/>
          <w:spacing w:val="-4"/>
          <w:sz w:val="36"/>
        </w:rPr>
        <w:t>第四章</w:t>
      </w:r>
      <w:r>
        <w:rPr>
          <w:rFonts w:hint="eastAsia" w:ascii="宋体" w:hAnsi="宋体" w:eastAsia="宋体" w:cs="宋体"/>
          <w:sz w:val="36"/>
        </w:rPr>
        <w:tab/>
      </w:r>
      <w:r>
        <w:rPr>
          <w:rFonts w:hint="eastAsia" w:ascii="宋体" w:hAnsi="宋体" w:eastAsia="宋体" w:cs="宋体"/>
          <w:spacing w:val="-2"/>
          <w:sz w:val="36"/>
        </w:rPr>
        <w:t>采购项目的技术标准、要求等</w:t>
      </w:r>
      <w:r>
        <w:rPr>
          <w:rFonts w:hint="eastAsia" w:ascii="宋体" w:hAnsi="宋体" w:eastAsia="宋体" w:cs="宋体"/>
          <w:spacing w:val="-4"/>
          <w:sz w:val="36"/>
        </w:rPr>
        <w:t>第五章</w:t>
      </w:r>
      <w:r>
        <w:rPr>
          <w:rFonts w:hint="eastAsia" w:ascii="宋体" w:hAnsi="宋体" w:eastAsia="宋体" w:cs="宋体"/>
          <w:sz w:val="36"/>
        </w:rPr>
        <w:tab/>
      </w:r>
      <w:r>
        <w:rPr>
          <w:rFonts w:hint="eastAsia" w:ascii="宋体" w:hAnsi="宋体" w:eastAsia="宋体" w:cs="宋体"/>
          <w:spacing w:val="-2"/>
          <w:sz w:val="36"/>
        </w:rPr>
        <w:t>合同主要条款及格式</w:t>
      </w:r>
    </w:p>
    <w:p>
      <w:pPr>
        <w:tabs>
          <w:tab w:val="left" w:pos="2016"/>
        </w:tabs>
        <w:spacing w:before="3"/>
        <w:ind w:left="216" w:right="0" w:firstLine="0"/>
        <w:jc w:val="left"/>
        <w:rPr>
          <w:rFonts w:hint="eastAsia" w:ascii="仿宋" w:hAnsi="仿宋" w:eastAsia="仿宋" w:cs="仿宋"/>
          <w:sz w:val="36"/>
        </w:rPr>
      </w:pPr>
      <w:r>
        <w:rPr>
          <w:rFonts w:hint="eastAsia" w:ascii="宋体" w:hAnsi="宋体" w:eastAsia="宋体" w:cs="宋体"/>
          <w:sz w:val="36"/>
        </w:rPr>
        <w:t>第六</w:t>
      </w:r>
      <w:r>
        <w:rPr>
          <w:rFonts w:hint="eastAsia" w:ascii="宋体" w:hAnsi="宋体" w:eastAsia="宋体" w:cs="宋体"/>
          <w:spacing w:val="-10"/>
          <w:sz w:val="36"/>
        </w:rPr>
        <w:t>章</w:t>
      </w:r>
      <w:r>
        <w:rPr>
          <w:rFonts w:hint="eastAsia" w:ascii="宋体" w:hAnsi="宋体" w:eastAsia="宋体" w:cs="宋体"/>
          <w:sz w:val="36"/>
        </w:rPr>
        <w:tab/>
      </w:r>
      <w:r>
        <w:rPr>
          <w:rFonts w:hint="eastAsia" w:cs="宋体"/>
          <w:sz w:val="36"/>
          <w:lang w:val="en-US" w:eastAsia="zh-CN"/>
        </w:rPr>
        <w:t>磋商</w:t>
      </w:r>
      <w:r>
        <w:rPr>
          <w:rFonts w:hint="eastAsia" w:ascii="宋体" w:hAnsi="宋体" w:eastAsia="宋体" w:cs="宋体"/>
          <w:sz w:val="36"/>
        </w:rPr>
        <w:t>响应文件格式及附</w:t>
      </w:r>
      <w:r>
        <w:rPr>
          <w:rFonts w:hint="eastAsia" w:ascii="宋体" w:hAnsi="宋体" w:eastAsia="宋体" w:cs="宋体"/>
          <w:spacing w:val="-10"/>
          <w:sz w:val="36"/>
        </w:rPr>
        <w:t>件</w:t>
      </w:r>
    </w:p>
    <w:p>
      <w:pPr>
        <w:spacing w:after="0"/>
        <w:jc w:val="left"/>
        <w:rPr>
          <w:rFonts w:ascii="黑体" w:eastAsia="黑体"/>
          <w:sz w:val="36"/>
        </w:rPr>
        <w:sectPr>
          <w:pgSz w:w="11910" w:h="16840"/>
          <w:pgMar w:top="1400" w:right="320" w:bottom="280" w:left="1200" w:header="720" w:footer="720" w:gutter="0"/>
          <w:cols w:space="720" w:num="1"/>
        </w:sectPr>
      </w:pPr>
    </w:p>
    <w:p>
      <w:pPr>
        <w:pStyle w:val="9"/>
        <w:spacing w:before="6"/>
        <w:rPr>
          <w:rFonts w:ascii="黑体"/>
          <w:sz w:val="16"/>
          <w:u w:val="none"/>
        </w:rPr>
      </w:pPr>
    </w:p>
    <w:p>
      <w:pPr>
        <w:pStyle w:val="4"/>
        <w:ind w:left="3097"/>
        <w:jc w:val="left"/>
        <w:rPr>
          <w:rFonts w:hint="eastAsia"/>
          <w:spacing w:val="-6"/>
          <w:lang w:val="en-US" w:eastAsia="zh-CN"/>
        </w:rPr>
      </w:pPr>
      <w:r>
        <w:t>第一</w:t>
      </w:r>
      <w:r>
        <w:rPr>
          <w:spacing w:val="-6"/>
        </w:rPr>
        <w:t>章</w:t>
      </w:r>
      <w:r>
        <w:rPr>
          <w:rFonts w:hint="eastAsia"/>
          <w:spacing w:val="-6"/>
          <w:lang w:val="en-US" w:eastAsia="zh-CN"/>
        </w:rPr>
        <w:t>采购公告</w:t>
      </w:r>
    </w:p>
    <w:p>
      <w:pPr>
        <w:pStyle w:val="6"/>
        <w:spacing w:before="6"/>
        <w:ind w:left="0" w:right="439"/>
        <w:jc w:val="center"/>
        <w:rPr>
          <w:rFonts w:hint="eastAsia" w:ascii="宋体" w:hAnsi="宋体" w:eastAsia="宋体" w:cs="宋体"/>
          <w:b/>
          <w:bCs/>
          <w:spacing w:val="-6"/>
          <w:sz w:val="40"/>
          <w:szCs w:val="40"/>
          <w:lang w:val="en-US" w:eastAsia="zh-CN" w:bidi="ar-SA"/>
        </w:rPr>
      </w:pPr>
      <w:r>
        <w:rPr>
          <w:rFonts w:hint="eastAsia" w:ascii="宋体" w:hAnsi="宋体" w:eastAsia="宋体" w:cs="宋体"/>
          <w:b/>
          <w:bCs/>
          <w:spacing w:val="-6"/>
          <w:sz w:val="32"/>
          <w:szCs w:val="32"/>
          <w:u w:val="single"/>
          <w:lang w:val="en-US" w:eastAsia="zh-CN" w:bidi="ar-SA"/>
        </w:rPr>
        <w:t>2022年度石湫街道中天堡翻水线更新改造工程</w:t>
      </w:r>
      <w:r>
        <w:rPr>
          <w:rFonts w:hint="eastAsia" w:ascii="宋体" w:hAnsi="宋体" w:eastAsia="宋体" w:cs="宋体"/>
          <w:b/>
          <w:bCs/>
          <w:spacing w:val="-6"/>
          <w:sz w:val="32"/>
          <w:szCs w:val="32"/>
          <w:lang w:val="en-US" w:eastAsia="zh-CN" w:bidi="ar-SA"/>
        </w:rPr>
        <w:t>竞争性磋商公告</w:t>
      </w:r>
    </w:p>
    <w:p>
      <w:pPr>
        <w:pStyle w:val="9"/>
        <w:rPr>
          <w:rFonts w:hint="eastAsia" w:ascii="仿宋" w:hAnsi="仿宋" w:eastAsia="仿宋" w:cs="仿宋"/>
          <w:b/>
          <w:sz w:val="28"/>
          <w:szCs w:val="28"/>
          <w:u w:val="none"/>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spacing w:val="-2"/>
          <w:sz w:val="24"/>
          <w:szCs w:val="24"/>
        </w:rPr>
      </w:pPr>
      <w:r>
        <w:rPr>
          <w:rFonts w:hint="eastAsia" w:cs="宋体"/>
          <w:sz w:val="24"/>
          <w:szCs w:val="24"/>
          <w:u w:val="single"/>
          <w:lang w:eastAsia="zh-CN"/>
        </w:rPr>
        <w:t>2022年度石湫街道中天堡翻水线更新改造工程</w:t>
      </w:r>
      <w:r>
        <w:rPr>
          <w:rFonts w:hint="eastAsia" w:ascii="宋体" w:hAnsi="宋体" w:eastAsia="宋体" w:cs="宋体"/>
          <w:sz w:val="24"/>
          <w:szCs w:val="24"/>
        </w:rPr>
        <w:t>的潜在供应商应在</w:t>
      </w:r>
      <w:r>
        <w:rPr>
          <w:rFonts w:hint="eastAsia" w:ascii="宋体" w:hAnsi="宋体" w:eastAsia="宋体" w:cs="宋体"/>
          <w:spacing w:val="-2"/>
          <w:sz w:val="24"/>
          <w:szCs w:val="24"/>
          <w:u w:val="single"/>
          <w:lang w:eastAsia="zh-CN"/>
        </w:rPr>
        <w:t>江苏省南京市溧水区高平大街55号</w:t>
      </w:r>
      <w:r>
        <w:rPr>
          <w:rFonts w:hint="eastAsia" w:ascii="宋体" w:hAnsi="宋体" w:eastAsia="宋体" w:cs="宋体"/>
          <w:spacing w:val="-8"/>
          <w:sz w:val="24"/>
          <w:szCs w:val="24"/>
        </w:rPr>
        <w:t>获取采购文件，并</w:t>
      </w:r>
      <w:r>
        <w:rPr>
          <w:rFonts w:hint="eastAsia" w:ascii="宋体" w:hAnsi="宋体" w:eastAsia="宋体" w:cs="宋体"/>
          <w:spacing w:val="-8"/>
          <w:sz w:val="24"/>
          <w:szCs w:val="24"/>
          <w:highlight w:val="none"/>
        </w:rPr>
        <w:t>于</w:t>
      </w:r>
      <w:r>
        <w:rPr>
          <w:rFonts w:hint="eastAsia" w:ascii="宋体" w:hAnsi="宋体" w:eastAsia="宋体" w:cs="宋体"/>
          <w:color w:val="auto"/>
          <w:spacing w:val="-2"/>
          <w:sz w:val="24"/>
          <w:szCs w:val="24"/>
          <w:highlight w:val="none"/>
          <w:u w:val="single"/>
        </w:rPr>
        <w:t>202</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39"/>
          <w:sz w:val="24"/>
          <w:szCs w:val="24"/>
          <w:highlight w:val="none"/>
          <w:u w:val="single"/>
        </w:rPr>
        <w:t>年</w:t>
      </w:r>
      <w:r>
        <w:rPr>
          <w:rFonts w:hint="eastAsia" w:ascii="宋体" w:hAnsi="宋体" w:eastAsia="宋体" w:cs="宋体"/>
          <w:color w:val="auto"/>
          <w:spacing w:val="-39"/>
          <w:sz w:val="24"/>
          <w:szCs w:val="24"/>
          <w:highlight w:val="none"/>
          <w:u w:val="single"/>
          <w:lang w:val="en-US" w:eastAsia="zh-CN"/>
        </w:rPr>
        <w:t>0</w:t>
      </w:r>
      <w:r>
        <w:rPr>
          <w:rFonts w:hint="eastAsia" w:cs="宋体"/>
          <w:color w:val="auto"/>
          <w:spacing w:val="-39"/>
          <w:sz w:val="24"/>
          <w:szCs w:val="24"/>
          <w:highlight w:val="none"/>
          <w:u w:val="single"/>
          <w:lang w:val="en-US" w:eastAsia="zh-CN"/>
        </w:rPr>
        <w:t xml:space="preserve"> 9</w:t>
      </w:r>
      <w:r>
        <w:rPr>
          <w:rFonts w:hint="eastAsia" w:ascii="宋体" w:hAnsi="宋体" w:eastAsia="宋体" w:cs="宋体"/>
          <w:color w:val="auto"/>
          <w:spacing w:val="-39"/>
          <w:sz w:val="24"/>
          <w:szCs w:val="24"/>
          <w:highlight w:val="none"/>
          <w:u w:val="single"/>
          <w:lang w:val="en-US" w:eastAsia="zh-CN"/>
        </w:rPr>
        <w:t xml:space="preserve"> </w:t>
      </w:r>
      <w:r>
        <w:rPr>
          <w:rFonts w:hint="eastAsia" w:ascii="宋体" w:hAnsi="宋体" w:eastAsia="宋体" w:cs="宋体"/>
          <w:color w:val="auto"/>
          <w:spacing w:val="-40"/>
          <w:sz w:val="24"/>
          <w:szCs w:val="24"/>
          <w:highlight w:val="none"/>
          <w:u w:val="single"/>
        </w:rPr>
        <w:t>月</w:t>
      </w:r>
      <w:r>
        <w:rPr>
          <w:rFonts w:hint="eastAsia" w:ascii="宋体" w:hAnsi="宋体" w:eastAsia="宋体" w:cs="宋体"/>
          <w:color w:val="auto"/>
          <w:spacing w:val="-40"/>
          <w:sz w:val="24"/>
          <w:szCs w:val="24"/>
          <w:highlight w:val="none"/>
          <w:u w:val="single"/>
          <w:lang w:val="en-US" w:eastAsia="zh-CN"/>
        </w:rPr>
        <w:t xml:space="preserve"> </w:t>
      </w:r>
      <w:r>
        <w:rPr>
          <w:rFonts w:hint="eastAsia" w:cs="宋体"/>
          <w:color w:val="auto"/>
          <w:spacing w:val="-40"/>
          <w:sz w:val="24"/>
          <w:szCs w:val="24"/>
          <w:highlight w:val="none"/>
          <w:u w:val="single"/>
          <w:lang w:val="en-US" w:eastAsia="zh-CN"/>
        </w:rPr>
        <w:t xml:space="preserve">0 </w:t>
      </w:r>
      <w:r>
        <w:rPr>
          <w:rFonts w:hint="eastAsia" w:ascii="宋体" w:hAnsi="宋体" w:eastAsia="宋体" w:cs="宋体"/>
          <w:color w:val="auto"/>
          <w:spacing w:val="-40"/>
          <w:sz w:val="24"/>
          <w:szCs w:val="24"/>
          <w:highlight w:val="none"/>
          <w:u w:val="single"/>
          <w:lang w:val="en-US" w:eastAsia="zh-CN"/>
        </w:rPr>
        <w:t>2</w:t>
      </w:r>
      <w:r>
        <w:rPr>
          <w:rFonts w:hint="eastAsia" w:ascii="宋体" w:hAnsi="宋体" w:eastAsia="宋体" w:cs="宋体"/>
          <w:color w:val="auto"/>
          <w:spacing w:val="-40"/>
          <w:sz w:val="24"/>
          <w:szCs w:val="24"/>
          <w:highlight w:val="none"/>
          <w:u w:val="single"/>
        </w:rPr>
        <w:t>日</w:t>
      </w:r>
      <w:r>
        <w:rPr>
          <w:rFonts w:hint="eastAsia" w:ascii="宋体" w:hAnsi="宋体" w:eastAsia="宋体" w:cs="宋体"/>
          <w:color w:val="auto"/>
          <w:spacing w:val="-2"/>
          <w:sz w:val="24"/>
          <w:szCs w:val="24"/>
          <w:highlight w:val="none"/>
          <w:u w:val="single"/>
        </w:rPr>
        <w:t>1</w:t>
      </w:r>
      <w:r>
        <w:rPr>
          <w:rFonts w:hint="eastAsia" w:ascii="宋体" w:hAnsi="宋体" w:eastAsia="宋体" w:cs="宋体"/>
          <w:color w:val="auto"/>
          <w:spacing w:val="-2"/>
          <w:sz w:val="24"/>
          <w:szCs w:val="24"/>
          <w:highlight w:val="none"/>
          <w:u w:val="single"/>
          <w:lang w:val="en-US" w:eastAsia="zh-CN"/>
        </w:rPr>
        <w:t>5</w:t>
      </w:r>
      <w:r>
        <w:rPr>
          <w:rFonts w:hint="eastAsia" w:ascii="宋体" w:hAnsi="宋体" w:eastAsia="宋体" w:cs="宋体"/>
          <w:color w:val="auto"/>
          <w:spacing w:val="-40"/>
          <w:sz w:val="24"/>
          <w:szCs w:val="24"/>
          <w:highlight w:val="none"/>
          <w:u w:val="single"/>
        </w:rPr>
        <w:t>点</w:t>
      </w:r>
      <w:r>
        <w:rPr>
          <w:rFonts w:hint="eastAsia" w:ascii="宋体" w:hAnsi="宋体" w:eastAsia="宋体" w:cs="宋体"/>
          <w:color w:val="auto"/>
          <w:spacing w:val="-2"/>
          <w:sz w:val="24"/>
          <w:szCs w:val="24"/>
          <w:highlight w:val="none"/>
          <w:u w:val="single"/>
          <w:lang w:val="en-US" w:eastAsia="zh-CN"/>
        </w:rPr>
        <w:t>0</w:t>
      </w:r>
      <w:r>
        <w:rPr>
          <w:rFonts w:hint="eastAsia" w:ascii="宋体" w:hAnsi="宋体" w:eastAsia="宋体" w:cs="宋体"/>
          <w:color w:val="auto"/>
          <w:spacing w:val="-2"/>
          <w:sz w:val="24"/>
          <w:szCs w:val="24"/>
          <w:highlight w:val="none"/>
          <w:u w:val="single"/>
        </w:rPr>
        <w:t>0</w:t>
      </w:r>
      <w:r>
        <w:rPr>
          <w:rFonts w:hint="eastAsia" w:ascii="宋体" w:hAnsi="宋体" w:eastAsia="宋体" w:cs="宋体"/>
          <w:color w:val="auto"/>
          <w:spacing w:val="-34"/>
          <w:sz w:val="24"/>
          <w:szCs w:val="24"/>
          <w:highlight w:val="none"/>
          <w:u w:val="single"/>
        </w:rPr>
        <w:t>分</w:t>
      </w:r>
      <w:r>
        <w:rPr>
          <w:rFonts w:hint="eastAsia" w:ascii="宋体" w:hAnsi="宋体" w:eastAsia="宋体" w:cs="宋体"/>
          <w:spacing w:val="-2"/>
          <w:sz w:val="24"/>
          <w:szCs w:val="24"/>
          <w:highlight w:val="none"/>
        </w:rPr>
        <w:t>（北</w:t>
      </w:r>
      <w:r>
        <w:rPr>
          <w:rFonts w:hint="eastAsia" w:ascii="宋体" w:hAnsi="宋体" w:eastAsia="宋体" w:cs="宋体"/>
          <w:spacing w:val="-2"/>
          <w:sz w:val="24"/>
          <w:szCs w:val="24"/>
        </w:rPr>
        <w:t>京时间）前提交响应文件。</w:t>
      </w:r>
    </w:p>
    <w:p>
      <w:pPr>
        <w:keepNext w:val="0"/>
        <w:keepLines w:val="0"/>
        <w:pageBreakBefore w:val="0"/>
        <w:kinsoku/>
        <w:wordWrap/>
        <w:overflowPunct/>
        <w:topLinePunct w:val="0"/>
        <w:bidi w:val="0"/>
        <w:adjustRightInd/>
        <w:snapToGrid/>
        <w:spacing w:before="0" w:line="360" w:lineRule="auto"/>
        <w:ind w:left="216" w:right="1094"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一、项目基本情况</w:t>
      </w:r>
    </w:p>
    <w:p>
      <w:pPr>
        <w:keepNext w:val="0"/>
        <w:keepLines w:val="0"/>
        <w:pageBreakBefore w:val="0"/>
        <w:kinsoku/>
        <w:wordWrap/>
        <w:overflowPunct/>
        <w:topLinePunct w:val="0"/>
        <w:bidi w:val="0"/>
        <w:adjustRightInd/>
        <w:snapToGrid/>
        <w:spacing w:before="0" w:line="360" w:lineRule="auto"/>
        <w:ind w:right="0" w:firstLine="708"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eastAsia="zh-CN"/>
        </w:rPr>
        <w:t>：</w:t>
      </w:r>
      <w:r>
        <w:rPr>
          <w:rFonts w:hint="eastAsia" w:cs="宋体"/>
          <w:spacing w:val="-2"/>
          <w:sz w:val="24"/>
          <w:szCs w:val="24"/>
          <w:lang w:eastAsia="zh-CN"/>
        </w:rPr>
        <w:t>NJJS20220010</w:t>
      </w:r>
    </w:p>
    <w:p>
      <w:pPr>
        <w:keepNext w:val="0"/>
        <w:keepLines w:val="0"/>
        <w:pageBreakBefore w:val="0"/>
        <w:kinsoku/>
        <w:wordWrap/>
        <w:overflowPunct/>
        <w:topLinePunct w:val="0"/>
        <w:bidi w:val="0"/>
        <w:adjustRightInd/>
        <w:snapToGrid/>
        <w:spacing w:before="0" w:line="360" w:lineRule="auto"/>
        <w:ind w:right="0" w:firstLine="708" w:firstLineChars="300"/>
        <w:jc w:val="left"/>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项目名称：</w:t>
      </w:r>
      <w:r>
        <w:rPr>
          <w:rFonts w:hint="eastAsia" w:cs="宋体"/>
          <w:spacing w:val="-2"/>
          <w:sz w:val="24"/>
          <w:szCs w:val="24"/>
          <w:lang w:eastAsia="zh-CN"/>
        </w:rPr>
        <w:t>2022年度石湫街道中天堡翻水线更新改造工程</w:t>
      </w:r>
    </w:p>
    <w:p>
      <w:pPr>
        <w:keepNext w:val="0"/>
        <w:keepLines w:val="0"/>
        <w:pageBreakBefore w:val="0"/>
        <w:kinsoku/>
        <w:wordWrap/>
        <w:overflowPunct/>
        <w:topLinePunct w:val="0"/>
        <w:bidi w:val="0"/>
        <w:adjustRightInd/>
        <w:snapToGrid/>
        <w:spacing w:before="131" w:line="360" w:lineRule="auto"/>
        <w:ind w:right="3449" w:firstLine="708" w:firstLineChars="300"/>
        <w:jc w:val="left"/>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采购方式：</w:t>
      </w:r>
      <w:r>
        <w:rPr>
          <w:rFonts w:hint="eastAsia" w:cs="宋体"/>
          <w:spacing w:val="-2"/>
          <w:sz w:val="24"/>
          <w:szCs w:val="24"/>
          <w:lang w:val="en-US" w:eastAsia="zh-CN"/>
        </w:rPr>
        <w:t>竞争性磋商</w:t>
      </w:r>
    </w:p>
    <w:p>
      <w:pPr>
        <w:keepNext w:val="0"/>
        <w:keepLines w:val="0"/>
        <w:pageBreakBefore w:val="0"/>
        <w:kinsoku/>
        <w:wordWrap/>
        <w:overflowPunct/>
        <w:topLinePunct w:val="0"/>
        <w:bidi w:val="0"/>
        <w:adjustRightInd/>
        <w:snapToGrid/>
        <w:spacing w:before="131" w:line="360" w:lineRule="auto"/>
        <w:ind w:right="3449" w:firstLine="708" w:firstLineChars="3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预算金额：</w:t>
      </w:r>
      <w:r>
        <w:rPr>
          <w:rFonts w:hint="eastAsia"/>
          <w:sz w:val="24"/>
          <w:lang w:val="en-US" w:eastAsia="zh-CN"/>
        </w:rPr>
        <w:t>396</w:t>
      </w:r>
      <w:r>
        <w:rPr>
          <w:rFonts w:hint="eastAsia" w:ascii="宋体" w:hAnsi="宋体" w:eastAsia="宋体" w:cs="宋体"/>
          <w:spacing w:val="-2"/>
          <w:sz w:val="24"/>
          <w:szCs w:val="24"/>
        </w:rPr>
        <w:t>万元</w:t>
      </w:r>
    </w:p>
    <w:p>
      <w:pPr>
        <w:keepNext w:val="0"/>
        <w:keepLines w:val="0"/>
        <w:pageBreakBefore w:val="0"/>
        <w:widowControl w:val="0"/>
        <w:kinsoku/>
        <w:wordWrap/>
        <w:overflowPunct/>
        <w:topLinePunct w:val="0"/>
        <w:autoSpaceDE w:val="0"/>
        <w:autoSpaceDN w:val="0"/>
        <w:bidi w:val="0"/>
        <w:adjustRightInd/>
        <w:snapToGrid/>
        <w:spacing w:before="0" w:line="360" w:lineRule="auto"/>
        <w:ind w:left="719" w:leftChars="327" w:right="0" w:firstLine="0" w:firstLineChars="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最高限价</w:t>
      </w:r>
      <w:r>
        <w:rPr>
          <w:rFonts w:hint="eastAsia" w:ascii="宋体" w:hAnsi="宋体" w:eastAsia="宋体" w:cs="宋体"/>
          <w:spacing w:val="-2"/>
          <w:sz w:val="24"/>
          <w:szCs w:val="24"/>
          <w:lang w:eastAsia="zh-CN"/>
        </w:rPr>
        <w:t>：</w:t>
      </w:r>
      <w:r>
        <w:rPr>
          <w:rFonts w:hint="eastAsia"/>
          <w:sz w:val="24"/>
          <w:lang w:val="en-US" w:eastAsia="zh-CN"/>
        </w:rPr>
        <w:t>395.5796</w:t>
      </w:r>
      <w:r>
        <w:rPr>
          <w:rFonts w:hint="eastAsia" w:ascii="宋体" w:hAnsi="宋体" w:eastAsia="宋体" w:cs="宋体"/>
          <w:spacing w:val="-2"/>
          <w:sz w:val="24"/>
          <w:szCs w:val="24"/>
          <w:lang w:val="en-US" w:eastAsia="zh-CN"/>
        </w:rPr>
        <w:t>万</w:t>
      </w:r>
      <w:r>
        <w:rPr>
          <w:rFonts w:hint="eastAsia" w:ascii="宋体" w:hAnsi="宋体" w:eastAsia="宋体" w:cs="宋体"/>
          <w:spacing w:val="-2"/>
          <w:sz w:val="24"/>
          <w:szCs w:val="24"/>
        </w:rPr>
        <w:t>元</w:t>
      </w:r>
      <w:r>
        <w:rPr>
          <w:rFonts w:hint="eastAsia" w:cs="宋体"/>
          <w:spacing w:val="-2"/>
          <w:sz w:val="24"/>
          <w:szCs w:val="24"/>
          <w:lang w:val="en-US" w:eastAsia="zh-CN"/>
        </w:rPr>
        <w:t>，</w:t>
      </w:r>
      <w:r>
        <w:rPr>
          <w:rFonts w:hint="eastAsia" w:ascii="宋体" w:hAnsi="宋体" w:eastAsia="宋体" w:cs="宋体"/>
          <w:spacing w:val="-2"/>
          <w:sz w:val="24"/>
          <w:szCs w:val="24"/>
          <w:lang w:val="en-US" w:eastAsia="zh-CN"/>
        </w:rPr>
        <w:t>采购人设定最高限价为人民币</w:t>
      </w:r>
      <w:r>
        <w:rPr>
          <w:rFonts w:hint="eastAsia"/>
          <w:sz w:val="24"/>
          <w:lang w:val="en-US" w:eastAsia="zh-CN"/>
        </w:rPr>
        <w:t>395.5796</w:t>
      </w:r>
      <w:r>
        <w:rPr>
          <w:rFonts w:hint="eastAsia" w:ascii="宋体" w:hAnsi="宋体" w:eastAsia="宋体" w:cs="宋体"/>
          <w:spacing w:val="-2"/>
          <w:sz w:val="24"/>
          <w:szCs w:val="24"/>
          <w:lang w:val="en-US" w:eastAsia="zh-CN"/>
        </w:rPr>
        <w:t>万元，供应商报价超过最高限价的为无效报价，按照无效响应处理。</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719" w:leftChars="327" w:firstLine="0" w:firstLineChars="0"/>
        <w:jc w:val="left"/>
        <w:textAlignment w:val="auto"/>
        <w:rPr>
          <w:rStyle w:val="20"/>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采购需求：</w:t>
      </w:r>
      <w:r>
        <w:rPr>
          <w:rFonts w:hint="eastAsia"/>
          <w:sz w:val="24"/>
          <w:lang w:eastAsia="zh-CN"/>
        </w:rPr>
        <w:t>2022年度石湫街道中天堡翻水线更新改造工程</w:t>
      </w:r>
      <w:r>
        <w:rPr>
          <w:spacing w:val="-1"/>
          <w:sz w:val="24"/>
        </w:rPr>
        <w:t>，包括</w:t>
      </w:r>
      <w:r>
        <w:rPr>
          <w:rFonts w:hint="eastAsia"/>
          <w:sz w:val="24"/>
          <w:lang w:val="en-US" w:eastAsia="zh-CN"/>
        </w:rPr>
        <w:t>拆建泵站1座 ,配套PE管道1975m，T100渠道90m，新建分水池1座 ,闸阀井4座，排气阀井2座；河道清淤整治1800m，河道护岸整治140m；拆建箱涵1座，改造倒虹吸1座。</w:t>
      </w:r>
      <w:r>
        <w:rPr>
          <w:sz w:val="24"/>
        </w:rPr>
        <w:t>具体内容详见工程量清单。</w:t>
      </w:r>
    </w:p>
    <w:p>
      <w:pPr>
        <w:keepNext w:val="0"/>
        <w:keepLines w:val="0"/>
        <w:pageBreakBefore w:val="0"/>
        <w:kinsoku/>
        <w:wordWrap/>
        <w:overflowPunct/>
        <w:topLinePunct w:val="0"/>
        <w:bidi w:val="0"/>
        <w:adjustRightInd/>
        <w:snapToGrid/>
        <w:spacing w:before="134" w:line="360" w:lineRule="auto"/>
        <w:ind w:right="5847"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w:t>
      </w:r>
      <w:r>
        <w:rPr>
          <w:rFonts w:hint="eastAsia" w:ascii="宋体" w:hAnsi="宋体" w:eastAsia="宋体" w:cs="宋体"/>
          <w:color w:val="auto"/>
          <w:spacing w:val="-2"/>
          <w:sz w:val="24"/>
          <w:szCs w:val="24"/>
        </w:rPr>
        <w:t>限：</w:t>
      </w:r>
      <w:r>
        <w:rPr>
          <w:rFonts w:hint="eastAsia" w:ascii="宋体" w:hAnsi="宋体" w:eastAsia="宋体" w:cs="宋体"/>
          <w:color w:val="auto"/>
          <w:spacing w:val="-2"/>
          <w:sz w:val="24"/>
          <w:szCs w:val="24"/>
          <w:lang w:val="en-US" w:eastAsia="zh-CN"/>
        </w:rPr>
        <w:t>90</w:t>
      </w:r>
      <w:r>
        <w:rPr>
          <w:rFonts w:hint="eastAsia" w:ascii="宋体" w:hAnsi="宋体" w:eastAsia="宋体" w:cs="宋体"/>
          <w:color w:val="auto"/>
          <w:spacing w:val="-2"/>
          <w:sz w:val="24"/>
          <w:szCs w:val="24"/>
        </w:rPr>
        <w:t>日历天</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08" w:firstLineChars="3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本项目不接受联合体。</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二、申请人的资格要求：</w:t>
      </w:r>
    </w:p>
    <w:p>
      <w:pPr>
        <w:pStyle w:val="24"/>
        <w:keepNext w:val="0"/>
        <w:keepLines w:val="0"/>
        <w:pageBreakBefore w:val="0"/>
        <w:numPr>
          <w:ilvl w:val="0"/>
          <w:numId w:val="0"/>
        </w:numPr>
        <w:tabs>
          <w:tab w:val="left" w:pos="938"/>
        </w:tabs>
        <w:kinsoku/>
        <w:wordWrap/>
        <w:overflowPunct/>
        <w:topLinePunct w:val="0"/>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满足《中华人民共和国政府采购法》第二十二条规定：</w:t>
      </w:r>
    </w:p>
    <w:p>
      <w:pPr>
        <w:pStyle w:val="24"/>
        <w:keepNext w:val="0"/>
        <w:keepLines w:val="0"/>
        <w:pageBreakBefore w:val="0"/>
        <w:numPr>
          <w:ilvl w:val="0"/>
          <w:numId w:val="2"/>
        </w:numPr>
        <w:tabs>
          <w:tab w:val="left" w:pos="1304"/>
        </w:tabs>
        <w:kinsoku/>
        <w:wordWrap/>
        <w:overflowPunct/>
        <w:topLinePunct w:val="0"/>
        <w:bidi w:val="0"/>
        <w:adjustRightInd/>
        <w:snapToGrid/>
        <w:spacing w:before="131" w:after="0" w:line="360" w:lineRule="auto"/>
        <w:ind w:left="-260" w:leftChars="0" w:right="1094" w:firstLine="480" w:firstLineChars="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具有独立承担民事责任的能力（提供法人或者其他组织的营业执照等证明文件，自然人的身份证明）；</w:t>
      </w:r>
    </w:p>
    <w:p>
      <w:pPr>
        <w:pStyle w:val="24"/>
        <w:keepNext w:val="0"/>
        <w:keepLines w:val="0"/>
        <w:pageBreakBefore w:val="0"/>
        <w:numPr>
          <w:ilvl w:val="0"/>
          <w:numId w:val="2"/>
        </w:numPr>
        <w:tabs>
          <w:tab w:val="left" w:pos="1304"/>
        </w:tabs>
        <w:kinsoku/>
        <w:wordWrap/>
        <w:overflowPunct/>
        <w:topLinePunct w:val="0"/>
        <w:bidi w:val="0"/>
        <w:adjustRightInd/>
        <w:snapToGrid/>
        <w:spacing w:before="0" w:after="0" w:line="360" w:lineRule="auto"/>
        <w:ind w:left="-260" w:leftChars="0" w:right="1088" w:firstLine="48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具有良好的商业信誉和健全的财务会计制度【提供参加本次政府采购活动前</w:t>
      </w:r>
      <w:r>
        <w:rPr>
          <w:rFonts w:hint="eastAsia" w:ascii="宋体" w:hAnsi="宋体" w:eastAsia="宋体" w:cs="宋体"/>
          <w:spacing w:val="-2"/>
          <w:sz w:val="24"/>
          <w:szCs w:val="24"/>
          <w:lang w:val="en-US"/>
        </w:rPr>
        <w:t>12个月</w:t>
      </w:r>
      <w:r>
        <w:rPr>
          <w:rFonts w:hint="eastAsia" w:ascii="宋体" w:hAnsi="宋体" w:eastAsia="宋体" w:cs="宋体"/>
          <w:spacing w:val="-2"/>
          <w:sz w:val="24"/>
          <w:szCs w:val="24"/>
        </w:rPr>
        <w:t>（至少一个月）的会计报表或银行开具的资信证明文件】；（成立不满一个月不需提供）【提供《南京市政府采购供应商信用记录表暨信用承诺书》，格式见投标文件格式模板】</w:t>
      </w:r>
    </w:p>
    <w:p>
      <w:pPr>
        <w:pStyle w:val="24"/>
        <w:keepNext w:val="0"/>
        <w:keepLines w:val="0"/>
        <w:pageBreakBefore w:val="0"/>
        <w:numPr>
          <w:ilvl w:val="0"/>
          <w:numId w:val="2"/>
        </w:numPr>
        <w:tabs>
          <w:tab w:val="left" w:pos="1304"/>
        </w:tabs>
        <w:kinsoku/>
        <w:wordWrap/>
        <w:overflowPunct/>
        <w:topLinePunct w:val="0"/>
        <w:bidi w:val="0"/>
        <w:adjustRightInd/>
        <w:snapToGrid/>
        <w:spacing w:before="131" w:after="0" w:line="360" w:lineRule="auto"/>
        <w:ind w:left="-260" w:leftChars="0" w:right="1094" w:firstLine="48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具有履行合同所必需的设备和专业技术能力（根据项目需求提供履行合同所必需的设备和专业技术能力的声明及证明材料）【证明材料提供《南京市政府采购供应商信用记录表暨信用承诺书》，格式见投标文件格式模板】；</w:t>
      </w:r>
    </w:p>
    <w:p>
      <w:pPr>
        <w:pStyle w:val="24"/>
        <w:keepNext w:val="0"/>
        <w:keepLines w:val="0"/>
        <w:pageBreakBefore w:val="0"/>
        <w:numPr>
          <w:ilvl w:val="0"/>
          <w:numId w:val="2"/>
        </w:numPr>
        <w:tabs>
          <w:tab w:val="left" w:pos="1304"/>
        </w:tabs>
        <w:kinsoku/>
        <w:wordWrap/>
        <w:overflowPunct/>
        <w:topLinePunct w:val="0"/>
        <w:bidi w:val="0"/>
        <w:adjustRightInd/>
        <w:snapToGrid/>
        <w:spacing w:before="131" w:after="0" w:line="360" w:lineRule="auto"/>
        <w:ind w:left="-260" w:leftChars="0" w:right="1094" w:firstLine="48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有依法缴纳税收和社会保障资金的良好记录（提供参加本次政府采购活动前</w:t>
      </w:r>
      <w:r>
        <w:rPr>
          <w:rFonts w:hint="eastAsia" w:ascii="宋体" w:hAnsi="宋体" w:eastAsia="宋体" w:cs="宋体"/>
          <w:spacing w:val="-2"/>
          <w:sz w:val="24"/>
          <w:szCs w:val="24"/>
          <w:lang w:val="en-US"/>
        </w:rPr>
        <w:t>六</w:t>
      </w:r>
      <w:r>
        <w:rPr>
          <w:rFonts w:hint="eastAsia" w:ascii="宋体" w:hAnsi="宋体" w:eastAsia="宋体" w:cs="宋体"/>
          <w:spacing w:val="-2"/>
          <w:sz w:val="24"/>
          <w:szCs w:val="24"/>
        </w:rPr>
        <w:t>个月内（至少一个月）依法缴纳税收和社会保障资金的相关材料）；（成立不满一个月不需提供）【提供《南京市政府采购供应商信用记录表暨信用承诺书》，格式见投标文件格式模板】；</w:t>
      </w:r>
      <w:r>
        <w:rPr>
          <w:rFonts w:hint="eastAsia" w:ascii="宋体" w:hAnsi="宋体" w:eastAsia="宋体" w:cs="宋体"/>
          <w:spacing w:val="-2"/>
          <w:sz w:val="24"/>
          <w:szCs w:val="24"/>
          <w:lang w:val="en-US" w:eastAsia="zh-CN"/>
        </w:rPr>
        <w:t xml:space="preserve"> </w:t>
      </w:r>
    </w:p>
    <w:p>
      <w:pPr>
        <w:pStyle w:val="24"/>
        <w:keepNext w:val="0"/>
        <w:keepLines w:val="0"/>
        <w:pageBreakBefore w:val="0"/>
        <w:numPr>
          <w:ilvl w:val="0"/>
          <w:numId w:val="2"/>
        </w:numPr>
        <w:tabs>
          <w:tab w:val="left" w:pos="1304"/>
        </w:tabs>
        <w:kinsoku/>
        <w:wordWrap/>
        <w:overflowPunct/>
        <w:topLinePunct w:val="0"/>
        <w:bidi w:val="0"/>
        <w:adjustRightInd/>
        <w:snapToGrid/>
        <w:spacing w:before="131" w:after="0" w:line="360" w:lineRule="auto"/>
        <w:ind w:left="-260" w:leftChars="0" w:right="1094" w:firstLine="48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参加政府采购活动前三年内，在经营活动中没有重大违法记录（提供参加本次政府采购活动前3年内在经营活动中没有重大违法记录的书面声明）【证明材料提供《南京市政府采购供应商信用记录表暨信用承诺书》，格式见投标文件格式模板】；</w:t>
      </w:r>
    </w:p>
    <w:p>
      <w:pPr>
        <w:pStyle w:val="24"/>
        <w:keepNext w:val="0"/>
        <w:keepLines w:val="0"/>
        <w:pageBreakBefore w:val="0"/>
        <w:numPr>
          <w:ilvl w:val="0"/>
          <w:numId w:val="2"/>
        </w:numPr>
        <w:tabs>
          <w:tab w:val="left" w:pos="1304"/>
        </w:tabs>
        <w:kinsoku/>
        <w:wordWrap/>
        <w:overflowPunct/>
        <w:topLinePunct w:val="0"/>
        <w:bidi w:val="0"/>
        <w:adjustRightInd/>
        <w:snapToGrid/>
        <w:spacing w:before="0" w:after="0" w:line="360" w:lineRule="auto"/>
        <w:ind w:left="-260" w:leftChars="0" w:right="1088" w:firstLine="48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法律、行政法规规定的其他条件：无。</w:t>
      </w:r>
    </w:p>
    <w:p>
      <w:pPr>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5"/>
          <w:sz w:val="24"/>
          <w:szCs w:val="24"/>
          <w:lang w:val="en-US" w:eastAsia="zh-CN" w:bidi="ar-SA"/>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落实政府采购政策需满足的资格要求：</w:t>
      </w:r>
      <w:r>
        <w:rPr>
          <w:rFonts w:hint="eastAsia" w:ascii="宋体" w:hAnsi="宋体" w:eastAsia="宋体" w:cs="宋体"/>
          <w:spacing w:val="-5"/>
          <w:sz w:val="24"/>
          <w:szCs w:val="24"/>
          <w:lang w:val="zh-CN" w:eastAsia="zh-CN" w:bidi="ar-SA"/>
        </w:rPr>
        <w:t>（如属于专门面向中小企业采购的项目，投标人应为中小微企业、监狱企业、残疾人福利性单位）</w:t>
      </w:r>
      <w:r>
        <w:rPr>
          <w:rFonts w:hint="eastAsia" w:ascii="仿宋" w:hAnsi="仿宋" w:eastAsia="仿宋"/>
          <w:sz w:val="28"/>
          <w:szCs w:val="28"/>
          <w:u w:val="none"/>
          <w:lang w:val="en-US" w:eastAsia="zh-CN"/>
        </w:rPr>
        <w:t>:</w:t>
      </w:r>
      <w:r>
        <w:rPr>
          <w:rFonts w:hint="eastAsia" w:ascii="宋体" w:hAnsi="宋体" w:eastAsia="宋体" w:cs="宋体"/>
          <w:spacing w:val="-5"/>
          <w:sz w:val="24"/>
          <w:szCs w:val="24"/>
          <w:lang w:val="en-US" w:eastAsia="zh-CN" w:bidi="ar-SA"/>
        </w:rPr>
        <w:t>本项目专门面向中小企业采购</w:t>
      </w:r>
    </w:p>
    <w:p>
      <w:pPr>
        <w:pStyle w:val="24"/>
        <w:numPr>
          <w:ilvl w:val="0"/>
          <w:numId w:val="0"/>
        </w:numPr>
        <w:tabs>
          <w:tab w:val="left" w:pos="1377"/>
        </w:tabs>
        <w:spacing w:before="2" w:after="0" w:line="343" w:lineRule="auto"/>
        <w:ind w:right="1098" w:rightChars="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3.本项目的特定资格要求：</w:t>
      </w:r>
    </w:p>
    <w:p>
      <w:pPr>
        <w:pStyle w:val="2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0" w:after="0" w:line="344" w:lineRule="auto"/>
        <w:ind w:right="0" w:rightChars="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（1）供应商须具有施工总承包水利水电工程三级（含）及以上资质（提供有效期内的资质证书复印件并加盖公章）；</w:t>
      </w:r>
    </w:p>
    <w:p>
      <w:pPr>
        <w:pStyle w:val="2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（2）供应商具有省部级建设行政主管部门颁发的安全生产许可证（提供有效期内的安全生产许可证复印件并加盖公章）。</w:t>
      </w:r>
    </w:p>
    <w:p>
      <w:pPr>
        <w:pStyle w:val="2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spacing w:val="-5"/>
          <w:kern w:val="0"/>
          <w:sz w:val="24"/>
          <w:szCs w:val="24"/>
          <w:lang w:val="zh-CN" w:eastAsia="zh-CN" w:bidi="ar-SA"/>
        </w:rPr>
      </w:pPr>
      <w:r>
        <w:rPr>
          <w:rFonts w:hint="eastAsia" w:ascii="宋体" w:hAnsi="宋体" w:eastAsia="宋体" w:cs="宋体"/>
          <w:i w:val="0"/>
          <w:iCs w:val="0"/>
          <w:caps w:val="0"/>
          <w:color w:val="000000"/>
          <w:spacing w:val="0"/>
          <w:kern w:val="0"/>
          <w:sz w:val="24"/>
          <w:szCs w:val="24"/>
          <w:shd w:val="clear" w:fill="FFFFFF"/>
          <w:lang w:val="en-US" w:eastAsia="zh-CN" w:bidi="ar"/>
        </w:rPr>
        <w:t>（3）拟投入本项目的项目经理须具有注册建造师水利水电工程二级(含)以上，且具备水行政主管部门颁发的安全生产考核B类合格证（提供有效期内的建造师证书及安全生产考核合格证书复印件并加盖公章）。提供机构出具的近半年（202</w:t>
      </w:r>
      <w:r>
        <w:rPr>
          <w:rFonts w:hint="eastAsia"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eastAsia" w:cs="宋体"/>
          <w:i w:val="0"/>
          <w:iCs w:val="0"/>
          <w:caps w:val="0"/>
          <w:color w:val="000000"/>
          <w:spacing w:val="0"/>
          <w:kern w:val="0"/>
          <w:sz w:val="24"/>
          <w:szCs w:val="24"/>
          <w:shd w:val="clear" w:fill="FFFFFF"/>
          <w:lang w:val="en-US" w:eastAsia="zh-CN" w:bidi="ar"/>
        </w:rPr>
        <w:t>02</w:t>
      </w:r>
      <w:r>
        <w:rPr>
          <w:rFonts w:hint="eastAsia" w:ascii="宋体" w:hAnsi="宋体" w:eastAsia="宋体" w:cs="宋体"/>
          <w:i w:val="0"/>
          <w:iCs w:val="0"/>
          <w:caps w:val="0"/>
          <w:color w:val="000000"/>
          <w:spacing w:val="0"/>
          <w:kern w:val="0"/>
          <w:sz w:val="24"/>
          <w:szCs w:val="24"/>
          <w:shd w:val="clear" w:fill="FFFFFF"/>
          <w:lang w:val="en-US" w:eastAsia="zh-CN" w:bidi="ar"/>
        </w:rPr>
        <w:t>月-2022年</w:t>
      </w:r>
      <w:r>
        <w:rPr>
          <w:rFonts w:hint="eastAsia" w:cs="宋体"/>
          <w:i w:val="0"/>
          <w:iCs w:val="0"/>
          <w:caps w:val="0"/>
          <w:color w:val="000000"/>
          <w:spacing w:val="0"/>
          <w:kern w:val="0"/>
          <w:sz w:val="24"/>
          <w:szCs w:val="24"/>
          <w:shd w:val="clear" w:fill="FFFFFF"/>
          <w:lang w:val="en-US" w:eastAsia="zh-CN" w:bidi="ar"/>
        </w:rPr>
        <w:t>07</w:t>
      </w:r>
      <w:r>
        <w:rPr>
          <w:rFonts w:hint="eastAsia" w:ascii="宋体" w:hAnsi="宋体" w:eastAsia="宋体" w:cs="宋体"/>
          <w:i w:val="0"/>
          <w:iCs w:val="0"/>
          <w:caps w:val="0"/>
          <w:color w:val="000000"/>
          <w:spacing w:val="0"/>
          <w:kern w:val="0"/>
          <w:sz w:val="24"/>
          <w:szCs w:val="24"/>
          <w:shd w:val="clear" w:fill="FFFFFF"/>
          <w:lang w:val="en-US" w:eastAsia="zh-CN" w:bidi="ar"/>
        </w:rPr>
        <w:t>月）投标申请人为其缴纳的缴费证明【加盖公章或具有可验证的二维码（或验证码）】</w:t>
      </w:r>
    </w:p>
    <w:p>
      <w:pPr>
        <w:pStyle w:val="24"/>
        <w:keepNext w:val="0"/>
        <w:keepLines w:val="0"/>
        <w:pageBreakBefore w:val="0"/>
        <w:numPr>
          <w:ilvl w:val="0"/>
          <w:numId w:val="0"/>
        </w:numPr>
        <w:tabs>
          <w:tab w:val="left" w:pos="1017"/>
        </w:tabs>
        <w:kinsoku/>
        <w:wordWrap/>
        <w:overflowPunct/>
        <w:topLinePunct w:val="0"/>
        <w:bidi w:val="0"/>
        <w:adjustRightInd/>
        <w:snapToGrid/>
        <w:spacing w:before="3"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拒绝下述供应商参加本次采购活动：</w:t>
      </w:r>
    </w:p>
    <w:p>
      <w:pPr>
        <w:pStyle w:val="24"/>
        <w:keepNext w:val="0"/>
        <w:keepLines w:val="0"/>
        <w:pageBreakBefore w:val="0"/>
        <w:numPr>
          <w:ilvl w:val="0"/>
          <w:numId w:val="3"/>
        </w:numPr>
        <w:tabs>
          <w:tab w:val="left" w:pos="1377"/>
        </w:tabs>
        <w:kinsoku/>
        <w:wordWrap/>
        <w:overflowPunct/>
        <w:topLinePunct w:val="0"/>
        <w:bidi w:val="0"/>
        <w:adjustRightInd/>
        <w:snapToGrid/>
        <w:spacing w:before="131" w:after="0" w:line="360" w:lineRule="auto"/>
        <w:ind w:left="216" w:right="1097"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供应商单位负责人为同一人或者存在直接控股、管理关系的不同供应商，不得参加同一合同项下的政府采购活动。</w:t>
      </w:r>
    </w:p>
    <w:p>
      <w:pPr>
        <w:pStyle w:val="24"/>
        <w:keepNext w:val="0"/>
        <w:keepLines w:val="0"/>
        <w:pageBreakBefore w:val="0"/>
        <w:numPr>
          <w:ilvl w:val="0"/>
          <w:numId w:val="3"/>
        </w:numPr>
        <w:tabs>
          <w:tab w:val="left" w:pos="1377"/>
        </w:tabs>
        <w:kinsoku/>
        <w:wordWrap/>
        <w:overflowPunct/>
        <w:topLinePunct w:val="0"/>
        <w:bidi w:val="0"/>
        <w:adjustRightInd/>
        <w:snapToGrid/>
        <w:spacing w:before="2" w:after="0" w:line="360" w:lineRule="auto"/>
        <w:ind w:left="216" w:right="1098"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凡为采购项目提供整体设计、规范编制或者项目管理、监理、检测等服务的供应商，不得再参加本项目的采购活动。</w:t>
      </w:r>
    </w:p>
    <w:p>
      <w:pPr>
        <w:pStyle w:val="24"/>
        <w:keepNext w:val="0"/>
        <w:keepLines w:val="0"/>
        <w:pageBreakBefore w:val="0"/>
        <w:numPr>
          <w:ilvl w:val="0"/>
          <w:numId w:val="3"/>
        </w:numPr>
        <w:tabs>
          <w:tab w:val="left" w:pos="1377"/>
        </w:tabs>
        <w:kinsoku/>
        <w:wordWrap/>
        <w:overflowPunct/>
        <w:topLinePunct w:val="0"/>
        <w:bidi w:val="0"/>
        <w:adjustRightInd/>
        <w:snapToGrid/>
        <w:spacing w:before="0" w:after="0" w:line="360" w:lineRule="auto"/>
        <w:ind w:left="216" w:right="1095"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供应商被“信用中国”网站（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www.creditchina.gov.cn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snapToGrid/>
        <w:spacing w:before="0" w:line="360" w:lineRule="auto"/>
        <w:ind w:left="216"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三、获取采购文件</w:t>
      </w:r>
    </w:p>
    <w:p>
      <w:pPr>
        <w:keepNext w:val="0"/>
        <w:keepLines w:val="0"/>
        <w:pageBreakBefore w:val="0"/>
        <w:kinsoku/>
        <w:wordWrap/>
        <w:overflowPunct/>
        <w:topLinePunct w:val="0"/>
        <w:bidi w:val="0"/>
        <w:adjustRightInd/>
        <w:snapToGrid/>
        <w:spacing w:before="134" w:line="360" w:lineRule="auto"/>
        <w:ind w:left="216" w:right="1096" w:firstLine="472" w:firstLineChars="200"/>
        <w:jc w:val="left"/>
        <w:textAlignment w:val="auto"/>
        <w:rPr>
          <w:rFonts w:hint="eastAsia" w:ascii="宋体" w:hAnsi="宋体" w:eastAsia="宋体" w:cs="宋体"/>
          <w:spacing w:val="-2"/>
          <w:sz w:val="24"/>
          <w:szCs w:val="24"/>
          <w:highlight w:val="yellow"/>
          <w:lang w:val="en-US" w:eastAsia="zh-CN" w:bidi="ar-SA"/>
        </w:rPr>
      </w:pPr>
      <w:r>
        <w:rPr>
          <w:rFonts w:hint="eastAsia" w:ascii="宋体" w:hAnsi="宋体" w:eastAsia="宋体" w:cs="宋体"/>
          <w:spacing w:val="-2"/>
          <w:sz w:val="24"/>
          <w:szCs w:val="24"/>
          <w:lang w:val="en-US" w:eastAsia="zh-CN" w:bidi="ar-SA"/>
        </w:rPr>
        <w:t>时间：</w:t>
      </w:r>
      <w:r>
        <w:rPr>
          <w:rFonts w:hint="eastAsia" w:ascii="宋体" w:hAnsi="宋体" w:eastAsia="宋体" w:cs="宋体"/>
          <w:spacing w:val="-2"/>
          <w:sz w:val="24"/>
          <w:szCs w:val="24"/>
          <w:highlight w:val="none"/>
          <w:lang w:val="en-US" w:eastAsia="zh-CN" w:bidi="ar-SA"/>
        </w:rPr>
        <w:t>2022年08月</w:t>
      </w:r>
      <w:r>
        <w:rPr>
          <w:rFonts w:hint="eastAsia" w:cs="宋体"/>
          <w:spacing w:val="-2"/>
          <w:sz w:val="24"/>
          <w:szCs w:val="24"/>
          <w:highlight w:val="none"/>
          <w:lang w:val="en-US" w:eastAsia="zh-CN" w:bidi="ar-SA"/>
        </w:rPr>
        <w:t>22</w:t>
      </w:r>
      <w:r>
        <w:rPr>
          <w:rFonts w:hint="eastAsia" w:ascii="宋体" w:hAnsi="宋体" w:eastAsia="宋体" w:cs="宋体"/>
          <w:spacing w:val="-2"/>
          <w:sz w:val="24"/>
          <w:szCs w:val="24"/>
          <w:highlight w:val="none"/>
          <w:lang w:val="en-US" w:eastAsia="zh-CN" w:bidi="ar-SA"/>
        </w:rPr>
        <w:t>日至2022年08月</w:t>
      </w:r>
      <w:r>
        <w:rPr>
          <w:rFonts w:hint="eastAsia" w:cs="宋体"/>
          <w:spacing w:val="-2"/>
          <w:sz w:val="24"/>
          <w:szCs w:val="24"/>
          <w:highlight w:val="none"/>
          <w:lang w:val="en-US" w:eastAsia="zh-CN" w:bidi="ar-SA"/>
        </w:rPr>
        <w:t>26</w:t>
      </w:r>
      <w:r>
        <w:rPr>
          <w:rFonts w:hint="eastAsia" w:ascii="宋体" w:hAnsi="宋体" w:eastAsia="宋体" w:cs="宋体"/>
          <w:spacing w:val="-2"/>
          <w:sz w:val="24"/>
          <w:szCs w:val="24"/>
          <w:highlight w:val="none"/>
          <w:lang w:val="en-US" w:eastAsia="zh-CN" w:bidi="ar-SA"/>
        </w:rPr>
        <w:t>日，每天上午8:30至11：30，下午14：00至17:00（北京时间，法定节假日除外）</w:t>
      </w:r>
    </w:p>
    <w:p>
      <w:pPr>
        <w:keepNext w:val="0"/>
        <w:keepLines w:val="0"/>
        <w:pageBreakBefore w:val="0"/>
        <w:kinsoku/>
        <w:wordWrap/>
        <w:overflowPunct/>
        <w:topLinePunct w:val="0"/>
        <w:bidi w:val="0"/>
        <w:adjustRightInd/>
        <w:snapToGrid/>
        <w:spacing w:before="0" w:line="360" w:lineRule="auto"/>
        <w:ind w:left="756" w:right="0" w:firstLine="460" w:firstLineChars="200"/>
        <w:jc w:val="left"/>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rPr>
        <w:t>地点：</w:t>
      </w:r>
      <w:r>
        <w:rPr>
          <w:rFonts w:hint="eastAsia" w:ascii="宋体" w:hAnsi="宋体" w:eastAsia="宋体" w:cs="宋体"/>
          <w:spacing w:val="-5"/>
          <w:sz w:val="24"/>
          <w:szCs w:val="24"/>
          <w:lang w:eastAsia="zh-CN"/>
        </w:rPr>
        <w:t>江苏省南京市溧水区高平大街55号</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现场：经办人须携带【①营业执照副本复印件加盖公章、②单位介绍信加盖公章、③经办人身份证原件】</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邮寄：经办人需提供</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①营业执照副本复印件加盖公章、②单位介绍信加盖公章、③经办人身份证复印件加盖公章</w:t>
      </w:r>
      <w:r>
        <w:rPr>
          <w:rFonts w:hint="eastAsia" w:ascii="宋体" w:hAnsi="宋体" w:eastAsia="宋体" w:cs="宋体"/>
          <w:i w:val="0"/>
          <w:iCs w:val="0"/>
          <w:caps w:val="0"/>
          <w:color w:val="000000"/>
          <w:spacing w:val="0"/>
          <w:kern w:val="0"/>
          <w:sz w:val="24"/>
          <w:szCs w:val="24"/>
          <w:shd w:val="clear" w:fill="FFFFFF"/>
          <w:lang w:val="en-US" w:eastAsia="zh-CN" w:bidi="ar"/>
        </w:rPr>
        <w:t>】</w:t>
      </w:r>
    </w:p>
    <w:p>
      <w:pPr>
        <w:keepNext w:val="0"/>
        <w:keepLines w:val="0"/>
        <w:pageBreakBefore w:val="0"/>
        <w:kinsoku/>
        <w:wordWrap/>
        <w:overflowPunct/>
        <w:topLinePunct w:val="0"/>
        <w:bidi w:val="0"/>
        <w:adjustRightInd/>
        <w:snapToGrid/>
        <w:spacing w:before="1" w:line="360" w:lineRule="auto"/>
        <w:ind w:left="216"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四、响应文件提交</w:t>
      </w:r>
    </w:p>
    <w:p>
      <w:pPr>
        <w:keepNext w:val="0"/>
        <w:keepLines w:val="0"/>
        <w:pageBreakBefore w:val="0"/>
        <w:kinsoku/>
        <w:wordWrap/>
        <w:overflowPunct/>
        <w:topLinePunct w:val="0"/>
        <w:bidi w:val="0"/>
        <w:adjustRightInd/>
        <w:snapToGrid/>
        <w:spacing w:before="134" w:line="360" w:lineRule="auto"/>
        <w:ind w:left="216" w:right="1093" w:firstLine="960" w:firstLineChars="400"/>
        <w:jc w:val="left"/>
        <w:textAlignment w:val="auto"/>
        <w:rPr>
          <w:rFonts w:hint="eastAsia" w:ascii="宋体" w:hAnsi="宋体" w:eastAsia="宋体" w:cs="宋体"/>
          <w:i w:val="0"/>
          <w:iCs w:val="0"/>
          <w:caps w:val="0"/>
          <w:color w:val="000000"/>
          <w:spacing w:val="0"/>
          <w:sz w:val="24"/>
          <w:szCs w:val="24"/>
          <w:highlight w:val="none"/>
          <w:shd w:val="clear" w:fill="FFFFFF"/>
        </w:rPr>
      </w:pPr>
      <w:r>
        <w:rPr>
          <w:rFonts w:hint="eastAsia" w:ascii="宋体" w:hAnsi="宋体" w:eastAsia="宋体" w:cs="宋体"/>
          <w:i w:val="0"/>
          <w:iCs w:val="0"/>
          <w:caps w:val="0"/>
          <w:color w:val="000000"/>
          <w:spacing w:val="0"/>
          <w:sz w:val="24"/>
          <w:szCs w:val="24"/>
          <w:highlight w:val="none"/>
          <w:shd w:val="clear" w:fill="FFFFFF"/>
        </w:rPr>
        <w:t>截止时间：202</w:t>
      </w:r>
      <w:r>
        <w:rPr>
          <w:rFonts w:hint="eastAsia" w:ascii="宋体" w:hAnsi="宋体" w:eastAsia="宋体" w:cs="宋体"/>
          <w:i w:val="0"/>
          <w:iCs w:val="0"/>
          <w:caps w:val="0"/>
          <w:color w:val="000000"/>
          <w:spacing w:val="0"/>
          <w:sz w:val="24"/>
          <w:szCs w:val="24"/>
          <w:highlight w:val="none"/>
          <w:shd w:val="clear" w:fill="FFFFFF"/>
          <w:lang w:val="en-US" w:eastAsia="zh-CN"/>
        </w:rPr>
        <w:t>2</w:t>
      </w:r>
      <w:r>
        <w:rPr>
          <w:rFonts w:hint="eastAsia" w:ascii="宋体" w:hAnsi="宋体" w:eastAsia="宋体" w:cs="宋体"/>
          <w:i w:val="0"/>
          <w:iCs w:val="0"/>
          <w:caps w:val="0"/>
          <w:color w:val="000000"/>
          <w:spacing w:val="0"/>
          <w:sz w:val="24"/>
          <w:szCs w:val="24"/>
          <w:highlight w:val="none"/>
          <w:shd w:val="clear" w:fill="FFFFFF"/>
        </w:rPr>
        <w:t>年</w:t>
      </w:r>
      <w:r>
        <w:rPr>
          <w:rFonts w:hint="eastAsia" w:ascii="宋体" w:hAnsi="宋体" w:eastAsia="宋体" w:cs="宋体"/>
          <w:i w:val="0"/>
          <w:iCs w:val="0"/>
          <w:caps w:val="0"/>
          <w:color w:val="000000"/>
          <w:spacing w:val="0"/>
          <w:sz w:val="24"/>
          <w:szCs w:val="24"/>
          <w:highlight w:val="none"/>
          <w:shd w:val="clear" w:fill="FFFFFF"/>
          <w:lang w:val="en-US" w:eastAsia="zh-CN"/>
        </w:rPr>
        <w:t>0</w:t>
      </w:r>
      <w:r>
        <w:rPr>
          <w:rFonts w:hint="eastAsia" w:cs="宋体"/>
          <w:i w:val="0"/>
          <w:iCs w:val="0"/>
          <w:caps w:val="0"/>
          <w:color w:val="000000"/>
          <w:spacing w:val="0"/>
          <w:sz w:val="24"/>
          <w:szCs w:val="24"/>
          <w:highlight w:val="none"/>
          <w:shd w:val="clear" w:fill="FFFFFF"/>
          <w:lang w:val="en-US" w:eastAsia="zh-CN"/>
        </w:rPr>
        <w:t>9</w:t>
      </w:r>
      <w:r>
        <w:rPr>
          <w:rFonts w:hint="eastAsia" w:ascii="宋体" w:hAnsi="宋体" w:eastAsia="宋体" w:cs="宋体"/>
          <w:i w:val="0"/>
          <w:iCs w:val="0"/>
          <w:caps w:val="0"/>
          <w:color w:val="000000"/>
          <w:spacing w:val="0"/>
          <w:sz w:val="24"/>
          <w:szCs w:val="24"/>
          <w:highlight w:val="none"/>
          <w:shd w:val="clear" w:fill="FFFFFF"/>
        </w:rPr>
        <w:t>月</w:t>
      </w:r>
      <w:r>
        <w:rPr>
          <w:rFonts w:hint="eastAsia" w:cs="宋体"/>
          <w:i w:val="0"/>
          <w:iCs w:val="0"/>
          <w:caps w:val="0"/>
          <w:color w:val="000000"/>
          <w:spacing w:val="0"/>
          <w:sz w:val="24"/>
          <w:szCs w:val="24"/>
          <w:highlight w:val="none"/>
          <w:shd w:val="clear" w:fill="FFFFFF"/>
          <w:lang w:val="en-US" w:eastAsia="zh-CN"/>
        </w:rPr>
        <w:t>02</w:t>
      </w:r>
      <w:r>
        <w:rPr>
          <w:rFonts w:hint="eastAsia" w:ascii="宋体" w:hAnsi="宋体" w:eastAsia="宋体" w:cs="宋体"/>
          <w:i w:val="0"/>
          <w:iCs w:val="0"/>
          <w:caps w:val="0"/>
          <w:color w:val="000000"/>
          <w:spacing w:val="0"/>
          <w:sz w:val="24"/>
          <w:szCs w:val="24"/>
          <w:highlight w:val="none"/>
          <w:shd w:val="clear" w:fill="FFFFFF"/>
        </w:rPr>
        <w:t>日1</w:t>
      </w:r>
      <w:r>
        <w:rPr>
          <w:rFonts w:hint="eastAsia" w:ascii="宋体" w:hAnsi="宋体" w:eastAsia="宋体" w:cs="宋体"/>
          <w:i w:val="0"/>
          <w:iCs w:val="0"/>
          <w:caps w:val="0"/>
          <w:color w:val="000000"/>
          <w:spacing w:val="0"/>
          <w:sz w:val="24"/>
          <w:szCs w:val="24"/>
          <w:highlight w:val="none"/>
          <w:shd w:val="clear" w:fill="FFFFFF"/>
          <w:lang w:val="en-US" w:eastAsia="zh-CN"/>
        </w:rPr>
        <w:t>5</w:t>
      </w:r>
      <w:r>
        <w:rPr>
          <w:rFonts w:hint="eastAsia" w:ascii="宋体" w:hAnsi="宋体" w:eastAsia="宋体" w:cs="宋体"/>
          <w:i w:val="0"/>
          <w:iCs w:val="0"/>
          <w:caps w:val="0"/>
          <w:color w:val="000000"/>
          <w:spacing w:val="0"/>
          <w:sz w:val="24"/>
          <w:szCs w:val="24"/>
          <w:highlight w:val="none"/>
          <w:shd w:val="clear" w:fill="FFFFFF"/>
        </w:rPr>
        <w:t>点</w:t>
      </w:r>
      <w:r>
        <w:rPr>
          <w:rFonts w:hint="eastAsia" w:ascii="宋体" w:hAnsi="宋体" w:eastAsia="宋体" w:cs="宋体"/>
          <w:i w:val="0"/>
          <w:iCs w:val="0"/>
          <w:caps w:val="0"/>
          <w:color w:val="000000"/>
          <w:spacing w:val="0"/>
          <w:sz w:val="24"/>
          <w:szCs w:val="24"/>
          <w:highlight w:val="none"/>
          <w:shd w:val="clear" w:fill="FFFFFF"/>
          <w:lang w:val="en-US" w:eastAsia="zh-CN"/>
        </w:rPr>
        <w:t>0</w:t>
      </w:r>
      <w:r>
        <w:rPr>
          <w:rFonts w:hint="eastAsia" w:ascii="宋体" w:hAnsi="宋体" w:eastAsia="宋体" w:cs="宋体"/>
          <w:i w:val="0"/>
          <w:iCs w:val="0"/>
          <w:caps w:val="0"/>
          <w:color w:val="000000"/>
          <w:spacing w:val="0"/>
          <w:sz w:val="24"/>
          <w:szCs w:val="24"/>
          <w:highlight w:val="none"/>
          <w:shd w:val="clear" w:fill="FFFFFF"/>
        </w:rPr>
        <w:t>0分（北京时间）</w:t>
      </w:r>
    </w:p>
    <w:p>
      <w:pPr>
        <w:keepNext w:val="0"/>
        <w:keepLines w:val="0"/>
        <w:pageBreakBefore w:val="0"/>
        <w:kinsoku/>
        <w:wordWrap/>
        <w:overflowPunct/>
        <w:topLinePunct w:val="0"/>
        <w:bidi w:val="0"/>
        <w:adjustRightInd/>
        <w:snapToGrid/>
        <w:spacing w:before="0" w:line="360" w:lineRule="auto"/>
        <w:ind w:left="756" w:right="0" w:firstLine="480" w:firstLineChars="200"/>
        <w:jc w:val="left"/>
        <w:textAlignment w:val="auto"/>
        <w:rPr>
          <w:rFonts w:hint="eastAsia" w:ascii="宋体" w:hAnsi="宋体" w:eastAsia="宋体" w:cs="宋体"/>
          <w:spacing w:val="-5"/>
          <w:sz w:val="24"/>
          <w:szCs w:val="24"/>
          <w:lang w:eastAsia="zh-CN"/>
        </w:rPr>
      </w:pPr>
      <w:r>
        <w:rPr>
          <w:rFonts w:hint="eastAsia" w:ascii="宋体" w:hAnsi="宋体" w:eastAsia="宋体" w:cs="宋体"/>
          <w:i w:val="0"/>
          <w:iCs w:val="0"/>
          <w:caps w:val="0"/>
          <w:color w:val="000000"/>
          <w:spacing w:val="0"/>
          <w:sz w:val="24"/>
          <w:szCs w:val="24"/>
          <w:shd w:val="clear" w:fill="FFFFFF"/>
        </w:rPr>
        <w:t>地点：</w:t>
      </w:r>
      <w:r>
        <w:rPr>
          <w:rFonts w:hint="eastAsia" w:ascii="宋体" w:hAnsi="宋体" w:eastAsia="宋体" w:cs="宋体"/>
          <w:spacing w:val="-5"/>
          <w:sz w:val="24"/>
          <w:szCs w:val="24"/>
          <w:lang w:eastAsia="zh-CN"/>
        </w:rPr>
        <w:t>江苏省南京市溧水区高平大街55号</w:t>
      </w:r>
    </w:p>
    <w:p>
      <w:pPr>
        <w:keepNext w:val="0"/>
        <w:keepLines w:val="0"/>
        <w:pageBreakBefore w:val="0"/>
        <w:kinsoku/>
        <w:wordWrap/>
        <w:overflowPunct/>
        <w:topLinePunct w:val="0"/>
        <w:bidi w:val="0"/>
        <w:adjustRightInd/>
        <w:snapToGrid/>
        <w:spacing w:before="134" w:line="360" w:lineRule="auto"/>
        <w:ind w:left="216" w:right="1093" w:firstLine="480" w:firstLineChars="2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五、开启</w:t>
      </w:r>
    </w:p>
    <w:p>
      <w:pPr>
        <w:keepNext w:val="0"/>
        <w:keepLines w:val="0"/>
        <w:pageBreakBefore w:val="0"/>
        <w:kinsoku/>
        <w:wordWrap/>
        <w:overflowPunct/>
        <w:topLinePunct w:val="0"/>
        <w:bidi w:val="0"/>
        <w:adjustRightInd/>
        <w:snapToGrid/>
        <w:spacing w:before="134" w:line="360" w:lineRule="auto"/>
        <w:ind w:left="216" w:right="1093" w:firstLine="480" w:firstLineChars="200"/>
        <w:jc w:val="left"/>
        <w:textAlignment w:val="auto"/>
        <w:rPr>
          <w:rFonts w:hint="eastAsia" w:ascii="宋体" w:hAnsi="宋体" w:eastAsia="宋体" w:cs="宋体"/>
          <w:i w:val="0"/>
          <w:iCs w:val="0"/>
          <w:caps w:val="0"/>
          <w:color w:val="000000"/>
          <w:spacing w:val="0"/>
          <w:sz w:val="24"/>
          <w:szCs w:val="24"/>
          <w:highlight w:val="yellow"/>
          <w:shd w:val="clear" w:fill="FFFFFF"/>
        </w:rPr>
      </w:pPr>
      <w:r>
        <w:rPr>
          <w:rFonts w:hint="eastAsia" w:ascii="宋体" w:hAnsi="宋体" w:eastAsia="宋体" w:cs="宋体"/>
          <w:i w:val="0"/>
          <w:iCs w:val="0"/>
          <w:caps w:val="0"/>
          <w:color w:val="000000"/>
          <w:spacing w:val="0"/>
          <w:sz w:val="24"/>
          <w:szCs w:val="24"/>
          <w:shd w:val="clear" w:fill="FFFFFF"/>
        </w:rPr>
        <w:t>时间：</w:t>
      </w:r>
      <w:r>
        <w:rPr>
          <w:rFonts w:hint="eastAsia" w:ascii="宋体" w:hAnsi="宋体" w:eastAsia="宋体" w:cs="宋体"/>
          <w:i w:val="0"/>
          <w:iCs w:val="0"/>
          <w:caps w:val="0"/>
          <w:color w:val="000000"/>
          <w:spacing w:val="0"/>
          <w:sz w:val="24"/>
          <w:szCs w:val="24"/>
          <w:highlight w:val="none"/>
          <w:shd w:val="clear" w:fill="FFFFFF"/>
        </w:rPr>
        <w:t>202</w:t>
      </w:r>
      <w:r>
        <w:rPr>
          <w:rFonts w:hint="eastAsia" w:ascii="宋体" w:hAnsi="宋体" w:eastAsia="宋体" w:cs="宋体"/>
          <w:i w:val="0"/>
          <w:iCs w:val="0"/>
          <w:caps w:val="0"/>
          <w:color w:val="000000"/>
          <w:spacing w:val="0"/>
          <w:sz w:val="24"/>
          <w:szCs w:val="24"/>
          <w:highlight w:val="none"/>
          <w:shd w:val="clear" w:fill="FFFFFF"/>
          <w:lang w:val="en-US" w:eastAsia="zh-CN"/>
        </w:rPr>
        <w:t>2</w:t>
      </w:r>
      <w:r>
        <w:rPr>
          <w:rFonts w:hint="eastAsia" w:ascii="宋体" w:hAnsi="宋体" w:eastAsia="宋体" w:cs="宋体"/>
          <w:i w:val="0"/>
          <w:iCs w:val="0"/>
          <w:caps w:val="0"/>
          <w:color w:val="000000"/>
          <w:spacing w:val="0"/>
          <w:sz w:val="24"/>
          <w:szCs w:val="24"/>
          <w:highlight w:val="none"/>
          <w:shd w:val="clear" w:fill="FFFFFF"/>
        </w:rPr>
        <w:t>年</w:t>
      </w:r>
      <w:r>
        <w:rPr>
          <w:rFonts w:hint="eastAsia" w:ascii="宋体" w:hAnsi="宋体" w:eastAsia="宋体" w:cs="宋体"/>
          <w:i w:val="0"/>
          <w:iCs w:val="0"/>
          <w:caps w:val="0"/>
          <w:color w:val="000000"/>
          <w:spacing w:val="0"/>
          <w:sz w:val="24"/>
          <w:szCs w:val="24"/>
          <w:highlight w:val="none"/>
          <w:shd w:val="clear" w:fill="FFFFFF"/>
          <w:lang w:val="en-US" w:eastAsia="zh-CN"/>
        </w:rPr>
        <w:t>0</w:t>
      </w:r>
      <w:r>
        <w:rPr>
          <w:rFonts w:hint="eastAsia" w:cs="宋体"/>
          <w:i w:val="0"/>
          <w:iCs w:val="0"/>
          <w:caps w:val="0"/>
          <w:color w:val="000000"/>
          <w:spacing w:val="0"/>
          <w:sz w:val="24"/>
          <w:szCs w:val="24"/>
          <w:highlight w:val="none"/>
          <w:shd w:val="clear" w:fill="FFFFFF"/>
          <w:lang w:val="en-US" w:eastAsia="zh-CN"/>
        </w:rPr>
        <w:t>9</w:t>
      </w:r>
      <w:r>
        <w:rPr>
          <w:rFonts w:hint="eastAsia" w:ascii="宋体" w:hAnsi="宋体" w:eastAsia="宋体" w:cs="宋体"/>
          <w:i w:val="0"/>
          <w:iCs w:val="0"/>
          <w:caps w:val="0"/>
          <w:color w:val="000000"/>
          <w:spacing w:val="0"/>
          <w:sz w:val="24"/>
          <w:szCs w:val="24"/>
          <w:highlight w:val="none"/>
          <w:shd w:val="clear" w:fill="FFFFFF"/>
        </w:rPr>
        <w:t>月</w:t>
      </w:r>
      <w:r>
        <w:rPr>
          <w:rFonts w:hint="eastAsia" w:cs="宋体"/>
          <w:i w:val="0"/>
          <w:iCs w:val="0"/>
          <w:caps w:val="0"/>
          <w:color w:val="000000"/>
          <w:spacing w:val="0"/>
          <w:sz w:val="24"/>
          <w:szCs w:val="24"/>
          <w:highlight w:val="none"/>
          <w:shd w:val="clear" w:fill="FFFFFF"/>
          <w:lang w:val="en-US" w:eastAsia="zh-CN"/>
        </w:rPr>
        <w:t>02</w:t>
      </w:r>
      <w:r>
        <w:rPr>
          <w:rFonts w:hint="eastAsia" w:ascii="宋体" w:hAnsi="宋体" w:eastAsia="宋体" w:cs="宋体"/>
          <w:i w:val="0"/>
          <w:iCs w:val="0"/>
          <w:caps w:val="0"/>
          <w:color w:val="000000"/>
          <w:spacing w:val="0"/>
          <w:sz w:val="24"/>
          <w:szCs w:val="24"/>
          <w:highlight w:val="none"/>
          <w:shd w:val="clear" w:fill="FFFFFF"/>
        </w:rPr>
        <w:t>日1</w:t>
      </w:r>
      <w:r>
        <w:rPr>
          <w:rFonts w:hint="eastAsia" w:ascii="宋体" w:hAnsi="宋体" w:eastAsia="宋体" w:cs="宋体"/>
          <w:i w:val="0"/>
          <w:iCs w:val="0"/>
          <w:caps w:val="0"/>
          <w:color w:val="000000"/>
          <w:spacing w:val="0"/>
          <w:sz w:val="24"/>
          <w:szCs w:val="24"/>
          <w:highlight w:val="none"/>
          <w:shd w:val="clear" w:fill="FFFFFF"/>
          <w:lang w:val="en-US" w:eastAsia="zh-CN"/>
        </w:rPr>
        <w:t>5</w:t>
      </w:r>
      <w:r>
        <w:rPr>
          <w:rFonts w:hint="eastAsia" w:ascii="宋体" w:hAnsi="宋体" w:eastAsia="宋体" w:cs="宋体"/>
          <w:i w:val="0"/>
          <w:iCs w:val="0"/>
          <w:caps w:val="0"/>
          <w:color w:val="000000"/>
          <w:spacing w:val="0"/>
          <w:sz w:val="24"/>
          <w:szCs w:val="24"/>
          <w:highlight w:val="none"/>
          <w:shd w:val="clear" w:fill="FFFFFF"/>
        </w:rPr>
        <w:t>点</w:t>
      </w:r>
      <w:r>
        <w:rPr>
          <w:rFonts w:hint="eastAsia" w:ascii="宋体" w:hAnsi="宋体" w:eastAsia="宋体" w:cs="宋体"/>
          <w:i w:val="0"/>
          <w:iCs w:val="0"/>
          <w:caps w:val="0"/>
          <w:color w:val="000000"/>
          <w:spacing w:val="0"/>
          <w:sz w:val="24"/>
          <w:szCs w:val="24"/>
          <w:highlight w:val="none"/>
          <w:shd w:val="clear" w:fill="FFFFFF"/>
          <w:lang w:val="en-US" w:eastAsia="zh-CN"/>
        </w:rPr>
        <w:t>0</w:t>
      </w:r>
      <w:r>
        <w:rPr>
          <w:rFonts w:hint="eastAsia" w:ascii="宋体" w:hAnsi="宋体" w:eastAsia="宋体" w:cs="宋体"/>
          <w:i w:val="0"/>
          <w:iCs w:val="0"/>
          <w:caps w:val="0"/>
          <w:color w:val="000000"/>
          <w:spacing w:val="0"/>
          <w:sz w:val="24"/>
          <w:szCs w:val="24"/>
          <w:highlight w:val="none"/>
          <w:shd w:val="clear" w:fill="FFFFFF"/>
        </w:rPr>
        <w:t>0分（北京时间）</w:t>
      </w:r>
    </w:p>
    <w:p>
      <w:pPr>
        <w:keepNext w:val="0"/>
        <w:keepLines w:val="0"/>
        <w:pageBreakBefore w:val="0"/>
        <w:kinsoku/>
        <w:wordWrap/>
        <w:overflowPunct/>
        <w:topLinePunct w:val="0"/>
        <w:bidi w:val="0"/>
        <w:adjustRightInd/>
        <w:snapToGrid/>
        <w:spacing w:before="0" w:line="360" w:lineRule="auto"/>
        <w:ind w:right="0" w:firstLine="720" w:firstLineChars="3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地点：</w:t>
      </w:r>
      <w:r>
        <w:rPr>
          <w:rFonts w:hint="eastAsia" w:ascii="宋体" w:hAnsi="宋体" w:eastAsia="宋体" w:cs="宋体"/>
          <w:spacing w:val="-5"/>
          <w:sz w:val="24"/>
          <w:szCs w:val="24"/>
          <w:lang w:eastAsia="zh-CN"/>
        </w:rPr>
        <w:t>江苏省南京市溧水区高平大街55号</w:t>
      </w:r>
    </w:p>
    <w:p>
      <w:pPr>
        <w:keepNext w:val="0"/>
        <w:keepLines w:val="0"/>
        <w:pageBreakBefore w:val="0"/>
        <w:kinsoku/>
        <w:wordWrap/>
        <w:overflowPunct/>
        <w:topLinePunct w:val="0"/>
        <w:bidi w:val="0"/>
        <w:adjustRightInd/>
        <w:snapToGrid/>
        <w:spacing w:before="50" w:line="360" w:lineRule="auto"/>
        <w:ind w:left="216"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六、公告期限</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48" w:firstLineChars="200"/>
        <w:jc w:val="left"/>
        <w:textAlignment w:val="auto"/>
        <w:rPr>
          <w:rFonts w:hint="eastAsia" w:ascii="宋体" w:hAnsi="宋体" w:eastAsia="宋体" w:cs="宋体"/>
          <w:spacing w:val="-12"/>
          <w:sz w:val="24"/>
          <w:szCs w:val="24"/>
        </w:rPr>
      </w:pPr>
      <w:r>
        <w:rPr>
          <w:rFonts w:hint="eastAsia" w:ascii="宋体" w:hAnsi="宋体" w:eastAsia="宋体" w:cs="宋体"/>
          <w:spacing w:val="-8"/>
          <w:sz w:val="24"/>
          <w:szCs w:val="24"/>
        </w:rPr>
        <w:t>自本公告发布之日起</w:t>
      </w:r>
      <w:r>
        <w:rPr>
          <w:rFonts w:hint="eastAsia" w:ascii="宋体" w:hAnsi="宋体" w:eastAsia="宋体" w:cs="宋体"/>
          <w:spacing w:val="-2"/>
          <w:sz w:val="24"/>
          <w:szCs w:val="24"/>
        </w:rPr>
        <w:t>5</w:t>
      </w:r>
      <w:r>
        <w:rPr>
          <w:rFonts w:hint="eastAsia" w:ascii="宋体" w:hAnsi="宋体" w:eastAsia="宋体" w:cs="宋体"/>
          <w:spacing w:val="-12"/>
          <w:sz w:val="24"/>
          <w:szCs w:val="24"/>
        </w:rPr>
        <w:t>个工作日。</w:t>
      </w:r>
    </w:p>
    <w:p>
      <w:pPr>
        <w:keepNext w:val="0"/>
        <w:keepLines w:val="0"/>
        <w:pageBreakBefore w:val="0"/>
        <w:kinsoku/>
        <w:wordWrap/>
        <w:overflowPunct/>
        <w:topLinePunct w:val="0"/>
        <w:bidi w:val="0"/>
        <w:adjustRightInd/>
        <w:snapToGrid/>
        <w:spacing w:before="135" w:line="360" w:lineRule="auto"/>
        <w:ind w:left="216" w:right="6087"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七、其他补充事宜</w:t>
      </w:r>
    </w:p>
    <w:p>
      <w:pPr>
        <w:keepNext w:val="0"/>
        <w:keepLines w:val="0"/>
        <w:pageBreakBefore w:val="0"/>
        <w:kinsoku/>
        <w:wordWrap/>
        <w:overflowPunct/>
        <w:topLinePunct w:val="0"/>
        <w:bidi w:val="0"/>
        <w:adjustRightInd/>
        <w:snapToGrid/>
        <w:spacing w:before="0" w:line="360" w:lineRule="auto"/>
        <w:ind w:left="696"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4"/>
          <w:sz w:val="24"/>
          <w:szCs w:val="24"/>
        </w:rPr>
        <w:t>、公告媒体：</w:t>
      </w:r>
    </w:p>
    <w:p>
      <w:pPr>
        <w:pStyle w:val="24"/>
        <w:keepNext w:val="0"/>
        <w:keepLines w:val="0"/>
        <w:pageBreakBefore w:val="0"/>
        <w:numPr>
          <w:ilvl w:val="0"/>
          <w:numId w:val="4"/>
        </w:numPr>
        <w:tabs>
          <w:tab w:val="left" w:pos="1298"/>
        </w:tabs>
        <w:kinsoku/>
        <w:wordWrap/>
        <w:overflowPunct/>
        <w:topLinePunct w:val="0"/>
        <w:bidi w:val="0"/>
        <w:adjustRightInd/>
        <w:snapToGrid/>
        <w:spacing w:before="134" w:after="0" w:line="360" w:lineRule="auto"/>
        <w:ind w:left="216" w:right="1097"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本</w:t>
      </w:r>
      <w:r>
        <w:rPr>
          <w:rFonts w:hint="eastAsia" w:cs="宋体"/>
          <w:spacing w:val="-2"/>
          <w:sz w:val="24"/>
          <w:szCs w:val="24"/>
          <w:lang w:val="en-US" w:eastAsia="zh-CN"/>
        </w:rPr>
        <w:t>磋商</w:t>
      </w:r>
      <w:r>
        <w:rPr>
          <w:rFonts w:hint="eastAsia" w:ascii="宋体" w:hAnsi="宋体" w:eastAsia="宋体" w:cs="宋体"/>
          <w:spacing w:val="-2"/>
          <w:sz w:val="24"/>
          <w:szCs w:val="24"/>
        </w:rPr>
        <w:t>公告在南京公共采购信息网（https://njgc.jfh.com/）和江苏政府采购网（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"http://www.ccgp-jiangsu.gov.cn/"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http://www.ccgp-jiangsu.gov.cn/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）公示发布，敬请各供应商关注；</w:t>
      </w:r>
    </w:p>
    <w:p>
      <w:pPr>
        <w:pStyle w:val="24"/>
        <w:keepNext w:val="0"/>
        <w:keepLines w:val="0"/>
        <w:pageBreakBefore w:val="0"/>
        <w:numPr>
          <w:ilvl w:val="0"/>
          <w:numId w:val="4"/>
        </w:numPr>
        <w:tabs>
          <w:tab w:val="left" w:pos="1304"/>
        </w:tabs>
        <w:kinsoku/>
        <w:wordWrap/>
        <w:overflowPunct/>
        <w:topLinePunct w:val="0"/>
        <w:bidi w:val="0"/>
        <w:adjustRightInd/>
        <w:snapToGrid/>
        <w:spacing w:before="0" w:after="0" w:line="360" w:lineRule="auto"/>
        <w:ind w:left="216" w:right="972"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若有关本次</w:t>
      </w:r>
      <w:r>
        <w:rPr>
          <w:rFonts w:hint="eastAsia" w:cs="宋体"/>
          <w:sz w:val="24"/>
          <w:szCs w:val="24"/>
          <w:lang w:val="en-US" w:eastAsia="zh-CN"/>
        </w:rPr>
        <w:t>磋商</w:t>
      </w:r>
      <w:r>
        <w:rPr>
          <w:rFonts w:hint="eastAsia" w:ascii="宋体" w:hAnsi="宋体" w:eastAsia="宋体" w:cs="宋体"/>
          <w:sz w:val="24"/>
          <w:szCs w:val="24"/>
        </w:rPr>
        <w:t>存在变动或修改，敬请各供应商及时关注南京公共采购信息</w:t>
      </w:r>
      <w:r>
        <w:rPr>
          <w:rFonts w:hint="eastAsia" w:ascii="宋体" w:hAnsi="宋体" w:eastAsia="宋体" w:cs="宋体"/>
          <w:spacing w:val="-56"/>
          <w:sz w:val="24"/>
          <w:szCs w:val="24"/>
        </w:rPr>
        <w:t>网</w:t>
      </w:r>
      <w:r>
        <w:rPr>
          <w:rFonts w:hint="eastAsia" w:ascii="宋体" w:hAnsi="宋体" w:eastAsia="宋体" w:cs="宋体"/>
          <w:sz w:val="24"/>
          <w:szCs w:val="24"/>
        </w:rPr>
        <w:t>（https://njgc.jfh.com/</w:t>
      </w:r>
      <w:r>
        <w:rPr>
          <w:rFonts w:hint="eastAsia" w:ascii="宋体" w:hAnsi="宋体" w:eastAsia="宋体" w:cs="宋体"/>
          <w:spacing w:val="-56"/>
          <w:sz w:val="24"/>
          <w:szCs w:val="24"/>
        </w:rPr>
        <w:t>）</w:t>
      </w:r>
      <w:r>
        <w:rPr>
          <w:rFonts w:hint="eastAsia" w:ascii="宋体" w:hAnsi="宋体" w:eastAsia="宋体" w:cs="宋体"/>
          <w:spacing w:val="-7"/>
          <w:sz w:val="24"/>
          <w:szCs w:val="24"/>
        </w:rPr>
        <w:t>和江苏政府采购网</w:t>
      </w:r>
      <w:r>
        <w:rPr>
          <w:rFonts w:hint="eastAsia" w:ascii="宋体" w:hAnsi="宋体" w:eastAsia="宋体" w:cs="宋体"/>
          <w:spacing w:val="-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"http://www.ccgp-jiangsu.gov.cn/" \h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http://www.ccgp-jiangsu.gov.cn/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r>
        <w:rPr>
          <w:rFonts w:hint="eastAsia" w:ascii="宋体" w:hAnsi="宋体" w:eastAsia="宋体" w:cs="宋体"/>
          <w:sz w:val="24"/>
          <w:szCs w:val="24"/>
        </w:rPr>
        <w:t>发布的关于本项目的信息更正公告。</w:t>
      </w:r>
    </w:p>
    <w:p>
      <w:pPr>
        <w:keepNext w:val="0"/>
        <w:keepLines w:val="0"/>
        <w:pageBreakBefore w:val="0"/>
        <w:kinsoku/>
        <w:wordWrap/>
        <w:overflowPunct/>
        <w:topLinePunct w:val="0"/>
        <w:bidi w:val="0"/>
        <w:adjustRightInd/>
        <w:snapToGrid/>
        <w:spacing w:before="0" w:line="360" w:lineRule="auto"/>
        <w:ind w:left="216" w:right="1047"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2、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投标供应商负责。</w:t>
      </w:r>
    </w:p>
    <w:p>
      <w:pPr>
        <w:keepNext w:val="0"/>
        <w:keepLines w:val="0"/>
        <w:pageBreakBefore w:val="0"/>
        <w:kinsoku/>
        <w:wordWrap/>
        <w:overflowPunct/>
        <w:topLinePunct w:val="0"/>
        <w:bidi w:val="0"/>
        <w:adjustRightInd/>
        <w:snapToGrid/>
        <w:spacing w:before="2" w:line="360" w:lineRule="auto"/>
        <w:ind w:left="216" w:right="1089"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3、根据《南京市政府采购供应商信用管理工作暂行办法》（宁财规[2018]10号）</w:t>
      </w:r>
      <w:r>
        <w:rPr>
          <w:rFonts w:hint="eastAsia" w:ascii="宋体" w:hAnsi="宋体" w:eastAsia="宋体" w:cs="宋体"/>
          <w:spacing w:val="11"/>
          <w:sz w:val="24"/>
          <w:szCs w:val="24"/>
        </w:rPr>
        <w:t>有关规定，凡在南京地区参加政府采购活动的供应商，应当事先登陆“信用南京”</w:t>
      </w:r>
      <w:r>
        <w:rPr>
          <w:rFonts w:hint="eastAsia" w:ascii="宋体" w:hAnsi="宋体" w:eastAsia="宋体" w:cs="宋体"/>
          <w:spacing w:val="-2"/>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"http://www.njcredit.gov.cn/"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www.njcredit.gov.cn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）或“南京公共采购信息网”（https://njgc.jfh.com/）主页“政府采购供应商诚信档案”栏目进行注册登记。由于特殊原因未及时注册的供应商可</w:t>
      </w:r>
      <w:r>
        <w:rPr>
          <w:rFonts w:hint="eastAsia" w:ascii="宋体" w:hAnsi="宋体" w:eastAsia="宋体" w:cs="宋体"/>
          <w:spacing w:val="-1"/>
          <w:sz w:val="24"/>
          <w:szCs w:val="24"/>
        </w:rPr>
        <w:t>先行获取采购文件，但必须在投标截止时间前</w:t>
      </w:r>
      <w:r>
        <w:rPr>
          <w:rFonts w:hint="eastAsia" w:ascii="宋体" w:hAnsi="宋体" w:eastAsia="宋体" w:cs="宋体"/>
          <w:sz w:val="24"/>
          <w:szCs w:val="24"/>
        </w:rPr>
        <w:t>2</w:t>
      </w:r>
      <w:r>
        <w:rPr>
          <w:rFonts w:hint="eastAsia" w:ascii="宋体" w:hAnsi="宋体" w:eastAsia="宋体" w:cs="宋体"/>
          <w:spacing w:val="-5"/>
          <w:sz w:val="24"/>
          <w:szCs w:val="24"/>
        </w:rPr>
        <w:t>天内办理登记注册手续。</w:t>
      </w:r>
    </w:p>
    <w:p>
      <w:pPr>
        <w:keepNext w:val="0"/>
        <w:keepLines w:val="0"/>
        <w:pageBreakBefore w:val="0"/>
        <w:kinsoku/>
        <w:wordWrap/>
        <w:overflowPunct/>
        <w:topLinePunct w:val="0"/>
        <w:bidi w:val="0"/>
        <w:adjustRightInd/>
        <w:snapToGrid/>
        <w:spacing w:before="1" w:line="360" w:lineRule="auto"/>
        <w:ind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3"/>
          <w:sz w:val="24"/>
          <w:szCs w:val="24"/>
        </w:rPr>
        <w:t>、供应商申请网上注册的，应当按以下程序进行：</w:t>
      </w:r>
    </w:p>
    <w:p>
      <w:pPr>
        <w:pStyle w:val="24"/>
        <w:keepNext w:val="0"/>
        <w:keepLines w:val="0"/>
        <w:pageBreakBefore w:val="0"/>
        <w:numPr>
          <w:ilvl w:val="0"/>
          <w:numId w:val="5"/>
        </w:numPr>
        <w:tabs>
          <w:tab w:val="left" w:pos="1304"/>
        </w:tabs>
        <w:kinsoku/>
        <w:wordWrap/>
        <w:overflowPunct/>
        <w:topLinePunct w:val="0"/>
        <w:bidi w:val="0"/>
        <w:adjustRightInd/>
        <w:snapToGrid/>
        <w:spacing w:before="132" w:after="0" w:line="360" w:lineRule="auto"/>
        <w:ind w:left="-32" w:leftChars="0" w:right="1088" w:firstLine="472" w:firstLineChars="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登陆“信用南京”或“南京公共采购信息网”网站，点击“政府采购供应商诚信档案”图标，在弹出的用户登录界面，点击“新用户注册”；</w:t>
      </w:r>
    </w:p>
    <w:p>
      <w:pPr>
        <w:pStyle w:val="24"/>
        <w:keepNext w:val="0"/>
        <w:keepLines w:val="0"/>
        <w:pageBreakBefore w:val="0"/>
        <w:numPr>
          <w:ilvl w:val="0"/>
          <w:numId w:val="5"/>
        </w:numPr>
        <w:tabs>
          <w:tab w:val="left" w:pos="1304"/>
        </w:tabs>
        <w:kinsoku/>
        <w:wordWrap/>
        <w:overflowPunct/>
        <w:topLinePunct w:val="0"/>
        <w:bidi w:val="0"/>
        <w:adjustRightInd/>
        <w:snapToGrid/>
        <w:spacing w:before="1" w:after="0" w:line="360" w:lineRule="auto"/>
        <w:ind w:left="-32" w:leftChars="0" w:right="1088" w:firstLine="472" w:firstLineChars="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在“新用户注册”界面，供应商自行设置用户名、登录密码，如实填写“南京市政府采购供应商诚信档案注册登记表”，根据网站注册要求如实上传相关资料，并进行信用承诺确认后，提交注册申请；</w:t>
      </w:r>
    </w:p>
    <w:p>
      <w:pPr>
        <w:pStyle w:val="24"/>
        <w:keepNext w:val="0"/>
        <w:keepLines w:val="0"/>
        <w:pageBreakBefore w:val="0"/>
        <w:numPr>
          <w:ilvl w:val="0"/>
          <w:numId w:val="0"/>
        </w:numPr>
        <w:tabs>
          <w:tab w:val="left" w:pos="1298"/>
        </w:tabs>
        <w:kinsoku/>
        <w:wordWrap/>
        <w:overflowPunct/>
        <w:topLinePunct w:val="0"/>
        <w:bidi w:val="0"/>
        <w:adjustRightInd/>
        <w:snapToGrid/>
        <w:spacing w:before="1" w:after="0" w:line="360" w:lineRule="auto"/>
        <w:ind w:leftChars="200" w:right="0" w:rightChars="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系统审核后，供应商即可登录系统进行相关功能操作。</w:t>
      </w:r>
    </w:p>
    <w:p>
      <w:pPr>
        <w:keepNext w:val="0"/>
        <w:keepLines w:val="0"/>
        <w:pageBreakBefore w:val="0"/>
        <w:kinsoku/>
        <w:wordWrap/>
        <w:overflowPunct/>
        <w:topLinePunct w:val="0"/>
        <w:bidi w:val="0"/>
        <w:adjustRightInd/>
        <w:snapToGrid/>
        <w:spacing w:before="132" w:line="360" w:lineRule="auto"/>
        <w:ind w:left="216" w:right="975" w:firstLine="488"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z w:val="24"/>
          <w:szCs w:val="24"/>
        </w:rPr>
        <w:t>、供应商参加本项目政府采购活动时，无论是新用户注册或已注册成功的，均应</w:t>
      </w:r>
      <w:r>
        <w:rPr>
          <w:rFonts w:hint="eastAsia" w:ascii="宋体" w:hAnsi="宋体" w:eastAsia="宋体" w:cs="宋体"/>
          <w:spacing w:val="-10"/>
          <w:sz w:val="24"/>
          <w:szCs w:val="24"/>
        </w:rPr>
        <w:t>在采购文件发布之日起至投标截止时间前，登录“信用南京”或“南京公共采购信息网”</w:t>
      </w:r>
      <w:r>
        <w:rPr>
          <w:rFonts w:hint="eastAsia" w:ascii="宋体" w:hAnsi="宋体" w:eastAsia="宋体" w:cs="宋体"/>
          <w:spacing w:val="-5"/>
          <w:sz w:val="24"/>
          <w:szCs w:val="24"/>
        </w:rPr>
        <w:t>在线打印其“南京市政府采购供应商信用记录表暨信用承诺书”，经法定代表人签名盖章后作为响应文件的有效组成部分</w:t>
      </w:r>
      <w:r>
        <w:rPr>
          <w:rFonts w:hint="eastAsia" w:ascii="宋体" w:hAnsi="宋体" w:eastAsia="宋体" w:cs="宋体"/>
          <w:spacing w:val="-15"/>
          <w:sz w:val="24"/>
          <w:szCs w:val="24"/>
        </w:rPr>
        <w:t>。“南京市政府采购供应商信用记录表暨信用承诺书”</w:t>
      </w:r>
      <w:r>
        <w:rPr>
          <w:rFonts w:hint="eastAsia" w:ascii="宋体" w:hAnsi="宋体" w:eastAsia="宋体" w:cs="宋体"/>
          <w:sz w:val="24"/>
          <w:szCs w:val="24"/>
        </w:rPr>
        <w:t>是其参加本次政府采购活动的必备材料。</w:t>
      </w:r>
    </w:p>
    <w:p>
      <w:pPr>
        <w:keepNext w:val="0"/>
        <w:keepLines w:val="0"/>
        <w:pageBreakBefore w:val="0"/>
        <w:kinsoku/>
        <w:wordWrap/>
        <w:overflowPunct/>
        <w:topLinePunct w:val="0"/>
        <w:bidi w:val="0"/>
        <w:adjustRightInd/>
        <w:snapToGrid/>
        <w:spacing w:before="2" w:line="360" w:lineRule="auto"/>
        <w:ind w:right="0" w:firstLine="480" w:firstLineChars="200"/>
        <w:jc w:val="left"/>
        <w:textAlignment w:val="auto"/>
        <w:rPr>
          <w:rFonts w:hint="eastAsia" w:ascii="宋体" w:hAnsi="宋体" w:eastAsia="宋体" w:cs="宋体"/>
          <w:spacing w:val="-14"/>
          <w:sz w:val="24"/>
          <w:szCs w:val="24"/>
        </w:rPr>
      </w:pPr>
      <w:r>
        <w:rPr>
          <w:rFonts w:hint="eastAsia" w:ascii="宋体" w:hAnsi="宋体" w:eastAsia="宋体" w:cs="宋体"/>
          <w:sz w:val="24"/>
          <w:szCs w:val="24"/>
        </w:rPr>
        <w:t>6、南京市政府采购供应商诚信档案管理系统客服电话：025-52718366；</w:t>
      </w:r>
      <w:r>
        <w:rPr>
          <w:rFonts w:hint="eastAsia" w:ascii="宋体" w:hAnsi="宋体" w:eastAsia="宋体" w:cs="宋体"/>
          <w:spacing w:val="-3"/>
          <w:sz w:val="24"/>
          <w:szCs w:val="24"/>
        </w:rPr>
        <w:t>供应商可</w:t>
      </w:r>
      <w:r>
        <w:rPr>
          <w:rFonts w:hint="eastAsia" w:ascii="宋体" w:hAnsi="宋体" w:eastAsia="宋体" w:cs="宋体"/>
          <w:spacing w:val="-14"/>
          <w:sz w:val="24"/>
          <w:szCs w:val="24"/>
        </w:rPr>
        <w:t>就用户注册与打印“南京市政府采购供应商信用记录表暨信用承诺书”等事宜进行咨询。</w:t>
      </w:r>
    </w:p>
    <w:p>
      <w:pPr>
        <w:keepNext w:val="0"/>
        <w:keepLines w:val="0"/>
        <w:pageBreakBefore w:val="0"/>
        <w:kinsoku/>
        <w:wordWrap/>
        <w:overflowPunct/>
        <w:topLinePunct w:val="0"/>
        <w:bidi w:val="0"/>
        <w:adjustRightInd/>
        <w:snapToGrid/>
        <w:spacing w:before="50" w:line="360" w:lineRule="auto"/>
        <w:ind w:right="975"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7、根据《关于在政府采购活动中推行信用承诺制的通知》（宁财购通[2021]5</w:t>
      </w:r>
      <w:r>
        <w:rPr>
          <w:rFonts w:hint="eastAsia" w:ascii="宋体" w:hAnsi="宋体" w:eastAsia="宋体" w:cs="宋体"/>
          <w:spacing w:val="-30"/>
          <w:sz w:val="24"/>
          <w:szCs w:val="24"/>
        </w:rPr>
        <w:t>号</w:t>
      </w:r>
      <w:r>
        <w:rPr>
          <w:rFonts w:hint="eastAsia" w:ascii="宋体" w:hAnsi="宋体" w:eastAsia="宋体" w:cs="宋体"/>
          <w:spacing w:val="-10"/>
          <w:sz w:val="24"/>
          <w:szCs w:val="24"/>
        </w:rPr>
        <w:t>）</w:t>
      </w:r>
      <w:r>
        <w:rPr>
          <w:rFonts w:hint="eastAsia" w:ascii="宋体" w:hAnsi="宋体" w:eastAsia="宋体" w:cs="宋体"/>
          <w:spacing w:val="-4"/>
          <w:sz w:val="24"/>
          <w:szCs w:val="24"/>
        </w:rPr>
        <w:t>的规定，本项目</w:t>
      </w:r>
      <w:r>
        <w:rPr>
          <w:rFonts w:hint="eastAsia" w:cs="宋体"/>
          <w:spacing w:val="-4"/>
          <w:sz w:val="24"/>
          <w:szCs w:val="24"/>
          <w:lang w:val="en-US" w:eastAsia="zh-CN"/>
        </w:rPr>
        <w:t>磋商</w:t>
      </w:r>
      <w:r>
        <w:rPr>
          <w:rFonts w:hint="eastAsia" w:ascii="宋体" w:hAnsi="宋体" w:eastAsia="宋体" w:cs="宋体"/>
          <w:spacing w:val="-4"/>
          <w:sz w:val="24"/>
          <w:szCs w:val="24"/>
        </w:rPr>
        <w:t>公告“二、申请人的资格要求”中</w:t>
      </w:r>
      <w:r>
        <w:rPr>
          <w:rFonts w:hint="eastAsia" w:ascii="宋体" w:hAnsi="宋体" w:eastAsia="宋体" w:cs="宋体"/>
          <w:sz w:val="24"/>
          <w:szCs w:val="24"/>
        </w:rPr>
        <w:t>1.满足《中华人民共和国政府</w:t>
      </w:r>
      <w:r>
        <w:rPr>
          <w:rFonts w:hint="eastAsia" w:ascii="宋体" w:hAnsi="宋体" w:eastAsia="宋体" w:cs="宋体"/>
          <w:spacing w:val="-3"/>
          <w:sz w:val="24"/>
          <w:szCs w:val="24"/>
        </w:rPr>
        <w:t>采购法》第二十二条规定和</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.（3）条涉及的证明材料，供应商可以在响应文件中递交相应证明材料，也可以仅在响应文件中提供“南京市政府采购供应商信用记录表暨信用承诺书”替代上述相应证明材料。</w:t>
      </w:r>
    </w:p>
    <w:p>
      <w:pPr>
        <w:keepNext w:val="0"/>
        <w:keepLines w:val="0"/>
        <w:pageBreakBefore w:val="0"/>
        <w:kinsoku/>
        <w:wordWrap/>
        <w:overflowPunct/>
        <w:topLinePunct w:val="0"/>
        <w:bidi w:val="0"/>
        <w:adjustRightInd/>
        <w:snapToGrid/>
        <w:spacing w:before="0" w:line="360" w:lineRule="auto"/>
        <w:ind w:right="1092"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8、供应商仅提供信用承诺书而未提供“二、申请人的资格要求”中1.满足《中</w:t>
      </w:r>
      <w:r>
        <w:rPr>
          <w:rFonts w:hint="eastAsia" w:ascii="宋体" w:hAnsi="宋体" w:eastAsia="宋体" w:cs="宋体"/>
          <w:spacing w:val="-2"/>
          <w:sz w:val="24"/>
          <w:szCs w:val="24"/>
        </w:rPr>
        <w:t>华人民共和国政府采购法》第二十二条规定和</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3）条涉及的证明材料，须在成交后另行提供上述由信用承诺书替代的证明材料（一式三份），材料须加盖公章并按响应文件要求胶装提交提供采购人或采购代理机构核验。经核验无误后，由采购人或采购代理机构发出成交通知书。</w:t>
      </w:r>
    </w:p>
    <w:p>
      <w:pPr>
        <w:keepNext w:val="0"/>
        <w:keepLines w:val="0"/>
        <w:pageBreakBefore w:val="0"/>
        <w:kinsoku/>
        <w:wordWrap/>
        <w:overflowPunct/>
        <w:topLinePunct w:val="0"/>
        <w:bidi w:val="0"/>
        <w:adjustRightInd/>
        <w:snapToGrid/>
        <w:spacing w:before="134" w:line="360" w:lineRule="auto"/>
        <w:ind w:right="974" w:firstLine="228" w:firstLineChars="100"/>
        <w:jc w:val="left"/>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、供应商对信用承诺内容的真实性、合法性、有效性负责。如作出虚假信用承诺，</w:t>
      </w:r>
      <w:r>
        <w:rPr>
          <w:rFonts w:hint="eastAsia" w:ascii="宋体" w:hAnsi="宋体" w:eastAsia="宋体" w:cs="宋体"/>
          <w:spacing w:val="-2"/>
          <w:sz w:val="24"/>
          <w:szCs w:val="24"/>
        </w:rPr>
        <w:t>视同为“提供虚假材料谋取中标、成交”的违法行为。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八、凡对本次采购提出询问，请按以下方式</w:t>
      </w:r>
      <w:r>
        <w:rPr>
          <w:rFonts w:hint="eastAsia" w:ascii="宋体" w:hAnsi="宋体" w:eastAsia="宋体" w:cs="宋体"/>
          <w:spacing w:val="-2"/>
          <w:sz w:val="24"/>
          <w:szCs w:val="24"/>
          <w:lang w:val="en-US" w:eastAsia="zh-CN"/>
        </w:rPr>
        <w:t>联</w:t>
      </w:r>
      <w:r>
        <w:rPr>
          <w:rFonts w:hint="eastAsia" w:ascii="宋体" w:hAnsi="宋体" w:eastAsia="宋体" w:cs="宋体"/>
          <w:spacing w:val="-2"/>
          <w:sz w:val="24"/>
          <w:szCs w:val="24"/>
        </w:rPr>
        <w:t>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1.采购人信息</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名</w:t>
      </w:r>
      <w:r>
        <w:rPr>
          <w:rFonts w:hint="eastAsia" w:ascii="宋体" w:hAnsi="宋体" w:eastAsia="宋体" w:cs="宋体"/>
          <w:sz w:val="24"/>
          <w:szCs w:val="24"/>
        </w:rPr>
        <w:tab/>
      </w:r>
      <w:r>
        <w:rPr>
          <w:rFonts w:hint="eastAsia" w:ascii="宋体" w:hAnsi="宋体" w:eastAsia="宋体" w:cs="宋体"/>
          <w:spacing w:val="-2"/>
          <w:sz w:val="24"/>
          <w:szCs w:val="24"/>
        </w:rPr>
        <w:t>称：</w:t>
      </w:r>
      <w:r>
        <w:rPr>
          <w:rFonts w:hint="eastAsia" w:ascii="宋体" w:hAnsi="宋体" w:eastAsia="宋体" w:cs="宋体"/>
          <w:spacing w:val="-2"/>
          <w:sz w:val="24"/>
          <w:szCs w:val="24"/>
          <w:lang w:eastAsia="zh-CN"/>
        </w:rPr>
        <w:t>南京市溧水区人民政府石湫街道办事处 </w:t>
      </w:r>
    </w:p>
    <w:p>
      <w:pPr>
        <w:autoSpaceDE w:val="0"/>
        <w:autoSpaceDN w:val="0"/>
        <w:adjustRightInd w:val="0"/>
        <w:spacing w:line="360" w:lineRule="auto"/>
        <w:ind w:firstLine="420"/>
        <w:outlineLvl w:val="0"/>
        <w:rPr>
          <w:rFonts w:hint="eastAsia" w:ascii="宋体" w:hAnsi="宋体" w:eastAsia="宋体" w:cs="宋体"/>
          <w:sz w:val="24"/>
          <w:szCs w:val="24"/>
        </w:rPr>
      </w:pPr>
      <w:r>
        <w:rPr>
          <w:rFonts w:hint="eastAsia" w:ascii="宋体" w:hAnsi="宋体" w:eastAsia="宋体" w:cs="宋体"/>
          <w:spacing w:val="-10"/>
          <w:sz w:val="24"/>
          <w:szCs w:val="24"/>
        </w:rPr>
        <w:t>地</w:t>
      </w:r>
      <w:r>
        <w:rPr>
          <w:rFonts w:hint="eastAsia" w:ascii="宋体" w:hAnsi="宋体" w:eastAsia="宋体" w:cs="宋体"/>
          <w:sz w:val="24"/>
          <w:szCs w:val="24"/>
        </w:rPr>
        <w:tab/>
      </w:r>
      <w:r>
        <w:rPr>
          <w:rFonts w:hint="eastAsia" w:ascii="宋体" w:hAnsi="宋体" w:eastAsia="宋体" w:cs="宋体"/>
          <w:spacing w:val="-2"/>
          <w:sz w:val="24"/>
          <w:szCs w:val="24"/>
        </w:rPr>
        <w:t>址：</w:t>
      </w:r>
      <w:r>
        <w:rPr>
          <w:rFonts w:hint="eastAsia" w:ascii="宋体" w:hAnsi="宋体" w:eastAsia="宋体" w:cs="宋体"/>
          <w:spacing w:val="-2"/>
          <w:sz w:val="24"/>
          <w:szCs w:val="24"/>
          <w:lang w:val="zh-CN" w:eastAsia="zh-CN"/>
        </w:rPr>
        <w:t>溧水区石湫镇新河北路158号</w:t>
      </w:r>
    </w:p>
    <w:p>
      <w:pPr>
        <w:keepNext w:val="0"/>
        <w:keepLines w:val="0"/>
        <w:pageBreakBefore w:val="0"/>
        <w:kinsoku/>
        <w:wordWrap/>
        <w:overflowPunct/>
        <w:topLinePunct w:val="0"/>
        <w:bidi w:val="0"/>
        <w:adjustRightInd/>
        <w:snapToGrid/>
        <w:spacing w:before="0" w:line="360" w:lineRule="auto"/>
        <w:ind w:right="6928" w:firstLine="464" w:firstLineChars="20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rPr>
        <w:t>联系方式：</w:t>
      </w:r>
      <w:r>
        <w:rPr>
          <w:rFonts w:hint="eastAsia" w:ascii="宋体" w:hAnsi="宋体" w:eastAsia="宋体" w:cs="宋体"/>
          <w:spacing w:val="-4"/>
          <w:sz w:val="24"/>
          <w:szCs w:val="24"/>
          <w:lang w:val="en-US" w:eastAsia="zh-CN"/>
        </w:rPr>
        <w:t>陈工</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联系电话:/</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采购代理机构信息</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名</w:t>
      </w:r>
      <w:r>
        <w:rPr>
          <w:rFonts w:hint="eastAsia" w:ascii="宋体" w:hAnsi="宋体" w:eastAsia="宋体" w:cs="宋体"/>
          <w:spacing w:val="-10"/>
          <w:sz w:val="24"/>
          <w:szCs w:val="24"/>
        </w:rPr>
        <w:tab/>
      </w:r>
      <w:r>
        <w:rPr>
          <w:rFonts w:hint="eastAsia" w:ascii="宋体" w:hAnsi="宋体" w:eastAsia="宋体" w:cs="宋体"/>
          <w:spacing w:val="-10"/>
          <w:sz w:val="24"/>
          <w:szCs w:val="24"/>
        </w:rPr>
        <w:t>称：</w:t>
      </w:r>
      <w:r>
        <w:rPr>
          <w:rFonts w:hint="eastAsia" w:ascii="宋体" w:hAnsi="宋体" w:eastAsia="宋体" w:cs="宋体"/>
          <w:spacing w:val="-10"/>
          <w:sz w:val="24"/>
          <w:szCs w:val="24"/>
          <w:lang w:eastAsia="zh-CN"/>
        </w:rPr>
        <w:t xml:space="preserve">南京玖盛工程咨询管理有限公司 </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地</w:t>
      </w:r>
      <w:r>
        <w:rPr>
          <w:rFonts w:hint="eastAsia" w:ascii="宋体" w:hAnsi="宋体" w:eastAsia="宋体" w:cs="宋体"/>
          <w:spacing w:val="-10"/>
          <w:sz w:val="24"/>
          <w:szCs w:val="24"/>
        </w:rPr>
        <w:tab/>
      </w:r>
      <w:r>
        <w:rPr>
          <w:rFonts w:hint="eastAsia" w:ascii="宋体" w:hAnsi="宋体" w:eastAsia="宋体" w:cs="宋体"/>
          <w:spacing w:val="-10"/>
          <w:sz w:val="24"/>
          <w:szCs w:val="24"/>
        </w:rPr>
        <w:t>址：</w:t>
      </w:r>
      <w:r>
        <w:rPr>
          <w:rFonts w:hint="eastAsia" w:ascii="宋体" w:hAnsi="宋体" w:eastAsia="宋体" w:cs="宋体"/>
          <w:spacing w:val="-10"/>
          <w:sz w:val="24"/>
          <w:szCs w:val="24"/>
          <w:lang w:eastAsia="zh-CN"/>
        </w:rPr>
        <w:t>江苏省南京市溧水区高平大街55号</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联系方式：</w:t>
      </w:r>
      <w:r>
        <w:rPr>
          <w:rFonts w:hint="eastAsia" w:ascii="宋体" w:hAnsi="宋体" w:eastAsia="宋体" w:cs="宋体"/>
          <w:spacing w:val="-10"/>
          <w:sz w:val="24"/>
          <w:szCs w:val="24"/>
          <w:lang w:val="en-US" w:eastAsia="zh-CN"/>
        </w:rPr>
        <w:t>张工18052092062</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3.项目联系方式</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项目联系人：</w:t>
      </w:r>
      <w:r>
        <w:rPr>
          <w:rFonts w:hint="eastAsia" w:ascii="宋体" w:hAnsi="宋体" w:eastAsia="宋体" w:cs="宋体"/>
          <w:spacing w:val="-10"/>
          <w:sz w:val="24"/>
          <w:szCs w:val="24"/>
          <w:lang w:val="en-US" w:eastAsia="zh-CN"/>
        </w:rPr>
        <w:t>张工</w:t>
      </w:r>
    </w:p>
    <w:p>
      <w:pPr>
        <w:keepNext w:val="0"/>
        <w:keepLines w:val="0"/>
        <w:pageBreakBefore w:val="0"/>
        <w:widowControl w:val="0"/>
        <w:tabs>
          <w:tab w:val="left" w:pos="93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spacing w:val="-10"/>
          <w:sz w:val="24"/>
          <w:szCs w:val="24"/>
          <w:lang w:val="en-US"/>
        </w:rPr>
        <w:sectPr>
          <w:pgSz w:w="11910" w:h="16840"/>
          <w:pgMar w:top="1460" w:right="1134" w:bottom="1134" w:left="1200" w:header="720" w:footer="720" w:gutter="0"/>
          <w:cols w:space="720" w:num="1"/>
        </w:sectPr>
      </w:pPr>
      <w:r>
        <w:rPr>
          <w:rFonts w:hint="eastAsia" w:ascii="宋体" w:hAnsi="宋体" w:eastAsia="宋体" w:cs="宋体"/>
          <w:spacing w:val="-10"/>
          <w:sz w:val="24"/>
          <w:szCs w:val="24"/>
        </w:rPr>
        <w:t>电话：</w:t>
      </w:r>
      <w:r>
        <w:rPr>
          <w:rFonts w:hint="eastAsia" w:ascii="宋体" w:hAnsi="宋体" w:eastAsia="宋体" w:cs="宋体"/>
          <w:spacing w:val="-10"/>
          <w:sz w:val="24"/>
          <w:szCs w:val="24"/>
          <w:lang w:val="en-US" w:eastAsia="zh-CN"/>
        </w:rPr>
        <w:t>18052092062</w:t>
      </w:r>
    </w:p>
    <w:p>
      <w:pPr>
        <w:pStyle w:val="4"/>
        <w:tabs>
          <w:tab w:val="left" w:pos="1987"/>
        </w:tabs>
        <w:spacing w:before="8"/>
        <w:ind w:right="879"/>
        <w:rPr>
          <w:rFonts w:hint="eastAsia" w:ascii="宋体" w:hAnsi="宋体" w:eastAsia="宋体" w:cs="宋体"/>
        </w:rPr>
      </w:pPr>
      <w:r>
        <w:rPr>
          <w:rFonts w:hint="eastAsia" w:ascii="宋体" w:hAnsi="宋体" w:eastAsia="宋体" w:cs="宋体"/>
          <w:w w:val="95"/>
        </w:rPr>
        <w:t>第二</w:t>
      </w:r>
      <w:r>
        <w:rPr>
          <w:rFonts w:hint="eastAsia" w:ascii="宋体" w:hAnsi="宋体" w:eastAsia="宋体" w:cs="宋体"/>
          <w:spacing w:val="-10"/>
          <w:w w:val="95"/>
        </w:rPr>
        <w:t>章</w:t>
      </w:r>
      <w:r>
        <w:rPr>
          <w:rFonts w:hint="eastAsia" w:ascii="宋体" w:hAnsi="宋体" w:eastAsia="宋体" w:cs="宋体"/>
        </w:rPr>
        <w:tab/>
      </w:r>
      <w:r>
        <w:rPr>
          <w:rFonts w:hint="eastAsia" w:ascii="宋体" w:hAnsi="宋体" w:eastAsia="宋体" w:cs="宋体"/>
          <w:w w:val="95"/>
        </w:rPr>
        <w:t>供应商须</w:t>
      </w:r>
      <w:r>
        <w:rPr>
          <w:rFonts w:hint="eastAsia" w:ascii="宋体" w:hAnsi="宋体" w:eastAsia="宋体" w:cs="宋体"/>
          <w:spacing w:val="-10"/>
          <w:w w:val="95"/>
        </w:rPr>
        <w:t>知</w:t>
      </w:r>
    </w:p>
    <w:p>
      <w:pPr>
        <w:pStyle w:val="9"/>
        <w:rPr>
          <w:rFonts w:hint="eastAsia" w:ascii="宋体" w:hAnsi="宋体" w:eastAsia="宋体" w:cs="宋体"/>
          <w:b/>
          <w:sz w:val="37"/>
          <w:u w:val="none"/>
        </w:rPr>
      </w:pPr>
    </w:p>
    <w:p>
      <w:pPr>
        <w:spacing w:before="0" w:after="5"/>
        <w:ind w:left="0" w:right="881" w:firstLine="0"/>
        <w:jc w:val="center"/>
        <w:rPr>
          <w:rFonts w:hint="eastAsia" w:ascii="宋体" w:hAnsi="宋体" w:eastAsia="宋体" w:cs="宋体"/>
          <w:b/>
          <w:sz w:val="24"/>
        </w:rPr>
      </w:pPr>
      <w:r>
        <w:rPr>
          <w:rFonts w:hint="eastAsia" w:ascii="宋体" w:hAnsi="宋体" w:eastAsia="宋体" w:cs="宋体"/>
          <w:b/>
          <w:w w:val="95"/>
          <w:sz w:val="28"/>
          <w:szCs w:val="24"/>
        </w:rPr>
        <w:t>供应商须知前附</w:t>
      </w:r>
      <w:r>
        <w:rPr>
          <w:rFonts w:hint="eastAsia" w:ascii="宋体" w:hAnsi="宋体" w:eastAsia="宋体" w:cs="宋体"/>
          <w:b/>
          <w:spacing w:val="-10"/>
          <w:w w:val="95"/>
          <w:sz w:val="28"/>
          <w:szCs w:val="24"/>
        </w:rPr>
        <w:t>表</w:t>
      </w:r>
    </w:p>
    <w:tbl>
      <w:tblPr>
        <w:tblStyle w:val="1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6" w:type="dxa"/>
          </w:tcPr>
          <w:p>
            <w:pPr>
              <w:pStyle w:val="25"/>
              <w:spacing w:before="208"/>
              <w:ind w:left="158" w:right="148"/>
              <w:jc w:val="center"/>
              <w:rPr>
                <w:rFonts w:hint="eastAsia" w:ascii="宋体" w:hAnsi="宋体" w:eastAsia="宋体" w:cs="宋体"/>
                <w:b/>
                <w:sz w:val="24"/>
              </w:rPr>
            </w:pPr>
            <w:r>
              <w:rPr>
                <w:rFonts w:hint="eastAsia" w:ascii="宋体" w:hAnsi="宋体" w:eastAsia="宋体" w:cs="宋体"/>
                <w:b/>
                <w:w w:val="95"/>
                <w:sz w:val="24"/>
              </w:rPr>
              <w:t>项</w:t>
            </w:r>
            <w:r>
              <w:rPr>
                <w:rFonts w:hint="eastAsia" w:ascii="宋体" w:hAnsi="宋体" w:eastAsia="宋体" w:cs="宋体"/>
                <w:b/>
                <w:spacing w:val="-10"/>
                <w:sz w:val="24"/>
              </w:rPr>
              <w:t>目</w:t>
            </w:r>
          </w:p>
        </w:tc>
        <w:tc>
          <w:tcPr>
            <w:tcW w:w="8185" w:type="dxa"/>
          </w:tcPr>
          <w:p>
            <w:pPr>
              <w:pStyle w:val="25"/>
              <w:tabs>
                <w:tab w:val="left" w:pos="740"/>
              </w:tabs>
              <w:spacing w:before="208"/>
              <w:ind w:left="15"/>
              <w:jc w:val="center"/>
              <w:rPr>
                <w:rFonts w:hint="eastAsia" w:ascii="宋体" w:hAnsi="宋体" w:eastAsia="宋体" w:cs="宋体"/>
                <w:b/>
                <w:sz w:val="24"/>
              </w:rPr>
            </w:pPr>
            <w:r>
              <w:rPr>
                <w:rFonts w:hint="eastAsia" w:ascii="宋体" w:hAnsi="宋体" w:eastAsia="宋体" w:cs="宋体"/>
                <w:b/>
                <w:spacing w:val="-10"/>
                <w:sz w:val="24"/>
              </w:rPr>
              <w:t>内</w:t>
            </w:r>
            <w:r>
              <w:rPr>
                <w:rFonts w:hint="eastAsia" w:ascii="宋体" w:hAnsi="宋体" w:eastAsia="宋体" w:cs="宋体"/>
                <w:b/>
                <w:sz w:val="24"/>
              </w:rPr>
              <w:tab/>
            </w:r>
            <w:r>
              <w:rPr>
                <w:rFonts w:hint="eastAsia" w:ascii="宋体" w:hAnsi="宋体" w:eastAsia="宋体" w:cs="宋体"/>
                <w:b/>
                <w:spacing w:val="-10"/>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816" w:type="dxa"/>
          </w:tcPr>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spacing w:before="7"/>
              <w:rPr>
                <w:rFonts w:hint="eastAsia" w:ascii="宋体" w:hAnsi="宋体" w:eastAsia="宋体" w:cs="宋体"/>
                <w:b/>
                <w:sz w:val="19"/>
              </w:rPr>
            </w:pPr>
          </w:p>
          <w:p>
            <w:pPr>
              <w:pStyle w:val="25"/>
              <w:ind w:left="10"/>
              <w:jc w:val="center"/>
              <w:rPr>
                <w:rFonts w:hint="eastAsia" w:ascii="宋体" w:hAnsi="宋体" w:eastAsia="宋体" w:cs="宋体"/>
                <w:sz w:val="24"/>
              </w:rPr>
            </w:pPr>
            <w:r>
              <w:rPr>
                <w:rFonts w:hint="eastAsia" w:ascii="宋体" w:hAnsi="宋体" w:eastAsia="宋体" w:cs="宋体"/>
                <w:sz w:val="24"/>
              </w:rPr>
              <w:t>1</w:t>
            </w:r>
          </w:p>
        </w:tc>
        <w:tc>
          <w:tcPr>
            <w:tcW w:w="8185" w:type="dxa"/>
          </w:tcPr>
          <w:p>
            <w:pPr>
              <w:pStyle w:val="25"/>
              <w:numPr>
                <w:ilvl w:val="0"/>
                <w:numId w:val="0"/>
              </w:numPr>
              <w:tabs>
                <w:tab w:val="left" w:pos="712"/>
              </w:tabs>
              <w:spacing w:before="173" w:after="0" w:line="240" w:lineRule="auto"/>
              <w:ind w:left="109" w:leftChars="0" w:right="0" w:rightChars="0"/>
              <w:jc w:val="left"/>
              <w:rPr>
                <w:rFonts w:hint="eastAsia" w:ascii="宋体" w:hAnsi="宋体" w:eastAsia="宋体" w:cs="宋体"/>
                <w:spacing w:val="-1"/>
                <w:sz w:val="24"/>
                <w:lang w:eastAsia="zh-CN"/>
              </w:rPr>
            </w:pP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1</w:t>
            </w:r>
            <w:r>
              <w:rPr>
                <w:rFonts w:hint="eastAsia" w:ascii="宋体" w:hAnsi="宋体" w:eastAsia="宋体" w:cs="宋体"/>
                <w:spacing w:val="-1"/>
                <w:sz w:val="24"/>
                <w:lang w:eastAsia="zh-CN"/>
              </w:rPr>
              <w:t>）项目名称：</w:t>
            </w:r>
            <w:r>
              <w:rPr>
                <w:rFonts w:hint="eastAsia" w:cs="宋体"/>
                <w:spacing w:val="-1"/>
                <w:sz w:val="24"/>
                <w:lang w:eastAsia="zh-CN"/>
              </w:rPr>
              <w:t>2022年度石湫街道中天堡翻水线更新改造工程</w:t>
            </w:r>
          </w:p>
          <w:p>
            <w:pPr>
              <w:pStyle w:val="25"/>
              <w:numPr>
                <w:ilvl w:val="0"/>
                <w:numId w:val="0"/>
              </w:numPr>
              <w:tabs>
                <w:tab w:val="left" w:pos="712"/>
              </w:tabs>
              <w:spacing w:before="173" w:after="0" w:line="240" w:lineRule="auto"/>
              <w:ind w:left="109" w:leftChars="0" w:right="0" w:rightChars="0"/>
              <w:jc w:val="left"/>
              <w:rPr>
                <w:rFonts w:hint="eastAsia" w:ascii="宋体" w:hAnsi="宋体" w:eastAsia="宋体" w:cs="宋体"/>
                <w:spacing w:val="-1"/>
                <w:sz w:val="24"/>
                <w:lang w:val="en-US" w:eastAsia="zh-CN"/>
              </w:rPr>
            </w:pP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2</w:t>
            </w:r>
            <w:r>
              <w:rPr>
                <w:rFonts w:hint="eastAsia" w:ascii="宋体" w:hAnsi="宋体" w:eastAsia="宋体" w:cs="宋体"/>
                <w:spacing w:val="-1"/>
                <w:sz w:val="24"/>
                <w:lang w:eastAsia="zh-CN"/>
              </w:rPr>
              <w:t>）项目编号：</w:t>
            </w:r>
            <w:r>
              <w:rPr>
                <w:rFonts w:hint="eastAsia" w:cs="宋体"/>
                <w:spacing w:val="-1"/>
                <w:sz w:val="24"/>
                <w:lang w:eastAsia="zh-CN"/>
              </w:rPr>
              <w:t>NJJS20220010</w:t>
            </w:r>
          </w:p>
          <w:p>
            <w:pPr>
              <w:pStyle w:val="25"/>
              <w:numPr>
                <w:ilvl w:val="0"/>
                <w:numId w:val="0"/>
              </w:numPr>
              <w:tabs>
                <w:tab w:val="left" w:pos="712"/>
              </w:tabs>
              <w:spacing w:before="173" w:after="0" w:line="240" w:lineRule="auto"/>
              <w:ind w:left="109" w:leftChars="0" w:right="0" w:rightChars="0"/>
              <w:jc w:val="left"/>
              <w:rPr>
                <w:rFonts w:hint="eastAsia" w:ascii="宋体" w:hAnsi="宋体" w:eastAsia="宋体" w:cs="宋体"/>
                <w:spacing w:val="-1"/>
                <w:sz w:val="24"/>
                <w:lang w:eastAsia="zh-CN"/>
              </w:rPr>
            </w:pP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3</w:t>
            </w:r>
            <w:r>
              <w:rPr>
                <w:rFonts w:hint="eastAsia" w:ascii="宋体" w:hAnsi="宋体" w:eastAsia="宋体" w:cs="宋体"/>
                <w:spacing w:val="-1"/>
                <w:sz w:val="24"/>
                <w:lang w:eastAsia="zh-CN"/>
              </w:rPr>
              <w:t>）工程地点：溧水区</w:t>
            </w:r>
            <w:r>
              <w:rPr>
                <w:rFonts w:hint="eastAsia" w:ascii="宋体" w:hAnsi="宋体" w:eastAsia="宋体" w:cs="宋体"/>
                <w:spacing w:val="-1"/>
                <w:sz w:val="24"/>
                <w:lang w:val="en-US" w:eastAsia="zh-CN"/>
              </w:rPr>
              <w:t>石湫街道</w:t>
            </w:r>
          </w:p>
          <w:p>
            <w:pPr>
              <w:pStyle w:val="25"/>
              <w:numPr>
                <w:ilvl w:val="0"/>
                <w:numId w:val="0"/>
              </w:numPr>
              <w:tabs>
                <w:tab w:val="left" w:pos="712"/>
              </w:tabs>
              <w:spacing w:before="173" w:after="0" w:line="240" w:lineRule="auto"/>
              <w:ind w:left="109" w:leftChars="0" w:right="0" w:rightChars="0"/>
              <w:jc w:val="left"/>
              <w:rPr>
                <w:rFonts w:hint="eastAsia" w:ascii="宋体" w:hAnsi="宋体" w:eastAsia="宋体" w:cs="宋体"/>
                <w:sz w:val="24"/>
              </w:rPr>
            </w:pP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4</w:t>
            </w:r>
            <w:r>
              <w:rPr>
                <w:rFonts w:hint="eastAsia" w:ascii="宋体" w:hAnsi="宋体" w:eastAsia="宋体" w:cs="宋体"/>
                <w:spacing w:val="-1"/>
                <w:sz w:val="24"/>
                <w:lang w:eastAsia="zh-CN"/>
              </w:rPr>
              <w:t>）合同履行期限：</w:t>
            </w:r>
            <w:r>
              <w:rPr>
                <w:rFonts w:hint="eastAsia" w:ascii="宋体" w:hAnsi="宋体" w:eastAsia="宋体" w:cs="宋体"/>
                <w:spacing w:val="-1"/>
                <w:sz w:val="24"/>
                <w:lang w:val="en-US" w:eastAsia="zh-CN"/>
              </w:rPr>
              <w:t>90</w:t>
            </w:r>
            <w:r>
              <w:rPr>
                <w:rFonts w:hint="eastAsia" w:ascii="宋体" w:hAnsi="宋体" w:eastAsia="宋体" w:cs="宋体"/>
                <w:spacing w:val="-1"/>
                <w:sz w:val="24"/>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6" w:type="dxa"/>
          </w:tcPr>
          <w:p>
            <w:pPr>
              <w:pStyle w:val="25"/>
              <w:spacing w:before="208"/>
              <w:ind w:left="10"/>
              <w:jc w:val="center"/>
              <w:rPr>
                <w:rFonts w:hint="eastAsia" w:ascii="宋体" w:hAnsi="宋体" w:eastAsia="宋体" w:cs="宋体"/>
                <w:sz w:val="24"/>
              </w:rPr>
            </w:pPr>
            <w:r>
              <w:rPr>
                <w:rFonts w:hint="eastAsia" w:ascii="宋体" w:hAnsi="宋体" w:eastAsia="宋体" w:cs="宋体"/>
                <w:sz w:val="24"/>
              </w:rPr>
              <w:t>2</w:t>
            </w:r>
          </w:p>
        </w:tc>
        <w:tc>
          <w:tcPr>
            <w:tcW w:w="8185" w:type="dxa"/>
          </w:tcPr>
          <w:p>
            <w:pPr>
              <w:pStyle w:val="25"/>
              <w:spacing w:before="184"/>
              <w:ind w:left="110"/>
              <w:rPr>
                <w:rFonts w:hint="eastAsia" w:ascii="宋体" w:hAnsi="宋体" w:eastAsia="宋体" w:cs="宋体"/>
                <w:sz w:val="24"/>
              </w:rPr>
            </w:pPr>
            <w:r>
              <w:rPr>
                <w:rFonts w:hint="eastAsia" w:ascii="宋体" w:hAnsi="宋体" w:eastAsia="宋体" w:cs="宋体"/>
                <w:b/>
                <w:w w:val="95"/>
                <w:sz w:val="24"/>
              </w:rPr>
              <w:t>履约保证金：</w:t>
            </w:r>
            <w:r>
              <w:rPr>
                <w:rFonts w:hint="eastAsia" w:ascii="宋体" w:hAnsi="宋体" w:eastAsia="宋体" w:cs="宋体"/>
                <w:spacing w:val="-1"/>
                <w:sz w:val="24"/>
                <w:lang w:eastAsia="zh-CN"/>
              </w:rPr>
              <w:t>本项目不需要缴纳履约保证金。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6" w:type="dxa"/>
          </w:tcPr>
          <w:p>
            <w:pPr>
              <w:pStyle w:val="25"/>
              <w:spacing w:before="211"/>
              <w:ind w:left="10"/>
              <w:jc w:val="center"/>
              <w:rPr>
                <w:rFonts w:hint="eastAsia" w:ascii="宋体" w:hAnsi="宋体" w:eastAsia="宋体" w:cs="宋体"/>
                <w:sz w:val="24"/>
              </w:rPr>
            </w:pPr>
            <w:r>
              <w:rPr>
                <w:rFonts w:hint="eastAsia" w:ascii="宋体" w:hAnsi="宋体" w:eastAsia="宋体" w:cs="宋体"/>
                <w:sz w:val="24"/>
              </w:rPr>
              <w:t>3</w:t>
            </w:r>
          </w:p>
        </w:tc>
        <w:tc>
          <w:tcPr>
            <w:tcW w:w="8185" w:type="dxa"/>
          </w:tcPr>
          <w:p>
            <w:pPr>
              <w:pStyle w:val="25"/>
              <w:spacing w:before="184"/>
              <w:ind w:left="110"/>
              <w:rPr>
                <w:rFonts w:hint="eastAsia" w:ascii="宋体" w:hAnsi="宋体" w:eastAsia="宋体" w:cs="宋体"/>
                <w:sz w:val="24"/>
              </w:rPr>
            </w:pPr>
            <w:r>
              <w:rPr>
                <w:rFonts w:hint="eastAsia" w:ascii="宋体" w:hAnsi="宋体" w:eastAsia="宋体" w:cs="宋体"/>
                <w:b/>
                <w:w w:val="95"/>
                <w:sz w:val="24"/>
              </w:rPr>
              <w:t>响应文件有效期：</w:t>
            </w:r>
            <w:r>
              <w:rPr>
                <w:rFonts w:hint="eastAsia" w:ascii="宋体" w:hAnsi="宋体" w:eastAsia="宋体" w:cs="宋体"/>
                <w:spacing w:val="-1"/>
                <w:sz w:val="24"/>
                <w:lang w:eastAsia="zh-CN"/>
              </w:rPr>
              <w:t>供应商提交响应文件截止之日起</w:t>
            </w:r>
            <w:r>
              <w:rPr>
                <w:rFonts w:hint="eastAsia" w:ascii="宋体" w:hAnsi="宋体" w:eastAsia="宋体" w:cs="宋体"/>
                <w:spacing w:val="-1"/>
                <w:sz w:val="24"/>
                <w:lang w:val="en-US" w:eastAsia="zh-CN"/>
              </w:rPr>
              <w:t>90</w:t>
            </w:r>
            <w:r>
              <w:rPr>
                <w:rFonts w:hint="eastAsia" w:ascii="宋体" w:hAnsi="宋体" w:eastAsia="宋体" w:cs="宋体"/>
                <w:spacing w:val="-1"/>
                <w:sz w:val="24"/>
                <w:lang w:eastAsia="zh-CN"/>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9" w:hRule="atLeast"/>
        </w:trPr>
        <w:tc>
          <w:tcPr>
            <w:tcW w:w="816" w:type="dxa"/>
          </w:tcPr>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spacing w:before="163"/>
              <w:ind w:left="10"/>
              <w:jc w:val="center"/>
              <w:rPr>
                <w:rFonts w:hint="eastAsia" w:ascii="宋体" w:hAnsi="宋体" w:eastAsia="宋体" w:cs="宋体"/>
                <w:sz w:val="24"/>
              </w:rPr>
            </w:pPr>
            <w:r>
              <w:rPr>
                <w:rFonts w:hint="eastAsia" w:ascii="宋体" w:hAnsi="宋体" w:eastAsia="宋体" w:cs="宋体"/>
                <w:sz w:val="24"/>
              </w:rPr>
              <w:t>4</w:t>
            </w:r>
          </w:p>
        </w:tc>
        <w:tc>
          <w:tcPr>
            <w:tcW w:w="8185" w:type="dxa"/>
          </w:tcPr>
          <w:p>
            <w:pPr>
              <w:pStyle w:val="25"/>
              <w:spacing w:before="175" w:line="405" w:lineRule="auto"/>
              <w:ind w:left="110" w:right="93"/>
              <w:jc w:val="both"/>
              <w:rPr>
                <w:rFonts w:hint="eastAsia" w:ascii="宋体" w:hAnsi="宋体" w:eastAsia="宋体" w:cs="宋体"/>
                <w:spacing w:val="-2"/>
                <w:sz w:val="24"/>
              </w:rPr>
            </w:pPr>
            <w:r>
              <w:rPr>
                <w:rFonts w:hint="eastAsia" w:ascii="宋体" w:hAnsi="宋体" w:eastAsia="宋体" w:cs="宋体"/>
                <w:b/>
                <w:spacing w:val="-4"/>
                <w:sz w:val="24"/>
              </w:rPr>
              <w:t>响应文件份数、密封及标记：</w:t>
            </w:r>
            <w:r>
              <w:rPr>
                <w:rFonts w:hint="eastAsia" w:ascii="宋体" w:hAnsi="宋体" w:eastAsia="宋体" w:cs="宋体"/>
                <w:spacing w:val="-4"/>
                <w:sz w:val="24"/>
              </w:rPr>
              <w:t>1、正本</w:t>
            </w:r>
            <w:r>
              <w:rPr>
                <w:rFonts w:hint="eastAsia" w:ascii="宋体" w:hAnsi="宋体" w:eastAsia="宋体" w:cs="宋体"/>
                <w:spacing w:val="-4"/>
                <w:sz w:val="24"/>
                <w:u w:val="single"/>
              </w:rPr>
              <w:t>壹</w:t>
            </w:r>
            <w:r>
              <w:rPr>
                <w:rFonts w:hint="eastAsia" w:ascii="宋体" w:hAnsi="宋体" w:eastAsia="宋体" w:cs="宋体"/>
                <w:spacing w:val="-4"/>
                <w:sz w:val="24"/>
              </w:rPr>
              <w:t>份，副本</w:t>
            </w:r>
            <w:r>
              <w:rPr>
                <w:rFonts w:hint="eastAsia" w:ascii="宋体" w:hAnsi="宋体" w:eastAsia="宋体" w:cs="宋体"/>
                <w:spacing w:val="-4"/>
                <w:sz w:val="24"/>
                <w:u w:val="single"/>
              </w:rPr>
              <w:t>贰</w:t>
            </w:r>
            <w:r>
              <w:rPr>
                <w:rFonts w:hint="eastAsia" w:ascii="宋体" w:hAnsi="宋体" w:eastAsia="宋体" w:cs="宋体"/>
                <w:spacing w:val="-4"/>
                <w:sz w:val="24"/>
              </w:rPr>
              <w:t>份，应使用不能擦去的墨</w:t>
            </w:r>
            <w:r>
              <w:rPr>
                <w:rFonts w:hint="eastAsia" w:ascii="宋体" w:hAnsi="宋体" w:eastAsia="宋体" w:cs="宋体"/>
                <w:spacing w:val="-2"/>
                <w:sz w:val="24"/>
              </w:rPr>
              <w:t>水书写或打印，并明确标明“正本”、“副本”。响应文件正本和副本具有同等效力，正本与副本如有不一致之处，以正本为准。正副本需单独装订成册，正副本密封在一个包装袋里，封套应保证其密封性并应加盖投标单位公章作骑缝章。</w:t>
            </w:r>
          </w:p>
          <w:p>
            <w:pPr>
              <w:pStyle w:val="25"/>
              <w:spacing w:before="175" w:line="405" w:lineRule="auto"/>
              <w:ind w:left="110" w:right="93"/>
              <w:jc w:val="both"/>
              <w:rPr>
                <w:rFonts w:hint="eastAsia" w:ascii="宋体" w:hAnsi="宋体" w:eastAsia="宋体" w:cs="宋体"/>
                <w:spacing w:val="-2"/>
                <w:sz w:val="24"/>
              </w:rPr>
            </w:pPr>
            <w:r>
              <w:rPr>
                <w:rFonts w:hint="eastAsia" w:ascii="宋体" w:hAnsi="宋体" w:eastAsia="宋体" w:cs="宋体"/>
                <w:spacing w:val="-2"/>
                <w:sz w:val="24"/>
              </w:rPr>
              <w:t>2、U盘壹张：</w:t>
            </w:r>
            <w:r>
              <w:rPr>
                <w:rFonts w:hint="eastAsia" w:cs="宋体"/>
                <w:color w:val="0000FF"/>
                <w:spacing w:val="-2"/>
                <w:sz w:val="24"/>
                <w:lang w:val="en-US" w:eastAsia="zh-CN"/>
              </w:rPr>
              <w:t>为盖章扫描件</w:t>
            </w:r>
            <w:r>
              <w:rPr>
                <w:rFonts w:hint="eastAsia" w:cs="宋体"/>
                <w:spacing w:val="-2"/>
                <w:sz w:val="24"/>
                <w:lang w:val="en-US" w:eastAsia="zh-CN"/>
              </w:rPr>
              <w:t>，</w:t>
            </w:r>
            <w:r>
              <w:rPr>
                <w:rFonts w:hint="eastAsia" w:ascii="宋体" w:hAnsi="宋体" w:eastAsia="宋体" w:cs="宋体"/>
                <w:spacing w:val="-2"/>
                <w:sz w:val="24"/>
              </w:rPr>
              <w:t>封于</w:t>
            </w:r>
            <w:r>
              <w:rPr>
                <w:rFonts w:hint="eastAsia" w:ascii="宋体" w:hAnsi="宋体" w:eastAsia="宋体" w:cs="宋体"/>
                <w:spacing w:val="-2"/>
                <w:sz w:val="24"/>
                <w:lang w:val="en-US" w:eastAsia="zh-CN"/>
              </w:rPr>
              <w:t>响应</w:t>
            </w:r>
            <w:r>
              <w:rPr>
                <w:rFonts w:hint="eastAsia" w:ascii="宋体" w:hAnsi="宋体" w:eastAsia="宋体" w:cs="宋体"/>
                <w:spacing w:val="-2"/>
                <w:sz w:val="24"/>
              </w:rPr>
              <w:t>文件正本中一起递交，U盘上写明投标人名称和项目名称，每张U盘内须包含投标文件的所有内容。</w:t>
            </w:r>
          </w:p>
          <w:p>
            <w:pPr>
              <w:pStyle w:val="25"/>
              <w:spacing w:before="1" w:line="405" w:lineRule="auto"/>
              <w:ind w:left="110" w:right="-29"/>
              <w:rPr>
                <w:rFonts w:hint="eastAsia" w:ascii="宋体" w:hAnsi="宋体" w:eastAsia="宋体" w:cs="宋体"/>
                <w:sz w:val="24"/>
              </w:rPr>
            </w:pPr>
            <w:r>
              <w:rPr>
                <w:rFonts w:hint="eastAsia" w:ascii="宋体" w:hAnsi="宋体" w:eastAsia="宋体" w:cs="宋体"/>
                <w:spacing w:val="-2"/>
                <w:sz w:val="24"/>
                <w:lang w:val="en-US" w:eastAsia="zh-CN"/>
              </w:rPr>
              <w:t>3</w:t>
            </w:r>
            <w:r>
              <w:rPr>
                <w:rFonts w:hint="eastAsia" w:ascii="宋体" w:hAnsi="宋体" w:eastAsia="宋体" w:cs="宋体"/>
                <w:spacing w:val="-18"/>
                <w:sz w:val="24"/>
              </w:rPr>
              <w:t>、响应文件未按上述规定密封者，采购代理机构对误投或过</w:t>
            </w:r>
            <w:bookmarkStart w:id="517" w:name="_GoBack"/>
            <w:bookmarkEnd w:id="517"/>
            <w:r>
              <w:rPr>
                <w:rFonts w:hint="eastAsia" w:ascii="宋体" w:hAnsi="宋体" w:eastAsia="宋体" w:cs="宋体"/>
                <w:spacing w:val="-18"/>
                <w:sz w:val="24"/>
              </w:rPr>
              <w:t>早启封概不负责。</w:t>
            </w:r>
            <w:r>
              <w:rPr>
                <w:rFonts w:hint="eastAsia" w:ascii="宋体" w:hAnsi="宋体" w:eastAsia="宋体" w:cs="宋体"/>
                <w:spacing w:val="-2"/>
                <w:sz w:val="24"/>
              </w:rPr>
              <w:t>对未按规定密封造成提前开封或未密封的响应文件，采购代理机构将予以拒</w:t>
            </w:r>
          </w:p>
          <w:p>
            <w:pPr>
              <w:pStyle w:val="25"/>
              <w:spacing w:before="2"/>
              <w:ind w:left="110"/>
              <w:rPr>
                <w:rFonts w:hint="eastAsia" w:ascii="宋体" w:hAnsi="宋体" w:eastAsia="宋体" w:cs="宋体"/>
                <w:sz w:val="24"/>
              </w:rPr>
            </w:pPr>
            <w:r>
              <w:rPr>
                <w:rFonts w:hint="eastAsia" w:ascii="宋体" w:hAnsi="宋体" w:eastAsia="宋体" w:cs="宋体"/>
                <w:spacing w:val="-2"/>
                <w:sz w:val="24"/>
              </w:rPr>
              <w:t>绝，并退回投标人。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16" w:type="dxa"/>
          </w:tcPr>
          <w:p>
            <w:pPr>
              <w:pStyle w:val="25"/>
              <w:rPr>
                <w:rFonts w:hint="eastAsia" w:ascii="宋体" w:hAnsi="宋体" w:eastAsia="宋体" w:cs="宋体"/>
                <w:b/>
                <w:sz w:val="24"/>
              </w:rPr>
            </w:pPr>
          </w:p>
          <w:p>
            <w:pPr>
              <w:pStyle w:val="25"/>
              <w:spacing w:before="207"/>
              <w:jc w:val="center"/>
              <w:rPr>
                <w:rFonts w:hint="eastAsia" w:ascii="宋体" w:hAnsi="宋体" w:eastAsia="宋体" w:cs="宋体"/>
                <w:sz w:val="24"/>
              </w:rPr>
            </w:pPr>
            <w:r>
              <w:rPr>
                <w:rFonts w:hint="eastAsia" w:ascii="宋体" w:hAnsi="宋体" w:eastAsia="宋体" w:cs="宋体"/>
                <w:sz w:val="24"/>
              </w:rPr>
              <w:t>5</w:t>
            </w:r>
          </w:p>
        </w:tc>
        <w:tc>
          <w:tcPr>
            <w:tcW w:w="8185" w:type="dxa"/>
          </w:tcPr>
          <w:p>
            <w:pPr>
              <w:pStyle w:val="25"/>
              <w:spacing w:before="146" w:line="374" w:lineRule="auto"/>
              <w:ind w:left="110" w:right="93"/>
              <w:rPr>
                <w:rFonts w:hint="eastAsia" w:ascii="宋体" w:hAnsi="宋体" w:eastAsia="宋体" w:cs="宋体"/>
                <w:b/>
                <w:sz w:val="24"/>
              </w:rPr>
            </w:pPr>
            <w:r>
              <w:rPr>
                <w:rFonts w:hint="eastAsia" w:ascii="宋体" w:hAnsi="宋体" w:eastAsia="宋体" w:cs="宋体"/>
                <w:spacing w:val="-2"/>
                <w:sz w:val="24"/>
              </w:rPr>
              <w:t>开标时需携带资料：（1）响应文件；（2）法人代表身份证（或被授权人身份证）原件；（3）法人代表身份证明书或法人授权委托书原件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16" w:type="dxa"/>
          </w:tcPr>
          <w:p>
            <w:pPr>
              <w:pStyle w:val="25"/>
              <w:spacing w:before="136"/>
              <w:ind w:left="10"/>
              <w:jc w:val="center"/>
              <w:rPr>
                <w:rFonts w:hint="eastAsia" w:ascii="宋体" w:hAnsi="宋体" w:eastAsia="宋体" w:cs="宋体"/>
                <w:sz w:val="24"/>
              </w:rPr>
            </w:pPr>
            <w:r>
              <w:rPr>
                <w:rFonts w:hint="eastAsia" w:ascii="宋体" w:hAnsi="宋体" w:eastAsia="宋体" w:cs="宋体"/>
                <w:sz w:val="24"/>
              </w:rPr>
              <w:t>6</w:t>
            </w:r>
          </w:p>
        </w:tc>
        <w:tc>
          <w:tcPr>
            <w:tcW w:w="8185" w:type="dxa"/>
          </w:tcPr>
          <w:p>
            <w:pPr>
              <w:pStyle w:val="25"/>
              <w:spacing w:before="136"/>
              <w:ind w:left="110"/>
              <w:rPr>
                <w:rFonts w:hint="eastAsia" w:ascii="宋体" w:hAnsi="宋体" w:eastAsia="宋体" w:cs="宋体"/>
                <w:sz w:val="24"/>
              </w:rPr>
            </w:pPr>
            <w:r>
              <w:rPr>
                <w:rFonts w:hint="eastAsia" w:ascii="宋体" w:hAnsi="宋体" w:eastAsia="宋体" w:cs="宋体"/>
                <w:b/>
                <w:w w:val="95"/>
                <w:sz w:val="24"/>
              </w:rPr>
              <w:t>成交原则</w:t>
            </w:r>
            <w:r>
              <w:rPr>
                <w:rFonts w:hint="eastAsia" w:ascii="宋体" w:hAnsi="宋体" w:eastAsia="宋体" w:cs="宋体"/>
                <w:w w:val="95"/>
                <w:sz w:val="24"/>
              </w:rPr>
              <w:t>：</w:t>
            </w:r>
            <w:r>
              <w:rPr>
                <w:rFonts w:hint="eastAsia" w:ascii="宋体" w:hAnsi="宋体" w:eastAsia="宋体" w:cs="宋体"/>
                <w:spacing w:val="-1"/>
                <w:sz w:val="24"/>
              </w:rPr>
              <w:t>综合评分法。以得分最高的供应商为第一成交候选人。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6" w:type="dxa"/>
          </w:tcPr>
          <w:p>
            <w:pPr>
              <w:pStyle w:val="25"/>
              <w:rPr>
                <w:rFonts w:hint="eastAsia" w:ascii="宋体" w:hAnsi="宋体" w:eastAsia="宋体" w:cs="宋体"/>
                <w:b/>
                <w:sz w:val="24"/>
              </w:rPr>
            </w:pPr>
          </w:p>
          <w:p>
            <w:pPr>
              <w:pStyle w:val="25"/>
              <w:spacing w:before="172"/>
              <w:ind w:left="10"/>
              <w:jc w:val="center"/>
              <w:rPr>
                <w:rFonts w:hint="eastAsia" w:ascii="宋体" w:hAnsi="宋体" w:eastAsia="宋体" w:cs="宋体"/>
                <w:sz w:val="24"/>
              </w:rPr>
            </w:pPr>
            <w:r>
              <w:rPr>
                <w:rFonts w:hint="eastAsia" w:ascii="宋体" w:hAnsi="宋体" w:eastAsia="宋体" w:cs="宋体"/>
                <w:sz w:val="24"/>
                <w:highlight w:val="none"/>
              </w:rPr>
              <w:t>7</w:t>
            </w:r>
          </w:p>
        </w:tc>
        <w:tc>
          <w:tcPr>
            <w:tcW w:w="8185" w:type="dxa"/>
          </w:tcPr>
          <w:p>
            <w:pPr>
              <w:pStyle w:val="25"/>
              <w:spacing w:before="79"/>
              <w:ind w:left="110"/>
              <w:rPr>
                <w:rFonts w:hint="eastAsia" w:ascii="宋体" w:hAnsi="宋体" w:eastAsia="宋体" w:cs="宋体"/>
                <w:sz w:val="24"/>
              </w:rPr>
            </w:pPr>
            <w:r>
              <w:rPr>
                <w:rFonts w:hint="eastAsia" w:ascii="宋体" w:hAnsi="宋体" w:eastAsia="宋体" w:cs="宋体"/>
                <w:spacing w:val="-1"/>
                <w:sz w:val="24"/>
              </w:rPr>
              <w:t>费用：不管报价结果如何，供应商均应承担自己报价所需一切费用。</w:t>
            </w:r>
          </w:p>
          <w:p>
            <w:pPr>
              <w:pStyle w:val="25"/>
              <w:spacing w:before="79" w:line="312" w:lineRule="auto"/>
              <w:ind w:right="94"/>
              <w:rPr>
                <w:rFonts w:hint="eastAsia" w:ascii="宋体" w:hAnsi="宋体" w:eastAsia="宋体" w:cs="宋体"/>
                <w:b/>
                <w:sz w:val="24"/>
              </w:rPr>
            </w:pPr>
            <w:r>
              <w:rPr>
                <w:rFonts w:hint="eastAsia" w:ascii="宋体" w:hAnsi="宋体" w:eastAsia="宋体" w:cs="宋体"/>
                <w:b/>
                <w:w w:val="95"/>
                <w:sz w:val="24"/>
              </w:rPr>
              <w:t>中标服务费：按中华人民共和国国家发展计划委员会计价格[2002]1980号文件及苏价服[2014]383号文件基准费率计取。中标服务费由成交</w:t>
            </w:r>
            <w:r>
              <w:rPr>
                <w:rFonts w:hint="eastAsia" w:ascii="宋体" w:hAnsi="宋体" w:eastAsia="宋体" w:cs="宋体"/>
                <w:b/>
                <w:spacing w:val="-10"/>
                <w:w w:val="95"/>
                <w:sz w:val="24"/>
              </w:rPr>
              <w:t>供</w:t>
            </w:r>
            <w:r>
              <w:rPr>
                <w:rFonts w:hint="eastAsia" w:ascii="宋体" w:hAnsi="宋体" w:eastAsia="宋体" w:cs="宋体"/>
                <w:b/>
                <w:spacing w:val="-1"/>
                <w:w w:val="99"/>
                <w:sz w:val="24"/>
              </w:rPr>
              <w:t>应商在领取成交通知书前向采购代理机构一次性付清。本项目还涉及税费、管理费等相关为完成本次项目采购的费用由成交供应商支付。以上费用并不</w:t>
            </w:r>
            <w:r>
              <w:rPr>
                <w:rFonts w:hint="eastAsia" w:ascii="宋体" w:hAnsi="宋体" w:eastAsia="宋体" w:cs="宋体"/>
                <w:b/>
                <w:w w:val="95"/>
                <w:sz w:val="24"/>
              </w:rPr>
              <w:t>单独列项，请在投标报价中综合考</w:t>
            </w:r>
            <w:r>
              <w:rPr>
                <w:rFonts w:hint="eastAsia" w:ascii="宋体" w:hAnsi="宋体" w:eastAsia="宋体" w:cs="宋体"/>
                <w:b/>
                <w:spacing w:val="-5"/>
                <w:w w:val="95"/>
                <w:sz w:val="24"/>
              </w:rPr>
              <w:t>虑。</w:t>
            </w:r>
          </w:p>
        </w:tc>
      </w:tr>
    </w:tbl>
    <w:p>
      <w:pPr>
        <w:spacing w:after="0" w:line="400" w:lineRule="atLeast"/>
        <w:rPr>
          <w:rFonts w:hint="eastAsia" w:ascii="宋体" w:hAnsi="宋体" w:eastAsia="宋体" w:cs="宋体"/>
          <w:sz w:val="24"/>
        </w:rPr>
        <w:sectPr>
          <w:pgSz w:w="11910" w:h="16840"/>
          <w:pgMar w:top="1480" w:right="320" w:bottom="870" w:left="1200" w:header="720" w:footer="720" w:gutter="0"/>
          <w:cols w:space="720" w:num="1"/>
        </w:sectPr>
      </w:pPr>
    </w:p>
    <w:tbl>
      <w:tblPr>
        <w:tblStyle w:val="1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spacing w:before="98"/>
              <w:ind w:right="335"/>
              <w:jc w:val="right"/>
              <w:rPr>
                <w:rFonts w:hint="eastAsia" w:ascii="宋体" w:hAnsi="宋体" w:eastAsia="宋体" w:cs="宋体"/>
                <w:sz w:val="24"/>
              </w:rPr>
            </w:pPr>
            <w:r>
              <w:rPr>
                <w:rFonts w:hint="eastAsia" w:ascii="宋体" w:hAnsi="宋体" w:eastAsia="宋体" w:cs="宋体"/>
                <w:sz w:val="24"/>
              </w:rPr>
              <w:t>8</w:t>
            </w:r>
          </w:p>
        </w:tc>
        <w:tc>
          <w:tcPr>
            <w:tcW w:w="8185" w:type="dxa"/>
          </w:tcPr>
          <w:p>
            <w:pPr>
              <w:pStyle w:val="25"/>
              <w:spacing w:before="110"/>
              <w:ind w:left="110"/>
              <w:rPr>
                <w:rFonts w:hint="eastAsia" w:ascii="宋体" w:hAnsi="宋体" w:eastAsia="宋体" w:cs="宋体"/>
                <w:sz w:val="24"/>
              </w:rPr>
            </w:pPr>
            <w:r>
              <w:rPr>
                <w:rFonts w:hint="eastAsia" w:ascii="宋体" w:hAnsi="宋体" w:eastAsia="宋体" w:cs="宋体"/>
                <w:sz w:val="24"/>
              </w:rPr>
              <w:t>本项目最高限价人民币：</w:t>
            </w:r>
            <w:r>
              <w:rPr>
                <w:rFonts w:hint="eastAsia" w:ascii="宋体" w:hAnsi="宋体" w:eastAsia="宋体" w:cs="宋体"/>
                <w:b/>
                <w:spacing w:val="-1"/>
                <w:w w:val="99"/>
                <w:sz w:val="24"/>
                <w:lang w:val="en-US" w:eastAsia="zh-CN"/>
              </w:rPr>
              <w:t>395.5796</w:t>
            </w:r>
            <w:r>
              <w:rPr>
                <w:rFonts w:hint="eastAsia" w:ascii="宋体" w:hAnsi="宋体" w:eastAsia="宋体" w:cs="宋体"/>
                <w:b/>
                <w:bCs/>
                <w:spacing w:val="-2"/>
                <w:sz w:val="24"/>
                <w:lang w:val="en-US" w:eastAsia="zh-CN"/>
              </w:rPr>
              <w:t>万</w:t>
            </w:r>
            <w:r>
              <w:rPr>
                <w:rFonts w:hint="eastAsia" w:ascii="宋体" w:hAnsi="宋体" w:eastAsia="宋体" w:cs="宋体"/>
                <w:b/>
                <w:spacing w:val="-1"/>
                <w:w w:val="99"/>
                <w:sz w:val="24"/>
              </w:rPr>
              <w:t>元</w:t>
            </w:r>
            <w:r>
              <w:rPr>
                <w:rFonts w:hint="eastAsia" w:ascii="宋体" w:hAnsi="宋体" w:eastAsia="宋体" w:cs="宋体"/>
                <w:spacing w:val="-9"/>
                <w:sz w:val="24"/>
              </w:rPr>
              <w:t>。超过此限价做废标处理。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16" w:type="dxa"/>
          </w:tcPr>
          <w:p>
            <w:pPr>
              <w:pStyle w:val="25"/>
              <w:spacing w:before="199"/>
              <w:ind w:right="335"/>
              <w:jc w:val="right"/>
              <w:rPr>
                <w:rFonts w:hint="eastAsia" w:ascii="宋体" w:hAnsi="宋体" w:eastAsia="宋体" w:cs="宋体"/>
                <w:sz w:val="24"/>
              </w:rPr>
            </w:pPr>
            <w:r>
              <w:rPr>
                <w:rFonts w:hint="eastAsia" w:ascii="宋体" w:hAnsi="宋体" w:eastAsia="宋体" w:cs="宋体"/>
                <w:sz w:val="24"/>
              </w:rPr>
              <w:t>9</w:t>
            </w:r>
          </w:p>
        </w:tc>
        <w:tc>
          <w:tcPr>
            <w:tcW w:w="8185" w:type="dxa"/>
          </w:tcPr>
          <w:p>
            <w:pPr>
              <w:pStyle w:val="25"/>
              <w:rPr>
                <w:rFonts w:hint="eastAsia" w:ascii="宋体" w:hAnsi="宋体" w:eastAsia="宋体" w:cs="宋体"/>
                <w:b/>
                <w:sz w:val="17"/>
              </w:rPr>
            </w:pPr>
          </w:p>
          <w:p>
            <w:pPr>
              <w:pStyle w:val="25"/>
              <w:ind w:left="110"/>
              <w:rPr>
                <w:rFonts w:hint="eastAsia" w:ascii="宋体" w:hAnsi="宋体" w:eastAsia="宋体" w:cs="宋体"/>
                <w:sz w:val="24"/>
              </w:rPr>
            </w:pPr>
            <w:r>
              <w:rPr>
                <w:rFonts w:hint="eastAsia" w:ascii="宋体" w:hAnsi="宋体" w:eastAsia="宋体" w:cs="宋体"/>
                <w:b/>
                <w:w w:val="95"/>
                <w:sz w:val="24"/>
              </w:rPr>
              <w:t>现场勘察：</w:t>
            </w:r>
            <w:r>
              <w:rPr>
                <w:rFonts w:hint="eastAsia" w:ascii="宋体" w:hAnsi="宋体" w:eastAsia="宋体" w:cs="宋体"/>
                <w:sz w:val="24"/>
              </w:rPr>
              <w:t>供应商自行勘察现场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2" w:hRule="atLeast"/>
        </w:trPr>
        <w:tc>
          <w:tcPr>
            <w:tcW w:w="816" w:type="dxa"/>
          </w:tcPr>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24"/>
              </w:rPr>
            </w:pPr>
          </w:p>
          <w:p>
            <w:pPr>
              <w:pStyle w:val="25"/>
              <w:rPr>
                <w:rFonts w:hint="eastAsia" w:ascii="宋体" w:hAnsi="宋体" w:eastAsia="宋体" w:cs="宋体"/>
                <w:b/>
                <w:sz w:val="30"/>
              </w:rPr>
            </w:pPr>
          </w:p>
          <w:p>
            <w:pPr>
              <w:pStyle w:val="25"/>
              <w:ind w:right="275"/>
              <w:jc w:val="right"/>
              <w:rPr>
                <w:rFonts w:hint="eastAsia" w:ascii="宋体" w:hAnsi="宋体" w:eastAsia="宋体" w:cs="宋体"/>
                <w:sz w:val="24"/>
              </w:rPr>
            </w:pPr>
            <w:r>
              <w:rPr>
                <w:rFonts w:hint="eastAsia" w:ascii="宋体" w:hAnsi="宋体" w:eastAsia="宋体" w:cs="宋体"/>
                <w:spacing w:val="-5"/>
                <w:sz w:val="24"/>
              </w:rPr>
              <w:t>10</w:t>
            </w:r>
          </w:p>
        </w:tc>
        <w:tc>
          <w:tcPr>
            <w:tcW w:w="8185" w:type="dxa"/>
          </w:tcPr>
          <w:p>
            <w:pPr>
              <w:pStyle w:val="25"/>
              <w:spacing w:before="110" w:line="343" w:lineRule="auto"/>
              <w:ind w:left="110" w:right="92"/>
              <w:jc w:val="both"/>
              <w:rPr>
                <w:rFonts w:hint="eastAsia" w:ascii="宋体" w:hAnsi="宋体" w:eastAsia="宋体" w:cs="宋体"/>
                <w:sz w:val="24"/>
              </w:rPr>
            </w:pPr>
            <w:r>
              <w:rPr>
                <w:rFonts w:hint="eastAsia" w:ascii="宋体" w:hAnsi="宋体" w:eastAsia="宋体" w:cs="宋体"/>
                <w:b/>
                <w:spacing w:val="-4"/>
                <w:sz w:val="24"/>
              </w:rPr>
              <w:t>信用承诺制：</w:t>
            </w:r>
            <w:r>
              <w:rPr>
                <w:rFonts w:hint="eastAsia" w:ascii="宋体" w:hAnsi="宋体" w:eastAsia="宋体" w:cs="宋体"/>
                <w:spacing w:val="-4"/>
                <w:sz w:val="24"/>
              </w:rPr>
              <w:t>1、根据《关于在政府采购活动中推行信用承诺制的通知》（宁</w:t>
            </w:r>
            <w:r>
              <w:rPr>
                <w:rFonts w:hint="eastAsia" w:ascii="宋体" w:hAnsi="宋体" w:eastAsia="宋体" w:cs="宋体"/>
                <w:spacing w:val="-2"/>
                <w:sz w:val="24"/>
              </w:rPr>
              <w:t>财购通[2021]5</w:t>
            </w:r>
            <w:r>
              <w:rPr>
                <w:rFonts w:hint="eastAsia" w:ascii="宋体" w:hAnsi="宋体" w:eastAsia="宋体" w:cs="宋体"/>
                <w:spacing w:val="-15"/>
                <w:sz w:val="24"/>
              </w:rPr>
              <w:t>号</w:t>
            </w:r>
            <w:r>
              <w:rPr>
                <w:rFonts w:hint="eastAsia" w:ascii="宋体" w:hAnsi="宋体" w:eastAsia="宋体" w:cs="宋体"/>
                <w:spacing w:val="-2"/>
                <w:sz w:val="24"/>
              </w:rPr>
              <w:t>）</w:t>
            </w:r>
            <w:r>
              <w:rPr>
                <w:rFonts w:hint="eastAsia" w:ascii="宋体" w:hAnsi="宋体" w:eastAsia="宋体" w:cs="宋体"/>
                <w:spacing w:val="-3"/>
                <w:sz w:val="24"/>
              </w:rPr>
              <w:t>的规定，本项目</w:t>
            </w:r>
            <w:r>
              <w:rPr>
                <w:rFonts w:hint="eastAsia" w:cs="宋体"/>
                <w:spacing w:val="-3"/>
                <w:sz w:val="24"/>
                <w:lang w:val="en-US" w:eastAsia="zh-CN"/>
              </w:rPr>
              <w:t>磋商</w:t>
            </w:r>
            <w:r>
              <w:rPr>
                <w:rFonts w:hint="eastAsia" w:ascii="宋体" w:hAnsi="宋体" w:eastAsia="宋体" w:cs="宋体"/>
                <w:spacing w:val="-3"/>
                <w:sz w:val="24"/>
              </w:rPr>
              <w:t>公告“二、申请人的资格要求”中</w:t>
            </w:r>
            <w:r>
              <w:rPr>
                <w:rFonts w:hint="eastAsia" w:ascii="宋体" w:hAnsi="宋体" w:eastAsia="宋体" w:cs="宋体"/>
                <w:sz w:val="24"/>
              </w:rPr>
              <w:t>1.满足《中华人民共和国政府采购法》第二十二条规定和4.（3）条涉及的</w:t>
            </w:r>
            <w:r>
              <w:rPr>
                <w:rFonts w:hint="eastAsia" w:ascii="宋体" w:hAnsi="宋体" w:eastAsia="宋体" w:cs="宋体"/>
                <w:spacing w:val="-2"/>
                <w:sz w:val="24"/>
              </w:rPr>
              <w:t>证明材料，供应商可以在响应文件中递交相应证明材料，也可以仅在响应文件中提供“南京市政府采购供应商信用记录表暨信用承诺书”替代上述相应证明材料。</w:t>
            </w:r>
          </w:p>
          <w:p>
            <w:pPr>
              <w:pStyle w:val="25"/>
              <w:spacing w:before="2" w:line="343" w:lineRule="auto"/>
              <w:ind w:left="110" w:right="-29" w:firstLine="480"/>
              <w:rPr>
                <w:rFonts w:hint="eastAsia" w:ascii="宋体" w:hAnsi="宋体" w:eastAsia="宋体" w:cs="宋体"/>
                <w:sz w:val="24"/>
              </w:rPr>
            </w:pPr>
            <w:r>
              <w:rPr>
                <w:rFonts w:hint="eastAsia" w:ascii="宋体" w:hAnsi="宋体" w:eastAsia="宋体" w:cs="宋体"/>
                <w:sz w:val="24"/>
              </w:rPr>
              <w:t>供应商仅提供信用承诺书而未提供“二、申请人的资格要求”中1.满足《中华人民共和国政府采购法》第二十二条规定和</w:t>
            </w:r>
            <w:r>
              <w:rPr>
                <w:rFonts w:hint="eastAsia" w:ascii="宋体" w:hAnsi="宋体" w:eastAsia="宋体" w:cs="宋体"/>
                <w:spacing w:val="-3"/>
                <w:sz w:val="24"/>
              </w:rPr>
              <w:t>4</w:t>
            </w:r>
            <w:r>
              <w:rPr>
                <w:rFonts w:hint="eastAsia" w:ascii="宋体" w:hAnsi="宋体" w:eastAsia="宋体" w:cs="宋体"/>
                <w:spacing w:val="2"/>
                <w:sz w:val="24"/>
              </w:rPr>
              <w:t>.（</w:t>
            </w:r>
            <w:r>
              <w:rPr>
                <w:rFonts w:hint="eastAsia" w:ascii="宋体" w:hAnsi="宋体" w:eastAsia="宋体" w:cs="宋体"/>
                <w:sz w:val="24"/>
              </w:rPr>
              <w:t>3</w:t>
            </w:r>
            <w:r>
              <w:rPr>
                <w:rFonts w:hint="eastAsia" w:ascii="宋体" w:hAnsi="宋体" w:eastAsia="宋体" w:cs="宋体"/>
                <w:spacing w:val="2"/>
                <w:sz w:val="24"/>
              </w:rPr>
              <w:t>）</w:t>
            </w:r>
            <w:r>
              <w:rPr>
                <w:rFonts w:hint="eastAsia" w:ascii="宋体" w:hAnsi="宋体" w:eastAsia="宋体" w:cs="宋体"/>
                <w:sz w:val="24"/>
              </w:rPr>
              <w:t>条涉及的证明</w:t>
            </w:r>
            <w:r>
              <w:rPr>
                <w:rFonts w:hint="eastAsia" w:ascii="宋体" w:hAnsi="宋体" w:eastAsia="宋体" w:cs="宋体"/>
                <w:spacing w:val="-6"/>
                <w:sz w:val="24"/>
              </w:rPr>
              <w:t>材料，须在中标后另行提供上述由信用承诺书替代的证明材料</w:t>
            </w:r>
            <w:r>
              <w:rPr>
                <w:rFonts w:hint="eastAsia" w:ascii="宋体" w:hAnsi="宋体" w:eastAsia="宋体" w:cs="宋体"/>
                <w:sz w:val="24"/>
              </w:rPr>
              <w:t>（一式三份</w:t>
            </w:r>
            <w:r>
              <w:rPr>
                <w:rFonts w:hint="eastAsia" w:ascii="宋体" w:hAnsi="宋体" w:eastAsia="宋体" w:cs="宋体"/>
                <w:spacing w:val="-31"/>
                <w:sz w:val="24"/>
              </w:rPr>
              <w:t>）</w:t>
            </w:r>
            <w:r>
              <w:rPr>
                <w:rFonts w:hint="eastAsia" w:ascii="宋体" w:hAnsi="宋体" w:eastAsia="宋体" w:cs="宋体"/>
                <w:spacing w:val="-7"/>
                <w:sz w:val="24"/>
              </w:rPr>
              <w:t>，</w:t>
            </w:r>
            <w:r>
              <w:rPr>
                <w:rFonts w:hint="eastAsia" w:ascii="宋体" w:hAnsi="宋体" w:eastAsia="宋体" w:cs="宋体"/>
                <w:sz w:val="24"/>
              </w:rPr>
              <w:t>材料须加盖公章并按响应文件要求胶装提交采购人或采购代理机构核验。经核验无误后，由采购人或采购代理机构发出成交通知书。</w:t>
            </w:r>
          </w:p>
          <w:p>
            <w:pPr>
              <w:pStyle w:val="25"/>
              <w:spacing w:before="2"/>
              <w:ind w:left="590"/>
              <w:rPr>
                <w:rFonts w:hint="eastAsia" w:ascii="宋体" w:hAnsi="宋体" w:eastAsia="宋体" w:cs="宋体"/>
                <w:sz w:val="24"/>
              </w:rPr>
            </w:pPr>
            <w:r>
              <w:rPr>
                <w:rFonts w:hint="eastAsia" w:ascii="宋体" w:hAnsi="宋体" w:eastAsia="宋体" w:cs="宋体"/>
                <w:spacing w:val="-1"/>
                <w:sz w:val="24"/>
              </w:rPr>
              <w:t>供应商涉及以下情形的，不适用信用承诺，仍须提供上述证明材料：</w:t>
            </w:r>
          </w:p>
          <w:p>
            <w:pPr>
              <w:pStyle w:val="25"/>
              <w:numPr>
                <w:ilvl w:val="0"/>
                <w:numId w:val="6"/>
              </w:numPr>
              <w:tabs>
                <w:tab w:val="left" w:pos="1192"/>
              </w:tabs>
              <w:spacing w:before="132" w:after="0" w:line="240" w:lineRule="auto"/>
              <w:ind w:left="1191" w:right="0" w:hanging="602"/>
              <w:jc w:val="left"/>
              <w:rPr>
                <w:rFonts w:hint="eastAsia" w:ascii="宋体" w:hAnsi="宋体" w:eastAsia="宋体" w:cs="宋体"/>
                <w:sz w:val="24"/>
              </w:rPr>
            </w:pPr>
            <w:r>
              <w:rPr>
                <w:rFonts w:hint="eastAsia" w:ascii="宋体" w:hAnsi="宋体" w:eastAsia="宋体" w:cs="宋体"/>
                <w:spacing w:val="-1"/>
                <w:sz w:val="24"/>
              </w:rPr>
              <w:t>供应商被列入严重失信主体名单；</w:t>
            </w:r>
          </w:p>
          <w:p>
            <w:pPr>
              <w:pStyle w:val="25"/>
              <w:numPr>
                <w:ilvl w:val="0"/>
                <w:numId w:val="6"/>
              </w:numPr>
              <w:tabs>
                <w:tab w:val="left" w:pos="1192"/>
              </w:tabs>
              <w:spacing w:before="132" w:after="0" w:line="345" w:lineRule="auto"/>
              <w:ind w:left="110" w:right="92" w:firstLine="480"/>
              <w:jc w:val="left"/>
              <w:rPr>
                <w:rFonts w:hint="eastAsia" w:ascii="宋体" w:hAnsi="宋体" w:eastAsia="宋体" w:cs="宋体"/>
                <w:sz w:val="24"/>
              </w:rPr>
            </w:pPr>
            <w:r>
              <w:rPr>
                <w:rFonts w:hint="eastAsia" w:ascii="宋体" w:hAnsi="宋体" w:eastAsia="宋体" w:cs="宋体"/>
                <w:spacing w:val="-3"/>
                <w:sz w:val="24"/>
              </w:rPr>
              <w:t>南京市政府采购供应商诚信档案管理系统中诚信档案分在</w:t>
            </w:r>
            <w:r>
              <w:rPr>
                <w:rFonts w:hint="eastAsia" w:ascii="宋体" w:hAnsi="宋体" w:eastAsia="宋体" w:cs="宋体"/>
                <w:spacing w:val="-2"/>
                <w:sz w:val="24"/>
              </w:rPr>
              <w:t>40</w:t>
            </w:r>
            <w:r>
              <w:rPr>
                <w:rFonts w:hint="eastAsia" w:ascii="宋体" w:hAnsi="宋体" w:eastAsia="宋体" w:cs="宋体"/>
                <w:spacing w:val="-11"/>
                <w:sz w:val="24"/>
              </w:rPr>
              <w:t>分以</w:t>
            </w:r>
            <w:r>
              <w:rPr>
                <w:rFonts w:hint="eastAsia" w:ascii="宋体" w:hAnsi="宋体" w:eastAsia="宋体" w:cs="宋体"/>
                <w:spacing w:val="-6"/>
                <w:sz w:val="24"/>
              </w:rPr>
              <w:t>下；</w:t>
            </w:r>
          </w:p>
          <w:p>
            <w:pPr>
              <w:pStyle w:val="25"/>
              <w:numPr>
                <w:ilvl w:val="0"/>
                <w:numId w:val="6"/>
              </w:numPr>
              <w:tabs>
                <w:tab w:val="left" w:pos="1192"/>
              </w:tabs>
              <w:spacing w:before="0" w:after="0" w:line="303" w:lineRule="exact"/>
              <w:ind w:left="1191" w:right="0" w:hanging="602"/>
              <w:jc w:val="left"/>
              <w:rPr>
                <w:rFonts w:hint="eastAsia" w:ascii="宋体" w:hAnsi="宋体" w:eastAsia="宋体" w:cs="宋体"/>
                <w:sz w:val="24"/>
              </w:rPr>
            </w:pPr>
            <w:r>
              <w:rPr>
                <w:rFonts w:hint="eastAsia" w:ascii="宋体" w:hAnsi="宋体" w:eastAsia="宋体" w:cs="宋体"/>
                <w:spacing w:val="-1"/>
                <w:sz w:val="24"/>
              </w:rPr>
              <w:t>被相关监管部门作出行政处罚且尚在处罚有效期内；</w:t>
            </w:r>
          </w:p>
          <w:p>
            <w:pPr>
              <w:pStyle w:val="25"/>
              <w:numPr>
                <w:ilvl w:val="0"/>
                <w:numId w:val="6"/>
              </w:numPr>
              <w:tabs>
                <w:tab w:val="left" w:pos="1192"/>
              </w:tabs>
              <w:spacing w:before="132" w:after="0" w:line="240" w:lineRule="auto"/>
              <w:ind w:left="1191" w:right="0" w:hanging="602"/>
              <w:jc w:val="left"/>
              <w:rPr>
                <w:rFonts w:hint="eastAsia" w:ascii="宋体" w:hAnsi="宋体" w:eastAsia="宋体" w:cs="宋体"/>
                <w:sz w:val="24"/>
              </w:rPr>
            </w:pPr>
            <w:r>
              <w:rPr>
                <w:rFonts w:hint="eastAsia" w:ascii="宋体" w:hAnsi="宋体" w:eastAsia="宋体" w:cs="宋体"/>
                <w:spacing w:val="-1"/>
                <w:sz w:val="24"/>
              </w:rPr>
              <w:t>其他法律、行政法规规定的不适用信用承诺的情形。</w:t>
            </w:r>
          </w:p>
          <w:p>
            <w:pPr>
              <w:pStyle w:val="25"/>
              <w:spacing w:before="148" w:line="360" w:lineRule="auto"/>
              <w:ind w:left="110" w:right="-2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8"/>
                <w:sz w:val="24"/>
              </w:rPr>
              <w:t>、供应商对信用承诺内容的真实性、合法性、有效性负责。如作出虚假信用</w:t>
            </w:r>
            <w:r>
              <w:rPr>
                <w:rFonts w:hint="eastAsia" w:ascii="宋体" w:hAnsi="宋体" w:eastAsia="宋体" w:cs="宋体"/>
                <w:spacing w:val="-11"/>
                <w:sz w:val="24"/>
              </w:rPr>
              <w:t>承诺，视同为“提供虚假材料谋取中标、成交”的违法行为。经调查核实后，</w:t>
            </w:r>
            <w:r>
              <w:rPr>
                <w:rFonts w:hint="eastAsia" w:ascii="宋体" w:hAnsi="宋体" w:eastAsia="宋体" w:cs="宋体"/>
                <w:sz w:val="24"/>
              </w:rPr>
              <w:t>按照《政府采购法》第七十七条规定，处以采购金额千分之五以上千分之十</w:t>
            </w:r>
            <w:r>
              <w:rPr>
                <w:rFonts w:hint="eastAsia" w:ascii="宋体" w:hAnsi="宋体" w:eastAsia="宋体" w:cs="宋体"/>
                <w:spacing w:val="-9"/>
                <w:sz w:val="24"/>
              </w:rPr>
              <w:t>以下的罚款，列入不良行为记录名单，在一至三年内禁止参加政府采购活动；</w:t>
            </w:r>
            <w:r>
              <w:rPr>
                <w:rFonts w:hint="eastAsia" w:ascii="宋体" w:hAnsi="宋体" w:eastAsia="宋体" w:cs="宋体"/>
                <w:sz w:val="24"/>
              </w:rPr>
              <w:t>有违法所得的，并处没收违法所得，情节严重的，由市场监管部门吊销营业</w:t>
            </w:r>
          </w:p>
          <w:p>
            <w:pPr>
              <w:pStyle w:val="25"/>
              <w:spacing w:line="301" w:lineRule="exact"/>
              <w:ind w:left="110"/>
              <w:rPr>
                <w:rFonts w:hint="eastAsia" w:ascii="宋体" w:hAnsi="宋体" w:eastAsia="宋体" w:cs="宋体"/>
                <w:sz w:val="24"/>
              </w:rPr>
            </w:pPr>
            <w:r>
              <w:rPr>
                <w:rFonts w:hint="eastAsia" w:ascii="宋体" w:hAnsi="宋体" w:eastAsia="宋体" w:cs="宋体"/>
                <w:spacing w:val="-1"/>
                <w:sz w:val="24"/>
              </w:rPr>
              <w:t>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16" w:type="dxa"/>
          </w:tcPr>
          <w:p>
            <w:pPr>
              <w:pStyle w:val="25"/>
              <w:ind w:right="275"/>
              <w:jc w:val="center"/>
              <w:rPr>
                <w:rFonts w:hint="eastAsia" w:ascii="宋体" w:hAnsi="宋体" w:eastAsia="宋体" w:cs="宋体"/>
                <w:sz w:val="24"/>
              </w:rPr>
            </w:pPr>
            <w:r>
              <w:rPr>
                <w:rFonts w:hint="eastAsia" w:ascii="宋体" w:hAnsi="宋体" w:eastAsia="宋体" w:cs="宋体"/>
                <w:spacing w:val="-5"/>
                <w:sz w:val="24"/>
              </w:rPr>
              <w:t>11</w:t>
            </w:r>
          </w:p>
        </w:tc>
        <w:tc>
          <w:tcPr>
            <w:tcW w:w="8185" w:type="dxa"/>
          </w:tcPr>
          <w:p>
            <w:pPr>
              <w:pStyle w:val="25"/>
              <w:spacing w:before="124" w:line="360" w:lineRule="auto"/>
              <w:ind w:left="110" w:right="95"/>
              <w:rPr>
                <w:rFonts w:hint="eastAsia" w:ascii="宋体" w:hAnsi="宋体" w:eastAsia="宋体" w:cs="宋体"/>
                <w:sz w:val="24"/>
              </w:rPr>
            </w:pPr>
            <w:r>
              <w:rPr>
                <w:rFonts w:hint="eastAsia" w:ascii="宋体" w:hAnsi="宋体" w:eastAsia="宋体" w:cs="宋体"/>
                <w:b/>
                <w:sz w:val="24"/>
              </w:rPr>
              <w:t>其他：</w:t>
            </w:r>
            <w:r>
              <w:rPr>
                <w:rFonts w:hint="eastAsia" w:ascii="宋体" w:hAnsi="宋体" w:eastAsia="宋体" w:cs="宋体"/>
                <w:sz w:val="24"/>
              </w:rPr>
              <w:t>请各供应商在</w:t>
            </w:r>
            <w:r>
              <w:rPr>
                <w:rFonts w:hint="eastAsia" w:cs="宋体"/>
                <w:sz w:val="24"/>
                <w:lang w:eastAsia="zh-CN"/>
              </w:rPr>
              <w:t>投标</w:t>
            </w:r>
            <w:r>
              <w:rPr>
                <w:rFonts w:hint="eastAsia" w:ascii="宋体" w:hAnsi="宋体" w:eastAsia="宋体" w:cs="宋体"/>
                <w:sz w:val="24"/>
              </w:rPr>
              <w:t>截止日前随时关注更正补充通知或答疑澄清通</w:t>
            </w:r>
            <w:r>
              <w:rPr>
                <w:rFonts w:hint="eastAsia" w:ascii="宋体" w:hAnsi="宋体" w:eastAsia="宋体" w:cs="宋体"/>
                <w:spacing w:val="-6"/>
                <w:sz w:val="24"/>
              </w:rPr>
              <w:t>知。</w:t>
            </w:r>
          </w:p>
        </w:tc>
      </w:tr>
    </w:tbl>
    <w:p>
      <w:pPr>
        <w:spacing w:after="0" w:line="266" w:lineRule="exact"/>
        <w:rPr>
          <w:rFonts w:hint="eastAsia" w:ascii="仿宋" w:hAnsi="仿宋" w:eastAsia="仿宋" w:cs="仿宋"/>
          <w:sz w:val="24"/>
        </w:rPr>
        <w:sectPr>
          <w:type w:val="continuous"/>
          <w:pgSz w:w="11910" w:h="16840"/>
          <w:pgMar w:top="1400" w:right="320" w:bottom="962" w:left="1200" w:header="720" w:footer="720" w:gutter="0"/>
          <w:cols w:space="720" w:num="1"/>
        </w:sectPr>
      </w:pPr>
    </w:p>
    <w:p>
      <w:pPr>
        <w:pStyle w:val="9"/>
        <w:rPr>
          <w:rFonts w:hint="eastAsia" w:ascii="仿宋" w:hAnsi="仿宋" w:eastAsia="仿宋" w:cs="仿宋"/>
          <w:b/>
          <w:sz w:val="20"/>
          <w:u w:val="none"/>
        </w:rPr>
      </w:pPr>
    </w:p>
    <w:p>
      <w:pPr>
        <w:pStyle w:val="9"/>
        <w:spacing w:before="8"/>
        <w:rPr>
          <w:rFonts w:hint="eastAsia" w:ascii="仿宋" w:hAnsi="仿宋" w:eastAsia="仿宋" w:cs="仿宋"/>
          <w:b/>
          <w:u w:val="none"/>
        </w:rPr>
      </w:pPr>
    </w:p>
    <w:p>
      <w:pPr>
        <w:pStyle w:val="9"/>
        <w:spacing w:before="8"/>
        <w:rPr>
          <w:rFonts w:hint="eastAsia" w:ascii="仿宋" w:hAnsi="仿宋" w:eastAsia="仿宋" w:cs="仿宋"/>
          <w:b/>
          <w:u w:val="none"/>
        </w:rPr>
      </w:pPr>
    </w:p>
    <w:p>
      <w:pPr>
        <w:pStyle w:val="6"/>
        <w:tabs>
          <w:tab w:val="left" w:pos="1821"/>
        </w:tabs>
        <w:spacing w:before="54"/>
        <w:ind w:left="216" w:firstLine="0"/>
        <w:jc w:val="center"/>
        <w:rPr>
          <w:rFonts w:hint="eastAsia" w:ascii="宋体" w:hAnsi="宋体" w:eastAsia="宋体" w:cs="宋体"/>
          <w:b/>
          <w:sz w:val="36"/>
          <w:u w:val="none"/>
        </w:rPr>
      </w:pPr>
      <w:r>
        <w:rPr>
          <w:rFonts w:hint="eastAsia" w:ascii="宋体" w:hAnsi="宋体" w:eastAsia="宋体" w:cs="宋体"/>
          <w:w w:val="95"/>
        </w:rPr>
        <w:t>一、</w:t>
      </w:r>
      <w:r>
        <w:rPr>
          <w:rFonts w:hint="eastAsia" w:ascii="宋体" w:hAnsi="宋体" w:eastAsia="宋体" w:cs="宋体"/>
          <w:spacing w:val="-10"/>
          <w:w w:val="95"/>
        </w:rPr>
        <w:t>总</w:t>
      </w:r>
      <w:r>
        <w:rPr>
          <w:rFonts w:hint="eastAsia" w:ascii="宋体" w:hAnsi="宋体" w:eastAsia="宋体" w:cs="宋体"/>
        </w:rPr>
        <w:tab/>
      </w:r>
      <w:r>
        <w:rPr>
          <w:rFonts w:hint="eastAsia" w:ascii="宋体" w:hAnsi="宋体" w:eastAsia="宋体" w:cs="宋体"/>
          <w:spacing w:val="-10"/>
        </w:rPr>
        <w:t>则</w:t>
      </w:r>
    </w:p>
    <w:p>
      <w:pPr>
        <w:pStyle w:val="24"/>
        <w:numPr>
          <w:ilvl w:val="0"/>
          <w:numId w:val="7"/>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b/>
          <w:w w:val="95"/>
          <w:sz w:val="32"/>
        </w:rPr>
        <w:t>适用法</w:t>
      </w:r>
      <w:r>
        <w:rPr>
          <w:rFonts w:hint="eastAsia" w:ascii="宋体" w:hAnsi="宋体" w:eastAsia="宋体" w:cs="宋体"/>
          <w:b/>
          <w:spacing w:val="-10"/>
          <w:w w:val="95"/>
          <w:sz w:val="32"/>
        </w:rPr>
        <w:t>律</w:t>
      </w:r>
    </w:p>
    <w:p>
      <w:pPr>
        <w:pStyle w:val="24"/>
        <w:numPr>
          <w:ilvl w:val="1"/>
          <w:numId w:val="7"/>
        </w:numPr>
        <w:tabs>
          <w:tab w:val="left" w:pos="1177"/>
        </w:tabs>
        <w:spacing w:before="0"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《中华人民共和国政府采购法》、《中华人民共和国政府采购法实施条例》、</w:t>
      </w:r>
    </w:p>
    <w:p>
      <w:pPr>
        <w:spacing w:before="161"/>
        <w:ind w:left="216" w:right="0" w:firstLine="0"/>
        <w:jc w:val="left"/>
        <w:rPr>
          <w:rFonts w:hint="eastAsia" w:ascii="宋体" w:hAnsi="宋体" w:eastAsia="宋体" w:cs="宋体"/>
          <w:sz w:val="34"/>
          <w:u w:val="none"/>
        </w:rPr>
      </w:pPr>
      <w:r>
        <w:rPr>
          <w:rFonts w:hint="eastAsia" w:ascii="宋体" w:hAnsi="宋体" w:eastAsia="宋体" w:cs="宋体"/>
          <w:spacing w:val="-1"/>
          <w:sz w:val="24"/>
        </w:rPr>
        <w:t>《政府采购</w:t>
      </w:r>
      <w:r>
        <w:rPr>
          <w:rFonts w:hint="eastAsia" w:cs="宋体"/>
          <w:spacing w:val="-1"/>
          <w:sz w:val="24"/>
          <w:lang w:eastAsia="zh-CN"/>
        </w:rPr>
        <w:t>竞争性磋商</w:t>
      </w:r>
      <w:r>
        <w:rPr>
          <w:rFonts w:hint="eastAsia" w:ascii="宋体" w:hAnsi="宋体" w:eastAsia="宋体" w:cs="宋体"/>
          <w:spacing w:val="-1"/>
          <w:sz w:val="24"/>
        </w:rPr>
        <w:t>采购方式管理暂行办法》等有关法律、规章和规定等。</w:t>
      </w:r>
    </w:p>
    <w:p>
      <w:pPr>
        <w:pStyle w:val="6"/>
        <w:numPr>
          <w:ilvl w:val="0"/>
          <w:numId w:val="7"/>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w w:val="95"/>
        </w:rPr>
        <w:t>定</w:t>
      </w:r>
      <w:r>
        <w:rPr>
          <w:rFonts w:hint="eastAsia" w:ascii="宋体" w:hAnsi="宋体" w:eastAsia="宋体" w:cs="宋体"/>
          <w:spacing w:val="-10"/>
        </w:rPr>
        <w:t>义</w:t>
      </w:r>
    </w:p>
    <w:p>
      <w:pPr>
        <w:pStyle w:val="24"/>
        <w:numPr>
          <w:ilvl w:val="1"/>
          <w:numId w:val="7"/>
        </w:numPr>
        <w:tabs>
          <w:tab w:val="left" w:pos="1165"/>
        </w:tabs>
        <w:spacing w:before="0"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“供应商”是指参加</w:t>
      </w:r>
      <w:r>
        <w:rPr>
          <w:rFonts w:hint="eastAsia" w:cs="宋体"/>
          <w:spacing w:val="-2"/>
          <w:sz w:val="24"/>
          <w:lang w:val="en-US" w:eastAsia="zh-CN"/>
        </w:rPr>
        <w:t>磋商</w:t>
      </w:r>
      <w:r>
        <w:rPr>
          <w:rFonts w:hint="eastAsia" w:ascii="宋体" w:hAnsi="宋体" w:eastAsia="宋体" w:cs="宋体"/>
          <w:spacing w:val="-2"/>
          <w:sz w:val="24"/>
        </w:rPr>
        <w:t>竞争，并符合采购文件规定资格条件的法人、其他组织或者自然人。</w:t>
      </w:r>
    </w:p>
    <w:p>
      <w:pPr>
        <w:pStyle w:val="24"/>
        <w:numPr>
          <w:ilvl w:val="1"/>
          <w:numId w:val="7"/>
        </w:numPr>
        <w:tabs>
          <w:tab w:val="left" w:pos="1177"/>
        </w:tabs>
        <w:spacing w:before="1"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“货物、服务和工程”指本采购文件中所述产品及相关货物、服务和工程。</w:t>
      </w:r>
    </w:p>
    <w:p>
      <w:pPr>
        <w:pStyle w:val="24"/>
        <w:numPr>
          <w:ilvl w:val="1"/>
          <w:numId w:val="7"/>
        </w:numPr>
        <w:tabs>
          <w:tab w:val="left" w:pos="1177"/>
        </w:tabs>
        <w:spacing w:before="161" w:after="0" w:line="240" w:lineRule="auto"/>
        <w:ind w:left="1176" w:right="0" w:hanging="481"/>
        <w:jc w:val="left"/>
        <w:rPr>
          <w:rFonts w:hint="eastAsia" w:ascii="宋体" w:hAnsi="宋体" w:eastAsia="宋体" w:cs="宋体"/>
          <w:sz w:val="34"/>
          <w:u w:val="none"/>
        </w:rPr>
      </w:pPr>
      <w:r>
        <w:rPr>
          <w:rFonts w:hint="eastAsia" w:ascii="宋体" w:hAnsi="宋体" w:eastAsia="宋体" w:cs="宋体"/>
          <w:spacing w:val="-1"/>
          <w:sz w:val="24"/>
        </w:rPr>
        <w:t>“用户或使用单位”是指使用服务的单位。</w:t>
      </w:r>
    </w:p>
    <w:p>
      <w:pPr>
        <w:pStyle w:val="6"/>
        <w:numPr>
          <w:ilvl w:val="0"/>
          <w:numId w:val="7"/>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w w:val="95"/>
        </w:rPr>
        <w:t>政策功</w:t>
      </w:r>
      <w:r>
        <w:rPr>
          <w:rFonts w:hint="eastAsia" w:ascii="宋体" w:hAnsi="宋体" w:eastAsia="宋体" w:cs="宋体"/>
          <w:spacing w:val="-10"/>
          <w:w w:val="95"/>
        </w:rPr>
        <w:t>能</w:t>
      </w:r>
    </w:p>
    <w:p>
      <w:pPr>
        <w:pStyle w:val="24"/>
        <w:numPr>
          <w:ilvl w:val="1"/>
          <w:numId w:val="7"/>
        </w:numPr>
        <w:tabs>
          <w:tab w:val="left" w:pos="1129"/>
        </w:tabs>
        <w:spacing w:before="0" w:after="0" w:line="364" w:lineRule="auto"/>
        <w:ind w:left="216" w:right="1089" w:firstLine="480"/>
        <w:jc w:val="both"/>
        <w:rPr>
          <w:rFonts w:hint="eastAsia" w:ascii="宋体" w:hAnsi="宋体" w:eastAsia="宋体" w:cs="宋体"/>
          <w:sz w:val="24"/>
        </w:rPr>
      </w:pPr>
      <w:r>
        <w:rPr>
          <w:rFonts w:hint="eastAsia" w:ascii="宋体" w:hAnsi="宋体" w:eastAsia="宋体" w:cs="宋体"/>
          <w:spacing w:val="-2"/>
          <w:sz w:val="24"/>
        </w:rPr>
        <w:t>政府采购促进中小企业发展，小企业（含小型、微型企业）提供的产品和服务在</w:t>
      </w:r>
      <w:r>
        <w:rPr>
          <w:rFonts w:hint="eastAsia" w:cs="宋体"/>
          <w:spacing w:val="-2"/>
          <w:sz w:val="24"/>
          <w:lang w:eastAsia="zh-CN"/>
        </w:rPr>
        <w:t>投标</w:t>
      </w:r>
      <w:r>
        <w:rPr>
          <w:rFonts w:hint="eastAsia" w:ascii="宋体" w:hAnsi="宋体" w:eastAsia="宋体" w:cs="宋体"/>
          <w:spacing w:val="-2"/>
          <w:sz w:val="24"/>
        </w:rPr>
        <w:t>时将获得优势，参加</w:t>
      </w:r>
      <w:r>
        <w:rPr>
          <w:rFonts w:hint="eastAsia" w:cs="宋体"/>
          <w:spacing w:val="-2"/>
          <w:sz w:val="24"/>
          <w:lang w:eastAsia="zh-CN"/>
        </w:rPr>
        <w:t>投标</w:t>
      </w:r>
      <w:r>
        <w:rPr>
          <w:rFonts w:hint="eastAsia" w:ascii="宋体" w:hAnsi="宋体" w:eastAsia="宋体" w:cs="宋体"/>
          <w:spacing w:val="-2"/>
          <w:sz w:val="24"/>
        </w:rPr>
        <w:t>的小企业，应当提供《中小企业声明函》（“中小企业划型标准”详见《关于印发中小企业划型标准规定的通知》工信部联企业〔2011〕300号及《国家统计局关于印发统计上大中小微型企业划分办法的通知》国统字〔2011〕75</w:t>
      </w:r>
      <w:r>
        <w:rPr>
          <w:rFonts w:hint="eastAsia" w:ascii="宋体" w:hAnsi="宋体" w:eastAsia="宋体" w:cs="宋体"/>
          <w:spacing w:val="-4"/>
          <w:sz w:val="24"/>
        </w:rPr>
        <w:t>号）。</w:t>
      </w:r>
    </w:p>
    <w:p>
      <w:pPr>
        <w:pStyle w:val="24"/>
        <w:numPr>
          <w:ilvl w:val="1"/>
          <w:numId w:val="7"/>
        </w:numPr>
        <w:tabs>
          <w:tab w:val="left" w:pos="1129"/>
        </w:tabs>
        <w:spacing w:before="3"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w:t>
      </w:r>
      <w:r>
        <w:rPr>
          <w:rFonts w:hint="eastAsia" w:ascii="宋体" w:hAnsi="宋体" w:eastAsia="宋体" w:cs="宋体"/>
          <w:sz w:val="24"/>
        </w:rPr>
        <w:t>受政府采购支持政策的要求详见财库〔2014〕68</w:t>
      </w:r>
      <w:r>
        <w:rPr>
          <w:rFonts w:hint="eastAsia" w:ascii="宋体" w:hAnsi="宋体" w:eastAsia="宋体" w:cs="宋体"/>
          <w:spacing w:val="-14"/>
          <w:sz w:val="24"/>
        </w:rPr>
        <w:t>号。</w:t>
      </w:r>
    </w:p>
    <w:p>
      <w:pPr>
        <w:pStyle w:val="24"/>
        <w:numPr>
          <w:ilvl w:val="1"/>
          <w:numId w:val="7"/>
        </w:numPr>
        <w:tabs>
          <w:tab w:val="left" w:pos="1129"/>
        </w:tabs>
        <w:spacing w:before="3" w:after="0" w:line="364" w:lineRule="auto"/>
        <w:ind w:left="216" w:right="1047" w:firstLine="480"/>
        <w:jc w:val="both"/>
        <w:rPr>
          <w:rFonts w:hint="eastAsia" w:ascii="宋体" w:hAnsi="宋体" w:eastAsia="宋体" w:cs="宋体"/>
          <w:sz w:val="24"/>
        </w:rPr>
      </w:pPr>
      <w:r>
        <w:rPr>
          <w:rFonts w:hint="eastAsia" w:ascii="宋体" w:hAnsi="宋体" w:eastAsia="宋体" w:cs="宋体"/>
          <w:spacing w:val="-2"/>
          <w:sz w:val="24"/>
        </w:rPr>
        <w:t>政府采购促进残疾人就业政策，残疾人福利性单位提供的产品和服务在评标时将获得优势，参加投标的残疾人福利性单位，应当提供《残疾人福利性单位声明函》，</w:t>
      </w:r>
      <w:r>
        <w:rPr>
          <w:rFonts w:hint="eastAsia" w:ascii="宋体" w:hAnsi="宋体" w:eastAsia="宋体" w:cs="宋体"/>
          <w:sz w:val="24"/>
        </w:rPr>
        <w:t>残疾人福利性单位享受政府采购支持政策的要求详见财库〔2017〕141</w:t>
      </w:r>
      <w:r>
        <w:rPr>
          <w:rFonts w:hint="eastAsia" w:ascii="宋体" w:hAnsi="宋体" w:eastAsia="宋体" w:cs="宋体"/>
          <w:spacing w:val="-14"/>
          <w:sz w:val="24"/>
        </w:rPr>
        <w:t>号。</w:t>
      </w:r>
    </w:p>
    <w:p>
      <w:pPr>
        <w:pStyle w:val="24"/>
        <w:numPr>
          <w:ilvl w:val="1"/>
          <w:numId w:val="7"/>
        </w:numPr>
        <w:tabs>
          <w:tab w:val="left" w:pos="1177"/>
        </w:tabs>
        <w:spacing w:before="37"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强制采购节能产品、信息安全产品，优先采购环境标志产品。节能产品是指列入财政部、国家发展和改革委员会制定的节能产品品目政府采购清单，且经过认定的节</w:t>
      </w:r>
      <w:r>
        <w:rPr>
          <w:rFonts w:hint="eastAsia" w:ascii="宋体" w:hAnsi="宋体" w:eastAsia="宋体" w:cs="宋体"/>
          <w:sz w:val="24"/>
        </w:rPr>
        <w:t>能产品；信息安全产品是指列入国家质检总局国家认监委《信息安全产品强制性认证</w:t>
      </w:r>
      <w:r>
        <w:rPr>
          <w:rFonts w:hint="eastAsia" w:ascii="宋体" w:hAnsi="宋体" w:eastAsia="宋体" w:cs="宋体"/>
          <w:spacing w:val="-2"/>
          <w:sz w:val="24"/>
        </w:rPr>
        <w:t>目录》，并获得强制性产品认证证书的产品；环境标志产品是指列入财政部、生态环境部制定的环境标志产品政府采购品目清单，且依据相关标准的最新版本认证的环境标志</w:t>
      </w:r>
      <w:r>
        <w:rPr>
          <w:rFonts w:hint="eastAsia" w:ascii="宋体" w:hAnsi="宋体" w:eastAsia="宋体" w:cs="宋体"/>
          <w:spacing w:val="-4"/>
          <w:sz w:val="24"/>
        </w:rPr>
        <w:t>产品。</w:t>
      </w:r>
    </w:p>
    <w:p>
      <w:pPr>
        <w:pStyle w:val="24"/>
        <w:numPr>
          <w:ilvl w:val="1"/>
          <w:numId w:val="7"/>
        </w:numPr>
        <w:tabs>
          <w:tab w:val="left" w:pos="1129"/>
        </w:tabs>
        <w:spacing w:before="4" w:after="0" w:line="364" w:lineRule="auto"/>
        <w:ind w:left="216" w:right="1094" w:firstLine="480"/>
        <w:jc w:val="both"/>
        <w:rPr>
          <w:rFonts w:hint="eastAsia" w:ascii="宋体" w:hAnsi="宋体" w:eastAsia="宋体" w:cs="宋体"/>
          <w:sz w:val="24"/>
        </w:rPr>
      </w:pPr>
      <w:r>
        <w:rPr>
          <w:rFonts w:hint="eastAsia" w:ascii="宋体" w:hAnsi="宋体" w:eastAsia="宋体" w:cs="宋体"/>
          <w:spacing w:val="-2"/>
          <w:sz w:val="24"/>
        </w:rPr>
        <w:t>提供的产品属于信息安全产品的，供应商应当选择经国家认证的信息安全产品投标，并提供由中国信息安全认证中心按国家标准认证颁发的有效认证证书复印件加盖</w:t>
      </w:r>
      <w:r>
        <w:rPr>
          <w:rFonts w:hint="eastAsia" w:ascii="宋体" w:hAnsi="宋体" w:eastAsia="宋体" w:cs="宋体"/>
          <w:spacing w:val="-4"/>
          <w:sz w:val="24"/>
        </w:rPr>
        <w:t>公章。</w:t>
      </w:r>
    </w:p>
    <w:p>
      <w:pPr>
        <w:pStyle w:val="24"/>
        <w:numPr>
          <w:ilvl w:val="1"/>
          <w:numId w:val="7"/>
        </w:numPr>
        <w:tabs>
          <w:tab w:val="left" w:pos="1177"/>
        </w:tabs>
        <w:spacing w:before="2" w:after="0" w:line="364" w:lineRule="auto"/>
        <w:ind w:left="216" w:right="1094" w:firstLine="480"/>
        <w:jc w:val="both"/>
        <w:rPr>
          <w:rFonts w:hint="eastAsia" w:ascii="宋体" w:hAnsi="宋体" w:eastAsia="宋体" w:cs="宋体"/>
          <w:sz w:val="24"/>
        </w:rPr>
      </w:pPr>
      <w:r>
        <w:rPr>
          <w:rFonts w:hint="eastAsia" w:ascii="宋体" w:hAnsi="宋体" w:eastAsia="宋体" w:cs="宋体"/>
          <w:spacing w:val="-2"/>
          <w:sz w:val="24"/>
        </w:rPr>
        <w:t>提供的产品属于政府强制采购节能产品的，供应商应当选择依据国家标准中二级能效（水效）指标认证的节能产品投标，并提供有效的节能产品认证证书复印件加盖</w:t>
      </w:r>
      <w:r>
        <w:rPr>
          <w:rFonts w:hint="eastAsia" w:ascii="宋体" w:hAnsi="宋体" w:eastAsia="宋体" w:cs="宋体"/>
          <w:spacing w:val="-4"/>
          <w:sz w:val="24"/>
        </w:rPr>
        <w:t>公章。</w:t>
      </w:r>
    </w:p>
    <w:p>
      <w:pPr>
        <w:pStyle w:val="24"/>
        <w:numPr>
          <w:ilvl w:val="1"/>
          <w:numId w:val="7"/>
        </w:numPr>
        <w:tabs>
          <w:tab w:val="left" w:pos="1177"/>
        </w:tabs>
        <w:spacing w:before="2"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提供的产品属于环境标志产品的，供应商应当选择依据相关标准的最新版本认证的环境标志产品投标，并提供有效的环境标志产品认证证书复印件加盖公章。</w:t>
      </w:r>
    </w:p>
    <w:p>
      <w:pPr>
        <w:pStyle w:val="9"/>
        <w:spacing w:before="6"/>
        <w:rPr>
          <w:rFonts w:hint="eastAsia" w:ascii="宋体" w:hAnsi="宋体" w:eastAsia="宋体" w:cs="宋体"/>
          <w:sz w:val="22"/>
          <w:u w:val="none"/>
        </w:rPr>
      </w:pPr>
    </w:p>
    <w:p>
      <w:pPr>
        <w:pStyle w:val="6"/>
        <w:numPr>
          <w:ilvl w:val="0"/>
          <w:numId w:val="7"/>
        </w:numPr>
        <w:tabs>
          <w:tab w:val="left" w:pos="459"/>
        </w:tabs>
        <w:spacing w:before="0" w:after="0" w:line="240" w:lineRule="auto"/>
        <w:ind w:left="458" w:right="0" w:hanging="243"/>
        <w:jc w:val="left"/>
        <w:rPr>
          <w:rFonts w:hint="eastAsia" w:ascii="宋体" w:hAnsi="宋体" w:eastAsia="宋体" w:cs="宋体"/>
        </w:rPr>
      </w:pPr>
      <w:r>
        <w:rPr>
          <w:rFonts w:hint="eastAsia" w:ascii="宋体" w:hAnsi="宋体" w:eastAsia="宋体" w:cs="宋体"/>
          <w:w w:val="95"/>
          <w:lang w:val="en-US" w:eastAsia="zh-CN"/>
        </w:rPr>
        <w:t>磋商</w:t>
      </w:r>
      <w:r>
        <w:rPr>
          <w:rFonts w:hint="eastAsia" w:ascii="宋体" w:hAnsi="宋体" w:eastAsia="宋体" w:cs="宋体"/>
          <w:w w:val="95"/>
        </w:rPr>
        <w:t>费</w:t>
      </w:r>
      <w:r>
        <w:rPr>
          <w:rFonts w:hint="eastAsia" w:ascii="宋体" w:hAnsi="宋体" w:eastAsia="宋体" w:cs="宋体"/>
          <w:spacing w:val="-10"/>
          <w:w w:val="95"/>
        </w:rPr>
        <w:t>用</w:t>
      </w:r>
    </w:p>
    <w:p>
      <w:pPr>
        <w:pStyle w:val="9"/>
        <w:rPr>
          <w:rFonts w:hint="eastAsia" w:ascii="宋体" w:hAnsi="宋体" w:eastAsia="宋体" w:cs="宋体"/>
          <w:b/>
          <w:sz w:val="35"/>
          <w:u w:val="none"/>
        </w:rPr>
      </w:pPr>
    </w:p>
    <w:p>
      <w:pPr>
        <w:spacing w:after="0" w:line="364" w:lineRule="auto"/>
        <w:jc w:val="both"/>
        <w:rPr>
          <w:rFonts w:hint="eastAsia" w:ascii="宋体" w:hAnsi="宋体" w:eastAsia="宋体" w:cs="宋体"/>
          <w:spacing w:val="-2"/>
          <w:sz w:val="24"/>
        </w:rPr>
      </w:pPr>
      <w:r>
        <w:rPr>
          <w:rFonts w:hint="eastAsia" w:ascii="宋体" w:hAnsi="宋体" w:eastAsia="宋体" w:cs="宋体"/>
          <w:spacing w:val="-2"/>
          <w:sz w:val="24"/>
        </w:rPr>
        <w:t>供应商应承担所有与准备和参加</w:t>
      </w:r>
      <w:r>
        <w:rPr>
          <w:rFonts w:hint="eastAsia" w:cs="宋体"/>
          <w:spacing w:val="-2"/>
          <w:sz w:val="24"/>
          <w:lang w:val="en-US" w:eastAsia="zh-CN"/>
        </w:rPr>
        <w:t>磋商</w:t>
      </w:r>
      <w:r>
        <w:rPr>
          <w:rFonts w:hint="eastAsia" w:ascii="宋体" w:hAnsi="宋体" w:eastAsia="宋体" w:cs="宋体"/>
          <w:spacing w:val="-2"/>
          <w:sz w:val="24"/>
        </w:rPr>
        <w:t>有关的费用，无论采购结果如何，采购代理机构和采购人在任何情况下均无义务和责任承担这些费用。</w:t>
      </w:r>
    </w:p>
    <w:p>
      <w:pPr>
        <w:pStyle w:val="6"/>
        <w:numPr>
          <w:ilvl w:val="0"/>
          <w:numId w:val="7"/>
        </w:numPr>
        <w:tabs>
          <w:tab w:val="left" w:pos="459"/>
        </w:tabs>
        <w:spacing w:before="0" w:after="0" w:line="240" w:lineRule="auto"/>
        <w:ind w:left="458" w:right="0" w:hanging="243"/>
        <w:jc w:val="left"/>
        <w:rPr>
          <w:rFonts w:hint="eastAsia" w:ascii="宋体" w:hAnsi="宋体" w:eastAsia="宋体" w:cs="宋体"/>
        </w:rPr>
      </w:pPr>
      <w:r>
        <w:rPr>
          <w:rFonts w:hint="eastAsia" w:ascii="宋体" w:hAnsi="宋体" w:eastAsia="宋体" w:cs="宋体"/>
          <w:w w:val="95"/>
          <w:lang w:eastAsia="zh-CN"/>
        </w:rPr>
        <w:t>投标</w:t>
      </w:r>
      <w:r>
        <w:rPr>
          <w:rFonts w:hint="eastAsia" w:ascii="宋体" w:hAnsi="宋体" w:eastAsia="宋体" w:cs="宋体"/>
          <w:w w:val="95"/>
        </w:rPr>
        <w:t>文</w:t>
      </w:r>
      <w:r>
        <w:rPr>
          <w:rFonts w:hint="eastAsia" w:ascii="宋体" w:hAnsi="宋体" w:eastAsia="宋体" w:cs="宋体"/>
          <w:spacing w:val="-10"/>
          <w:w w:val="95"/>
        </w:rPr>
        <w:t>件</w:t>
      </w:r>
    </w:p>
    <w:p>
      <w:pPr>
        <w:pStyle w:val="9"/>
        <w:spacing w:before="12"/>
        <w:rPr>
          <w:rFonts w:hint="eastAsia" w:ascii="宋体" w:hAnsi="宋体" w:eastAsia="宋体" w:cs="宋体"/>
          <w:b/>
          <w:sz w:val="34"/>
          <w:u w:val="none"/>
        </w:rPr>
      </w:pPr>
    </w:p>
    <w:p>
      <w:pPr>
        <w:pStyle w:val="24"/>
        <w:numPr>
          <w:ilvl w:val="1"/>
          <w:numId w:val="7"/>
        </w:numPr>
        <w:tabs>
          <w:tab w:val="left" w:pos="1117"/>
          <w:tab w:val="left" w:pos="1896"/>
        </w:tabs>
        <w:spacing w:before="0" w:after="0" w:line="364" w:lineRule="auto"/>
        <w:ind w:left="696" w:right="7288" w:firstLine="0"/>
        <w:jc w:val="left"/>
        <w:rPr>
          <w:rFonts w:hint="eastAsia" w:ascii="宋体" w:hAnsi="宋体" w:eastAsia="宋体" w:cs="宋体"/>
          <w:color w:val="auto"/>
          <w:sz w:val="24"/>
        </w:rPr>
      </w:pPr>
      <w:r>
        <w:rPr>
          <w:rFonts w:hint="eastAsia" w:cs="宋体"/>
          <w:color w:val="auto"/>
          <w:spacing w:val="-2"/>
          <w:sz w:val="24"/>
          <w:lang w:eastAsia="zh-CN"/>
        </w:rPr>
        <w:t>投标</w:t>
      </w:r>
      <w:r>
        <w:rPr>
          <w:rFonts w:hint="eastAsia" w:ascii="宋体" w:hAnsi="宋体" w:eastAsia="宋体" w:cs="宋体"/>
          <w:color w:val="auto"/>
          <w:spacing w:val="-2"/>
          <w:sz w:val="24"/>
        </w:rPr>
        <w:t>文件构成：</w:t>
      </w:r>
    </w:p>
    <w:p>
      <w:pPr>
        <w:pStyle w:val="24"/>
        <w:numPr>
          <w:ilvl w:val="0"/>
          <w:numId w:val="0"/>
        </w:numPr>
        <w:tabs>
          <w:tab w:val="left" w:pos="1117"/>
          <w:tab w:val="left" w:pos="1896"/>
        </w:tabs>
        <w:spacing w:before="0" w:after="0" w:line="364" w:lineRule="auto"/>
        <w:ind w:left="696" w:leftChars="0" w:right="7288" w:rightChars="0"/>
        <w:jc w:val="left"/>
        <w:rPr>
          <w:rFonts w:hint="eastAsia" w:ascii="宋体" w:hAnsi="宋体" w:eastAsia="宋体" w:cs="宋体"/>
          <w:sz w:val="24"/>
          <w:lang w:eastAsia="zh-CN"/>
        </w:rPr>
      </w:pPr>
      <w:r>
        <w:rPr>
          <w:rFonts w:hint="eastAsia" w:ascii="宋体" w:hAnsi="宋体" w:eastAsia="宋体" w:cs="宋体"/>
          <w:spacing w:val="-4"/>
          <w:sz w:val="24"/>
        </w:rPr>
        <w:t>第一章</w:t>
      </w:r>
      <w:r>
        <w:rPr>
          <w:rFonts w:hint="eastAsia" w:ascii="宋体" w:hAnsi="宋体" w:eastAsia="宋体" w:cs="宋体"/>
          <w:sz w:val="24"/>
        </w:rPr>
        <w:tab/>
      </w:r>
      <w:r>
        <w:rPr>
          <w:rFonts w:hint="eastAsia" w:cs="宋体"/>
          <w:spacing w:val="-4"/>
          <w:sz w:val="24"/>
          <w:lang w:val="en-US" w:eastAsia="zh-CN"/>
        </w:rPr>
        <w:t>采购公告</w:t>
      </w:r>
    </w:p>
    <w:p>
      <w:pPr>
        <w:pStyle w:val="24"/>
        <w:numPr>
          <w:ilvl w:val="0"/>
          <w:numId w:val="0"/>
        </w:numPr>
        <w:tabs>
          <w:tab w:val="left" w:pos="1117"/>
          <w:tab w:val="left" w:pos="1896"/>
        </w:tabs>
        <w:spacing w:before="0" w:after="0" w:line="364" w:lineRule="auto"/>
        <w:ind w:left="696" w:leftChars="0" w:right="7288" w:rightChars="0"/>
        <w:jc w:val="left"/>
        <w:rPr>
          <w:rFonts w:hint="eastAsia" w:ascii="宋体" w:hAnsi="宋体" w:eastAsia="宋体" w:cs="宋体"/>
          <w:sz w:val="24"/>
        </w:rPr>
      </w:pPr>
      <w:r>
        <w:rPr>
          <w:rFonts w:hint="eastAsia" w:ascii="宋体" w:hAnsi="宋体" w:eastAsia="宋体" w:cs="宋体"/>
          <w:spacing w:val="-4"/>
          <w:sz w:val="24"/>
        </w:rPr>
        <w:t>第二章</w:t>
      </w:r>
      <w:r>
        <w:rPr>
          <w:rFonts w:hint="eastAsia" w:ascii="宋体" w:hAnsi="宋体" w:eastAsia="宋体" w:cs="宋体"/>
          <w:sz w:val="24"/>
        </w:rPr>
        <w:tab/>
      </w:r>
      <w:r>
        <w:rPr>
          <w:rFonts w:hint="eastAsia" w:ascii="宋体" w:hAnsi="宋体" w:eastAsia="宋体" w:cs="宋体"/>
          <w:spacing w:val="-4"/>
          <w:sz w:val="24"/>
        </w:rPr>
        <w:t>供应商须知第三章</w:t>
      </w:r>
      <w:r>
        <w:rPr>
          <w:rFonts w:hint="eastAsia" w:ascii="宋体" w:hAnsi="宋体" w:eastAsia="宋体" w:cs="宋体"/>
          <w:sz w:val="24"/>
        </w:rPr>
        <w:tab/>
      </w:r>
      <w:r>
        <w:rPr>
          <w:rFonts w:hint="eastAsia" w:ascii="宋体" w:hAnsi="宋体" w:eastAsia="宋体" w:cs="宋体"/>
          <w:spacing w:val="-4"/>
          <w:sz w:val="24"/>
        </w:rPr>
        <w:t>评标标准</w:t>
      </w:r>
    </w:p>
    <w:p>
      <w:pPr>
        <w:tabs>
          <w:tab w:val="left" w:pos="1896"/>
        </w:tabs>
        <w:spacing w:before="3" w:line="364" w:lineRule="auto"/>
        <w:ind w:left="696" w:right="5368" w:firstLine="0"/>
        <w:jc w:val="left"/>
        <w:rPr>
          <w:rFonts w:hint="eastAsia" w:ascii="宋体" w:hAnsi="宋体" w:eastAsia="宋体" w:cs="宋体"/>
          <w:sz w:val="24"/>
        </w:rPr>
      </w:pPr>
      <w:r>
        <w:rPr>
          <w:rFonts w:hint="eastAsia" w:ascii="宋体" w:hAnsi="宋体" w:eastAsia="宋体" w:cs="宋体"/>
          <w:spacing w:val="-4"/>
          <w:sz w:val="24"/>
        </w:rPr>
        <w:t>第四章</w:t>
      </w:r>
      <w:r>
        <w:rPr>
          <w:rFonts w:hint="eastAsia" w:ascii="宋体" w:hAnsi="宋体" w:eastAsia="宋体" w:cs="宋体"/>
          <w:sz w:val="24"/>
        </w:rPr>
        <w:tab/>
      </w:r>
      <w:r>
        <w:rPr>
          <w:rFonts w:hint="eastAsia" w:ascii="宋体" w:hAnsi="宋体" w:eastAsia="宋体" w:cs="宋体"/>
          <w:spacing w:val="-2"/>
          <w:sz w:val="24"/>
        </w:rPr>
        <w:t>采购项目的技术标准、要求等</w:t>
      </w:r>
      <w:r>
        <w:rPr>
          <w:rFonts w:hint="eastAsia" w:ascii="宋体" w:hAnsi="宋体" w:eastAsia="宋体" w:cs="宋体"/>
          <w:spacing w:val="-4"/>
          <w:sz w:val="24"/>
        </w:rPr>
        <w:t>第五章</w:t>
      </w:r>
      <w:r>
        <w:rPr>
          <w:rFonts w:hint="eastAsia" w:ascii="宋体" w:hAnsi="宋体" w:eastAsia="宋体" w:cs="宋体"/>
          <w:sz w:val="24"/>
        </w:rPr>
        <w:tab/>
      </w:r>
      <w:r>
        <w:rPr>
          <w:rFonts w:hint="eastAsia" w:ascii="宋体" w:hAnsi="宋体" w:eastAsia="宋体" w:cs="宋体"/>
          <w:spacing w:val="-2"/>
          <w:sz w:val="24"/>
        </w:rPr>
        <w:t>合同主要条款及格式</w:t>
      </w:r>
    </w:p>
    <w:p>
      <w:pPr>
        <w:tabs>
          <w:tab w:val="left" w:pos="1896"/>
        </w:tabs>
        <w:spacing w:before="1"/>
        <w:ind w:left="696" w:right="0" w:firstLine="0"/>
        <w:jc w:val="left"/>
        <w:rPr>
          <w:rFonts w:hint="eastAsia" w:ascii="宋体" w:hAnsi="宋体" w:eastAsia="宋体" w:cs="宋体"/>
          <w:sz w:val="24"/>
        </w:rPr>
      </w:pPr>
      <w:r>
        <w:rPr>
          <w:rFonts w:hint="eastAsia" w:ascii="宋体" w:hAnsi="宋体" w:eastAsia="宋体" w:cs="宋体"/>
          <w:sz w:val="24"/>
        </w:rPr>
        <w:t>第六</w:t>
      </w:r>
      <w:r>
        <w:rPr>
          <w:rFonts w:hint="eastAsia" w:ascii="宋体" w:hAnsi="宋体" w:eastAsia="宋体" w:cs="宋体"/>
          <w:spacing w:val="-10"/>
          <w:sz w:val="24"/>
        </w:rPr>
        <w:t>章</w:t>
      </w:r>
      <w:r>
        <w:rPr>
          <w:rFonts w:hint="eastAsia" w:ascii="宋体" w:hAnsi="宋体" w:eastAsia="宋体" w:cs="宋体"/>
          <w:sz w:val="24"/>
        </w:rPr>
        <w:tab/>
      </w:r>
      <w:r>
        <w:rPr>
          <w:rFonts w:hint="eastAsia" w:cs="宋体"/>
          <w:sz w:val="24"/>
          <w:lang w:val="en-US" w:eastAsia="zh-CN"/>
        </w:rPr>
        <w:t>磋商</w:t>
      </w:r>
      <w:r>
        <w:rPr>
          <w:rFonts w:hint="eastAsia" w:ascii="宋体" w:hAnsi="宋体" w:eastAsia="宋体" w:cs="宋体"/>
          <w:sz w:val="24"/>
        </w:rPr>
        <w:t>响应文件格式及附</w:t>
      </w:r>
      <w:r>
        <w:rPr>
          <w:rFonts w:hint="eastAsia" w:ascii="宋体" w:hAnsi="宋体" w:eastAsia="宋体" w:cs="宋体"/>
          <w:spacing w:val="-10"/>
          <w:sz w:val="24"/>
        </w:rPr>
        <w:t>件</w:t>
      </w:r>
    </w:p>
    <w:p>
      <w:pPr>
        <w:pStyle w:val="24"/>
        <w:numPr>
          <w:ilvl w:val="1"/>
          <w:numId w:val="7"/>
        </w:numPr>
        <w:tabs>
          <w:tab w:val="left" w:pos="1117"/>
        </w:tabs>
        <w:spacing w:before="161" w:after="0" w:line="240" w:lineRule="auto"/>
        <w:ind w:left="1116" w:right="0" w:hanging="421"/>
        <w:jc w:val="left"/>
        <w:rPr>
          <w:rFonts w:hint="eastAsia" w:ascii="宋体" w:hAnsi="宋体" w:eastAsia="宋体" w:cs="宋体"/>
          <w:sz w:val="24"/>
        </w:rPr>
      </w:pPr>
      <w:r>
        <w:rPr>
          <w:rFonts w:hint="eastAsia" w:cs="宋体"/>
          <w:spacing w:val="-1"/>
          <w:sz w:val="24"/>
          <w:lang w:val="en-US" w:eastAsia="zh-CN"/>
        </w:rPr>
        <w:t>磋商</w:t>
      </w:r>
      <w:r>
        <w:rPr>
          <w:rFonts w:hint="eastAsia" w:ascii="宋体" w:hAnsi="宋体" w:eastAsia="宋体" w:cs="宋体"/>
          <w:spacing w:val="-1"/>
          <w:sz w:val="24"/>
        </w:rPr>
        <w:t>文件的澄清、补充或修改</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1036"/>
        <w:textAlignment w:val="auto"/>
        <w:rPr>
          <w:rFonts w:hint="eastAsia" w:ascii="宋体" w:hAnsi="宋体" w:eastAsia="宋体" w:cs="宋体"/>
          <w:sz w:val="24"/>
          <w:szCs w:val="22"/>
          <w:u w:val="none"/>
          <w:lang w:val="en-US" w:eastAsia="zh-CN" w:bidi="ar-SA"/>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1036"/>
        <w:textAlignment w:val="auto"/>
        <w:rPr>
          <w:rFonts w:hint="eastAsia" w:ascii="宋体" w:hAnsi="宋体" w:eastAsia="宋体" w:cs="宋体"/>
          <w:sz w:val="24"/>
          <w:szCs w:val="22"/>
          <w:u w:val="none"/>
          <w:lang w:val="en-US" w:eastAsia="zh-CN" w:bidi="ar-SA"/>
        </w:rPr>
      </w:pPr>
      <w:r>
        <w:rPr>
          <w:rFonts w:hint="eastAsia" w:ascii="宋体" w:hAnsi="宋体" w:eastAsia="宋体" w:cs="宋体"/>
          <w:sz w:val="24"/>
          <w:szCs w:val="22"/>
          <w:u w:val="none"/>
          <w:lang w:val="en-US" w:eastAsia="zh-CN" w:bidi="ar-SA"/>
        </w:rPr>
        <w:t>提交首次响应文件截止之日前，采购代理机构可以对已发出的磋商文件进行必要的</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jc w:val="left"/>
        <w:textAlignment w:val="auto"/>
        <w:rPr>
          <w:rFonts w:hint="eastAsia" w:ascii="宋体" w:hAnsi="宋体" w:eastAsia="宋体" w:cs="宋体"/>
          <w:sz w:val="22"/>
          <w:u w:val="none"/>
        </w:rPr>
      </w:pPr>
      <w:r>
        <w:rPr>
          <w:rFonts w:hint="eastAsia" w:ascii="宋体" w:hAnsi="宋体" w:eastAsia="宋体" w:cs="宋体"/>
          <w:sz w:val="24"/>
          <w:szCs w:val="22"/>
          <w:u w:val="none"/>
          <w:lang w:val="en-US" w:eastAsia="zh-CN" w:bidi="ar-SA"/>
        </w:rPr>
        <w:t>澄清或者修改，澄清或者修改的内容作为磋商文件的组成部分。澄清或者修改的内容可能影响响应文件编制的，采购代理机构将在提交首次响应文件截止时间至少五日前，在原采购信息发布媒体上发布书面更正公告形式通知所有获取磋商文件的供应商。不足五日的，采购代理机构应当顺延提交首次响应文件截止时间。</w:t>
      </w:r>
    </w:p>
    <w:p>
      <w:pPr>
        <w:pStyle w:val="6"/>
        <w:spacing w:before="1"/>
        <w:ind w:left="216" w:firstLine="0"/>
        <w:rPr>
          <w:rFonts w:hint="eastAsia" w:ascii="宋体" w:hAnsi="宋体" w:eastAsia="宋体" w:cs="宋体"/>
        </w:rPr>
      </w:pPr>
      <w:r>
        <w:rPr>
          <w:rFonts w:hint="eastAsia" w:ascii="宋体" w:hAnsi="宋体" w:eastAsia="宋体" w:cs="宋体"/>
          <w:w w:val="95"/>
        </w:rPr>
        <w:t>二、响应文件编</w:t>
      </w:r>
      <w:r>
        <w:rPr>
          <w:rFonts w:hint="eastAsia" w:ascii="宋体" w:hAnsi="宋体" w:eastAsia="宋体" w:cs="宋体"/>
          <w:spacing w:val="-10"/>
          <w:w w:val="95"/>
        </w:rPr>
        <w:t>制</w:t>
      </w:r>
    </w:p>
    <w:p>
      <w:pPr>
        <w:pStyle w:val="9"/>
        <w:spacing w:before="11"/>
        <w:rPr>
          <w:rFonts w:hint="eastAsia" w:ascii="宋体" w:hAnsi="宋体" w:eastAsia="宋体" w:cs="宋体"/>
          <w:b/>
          <w:sz w:val="34"/>
          <w:u w:val="none"/>
        </w:rPr>
      </w:pPr>
    </w:p>
    <w:p>
      <w:pPr>
        <w:spacing w:before="1" w:line="364" w:lineRule="auto"/>
        <w:ind w:left="216" w:right="1095" w:firstLine="480"/>
        <w:jc w:val="left"/>
        <w:rPr>
          <w:rFonts w:hint="eastAsia" w:ascii="宋体" w:hAnsi="宋体" w:eastAsia="宋体" w:cs="宋体"/>
          <w:sz w:val="24"/>
        </w:rPr>
      </w:pPr>
      <w:r>
        <w:rPr>
          <w:rFonts w:hint="eastAsia" w:ascii="宋体" w:hAnsi="宋体" w:eastAsia="宋体" w:cs="宋体"/>
          <w:spacing w:val="-2"/>
          <w:sz w:val="24"/>
        </w:rPr>
        <w:t>供应商应当按照</w:t>
      </w:r>
      <w:r>
        <w:rPr>
          <w:rFonts w:hint="eastAsia" w:cs="宋体"/>
          <w:spacing w:val="-2"/>
          <w:sz w:val="24"/>
          <w:lang w:val="en-US" w:eastAsia="zh-CN"/>
        </w:rPr>
        <w:t>磋商</w:t>
      </w:r>
      <w:r>
        <w:rPr>
          <w:rFonts w:hint="eastAsia" w:ascii="宋体" w:hAnsi="宋体" w:eastAsia="宋体" w:cs="宋体"/>
          <w:spacing w:val="-2"/>
          <w:sz w:val="24"/>
        </w:rPr>
        <w:t>文件的要求编制响应文件，并对其提交的响应文件真实性、合法性承担法律责任。</w:t>
      </w:r>
    </w:p>
    <w:p>
      <w:pPr>
        <w:pStyle w:val="9"/>
        <w:spacing w:before="7"/>
        <w:rPr>
          <w:rFonts w:hint="eastAsia" w:ascii="宋体" w:hAnsi="宋体" w:eastAsia="宋体" w:cs="宋体"/>
          <w:sz w:val="22"/>
          <w:u w:val="none"/>
        </w:rPr>
      </w:pPr>
    </w:p>
    <w:p>
      <w:pPr>
        <w:pStyle w:val="6"/>
        <w:numPr>
          <w:ilvl w:val="0"/>
          <w:numId w:val="8"/>
        </w:numPr>
        <w:tabs>
          <w:tab w:val="left" w:pos="459"/>
        </w:tabs>
        <w:spacing w:before="0" w:after="0" w:line="240" w:lineRule="auto"/>
        <w:ind w:left="458" w:right="0" w:hanging="243"/>
        <w:jc w:val="left"/>
        <w:rPr>
          <w:rFonts w:hint="eastAsia" w:ascii="宋体" w:hAnsi="宋体" w:eastAsia="宋体" w:cs="宋体"/>
        </w:rPr>
      </w:pPr>
      <w:r>
        <w:rPr>
          <w:rFonts w:hint="eastAsia" w:ascii="宋体" w:hAnsi="宋体" w:eastAsia="宋体" w:cs="宋体"/>
          <w:spacing w:val="-1"/>
          <w:w w:val="95"/>
        </w:rPr>
        <w:t>响应文件的语言、计量单位、货币和编制</w:t>
      </w:r>
    </w:p>
    <w:p>
      <w:pPr>
        <w:pStyle w:val="9"/>
        <w:spacing w:before="12"/>
        <w:rPr>
          <w:rFonts w:hint="eastAsia" w:ascii="宋体" w:hAnsi="宋体" w:eastAsia="宋体" w:cs="宋体"/>
          <w:b/>
          <w:sz w:val="34"/>
          <w:u w:val="none"/>
        </w:rPr>
      </w:pPr>
    </w:p>
    <w:p>
      <w:pPr>
        <w:pStyle w:val="9"/>
        <w:spacing w:before="12"/>
        <w:rPr>
          <w:rFonts w:hint="eastAsia" w:ascii="宋体" w:hAnsi="宋体" w:eastAsia="宋体" w:cs="宋体"/>
          <w:b/>
          <w:sz w:val="34"/>
          <w:u w:val="none"/>
        </w:rPr>
      </w:pPr>
    </w:p>
    <w:p>
      <w:pPr>
        <w:pStyle w:val="24"/>
        <w:numPr>
          <w:ilvl w:val="1"/>
          <w:numId w:val="8"/>
        </w:numPr>
        <w:tabs>
          <w:tab w:val="left" w:pos="1129"/>
        </w:tabs>
        <w:spacing w:before="0"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提交的响应文件、技术文件和资料，包括图纸中的说明，以及供应商与采购代理机构就有关</w:t>
      </w:r>
      <w:r>
        <w:rPr>
          <w:rFonts w:hint="eastAsia" w:cs="宋体"/>
          <w:spacing w:val="-2"/>
          <w:sz w:val="24"/>
          <w:lang w:val="en-US" w:eastAsia="zh-CN"/>
        </w:rPr>
        <w:t>磋商</w:t>
      </w:r>
      <w:r>
        <w:rPr>
          <w:rFonts w:hint="eastAsia" w:ascii="宋体" w:hAnsi="宋体" w:eastAsia="宋体" w:cs="宋体"/>
          <w:spacing w:val="-2"/>
          <w:sz w:val="24"/>
        </w:rPr>
        <w:t>的所有来往函电均应使用中文。响应文件中若有英文或其他语言文字的资料，应提供相应的中文翻译资料。对不同文本响应文件的解释发生异议的，以中文文本为准。</w:t>
      </w:r>
    </w:p>
    <w:p>
      <w:pPr>
        <w:pStyle w:val="24"/>
        <w:numPr>
          <w:ilvl w:val="1"/>
          <w:numId w:val="8"/>
        </w:numPr>
        <w:tabs>
          <w:tab w:val="left" w:pos="1117"/>
        </w:tabs>
        <w:spacing w:before="2" w:after="0" w:line="240" w:lineRule="auto"/>
        <w:ind w:left="1116" w:right="0" w:hanging="421"/>
        <w:jc w:val="both"/>
        <w:rPr>
          <w:rFonts w:hint="eastAsia" w:ascii="宋体" w:hAnsi="宋体" w:eastAsia="宋体" w:cs="宋体"/>
          <w:sz w:val="24"/>
        </w:rPr>
      </w:pPr>
      <w:r>
        <w:rPr>
          <w:rFonts w:hint="eastAsia" w:ascii="宋体" w:hAnsi="宋体" w:eastAsia="宋体" w:cs="宋体"/>
          <w:spacing w:val="-1"/>
          <w:sz w:val="24"/>
        </w:rPr>
        <w:t>供应商所使用的计量单位应为国家法定计量单位。</w:t>
      </w:r>
    </w:p>
    <w:p>
      <w:pPr>
        <w:pStyle w:val="24"/>
        <w:numPr>
          <w:ilvl w:val="1"/>
          <w:numId w:val="8"/>
        </w:numPr>
        <w:tabs>
          <w:tab w:val="left" w:pos="1117"/>
        </w:tabs>
        <w:spacing w:before="161" w:after="0" w:line="240" w:lineRule="auto"/>
        <w:ind w:left="1116" w:right="0" w:hanging="421"/>
        <w:jc w:val="both"/>
        <w:rPr>
          <w:rFonts w:hint="eastAsia" w:ascii="宋体" w:hAnsi="宋体" w:eastAsia="宋体" w:cs="宋体"/>
          <w:sz w:val="24"/>
        </w:rPr>
      </w:pPr>
      <w:r>
        <w:rPr>
          <w:rFonts w:hint="eastAsia" w:ascii="宋体" w:hAnsi="宋体" w:eastAsia="宋体" w:cs="宋体"/>
          <w:spacing w:val="-1"/>
          <w:sz w:val="24"/>
        </w:rPr>
        <w:t>供应商应用人民币报价。</w:t>
      </w:r>
    </w:p>
    <w:p>
      <w:pPr>
        <w:pStyle w:val="24"/>
        <w:numPr>
          <w:ilvl w:val="1"/>
          <w:numId w:val="8"/>
        </w:numPr>
        <w:tabs>
          <w:tab w:val="left" w:pos="1129"/>
        </w:tabs>
        <w:spacing w:before="161"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响应文件应字迹清楚、内容齐全、不得涂改。如有修改，修改处须有供应商公章或法定代表人或其授权</w:t>
      </w:r>
      <w:r>
        <w:rPr>
          <w:rFonts w:hint="eastAsia" w:cs="宋体"/>
          <w:spacing w:val="-2"/>
          <w:sz w:val="24"/>
          <w:lang w:val="en-US" w:eastAsia="zh-CN"/>
        </w:rPr>
        <w:t>磋商</w:t>
      </w:r>
      <w:r>
        <w:rPr>
          <w:rFonts w:hint="eastAsia" w:ascii="宋体" w:hAnsi="宋体" w:eastAsia="宋体" w:cs="宋体"/>
          <w:spacing w:val="-2"/>
          <w:sz w:val="24"/>
        </w:rPr>
        <w:t>代表签字。本</w:t>
      </w:r>
      <w:r>
        <w:rPr>
          <w:rFonts w:hint="eastAsia" w:cs="宋体"/>
          <w:spacing w:val="-2"/>
          <w:sz w:val="24"/>
          <w:lang w:val="en-US" w:eastAsia="zh-CN"/>
        </w:rPr>
        <w:t>磋商</w:t>
      </w:r>
      <w:r>
        <w:rPr>
          <w:rFonts w:hint="eastAsia" w:ascii="宋体" w:hAnsi="宋体" w:eastAsia="宋体" w:cs="宋体"/>
          <w:spacing w:val="-2"/>
          <w:sz w:val="24"/>
        </w:rPr>
        <w:t>文件所表述（指定）的公章是指刻有供应商法定名称的印章，不包括合同、财务、税务、发票等形式的业务专用章。</w:t>
      </w:r>
    </w:p>
    <w:p>
      <w:pPr>
        <w:pStyle w:val="24"/>
        <w:numPr>
          <w:ilvl w:val="1"/>
          <w:numId w:val="8"/>
        </w:numPr>
        <w:tabs>
          <w:tab w:val="left" w:pos="1117"/>
        </w:tabs>
        <w:spacing w:before="1" w:after="0" w:line="364" w:lineRule="auto"/>
        <w:ind w:left="216" w:right="1094" w:firstLine="480"/>
        <w:jc w:val="both"/>
        <w:rPr>
          <w:rFonts w:hint="eastAsia" w:ascii="宋体" w:hAnsi="宋体" w:eastAsia="宋体" w:cs="宋体"/>
          <w:sz w:val="24"/>
        </w:rPr>
      </w:pPr>
      <w:r>
        <w:rPr>
          <w:rFonts w:hint="eastAsia" w:ascii="宋体" w:hAnsi="宋体" w:eastAsia="宋体" w:cs="宋体"/>
          <w:spacing w:val="-2"/>
          <w:sz w:val="24"/>
        </w:rPr>
        <w:t>响应文件应按照</w:t>
      </w:r>
      <w:r>
        <w:rPr>
          <w:rFonts w:hint="eastAsia" w:cs="宋体"/>
          <w:spacing w:val="-2"/>
          <w:sz w:val="24"/>
          <w:lang w:val="en-US" w:eastAsia="zh-CN"/>
        </w:rPr>
        <w:t>磋商</w:t>
      </w:r>
      <w:r>
        <w:rPr>
          <w:rFonts w:hint="eastAsia" w:ascii="宋体" w:hAnsi="宋体" w:eastAsia="宋体" w:cs="宋体"/>
          <w:spacing w:val="-2"/>
          <w:sz w:val="24"/>
        </w:rPr>
        <w:t>文件规定的顺序，</w:t>
      </w:r>
      <w:r>
        <w:rPr>
          <w:rFonts w:hint="eastAsia" w:ascii="宋体" w:hAnsi="宋体" w:eastAsia="宋体" w:cs="宋体"/>
          <w:b/>
          <w:spacing w:val="-2"/>
          <w:sz w:val="24"/>
        </w:rPr>
        <w:t>统一用A4规格幅面打印、装订成册（建议胶装）并编制目录</w:t>
      </w:r>
      <w:r>
        <w:rPr>
          <w:rFonts w:hint="eastAsia" w:ascii="宋体" w:hAnsi="宋体" w:eastAsia="宋体" w:cs="宋体"/>
          <w:spacing w:val="-2"/>
          <w:sz w:val="24"/>
        </w:rPr>
        <w:t>，由于编排混乱导致响应文件被误读或查找不到，责任由供应商承</w:t>
      </w:r>
      <w:r>
        <w:rPr>
          <w:rFonts w:hint="eastAsia" w:ascii="宋体" w:hAnsi="宋体" w:eastAsia="宋体" w:cs="宋体"/>
          <w:spacing w:val="-6"/>
          <w:sz w:val="24"/>
        </w:rPr>
        <w:t>担。</w:t>
      </w:r>
    </w:p>
    <w:p>
      <w:pPr>
        <w:pStyle w:val="24"/>
        <w:numPr>
          <w:ilvl w:val="1"/>
          <w:numId w:val="8"/>
        </w:numPr>
        <w:tabs>
          <w:tab w:val="left" w:pos="1129"/>
        </w:tabs>
        <w:spacing w:before="2"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响应文件应逐页编码，不得跳页（包括但不限于授权、证明材料、声明及产品介绍、彩页等）。</w:t>
      </w:r>
    </w:p>
    <w:p>
      <w:pPr>
        <w:pStyle w:val="24"/>
        <w:numPr>
          <w:ilvl w:val="1"/>
          <w:numId w:val="8"/>
        </w:numPr>
        <w:tabs>
          <w:tab w:val="left" w:pos="1129"/>
        </w:tabs>
        <w:spacing w:before="2"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供应商应在响应文件中写清相应的项目编号、项目名称、供应商名称、地址、电话、传真等。</w:t>
      </w:r>
    </w:p>
    <w:p>
      <w:pPr>
        <w:pStyle w:val="9"/>
        <w:spacing w:before="6"/>
        <w:rPr>
          <w:rFonts w:hint="eastAsia" w:ascii="宋体" w:hAnsi="宋体" w:eastAsia="宋体" w:cs="宋体"/>
          <w:sz w:val="22"/>
          <w:u w:val="none"/>
        </w:rPr>
      </w:pPr>
    </w:p>
    <w:p>
      <w:pPr>
        <w:pStyle w:val="6"/>
        <w:numPr>
          <w:ilvl w:val="0"/>
          <w:numId w:val="8"/>
        </w:numPr>
        <w:tabs>
          <w:tab w:val="left" w:pos="459"/>
        </w:tabs>
        <w:spacing w:before="0" w:after="0" w:line="240" w:lineRule="auto"/>
        <w:ind w:left="458" w:right="0" w:hanging="243"/>
        <w:jc w:val="left"/>
        <w:rPr>
          <w:rFonts w:hint="eastAsia" w:ascii="宋体" w:hAnsi="宋体" w:eastAsia="宋体" w:cs="宋体"/>
        </w:rPr>
      </w:pPr>
      <w:r>
        <w:rPr>
          <w:rFonts w:hint="eastAsia" w:ascii="宋体" w:hAnsi="宋体" w:eastAsia="宋体" w:cs="宋体"/>
          <w:w w:val="95"/>
        </w:rPr>
        <w:t>响应文件的组</w:t>
      </w:r>
      <w:r>
        <w:rPr>
          <w:rFonts w:hint="eastAsia" w:ascii="宋体" w:hAnsi="宋体" w:eastAsia="宋体" w:cs="宋体"/>
          <w:spacing w:val="-10"/>
          <w:w w:val="95"/>
        </w:rPr>
        <w:t>成</w:t>
      </w:r>
    </w:p>
    <w:p>
      <w:pPr>
        <w:pStyle w:val="9"/>
        <w:spacing w:before="10"/>
        <w:rPr>
          <w:rFonts w:hint="eastAsia" w:ascii="宋体" w:hAnsi="宋体" w:eastAsia="宋体" w:cs="宋体"/>
          <w:b/>
          <w:sz w:val="34"/>
          <w:u w:val="none"/>
        </w:rPr>
      </w:pPr>
    </w:p>
    <w:p>
      <w:pPr>
        <w:pStyle w:val="24"/>
        <w:numPr>
          <w:ilvl w:val="1"/>
          <w:numId w:val="8"/>
        </w:numPr>
        <w:tabs>
          <w:tab w:val="left" w:pos="1177"/>
        </w:tabs>
        <w:spacing w:before="0" w:after="0" w:line="240" w:lineRule="auto"/>
        <w:ind w:left="1176" w:right="0" w:hanging="481"/>
        <w:jc w:val="left"/>
        <w:rPr>
          <w:rFonts w:hint="eastAsia" w:ascii="宋体" w:hAnsi="宋体" w:eastAsia="宋体" w:cs="宋体"/>
          <w:sz w:val="24"/>
        </w:rPr>
      </w:pPr>
      <w:r>
        <w:rPr>
          <w:rFonts w:hint="eastAsia" w:ascii="宋体" w:hAnsi="宋体" w:eastAsia="宋体" w:cs="宋体"/>
          <w:spacing w:val="-3"/>
          <w:sz w:val="24"/>
        </w:rPr>
        <w:t>供应商应当根据</w:t>
      </w:r>
      <w:r>
        <w:rPr>
          <w:rFonts w:hint="eastAsia" w:cs="宋体"/>
          <w:spacing w:val="-3"/>
          <w:sz w:val="24"/>
          <w:lang w:val="en-US" w:eastAsia="zh-CN"/>
        </w:rPr>
        <w:t>磋商</w:t>
      </w:r>
      <w:r>
        <w:rPr>
          <w:rFonts w:hint="eastAsia" w:ascii="宋体" w:hAnsi="宋体" w:eastAsia="宋体" w:cs="宋体"/>
          <w:spacing w:val="-3"/>
          <w:sz w:val="24"/>
        </w:rPr>
        <w:t>文件要求编制响应文件，并根据自己的商务能力、技术水</w:t>
      </w:r>
    </w:p>
    <w:p>
      <w:pPr>
        <w:spacing w:before="37" w:line="364" w:lineRule="auto"/>
        <w:ind w:left="216" w:right="1048" w:firstLine="0"/>
        <w:jc w:val="left"/>
        <w:rPr>
          <w:rFonts w:hint="eastAsia" w:ascii="宋体" w:hAnsi="宋体" w:eastAsia="宋体" w:cs="宋体"/>
          <w:sz w:val="24"/>
        </w:rPr>
      </w:pPr>
      <w:r>
        <w:rPr>
          <w:rFonts w:hint="eastAsia" w:ascii="宋体" w:hAnsi="宋体" w:eastAsia="宋体" w:cs="宋体"/>
          <w:spacing w:val="-2"/>
          <w:sz w:val="24"/>
        </w:rPr>
        <w:t>平对</w:t>
      </w:r>
      <w:r>
        <w:rPr>
          <w:rFonts w:hint="eastAsia" w:cs="宋体"/>
          <w:spacing w:val="-2"/>
          <w:sz w:val="24"/>
          <w:lang w:val="en-US" w:eastAsia="zh-CN"/>
        </w:rPr>
        <w:t>磋商</w:t>
      </w:r>
      <w:r>
        <w:rPr>
          <w:rFonts w:hint="eastAsia" w:ascii="宋体" w:hAnsi="宋体" w:eastAsia="宋体" w:cs="宋体"/>
          <w:spacing w:val="-2"/>
          <w:sz w:val="24"/>
        </w:rPr>
        <w:t>文件提出的要求和条件逐条标明是否响应。响应文件由商务部分、技术部分、价格部分，以及其他部分组成。</w:t>
      </w:r>
    </w:p>
    <w:p>
      <w:pPr>
        <w:pStyle w:val="24"/>
        <w:numPr>
          <w:ilvl w:val="1"/>
          <w:numId w:val="8"/>
        </w:numPr>
        <w:tabs>
          <w:tab w:val="left" w:pos="1177"/>
        </w:tabs>
        <w:spacing w:before="1" w:after="0" w:line="364" w:lineRule="auto"/>
        <w:ind w:left="216" w:right="1047" w:firstLine="480"/>
        <w:jc w:val="both"/>
        <w:rPr>
          <w:rFonts w:hint="eastAsia" w:ascii="宋体" w:hAnsi="宋体" w:eastAsia="宋体" w:cs="宋体"/>
          <w:sz w:val="24"/>
        </w:rPr>
      </w:pPr>
      <w:r>
        <w:rPr>
          <w:rFonts w:hint="eastAsia" w:ascii="宋体" w:hAnsi="宋体" w:eastAsia="宋体" w:cs="宋体"/>
          <w:spacing w:val="-2"/>
          <w:sz w:val="24"/>
        </w:rPr>
        <w:t>响应文件的商务部分。商务部分是证明供应商有资格参加</w:t>
      </w:r>
      <w:r>
        <w:rPr>
          <w:rFonts w:hint="eastAsia" w:cs="宋体"/>
          <w:spacing w:val="-2"/>
          <w:sz w:val="24"/>
          <w:lang w:val="en-US" w:eastAsia="zh-CN"/>
        </w:rPr>
        <w:t>磋商</w:t>
      </w:r>
      <w:r>
        <w:rPr>
          <w:rFonts w:hint="eastAsia" w:ascii="宋体" w:hAnsi="宋体" w:eastAsia="宋体" w:cs="宋体"/>
          <w:spacing w:val="-2"/>
          <w:sz w:val="24"/>
        </w:rPr>
        <w:t>和成交后有能力履行合同的文件，文件应能满足竞争性</w:t>
      </w:r>
      <w:r>
        <w:rPr>
          <w:rFonts w:hint="eastAsia" w:cs="宋体"/>
          <w:spacing w:val="-2"/>
          <w:sz w:val="24"/>
          <w:lang w:val="en-US" w:eastAsia="zh-CN"/>
        </w:rPr>
        <w:t>磋商</w:t>
      </w:r>
      <w:r>
        <w:rPr>
          <w:rFonts w:hint="eastAsia" w:ascii="宋体" w:hAnsi="宋体" w:eastAsia="宋体" w:cs="宋体"/>
          <w:spacing w:val="-2"/>
          <w:sz w:val="24"/>
        </w:rPr>
        <w:t>采购文件的要求，包括但不限于下列文件，其中加</w:t>
      </w:r>
      <w:r>
        <w:rPr>
          <w:rFonts w:hint="eastAsia" w:ascii="宋体" w:hAnsi="宋体" w:eastAsia="宋体" w:cs="宋体"/>
          <w:spacing w:val="-2"/>
          <w:sz w:val="21"/>
        </w:rPr>
        <w:t>“★”</w:t>
      </w:r>
      <w:r>
        <w:rPr>
          <w:rFonts w:hint="eastAsia" w:ascii="宋体" w:hAnsi="宋体" w:eastAsia="宋体" w:cs="宋体"/>
          <w:spacing w:val="-2"/>
          <w:sz w:val="24"/>
        </w:rPr>
        <w:t>项目不得有缺失或无效：</w:t>
      </w:r>
    </w:p>
    <w:p>
      <w:pPr>
        <w:pStyle w:val="24"/>
        <w:numPr>
          <w:ilvl w:val="0"/>
          <w:numId w:val="9"/>
        </w:numPr>
        <w:tabs>
          <w:tab w:val="left" w:pos="1298"/>
        </w:tabs>
        <w:spacing w:before="2"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cs="宋体"/>
          <w:spacing w:val="-1"/>
          <w:sz w:val="24"/>
          <w:lang w:val="en-US" w:eastAsia="zh-CN"/>
        </w:rPr>
        <w:t>竞争性磋商</w:t>
      </w:r>
      <w:r>
        <w:rPr>
          <w:rFonts w:hint="eastAsia" w:ascii="宋体" w:hAnsi="宋体" w:eastAsia="宋体" w:cs="宋体"/>
          <w:spacing w:val="-1"/>
          <w:sz w:val="24"/>
        </w:rPr>
        <w:t>申请及声明；</w:t>
      </w:r>
    </w:p>
    <w:p>
      <w:pPr>
        <w:pStyle w:val="24"/>
        <w:numPr>
          <w:ilvl w:val="0"/>
          <w:numId w:val="9"/>
        </w:numPr>
        <w:tabs>
          <w:tab w:val="left" w:pos="1298"/>
        </w:tabs>
        <w:spacing w:before="160"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pacing w:val="-1"/>
          <w:sz w:val="24"/>
        </w:rPr>
        <w:t>法定代表人授权委托书原件及委托代理人的身份证复印件；</w:t>
      </w:r>
    </w:p>
    <w:p>
      <w:pPr>
        <w:pStyle w:val="24"/>
        <w:numPr>
          <w:ilvl w:val="0"/>
          <w:numId w:val="9"/>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pacing w:val="-1"/>
          <w:sz w:val="24"/>
        </w:rPr>
        <w:t>供应商资格证明文件；</w:t>
      </w:r>
    </w:p>
    <w:p>
      <w:pPr>
        <w:pStyle w:val="24"/>
        <w:numPr>
          <w:ilvl w:val="0"/>
          <w:numId w:val="9"/>
        </w:numPr>
        <w:tabs>
          <w:tab w:val="left" w:pos="1298"/>
        </w:tabs>
        <w:spacing w:before="160"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pacing w:val="-1"/>
          <w:sz w:val="24"/>
        </w:rPr>
        <w:t>《南京市政府采购供应商信用记录表暨信用承诺书》；</w:t>
      </w:r>
    </w:p>
    <w:p>
      <w:pPr>
        <w:pStyle w:val="24"/>
        <w:numPr>
          <w:ilvl w:val="0"/>
          <w:numId w:val="9"/>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《商务条款偏离表》；</w:t>
      </w:r>
    </w:p>
    <w:p>
      <w:pPr>
        <w:pStyle w:val="24"/>
        <w:numPr>
          <w:ilvl w:val="0"/>
          <w:numId w:val="9"/>
        </w:numPr>
        <w:tabs>
          <w:tab w:val="left" w:pos="1298"/>
        </w:tabs>
        <w:spacing w:before="161" w:after="0" w:line="240" w:lineRule="auto"/>
        <w:ind w:left="1297" w:right="0" w:hanging="602"/>
        <w:jc w:val="left"/>
        <w:rPr>
          <w:rFonts w:hint="eastAsia" w:ascii="宋体" w:hAnsi="宋体" w:eastAsia="宋体" w:cs="宋体"/>
          <w:spacing w:val="-1"/>
          <w:sz w:val="24"/>
        </w:rPr>
      </w:pPr>
      <w:r>
        <w:rPr>
          <w:rFonts w:hint="eastAsia" w:ascii="宋体" w:hAnsi="宋体" w:eastAsia="宋体" w:cs="宋体"/>
          <w:spacing w:val="-1"/>
          <w:sz w:val="24"/>
        </w:rPr>
        <w:t>供应商认为需要提供的其他资格证明文件和商务资料。</w:t>
      </w:r>
    </w:p>
    <w:p>
      <w:pPr>
        <w:pStyle w:val="24"/>
        <w:numPr>
          <w:ilvl w:val="1"/>
          <w:numId w:val="8"/>
        </w:numPr>
        <w:tabs>
          <w:tab w:val="left" w:pos="1177"/>
        </w:tabs>
        <w:spacing w:before="161" w:after="0" w:line="364" w:lineRule="auto"/>
        <w:ind w:left="216" w:right="1092" w:firstLine="480"/>
        <w:jc w:val="both"/>
        <w:rPr>
          <w:rFonts w:hint="eastAsia" w:ascii="宋体" w:hAnsi="宋体" w:eastAsia="宋体" w:cs="宋体"/>
          <w:sz w:val="24"/>
        </w:rPr>
      </w:pPr>
      <w:r>
        <w:rPr>
          <w:rFonts w:hint="eastAsia" w:ascii="宋体" w:hAnsi="宋体" w:eastAsia="宋体" w:cs="宋体"/>
          <w:spacing w:val="-2"/>
          <w:sz w:val="24"/>
        </w:rPr>
        <w:t>响应文件的技术部分。技术部分是证明供应商提供的货物、服务和工程是合格的，并符合</w:t>
      </w:r>
      <w:r>
        <w:rPr>
          <w:rFonts w:hint="eastAsia" w:cs="宋体"/>
          <w:spacing w:val="-2"/>
          <w:sz w:val="24"/>
          <w:lang w:val="en-US" w:eastAsia="zh-CN"/>
        </w:rPr>
        <w:t>磋商</w:t>
      </w:r>
      <w:r>
        <w:rPr>
          <w:rFonts w:hint="eastAsia" w:ascii="宋体" w:hAnsi="宋体" w:eastAsia="宋体" w:cs="宋体"/>
          <w:spacing w:val="-2"/>
          <w:sz w:val="24"/>
        </w:rPr>
        <w:t>文件要求的证明文件，以及对货物、服务和工程的详细说明，这些文件可以是文字资料、图纸和数据等。提供的货物、服务和工程如与</w:t>
      </w:r>
      <w:r>
        <w:rPr>
          <w:rFonts w:hint="eastAsia" w:cs="宋体"/>
          <w:spacing w:val="-2"/>
          <w:sz w:val="24"/>
          <w:lang w:val="en-US" w:eastAsia="zh-CN"/>
        </w:rPr>
        <w:t>磋商</w:t>
      </w:r>
      <w:r>
        <w:rPr>
          <w:rFonts w:hint="eastAsia" w:ascii="宋体" w:hAnsi="宋体" w:eastAsia="宋体" w:cs="宋体"/>
          <w:spacing w:val="-2"/>
          <w:sz w:val="24"/>
        </w:rPr>
        <w:t>文件要求有不符之处，应说明其差别之所在。包括但不限于下列文件，其中加“</w:t>
      </w:r>
      <w:r>
        <w:rPr>
          <w:rFonts w:hint="eastAsia" w:ascii="宋体" w:hAnsi="宋体" w:eastAsia="宋体" w:cs="宋体"/>
          <w:spacing w:val="-2"/>
          <w:sz w:val="21"/>
        </w:rPr>
        <w:t>★</w:t>
      </w:r>
      <w:r>
        <w:rPr>
          <w:rFonts w:hint="eastAsia" w:ascii="宋体" w:hAnsi="宋体" w:eastAsia="宋体" w:cs="宋体"/>
          <w:spacing w:val="-2"/>
          <w:sz w:val="24"/>
        </w:rPr>
        <w:t>”项目不得有缺失或无</w:t>
      </w:r>
      <w:r>
        <w:rPr>
          <w:rFonts w:hint="eastAsia" w:ascii="宋体" w:hAnsi="宋体" w:eastAsia="宋体" w:cs="宋体"/>
          <w:spacing w:val="-6"/>
          <w:sz w:val="24"/>
        </w:rPr>
        <w:t>效：</w:t>
      </w:r>
    </w:p>
    <w:p>
      <w:pPr>
        <w:pStyle w:val="24"/>
        <w:numPr>
          <w:ilvl w:val="0"/>
          <w:numId w:val="10"/>
        </w:numPr>
        <w:tabs>
          <w:tab w:val="left" w:pos="1298"/>
        </w:tabs>
        <w:spacing w:before="3"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ascii="宋体" w:hAnsi="宋体" w:eastAsia="宋体" w:cs="宋体"/>
          <w:spacing w:val="-2"/>
          <w:sz w:val="24"/>
        </w:rPr>
        <w:t>施工组织方案；</w:t>
      </w:r>
    </w:p>
    <w:p>
      <w:pPr>
        <w:pStyle w:val="24"/>
        <w:numPr>
          <w:ilvl w:val="0"/>
          <w:numId w:val="10"/>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z w:val="21"/>
        </w:rPr>
        <w:t>★</w:t>
      </w:r>
      <w:r>
        <w:rPr>
          <w:rFonts w:hint="eastAsia" w:cs="宋体"/>
          <w:sz w:val="24"/>
          <w:lang w:val="en-US" w:eastAsia="zh-CN"/>
        </w:rPr>
        <w:t>工程量清单</w:t>
      </w:r>
      <w:r>
        <w:rPr>
          <w:rFonts w:hint="eastAsia" w:ascii="宋体" w:hAnsi="宋体" w:eastAsia="宋体" w:cs="宋体"/>
          <w:spacing w:val="-2"/>
          <w:sz w:val="24"/>
        </w:rPr>
        <w:t>；</w:t>
      </w:r>
    </w:p>
    <w:p>
      <w:pPr>
        <w:pStyle w:val="24"/>
        <w:numPr>
          <w:ilvl w:val="0"/>
          <w:numId w:val="10"/>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2"/>
          <w:sz w:val="24"/>
        </w:rPr>
        <w:t>服务承诺；</w:t>
      </w:r>
    </w:p>
    <w:p>
      <w:pPr>
        <w:pStyle w:val="24"/>
        <w:numPr>
          <w:ilvl w:val="0"/>
          <w:numId w:val="10"/>
        </w:numPr>
        <w:tabs>
          <w:tab w:val="left" w:pos="1298"/>
        </w:tabs>
        <w:spacing w:before="160"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《技术条款偏离表》；</w:t>
      </w:r>
    </w:p>
    <w:p>
      <w:pPr>
        <w:pStyle w:val="24"/>
        <w:numPr>
          <w:ilvl w:val="0"/>
          <w:numId w:val="10"/>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供应商认为需要提供的其他技术资料。</w:t>
      </w:r>
    </w:p>
    <w:p>
      <w:pPr>
        <w:pStyle w:val="24"/>
        <w:numPr>
          <w:ilvl w:val="1"/>
          <w:numId w:val="8"/>
        </w:numPr>
        <w:tabs>
          <w:tab w:val="left" w:pos="1177"/>
        </w:tabs>
        <w:spacing w:before="160" w:after="0" w:line="240" w:lineRule="auto"/>
        <w:ind w:left="1176" w:right="0" w:hanging="481"/>
        <w:jc w:val="left"/>
        <w:rPr>
          <w:rFonts w:hint="eastAsia" w:ascii="宋体" w:hAnsi="宋体" w:eastAsia="宋体" w:cs="宋体"/>
          <w:sz w:val="24"/>
        </w:rPr>
      </w:pPr>
      <w:r>
        <w:rPr>
          <w:rFonts w:hint="eastAsia" w:ascii="宋体" w:hAnsi="宋体" w:eastAsia="宋体" w:cs="宋体"/>
          <w:spacing w:val="-2"/>
          <w:sz w:val="24"/>
        </w:rPr>
        <w:t>响应文件的价格部分</w:t>
      </w:r>
    </w:p>
    <w:p>
      <w:pPr>
        <w:pStyle w:val="24"/>
        <w:numPr>
          <w:ilvl w:val="0"/>
          <w:numId w:val="11"/>
        </w:numPr>
        <w:tabs>
          <w:tab w:val="left" w:pos="1304"/>
        </w:tabs>
        <w:spacing w:before="161" w:after="0" w:line="364" w:lineRule="auto"/>
        <w:ind w:left="216" w:right="1088" w:firstLine="480"/>
        <w:jc w:val="left"/>
        <w:rPr>
          <w:rFonts w:hint="eastAsia" w:ascii="宋体" w:hAnsi="宋体" w:eastAsia="宋体" w:cs="宋体"/>
          <w:sz w:val="24"/>
        </w:rPr>
      </w:pPr>
      <w:r>
        <w:rPr>
          <w:rFonts w:hint="eastAsia" w:ascii="宋体" w:hAnsi="宋体" w:eastAsia="宋体" w:cs="宋体"/>
          <w:spacing w:val="-2"/>
          <w:sz w:val="24"/>
        </w:rPr>
        <w:t>价格部分是对货物、服务和工程价格构成的说明，</w:t>
      </w:r>
      <w:r>
        <w:rPr>
          <w:rFonts w:hint="eastAsia" w:cs="宋体"/>
          <w:spacing w:val="-2"/>
          <w:sz w:val="24"/>
          <w:lang w:val="en-US" w:eastAsia="zh-CN"/>
        </w:rPr>
        <w:t>磋商</w:t>
      </w:r>
      <w:r>
        <w:rPr>
          <w:rFonts w:hint="eastAsia" w:ascii="宋体" w:hAnsi="宋体" w:eastAsia="宋体" w:cs="宋体"/>
          <w:spacing w:val="-2"/>
          <w:sz w:val="24"/>
        </w:rPr>
        <w:t>文件如没有特别说明的话，对每一项货物、服务和工程仅接受一个价格。</w:t>
      </w:r>
    </w:p>
    <w:p>
      <w:pPr>
        <w:pStyle w:val="24"/>
        <w:numPr>
          <w:ilvl w:val="0"/>
          <w:numId w:val="11"/>
        </w:numPr>
        <w:tabs>
          <w:tab w:val="left" w:pos="1304"/>
        </w:tabs>
        <w:spacing w:before="1" w:after="0" w:line="364" w:lineRule="auto"/>
        <w:ind w:left="216" w:right="1098" w:firstLine="480"/>
        <w:jc w:val="left"/>
        <w:rPr>
          <w:rFonts w:hint="eastAsia" w:ascii="宋体" w:hAnsi="宋体" w:eastAsia="宋体" w:cs="宋体"/>
          <w:sz w:val="24"/>
        </w:rPr>
      </w:pPr>
      <w:r>
        <w:rPr>
          <w:rFonts w:hint="eastAsia" w:ascii="宋体" w:hAnsi="宋体" w:eastAsia="宋体" w:cs="宋体"/>
          <w:spacing w:val="-2"/>
          <w:sz w:val="24"/>
        </w:rPr>
        <w:t>报价应包含完成本货物、服务和工程项目发生的所有含税费用、支付给员工的工资和国家强制缴纳的各种社会保障资金，以及供应商认为需要的其他费用等。</w:t>
      </w:r>
    </w:p>
    <w:p>
      <w:pPr>
        <w:pStyle w:val="24"/>
        <w:numPr>
          <w:ilvl w:val="0"/>
          <w:numId w:val="11"/>
        </w:numPr>
        <w:tabs>
          <w:tab w:val="left" w:pos="1304"/>
        </w:tabs>
        <w:spacing w:before="2" w:after="0" w:line="364" w:lineRule="auto"/>
        <w:ind w:left="216" w:right="1088" w:firstLine="480"/>
        <w:jc w:val="left"/>
        <w:rPr>
          <w:rFonts w:hint="eastAsia" w:ascii="宋体" w:hAnsi="宋体" w:eastAsia="宋体" w:cs="宋体"/>
          <w:sz w:val="24"/>
        </w:rPr>
      </w:pPr>
      <w:r>
        <w:rPr>
          <w:rFonts w:hint="eastAsia" w:ascii="宋体" w:hAnsi="宋体" w:eastAsia="宋体" w:cs="宋体"/>
          <w:spacing w:val="-2"/>
          <w:sz w:val="24"/>
        </w:rPr>
        <w:t>供应商应充分考虑到市场价格变动，以及项目实施过程中的不可预见因素，一旦成交，固定单价不变。如果有漏项，视同让利。</w:t>
      </w:r>
    </w:p>
    <w:p>
      <w:pPr>
        <w:pStyle w:val="7"/>
        <w:numPr>
          <w:ilvl w:val="1"/>
          <w:numId w:val="8"/>
        </w:numPr>
        <w:tabs>
          <w:tab w:val="left" w:pos="1117"/>
        </w:tabs>
        <w:spacing w:before="1" w:after="0" w:line="240" w:lineRule="auto"/>
        <w:ind w:left="1116" w:right="0" w:hanging="421"/>
        <w:jc w:val="left"/>
        <w:rPr>
          <w:rFonts w:hint="eastAsia" w:ascii="宋体" w:hAnsi="宋体" w:eastAsia="宋体" w:cs="宋体"/>
          <w:b/>
          <w:bCs w:val="0"/>
          <w:spacing w:val="-2"/>
          <w:sz w:val="24"/>
          <w:szCs w:val="22"/>
          <w:lang w:val="en-US" w:eastAsia="zh-CN" w:bidi="ar-SA"/>
        </w:rPr>
      </w:pPr>
      <w:r>
        <w:rPr>
          <w:rFonts w:hint="eastAsia" w:ascii="宋体" w:hAnsi="宋体" w:eastAsia="宋体" w:cs="宋体"/>
          <w:b/>
          <w:bCs w:val="0"/>
          <w:spacing w:val="-2"/>
          <w:sz w:val="24"/>
          <w:szCs w:val="22"/>
          <w:lang w:val="en-US" w:eastAsia="zh-CN" w:bidi="ar-SA"/>
        </w:rPr>
        <w:t>经</w:t>
      </w:r>
      <w:r>
        <w:rPr>
          <w:rFonts w:hint="eastAsia" w:cs="宋体"/>
          <w:b/>
          <w:bCs w:val="0"/>
          <w:spacing w:val="-2"/>
          <w:sz w:val="24"/>
          <w:szCs w:val="22"/>
          <w:lang w:val="en-US" w:eastAsia="zh-CN" w:bidi="ar-SA"/>
        </w:rPr>
        <w:t>磋商</w:t>
      </w:r>
      <w:r>
        <w:rPr>
          <w:rFonts w:hint="eastAsia" w:ascii="宋体" w:hAnsi="宋体" w:eastAsia="宋体" w:cs="宋体"/>
          <w:b/>
          <w:bCs w:val="0"/>
          <w:spacing w:val="-2"/>
          <w:sz w:val="24"/>
          <w:szCs w:val="22"/>
          <w:lang w:val="en-US" w:eastAsia="zh-CN" w:bidi="ar-SA"/>
        </w:rPr>
        <w:t>后，如果成交价低于响应文件首次报价，工程量清单同比例调整。</w:t>
      </w:r>
    </w:p>
    <w:p>
      <w:pPr>
        <w:pStyle w:val="24"/>
        <w:numPr>
          <w:ilvl w:val="1"/>
          <w:numId w:val="8"/>
        </w:numPr>
        <w:tabs>
          <w:tab w:val="left" w:pos="1177"/>
        </w:tabs>
        <w:spacing w:before="161" w:after="0" w:line="240" w:lineRule="auto"/>
        <w:ind w:left="1176" w:right="0" w:hanging="481"/>
        <w:jc w:val="left"/>
        <w:rPr>
          <w:rFonts w:hint="eastAsia" w:ascii="宋体" w:hAnsi="宋体" w:eastAsia="宋体" w:cs="宋体"/>
          <w:sz w:val="24"/>
        </w:rPr>
      </w:pPr>
      <w:r>
        <w:rPr>
          <w:rFonts w:hint="eastAsia" w:ascii="宋体" w:hAnsi="宋体" w:eastAsia="宋体" w:cs="宋体"/>
          <w:spacing w:val="-3"/>
          <w:sz w:val="24"/>
        </w:rPr>
        <w:t>响应文件的其他部分。其他部分由供应商根据编制响应文件需要提供的其他相</w:t>
      </w:r>
    </w:p>
    <w:p>
      <w:pPr>
        <w:spacing w:before="37"/>
        <w:ind w:left="216" w:right="0" w:firstLine="0"/>
        <w:jc w:val="left"/>
        <w:rPr>
          <w:rFonts w:hint="eastAsia" w:ascii="宋体" w:hAnsi="宋体" w:eastAsia="宋体" w:cs="宋体"/>
          <w:sz w:val="24"/>
        </w:rPr>
      </w:pPr>
      <w:r>
        <w:rPr>
          <w:rFonts w:hint="eastAsia" w:ascii="宋体" w:hAnsi="宋体" w:eastAsia="宋体" w:cs="宋体"/>
          <w:spacing w:val="-3"/>
          <w:sz w:val="24"/>
        </w:rPr>
        <w:t>关文件。</w:t>
      </w:r>
    </w:p>
    <w:p>
      <w:pPr>
        <w:pStyle w:val="9"/>
        <w:spacing w:before="12"/>
        <w:rPr>
          <w:rFonts w:hint="eastAsia" w:ascii="宋体" w:hAnsi="宋体" w:eastAsia="宋体" w:cs="宋体"/>
          <w:sz w:val="34"/>
          <w:u w:val="none"/>
        </w:rPr>
      </w:pPr>
    </w:p>
    <w:p>
      <w:pPr>
        <w:pStyle w:val="6"/>
        <w:ind w:left="216" w:firstLine="0"/>
        <w:rPr>
          <w:rFonts w:hint="eastAsia" w:ascii="宋体" w:hAnsi="宋体" w:eastAsia="宋体" w:cs="宋体"/>
        </w:rPr>
      </w:pPr>
      <w:r>
        <w:rPr>
          <w:rFonts w:hint="eastAsia" w:ascii="宋体" w:hAnsi="宋体" w:eastAsia="宋体" w:cs="宋体"/>
          <w:w w:val="95"/>
        </w:rPr>
        <w:t>三、响应文件签署与递</w:t>
      </w:r>
      <w:r>
        <w:rPr>
          <w:rFonts w:hint="eastAsia" w:ascii="宋体" w:hAnsi="宋体" w:eastAsia="宋体" w:cs="宋体"/>
          <w:spacing w:val="-10"/>
          <w:w w:val="95"/>
        </w:rPr>
        <w:t>交</w:t>
      </w:r>
    </w:p>
    <w:p>
      <w:pPr>
        <w:pStyle w:val="9"/>
        <w:spacing w:before="1"/>
        <w:rPr>
          <w:rFonts w:hint="eastAsia" w:ascii="宋体" w:hAnsi="宋体" w:eastAsia="宋体" w:cs="宋体"/>
          <w:b/>
          <w:sz w:val="37"/>
          <w:u w:val="none"/>
        </w:rPr>
      </w:pPr>
    </w:p>
    <w:p>
      <w:pPr>
        <w:pStyle w:val="24"/>
        <w:numPr>
          <w:ilvl w:val="0"/>
          <w:numId w:val="12"/>
        </w:numPr>
        <w:tabs>
          <w:tab w:val="left" w:pos="459"/>
        </w:tabs>
        <w:spacing w:before="1" w:after="0" w:line="240" w:lineRule="auto"/>
        <w:ind w:left="458" w:right="0" w:hanging="243"/>
        <w:jc w:val="left"/>
        <w:rPr>
          <w:rFonts w:hint="eastAsia" w:ascii="宋体" w:hAnsi="宋体" w:eastAsia="宋体" w:cs="宋体"/>
          <w:b/>
          <w:sz w:val="32"/>
        </w:rPr>
      </w:pPr>
      <w:r>
        <w:rPr>
          <w:rFonts w:hint="eastAsia" w:ascii="宋体" w:hAnsi="宋体" w:eastAsia="宋体" w:cs="宋体"/>
          <w:b/>
          <w:w w:val="95"/>
          <w:sz w:val="32"/>
        </w:rPr>
        <w:t>响应文件签</w:t>
      </w:r>
      <w:r>
        <w:rPr>
          <w:rFonts w:hint="eastAsia" w:ascii="宋体" w:hAnsi="宋体" w:eastAsia="宋体" w:cs="宋体"/>
          <w:b/>
          <w:spacing w:val="-10"/>
          <w:w w:val="95"/>
          <w:sz w:val="32"/>
        </w:rPr>
        <w:t>署</w:t>
      </w:r>
    </w:p>
    <w:p>
      <w:pPr>
        <w:pStyle w:val="9"/>
        <w:spacing w:before="9"/>
        <w:rPr>
          <w:rFonts w:hint="eastAsia" w:ascii="宋体" w:hAnsi="宋体" w:eastAsia="宋体" w:cs="宋体"/>
          <w:b/>
          <w:sz w:val="34"/>
          <w:u w:val="none"/>
        </w:rPr>
      </w:pPr>
    </w:p>
    <w:p>
      <w:pPr>
        <w:pStyle w:val="24"/>
        <w:numPr>
          <w:ilvl w:val="1"/>
          <w:numId w:val="12"/>
        </w:numPr>
        <w:tabs>
          <w:tab w:val="left" w:pos="1177"/>
        </w:tabs>
        <w:spacing w:before="0"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响应文件应由供应商法定代表人或授权代表签字，并加盖公章。</w:t>
      </w:r>
    </w:p>
    <w:p>
      <w:pPr>
        <w:pStyle w:val="24"/>
        <w:numPr>
          <w:ilvl w:val="1"/>
          <w:numId w:val="12"/>
        </w:numPr>
        <w:tabs>
          <w:tab w:val="left" w:pos="1177"/>
        </w:tabs>
        <w:spacing w:before="161" w:after="0" w:line="364" w:lineRule="auto"/>
        <w:ind w:left="216" w:right="1097" w:firstLine="480"/>
        <w:jc w:val="left"/>
        <w:rPr>
          <w:rFonts w:hint="eastAsia" w:ascii="宋体" w:hAnsi="宋体" w:eastAsia="宋体" w:cs="宋体"/>
          <w:sz w:val="24"/>
        </w:rPr>
      </w:pPr>
      <w:r>
        <w:rPr>
          <w:rFonts w:hint="eastAsia" w:ascii="宋体" w:hAnsi="宋体" w:eastAsia="宋体" w:cs="宋体"/>
          <w:spacing w:val="-2"/>
          <w:sz w:val="24"/>
        </w:rPr>
        <w:t>供应商应当在</w:t>
      </w:r>
      <w:r>
        <w:rPr>
          <w:rFonts w:hint="eastAsia" w:cs="宋体"/>
          <w:spacing w:val="-2"/>
          <w:sz w:val="24"/>
          <w:lang w:val="en-US" w:eastAsia="zh-CN"/>
        </w:rPr>
        <w:t>磋商</w:t>
      </w:r>
      <w:r>
        <w:rPr>
          <w:rFonts w:hint="eastAsia" w:ascii="宋体" w:hAnsi="宋体" w:eastAsia="宋体" w:cs="宋体"/>
          <w:spacing w:val="-2"/>
          <w:sz w:val="24"/>
        </w:rPr>
        <w:t>文件要求提交响应文件的截止时间前，将响应文件密封送达指定地点。</w:t>
      </w:r>
    </w:p>
    <w:p>
      <w:pPr>
        <w:pStyle w:val="24"/>
        <w:numPr>
          <w:ilvl w:val="1"/>
          <w:numId w:val="12"/>
        </w:numPr>
        <w:tabs>
          <w:tab w:val="left" w:pos="1177"/>
        </w:tabs>
        <w:spacing w:before="1"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有下列情形之一的响应文件将拒收：</w:t>
      </w:r>
    </w:p>
    <w:p>
      <w:pPr>
        <w:spacing w:before="161"/>
        <w:ind w:left="696" w:right="0" w:firstLine="0"/>
        <w:jc w:val="left"/>
        <w:rPr>
          <w:rFonts w:hint="eastAsia" w:ascii="宋体" w:hAnsi="宋体" w:eastAsia="宋体" w:cs="宋体"/>
          <w:sz w:val="24"/>
        </w:rPr>
      </w:pPr>
      <w:r>
        <w:rPr>
          <w:rFonts w:hint="eastAsia" w:ascii="宋体" w:hAnsi="宋体" w:eastAsia="宋体" w:cs="宋体"/>
          <w:spacing w:val="-1"/>
          <w:sz w:val="24"/>
        </w:rPr>
        <w:t>在</w:t>
      </w:r>
      <w:r>
        <w:rPr>
          <w:rFonts w:hint="eastAsia" w:cs="宋体"/>
          <w:spacing w:val="-1"/>
          <w:sz w:val="24"/>
          <w:lang w:val="en-US" w:eastAsia="zh-CN"/>
        </w:rPr>
        <w:t>磋商</w:t>
      </w:r>
      <w:r>
        <w:rPr>
          <w:rFonts w:hint="eastAsia" w:ascii="宋体" w:hAnsi="宋体" w:eastAsia="宋体" w:cs="宋体"/>
          <w:spacing w:val="-1"/>
          <w:sz w:val="24"/>
        </w:rPr>
        <w:t>文件要求提交响应文件的截止时间之后送达的等。</w:t>
      </w:r>
    </w:p>
    <w:p>
      <w:pPr>
        <w:pStyle w:val="9"/>
        <w:spacing w:before="12"/>
        <w:rPr>
          <w:rFonts w:hint="eastAsia" w:ascii="宋体" w:hAnsi="宋体" w:eastAsia="宋体" w:cs="宋体"/>
          <w:sz w:val="34"/>
          <w:u w:val="none"/>
        </w:rPr>
      </w:pPr>
    </w:p>
    <w:p>
      <w:pPr>
        <w:pStyle w:val="6"/>
        <w:ind w:left="216" w:firstLine="0"/>
        <w:rPr>
          <w:rFonts w:hint="eastAsia" w:ascii="宋体" w:hAnsi="宋体" w:eastAsia="宋体" w:cs="宋体"/>
        </w:rPr>
      </w:pPr>
      <w:r>
        <w:rPr>
          <w:rFonts w:hint="eastAsia" w:ascii="宋体" w:hAnsi="宋体" w:eastAsia="宋体" w:cs="宋体"/>
          <w:w w:val="95"/>
        </w:rPr>
        <w:t>四、响应文件的修改和撤</w:t>
      </w:r>
      <w:r>
        <w:rPr>
          <w:rFonts w:hint="eastAsia" w:ascii="宋体" w:hAnsi="宋体" w:eastAsia="宋体" w:cs="宋体"/>
          <w:spacing w:val="-10"/>
          <w:w w:val="95"/>
        </w:rPr>
        <w:t>回</w:t>
      </w:r>
    </w:p>
    <w:p>
      <w:pPr>
        <w:pStyle w:val="9"/>
        <w:spacing w:before="12"/>
        <w:rPr>
          <w:rFonts w:hint="eastAsia" w:ascii="宋体" w:hAnsi="宋体" w:eastAsia="宋体" w:cs="宋体"/>
          <w:b/>
          <w:sz w:val="34"/>
          <w:u w:val="none"/>
        </w:rPr>
      </w:pPr>
    </w:p>
    <w:p>
      <w:pPr>
        <w:pStyle w:val="24"/>
        <w:numPr>
          <w:ilvl w:val="0"/>
          <w:numId w:val="13"/>
        </w:numPr>
        <w:tabs>
          <w:tab w:val="left" w:pos="1059"/>
        </w:tabs>
        <w:spacing w:before="0"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供应商在投标截止时间前，可以对所递交的响应文件进行补充、修改或撤回，并书面通知采购代理机构。补充、修改的内容应当按照</w:t>
      </w:r>
      <w:r>
        <w:rPr>
          <w:rFonts w:hint="eastAsia" w:cs="宋体"/>
          <w:spacing w:val="-2"/>
          <w:sz w:val="24"/>
          <w:lang w:val="en-US" w:eastAsia="zh-CN"/>
        </w:rPr>
        <w:t>磋商</w:t>
      </w:r>
      <w:r>
        <w:rPr>
          <w:rFonts w:hint="eastAsia" w:ascii="宋体" w:hAnsi="宋体" w:eastAsia="宋体" w:cs="宋体"/>
          <w:spacing w:val="-2"/>
          <w:sz w:val="24"/>
        </w:rPr>
        <w:t>文件要求签署、盖章，并作为响应文件的组成部分。</w:t>
      </w:r>
    </w:p>
    <w:p>
      <w:pPr>
        <w:pStyle w:val="24"/>
        <w:numPr>
          <w:ilvl w:val="0"/>
          <w:numId w:val="13"/>
        </w:numPr>
        <w:tabs>
          <w:tab w:val="left" w:pos="1059"/>
        </w:tabs>
        <w:spacing w:before="2" w:after="0" w:line="364" w:lineRule="auto"/>
        <w:ind w:left="216" w:right="1091" w:firstLine="480"/>
        <w:jc w:val="both"/>
        <w:rPr>
          <w:rFonts w:hint="eastAsia" w:ascii="宋体" w:hAnsi="宋体" w:eastAsia="宋体" w:cs="宋体"/>
          <w:sz w:val="24"/>
        </w:rPr>
      </w:pPr>
      <w:r>
        <w:rPr>
          <w:rFonts w:hint="eastAsia" w:ascii="宋体" w:hAnsi="宋体" w:eastAsia="宋体" w:cs="宋体"/>
          <w:spacing w:val="-2"/>
          <w:sz w:val="24"/>
        </w:rPr>
        <w:t>投标截止时间之后，响应文件不得撤回；如果撤回的，一年内不得参加南京市政府采购活动。</w:t>
      </w:r>
    </w:p>
    <w:p>
      <w:pPr>
        <w:pStyle w:val="9"/>
        <w:spacing w:before="6"/>
        <w:rPr>
          <w:rFonts w:hint="eastAsia" w:ascii="宋体" w:hAnsi="宋体" w:eastAsia="宋体" w:cs="宋体"/>
          <w:sz w:val="22"/>
          <w:u w:val="none"/>
        </w:rPr>
      </w:pPr>
    </w:p>
    <w:p>
      <w:pPr>
        <w:pStyle w:val="6"/>
        <w:spacing w:before="1"/>
        <w:ind w:left="216" w:firstLine="0"/>
        <w:rPr>
          <w:rFonts w:hint="eastAsia" w:ascii="宋体" w:hAnsi="宋体" w:eastAsia="宋体" w:cs="宋体"/>
        </w:rPr>
      </w:pPr>
      <w:r>
        <w:rPr>
          <w:rFonts w:hint="eastAsia" w:ascii="宋体" w:hAnsi="宋体" w:eastAsia="宋体" w:cs="宋体"/>
          <w:w w:val="95"/>
        </w:rPr>
        <w:t>五、联合</w:t>
      </w:r>
      <w:r>
        <w:rPr>
          <w:rFonts w:hint="eastAsia" w:ascii="宋体" w:hAnsi="宋体" w:eastAsia="宋体" w:cs="宋体"/>
          <w:spacing w:val="-10"/>
          <w:w w:val="95"/>
        </w:rPr>
        <w:t>体</w:t>
      </w:r>
    </w:p>
    <w:p>
      <w:pPr>
        <w:pStyle w:val="9"/>
        <w:spacing w:before="11"/>
        <w:rPr>
          <w:rFonts w:hint="eastAsia" w:ascii="宋体" w:hAnsi="宋体" w:eastAsia="宋体" w:cs="宋体"/>
          <w:b/>
          <w:sz w:val="34"/>
          <w:u w:val="none"/>
        </w:rPr>
      </w:pPr>
    </w:p>
    <w:p>
      <w:pPr>
        <w:pStyle w:val="24"/>
        <w:numPr>
          <w:ilvl w:val="1"/>
          <w:numId w:val="14"/>
        </w:numPr>
        <w:tabs>
          <w:tab w:val="left" w:pos="1129"/>
        </w:tabs>
        <w:spacing w:before="1"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两个以上的自然人、法人或者其他组织可以组成一个联合体，以一个供应商的身份共同参加政府采购。</w:t>
      </w:r>
    </w:p>
    <w:p>
      <w:pPr>
        <w:pStyle w:val="24"/>
        <w:numPr>
          <w:ilvl w:val="1"/>
          <w:numId w:val="14"/>
        </w:numPr>
        <w:tabs>
          <w:tab w:val="left" w:pos="1129"/>
        </w:tabs>
        <w:spacing w:before="1"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鼓励大中型企业和其他自然人、法人或者其他组织与小型、微型企业组成联合体共同参加非专门面向中小企业的政府采购活动。</w:t>
      </w:r>
    </w:p>
    <w:p>
      <w:pPr>
        <w:pStyle w:val="24"/>
        <w:numPr>
          <w:ilvl w:val="1"/>
          <w:numId w:val="14"/>
        </w:numPr>
        <w:tabs>
          <w:tab w:val="left" w:pos="1129"/>
        </w:tabs>
        <w:spacing w:before="1"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以联合体形式参加采购的，联合体各方均应当符合政府采购法第二十二条第一款规定的条件；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w:t>
      </w:r>
      <w:r>
        <w:rPr>
          <w:rFonts w:hint="eastAsia" w:ascii="宋体" w:hAnsi="宋体" w:eastAsia="宋体" w:cs="宋体"/>
          <w:spacing w:val="-1"/>
          <w:sz w:val="24"/>
        </w:rPr>
        <w:t>据，涉及行业专属的资质，按照所属行业对应的供应商的应答材料确定。</w:t>
      </w:r>
    </w:p>
    <w:p>
      <w:pPr>
        <w:pStyle w:val="24"/>
        <w:numPr>
          <w:ilvl w:val="1"/>
          <w:numId w:val="14"/>
        </w:numPr>
        <w:tabs>
          <w:tab w:val="left" w:pos="1177"/>
        </w:tabs>
        <w:spacing w:before="160" w:after="0" w:line="364" w:lineRule="auto"/>
        <w:ind w:left="216" w:right="1095" w:firstLine="480"/>
        <w:jc w:val="left"/>
        <w:rPr>
          <w:rFonts w:hint="eastAsia" w:ascii="宋体" w:hAnsi="宋体" w:eastAsia="宋体" w:cs="宋体"/>
          <w:sz w:val="24"/>
        </w:rPr>
      </w:pPr>
      <w:r>
        <w:rPr>
          <w:rFonts w:hint="eastAsia" w:ascii="宋体" w:hAnsi="宋体" w:eastAsia="宋体" w:cs="宋体"/>
          <w:spacing w:val="-2"/>
          <w:sz w:val="24"/>
        </w:rPr>
        <w:t>联合体各方之间应当签订联合体协议，明确约定联合体各方承担的工作和相应的责任，并将联合体协议连同响应文件一并提交。</w:t>
      </w:r>
    </w:p>
    <w:p>
      <w:pPr>
        <w:pStyle w:val="24"/>
        <w:numPr>
          <w:ilvl w:val="1"/>
          <w:numId w:val="14"/>
        </w:numPr>
        <w:tabs>
          <w:tab w:val="left" w:pos="1177"/>
        </w:tabs>
        <w:spacing w:before="2" w:after="0" w:line="364" w:lineRule="auto"/>
        <w:ind w:left="216" w:right="1097" w:firstLine="480"/>
        <w:jc w:val="left"/>
        <w:rPr>
          <w:rFonts w:hint="eastAsia" w:ascii="宋体" w:hAnsi="宋体" w:eastAsia="宋体" w:cs="宋体"/>
          <w:sz w:val="24"/>
        </w:rPr>
      </w:pPr>
      <w:r>
        <w:rPr>
          <w:rFonts w:hint="eastAsia" w:ascii="宋体" w:hAnsi="宋体" w:eastAsia="宋体" w:cs="宋体"/>
          <w:spacing w:val="-2"/>
          <w:sz w:val="24"/>
        </w:rPr>
        <w:t>以联合体形式参加政府采购活动的，联合体各方不得再单独参加或者与其他供应商另外组成联合体参加同一合同项下的政府采购活动。</w:t>
      </w:r>
    </w:p>
    <w:p>
      <w:pPr>
        <w:pStyle w:val="24"/>
        <w:numPr>
          <w:ilvl w:val="1"/>
          <w:numId w:val="14"/>
        </w:numPr>
        <w:tabs>
          <w:tab w:val="left" w:pos="1177"/>
        </w:tabs>
        <w:spacing w:before="1"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本项目不接受联合体投标。</w:t>
      </w:r>
    </w:p>
    <w:p>
      <w:pPr>
        <w:pStyle w:val="9"/>
        <w:spacing w:before="7"/>
        <w:ind w:left="0"/>
        <w:rPr>
          <w:sz w:val="35"/>
        </w:rPr>
      </w:pPr>
    </w:p>
    <w:p>
      <w:pPr>
        <w:pStyle w:val="5"/>
        <w:ind w:left="555" w:firstLine="0"/>
      </w:pPr>
      <w:bookmarkStart w:id="0" w:name="六、磋商程序及最后报价"/>
      <w:bookmarkEnd w:id="0"/>
      <w:r>
        <w:t>六、磋商程序及最后报价</w:t>
      </w:r>
    </w:p>
    <w:p>
      <w:pPr>
        <w:pStyle w:val="9"/>
        <w:spacing w:before="1"/>
        <w:ind w:left="0"/>
        <w:rPr>
          <w:rFonts w:ascii="黑体"/>
          <w:b/>
          <w:sz w:val="38"/>
        </w:rPr>
      </w:pPr>
    </w:p>
    <w:p>
      <w:pPr>
        <w:pStyle w:val="24"/>
        <w:numPr>
          <w:ilvl w:val="0"/>
          <w:numId w:val="0"/>
        </w:numPr>
        <w:tabs>
          <w:tab w:val="left" w:pos="799"/>
        </w:tabs>
        <w:spacing w:before="0" w:after="0" w:line="240" w:lineRule="auto"/>
        <w:ind w:left="554" w:leftChars="0" w:right="0" w:rightChars="0"/>
        <w:jc w:val="left"/>
        <w:rPr>
          <w:rFonts w:hint="eastAsia" w:ascii="黑体" w:eastAsia="黑体"/>
          <w:b/>
          <w:sz w:val="32"/>
        </w:rPr>
      </w:pPr>
      <w:r>
        <w:rPr>
          <w:rFonts w:hint="eastAsia" w:ascii="黑体" w:eastAsia="黑体"/>
          <w:b/>
          <w:sz w:val="32"/>
          <w:lang w:val="en-US" w:eastAsia="zh-CN"/>
        </w:rPr>
        <w:t>1.</w:t>
      </w:r>
      <w:r>
        <w:rPr>
          <w:rFonts w:hint="eastAsia" w:ascii="黑体" w:eastAsia="黑体"/>
          <w:b/>
          <w:sz w:val="32"/>
        </w:rPr>
        <w:t>磋商仪式</w:t>
      </w:r>
    </w:p>
    <w:p>
      <w:pPr>
        <w:pStyle w:val="9"/>
        <w:spacing w:before="6"/>
        <w:ind w:left="0"/>
        <w:rPr>
          <w:rFonts w:ascii="黑体"/>
          <w:b/>
          <w:sz w:val="35"/>
        </w:rPr>
      </w:pPr>
    </w:p>
    <w:p>
      <w:pPr>
        <w:pStyle w:val="24"/>
        <w:numPr>
          <w:ilvl w:val="1"/>
          <w:numId w:val="14"/>
        </w:numPr>
        <w:tabs>
          <w:tab w:val="left" w:pos="1456"/>
        </w:tabs>
        <w:spacing w:before="0" w:after="0" w:line="240" w:lineRule="auto"/>
        <w:ind w:left="1456" w:right="0" w:hanging="420"/>
        <w:jc w:val="left"/>
        <w:rPr>
          <w:sz w:val="24"/>
        </w:rPr>
      </w:pPr>
      <w:r>
        <w:rPr>
          <w:sz w:val="24"/>
        </w:rPr>
        <w:t>采购代理机构按规定的时间和地点进行磋商仪式，供应商须派代表参加。</w:t>
      </w:r>
    </w:p>
    <w:p>
      <w:pPr>
        <w:pStyle w:val="24"/>
        <w:numPr>
          <w:ilvl w:val="1"/>
          <w:numId w:val="14"/>
        </w:numPr>
        <w:tabs>
          <w:tab w:val="left" w:pos="1516"/>
        </w:tabs>
        <w:spacing w:before="163" w:after="0" w:line="369" w:lineRule="auto"/>
        <w:ind w:left="555" w:right="1470" w:firstLine="480"/>
        <w:jc w:val="left"/>
        <w:rPr>
          <w:sz w:val="24"/>
        </w:rPr>
      </w:pPr>
      <w:r>
        <w:rPr>
          <w:spacing w:val="-5"/>
          <w:sz w:val="24"/>
        </w:rPr>
        <w:t>采购代理机构将邀请供应商或者其推选的代表检查响应文件的密封情况等。对检查未通过的，采购人或采购代理机构将拒绝并原封退回其响应文件。</w:t>
      </w:r>
    </w:p>
    <w:p>
      <w:pPr>
        <w:pStyle w:val="9"/>
        <w:spacing w:before="9"/>
        <w:ind w:left="0"/>
        <w:rPr>
          <w:sz w:val="22"/>
        </w:rPr>
      </w:pPr>
    </w:p>
    <w:p>
      <w:pPr>
        <w:pStyle w:val="5"/>
        <w:numPr>
          <w:ilvl w:val="0"/>
          <w:numId w:val="14"/>
        </w:numPr>
        <w:tabs>
          <w:tab w:val="left" w:pos="799"/>
        </w:tabs>
        <w:spacing w:before="0" w:after="0" w:line="240" w:lineRule="auto"/>
        <w:ind w:left="798" w:right="0" w:hanging="244"/>
        <w:jc w:val="left"/>
      </w:pPr>
      <w:bookmarkStart w:id="1" w:name="2.磋商小组"/>
      <w:bookmarkEnd w:id="1"/>
      <w:bookmarkStart w:id="2" w:name="2.磋商小组"/>
      <w:bookmarkEnd w:id="2"/>
      <w:r>
        <w:rPr>
          <w:rFonts w:hint="eastAsia"/>
          <w:lang w:val="en-US" w:eastAsia="zh-CN"/>
        </w:rPr>
        <w:t>.</w:t>
      </w:r>
      <w:r>
        <w:t>磋商小组</w:t>
      </w:r>
    </w:p>
    <w:p>
      <w:pPr>
        <w:pStyle w:val="9"/>
        <w:spacing w:before="9"/>
        <w:ind w:left="0"/>
        <w:rPr>
          <w:rFonts w:ascii="黑体"/>
          <w:b/>
          <w:sz w:val="35"/>
        </w:rPr>
      </w:pPr>
    </w:p>
    <w:p>
      <w:pPr>
        <w:pStyle w:val="24"/>
        <w:numPr>
          <w:ilvl w:val="1"/>
          <w:numId w:val="14"/>
        </w:numPr>
        <w:tabs>
          <w:tab w:val="left" w:pos="1516"/>
        </w:tabs>
        <w:spacing w:before="0" w:after="0" w:line="240" w:lineRule="auto"/>
        <w:ind w:left="1516" w:right="0" w:hanging="480"/>
        <w:jc w:val="left"/>
        <w:rPr>
          <w:sz w:val="24"/>
        </w:rPr>
      </w:pPr>
      <w:r>
        <w:rPr>
          <w:sz w:val="24"/>
        </w:rPr>
        <w:t>采购代理机构在规定的时间和地点组织磋商小组分别与供应商进行磋商。</w:t>
      </w:r>
    </w:p>
    <w:p>
      <w:pPr>
        <w:pStyle w:val="24"/>
        <w:numPr>
          <w:ilvl w:val="1"/>
          <w:numId w:val="14"/>
        </w:numPr>
        <w:tabs>
          <w:tab w:val="left" w:pos="1456"/>
        </w:tabs>
        <w:spacing w:before="163" w:after="0" w:line="240" w:lineRule="auto"/>
        <w:ind w:left="1456" w:right="0" w:hanging="420"/>
        <w:jc w:val="left"/>
        <w:rPr>
          <w:sz w:val="24"/>
        </w:rPr>
      </w:pPr>
      <w:r>
        <w:rPr>
          <w:spacing w:val="-8"/>
          <w:sz w:val="24"/>
        </w:rPr>
        <w:t>磋商工作由采购代理机构负责组织，具体磋商事务由依法组建的磋商小组负责。</w:t>
      </w:r>
    </w:p>
    <w:p>
      <w:pPr>
        <w:pStyle w:val="9"/>
        <w:spacing w:before="11"/>
        <w:ind w:left="0"/>
        <w:rPr>
          <w:sz w:val="35"/>
        </w:rPr>
      </w:pPr>
    </w:p>
    <w:p>
      <w:pPr>
        <w:pStyle w:val="5"/>
        <w:numPr>
          <w:ilvl w:val="0"/>
          <w:numId w:val="14"/>
        </w:numPr>
        <w:tabs>
          <w:tab w:val="left" w:pos="799"/>
        </w:tabs>
        <w:spacing w:before="0" w:after="0" w:line="240" w:lineRule="auto"/>
        <w:ind w:left="798" w:right="0" w:hanging="244"/>
        <w:jc w:val="left"/>
      </w:pPr>
      <w:bookmarkStart w:id="3" w:name="3.磋商程序"/>
      <w:bookmarkEnd w:id="3"/>
      <w:bookmarkStart w:id="4" w:name="3.磋商程序"/>
      <w:bookmarkEnd w:id="4"/>
      <w:r>
        <w:rPr>
          <w:rFonts w:hint="eastAsia"/>
          <w:lang w:val="en-US" w:eastAsia="zh-CN"/>
        </w:rPr>
        <w:t>.</w:t>
      </w:r>
      <w:r>
        <w:t>磋商程序</w:t>
      </w:r>
    </w:p>
    <w:p>
      <w:pPr>
        <w:pStyle w:val="9"/>
        <w:spacing w:before="8"/>
        <w:ind w:left="0"/>
        <w:rPr>
          <w:rFonts w:ascii="黑体"/>
          <w:b/>
          <w:sz w:val="35"/>
        </w:rPr>
      </w:pPr>
    </w:p>
    <w:p>
      <w:pPr>
        <w:pStyle w:val="24"/>
        <w:numPr>
          <w:ilvl w:val="1"/>
          <w:numId w:val="14"/>
        </w:numPr>
        <w:tabs>
          <w:tab w:val="left" w:pos="1456"/>
        </w:tabs>
        <w:spacing w:before="1" w:after="0" w:line="240" w:lineRule="auto"/>
        <w:ind w:left="1456" w:right="0" w:hanging="420"/>
        <w:jc w:val="left"/>
        <w:rPr>
          <w:sz w:val="24"/>
        </w:rPr>
      </w:pPr>
      <w:r>
        <w:rPr>
          <w:sz w:val="24"/>
        </w:rPr>
        <w:t>响应文件的资格性审查</w:t>
      </w:r>
    </w:p>
    <w:p>
      <w:pPr>
        <w:pStyle w:val="9"/>
        <w:spacing w:before="163" w:line="369" w:lineRule="auto"/>
        <w:ind w:left="555" w:right="1373" w:firstLine="480"/>
        <w:rPr>
          <w:sz w:val="24"/>
          <w:szCs w:val="24"/>
          <w:u w:val="none" w:color="auto"/>
        </w:rPr>
      </w:pPr>
      <w:r>
        <w:rPr>
          <w:sz w:val="24"/>
          <w:szCs w:val="24"/>
          <w:u w:val="none" w:color="auto"/>
        </w:rPr>
        <w:t>资格性审查：依据法律法规和磋商文件的规定，对响应文件中的资格证明文件等进行审查，以确定供应商是否具备参加磋商的资格。</w:t>
      </w:r>
    </w:p>
    <w:p>
      <w:pPr>
        <w:spacing w:before="0" w:line="306" w:lineRule="exact"/>
        <w:ind w:left="1036" w:right="0" w:firstLine="0"/>
        <w:jc w:val="left"/>
        <w:rPr>
          <w:sz w:val="24"/>
        </w:rPr>
      </w:pPr>
      <w:r>
        <w:rPr>
          <w:sz w:val="24"/>
        </w:rPr>
        <w:t>响应文件有下列情况之一的，</w:t>
      </w:r>
      <w:r>
        <w:rPr>
          <w:b/>
          <w:sz w:val="24"/>
        </w:rPr>
        <w:t>在资格性审查时按照无效投标处理</w:t>
      </w:r>
      <w:r>
        <w:rPr>
          <w:sz w:val="24"/>
        </w:rPr>
        <w:t>：</w:t>
      </w:r>
    </w:p>
    <w:p>
      <w:pPr>
        <w:pStyle w:val="24"/>
        <w:numPr>
          <w:ilvl w:val="0"/>
          <w:numId w:val="15"/>
        </w:numPr>
        <w:tabs>
          <w:tab w:val="left" w:pos="1756"/>
        </w:tabs>
        <w:spacing w:before="165" w:after="0" w:line="240" w:lineRule="auto"/>
        <w:ind w:left="1756" w:right="0" w:hanging="720"/>
        <w:jc w:val="left"/>
        <w:rPr>
          <w:sz w:val="24"/>
        </w:rPr>
      </w:pPr>
      <w:r>
        <w:rPr>
          <w:sz w:val="24"/>
        </w:rPr>
        <w:t>不具备磋商文件中规定资格条件的；</w:t>
      </w:r>
    </w:p>
    <w:p>
      <w:pPr>
        <w:pStyle w:val="24"/>
        <w:numPr>
          <w:ilvl w:val="0"/>
          <w:numId w:val="15"/>
        </w:numPr>
        <w:tabs>
          <w:tab w:val="left" w:pos="1644"/>
        </w:tabs>
        <w:spacing w:before="165" w:after="0" w:line="367" w:lineRule="auto"/>
        <w:ind w:left="555" w:right="1516" w:firstLine="480"/>
        <w:jc w:val="left"/>
        <w:rPr>
          <w:sz w:val="24"/>
        </w:rPr>
      </w:pPr>
      <w:r>
        <w:rPr>
          <w:spacing w:val="-3"/>
          <w:sz w:val="24"/>
        </w:rPr>
        <w:t>《南京市政府采购供应商信用记录表暨信用承诺书》中载明的诚信指数为零分。</w:t>
      </w:r>
    </w:p>
    <w:p>
      <w:pPr>
        <w:pStyle w:val="24"/>
        <w:numPr>
          <w:ilvl w:val="1"/>
          <w:numId w:val="14"/>
        </w:numPr>
        <w:tabs>
          <w:tab w:val="left" w:pos="1456"/>
        </w:tabs>
        <w:spacing w:before="2" w:after="0" w:line="240" w:lineRule="auto"/>
        <w:ind w:left="1456" w:right="0" w:hanging="420"/>
        <w:jc w:val="left"/>
        <w:rPr>
          <w:sz w:val="24"/>
        </w:rPr>
      </w:pPr>
      <w:r>
        <w:rPr>
          <w:sz w:val="24"/>
        </w:rPr>
        <w:t>响应文件的符合性审查</w:t>
      </w:r>
    </w:p>
    <w:p>
      <w:pPr>
        <w:pStyle w:val="9"/>
        <w:spacing w:before="166" w:line="369" w:lineRule="auto"/>
        <w:ind w:left="555" w:right="1373" w:firstLine="480"/>
      </w:pPr>
      <w:r>
        <w:rPr>
          <w:sz w:val="24"/>
          <w:szCs w:val="24"/>
          <w:u w:val="none" w:color="auto"/>
        </w:rPr>
        <w:t>磋商小组将依据法律法规和磋商文件的规定，对响应文件的有效性、完整性和对磋商文件的响应程度进行审查，以确定是否对磋商文件的实质性要求作出响应。</w:t>
      </w:r>
    </w:p>
    <w:p>
      <w:pPr>
        <w:pStyle w:val="9"/>
        <w:spacing w:before="39" w:line="367" w:lineRule="auto"/>
        <w:ind w:left="555" w:right="1373" w:firstLine="480"/>
        <w:rPr>
          <w:sz w:val="24"/>
          <w:szCs w:val="24"/>
          <w:u w:val="none" w:color="auto"/>
        </w:rPr>
      </w:pPr>
      <w:r>
        <w:rPr>
          <w:sz w:val="24"/>
          <w:szCs w:val="24"/>
          <w:u w:val="none" w:color="auto"/>
        </w:rPr>
        <w:t>实质性要求是指本磋商文件中用带星号（“★”）的商务和服务要求或文件中作出特别说明的其他要求。</w:t>
      </w:r>
    </w:p>
    <w:p>
      <w:pPr>
        <w:pStyle w:val="9"/>
        <w:spacing w:before="5" w:line="367" w:lineRule="auto"/>
        <w:ind w:left="555" w:right="1373" w:firstLine="480"/>
        <w:rPr>
          <w:sz w:val="24"/>
          <w:szCs w:val="24"/>
          <w:u w:val="none" w:color="auto"/>
        </w:rPr>
      </w:pPr>
      <w:r>
        <w:rPr>
          <w:sz w:val="24"/>
          <w:szCs w:val="24"/>
          <w:u w:val="none" w:color="auto"/>
        </w:rPr>
        <w:t>如果响应文件实质上没有响应磋商文件的要求，磋商小组将予以拒绝，供应商不得通过修改或撤销不合要求的偏离或保留而使其投标成为实质性响应的投标。</w:t>
      </w:r>
    </w:p>
    <w:p>
      <w:pPr>
        <w:spacing w:before="2"/>
        <w:ind w:left="1036" w:right="0" w:firstLine="0"/>
        <w:jc w:val="left"/>
        <w:rPr>
          <w:sz w:val="24"/>
        </w:rPr>
      </w:pPr>
      <w:r>
        <w:rPr>
          <w:sz w:val="24"/>
        </w:rPr>
        <w:t>响应文件有下列情况之一的，</w:t>
      </w:r>
      <w:r>
        <w:rPr>
          <w:b/>
          <w:sz w:val="24"/>
        </w:rPr>
        <w:t>在符合性审查时按照无效投标处理</w:t>
      </w:r>
      <w:r>
        <w:rPr>
          <w:sz w:val="24"/>
        </w:rPr>
        <w:t>：</w:t>
      </w:r>
    </w:p>
    <w:p>
      <w:pPr>
        <w:pStyle w:val="24"/>
        <w:numPr>
          <w:ilvl w:val="0"/>
          <w:numId w:val="16"/>
        </w:numPr>
        <w:tabs>
          <w:tab w:val="left" w:pos="1639"/>
        </w:tabs>
        <w:spacing w:before="165" w:after="0" w:line="240" w:lineRule="auto"/>
        <w:ind w:left="1638" w:right="0" w:hanging="603"/>
        <w:jc w:val="left"/>
        <w:rPr>
          <w:sz w:val="24"/>
        </w:rPr>
      </w:pPr>
      <w:r>
        <w:rPr>
          <w:sz w:val="24"/>
        </w:rPr>
        <w:t>未按照磋商文件规定要求密封、签署、盖章的；</w:t>
      </w:r>
    </w:p>
    <w:p>
      <w:pPr>
        <w:pStyle w:val="24"/>
        <w:numPr>
          <w:ilvl w:val="0"/>
          <w:numId w:val="16"/>
        </w:numPr>
        <w:tabs>
          <w:tab w:val="left" w:pos="1639"/>
        </w:tabs>
        <w:spacing w:before="163" w:after="0" w:line="240" w:lineRule="auto"/>
        <w:ind w:left="1638" w:right="0" w:hanging="603"/>
        <w:jc w:val="left"/>
        <w:rPr>
          <w:sz w:val="24"/>
        </w:rPr>
      </w:pPr>
      <w:r>
        <w:rPr>
          <w:sz w:val="24"/>
        </w:rPr>
        <w:t>投标总价超出采购预算金额或者最高限价的；</w:t>
      </w:r>
    </w:p>
    <w:p>
      <w:pPr>
        <w:pStyle w:val="24"/>
        <w:numPr>
          <w:ilvl w:val="0"/>
          <w:numId w:val="16"/>
        </w:numPr>
        <w:tabs>
          <w:tab w:val="left" w:pos="1639"/>
        </w:tabs>
        <w:spacing w:before="165" w:after="0" w:line="240" w:lineRule="auto"/>
        <w:ind w:left="1638" w:right="0" w:hanging="603"/>
        <w:jc w:val="left"/>
        <w:rPr>
          <w:sz w:val="24"/>
        </w:rPr>
      </w:pPr>
      <w:r>
        <w:rPr>
          <w:sz w:val="24"/>
        </w:rPr>
        <w:t>不同供应商的响应文件由同一单位或者个人编制；</w:t>
      </w:r>
    </w:p>
    <w:p>
      <w:pPr>
        <w:pStyle w:val="24"/>
        <w:numPr>
          <w:ilvl w:val="0"/>
          <w:numId w:val="16"/>
        </w:numPr>
        <w:tabs>
          <w:tab w:val="left" w:pos="1639"/>
        </w:tabs>
        <w:spacing w:before="166" w:after="0" w:line="240" w:lineRule="auto"/>
        <w:ind w:left="1638" w:right="0" w:hanging="603"/>
        <w:jc w:val="left"/>
        <w:rPr>
          <w:sz w:val="24"/>
        </w:rPr>
      </w:pPr>
      <w:r>
        <w:rPr>
          <w:sz w:val="24"/>
        </w:rPr>
        <w:t>不同供应商委托同一单位或者个人办理投标事宜；</w:t>
      </w:r>
    </w:p>
    <w:p>
      <w:pPr>
        <w:pStyle w:val="24"/>
        <w:numPr>
          <w:ilvl w:val="0"/>
          <w:numId w:val="16"/>
        </w:numPr>
        <w:tabs>
          <w:tab w:val="left" w:pos="1639"/>
        </w:tabs>
        <w:spacing w:before="163" w:after="0" w:line="240" w:lineRule="auto"/>
        <w:ind w:left="1638" w:right="0" w:hanging="603"/>
        <w:jc w:val="left"/>
        <w:rPr>
          <w:sz w:val="24"/>
        </w:rPr>
      </w:pPr>
      <w:r>
        <w:rPr>
          <w:sz w:val="24"/>
        </w:rPr>
        <w:t>不同供应商的响应文件载明的项目管理成员或者联系人员为同一人；</w:t>
      </w:r>
    </w:p>
    <w:p>
      <w:pPr>
        <w:pStyle w:val="24"/>
        <w:numPr>
          <w:ilvl w:val="0"/>
          <w:numId w:val="16"/>
        </w:numPr>
        <w:tabs>
          <w:tab w:val="left" w:pos="1639"/>
        </w:tabs>
        <w:spacing w:before="165" w:after="0" w:line="240" w:lineRule="auto"/>
        <w:ind w:left="1638" w:right="0" w:hanging="603"/>
        <w:jc w:val="left"/>
        <w:rPr>
          <w:sz w:val="24"/>
        </w:rPr>
      </w:pPr>
      <w:r>
        <w:rPr>
          <w:sz w:val="24"/>
        </w:rPr>
        <w:t>不同供应商的响应文件异常一致或者投标报价呈规律性差异；</w:t>
      </w:r>
    </w:p>
    <w:p>
      <w:pPr>
        <w:pStyle w:val="24"/>
        <w:numPr>
          <w:ilvl w:val="0"/>
          <w:numId w:val="16"/>
        </w:numPr>
        <w:tabs>
          <w:tab w:val="left" w:pos="1639"/>
        </w:tabs>
        <w:spacing w:before="165" w:after="0" w:line="240" w:lineRule="auto"/>
        <w:ind w:left="1638" w:right="0" w:hanging="603"/>
        <w:jc w:val="left"/>
        <w:rPr>
          <w:sz w:val="24"/>
        </w:rPr>
      </w:pPr>
      <w:r>
        <w:rPr>
          <w:sz w:val="24"/>
        </w:rPr>
        <w:t>不同供应商的响应文件相互混装；</w:t>
      </w:r>
    </w:p>
    <w:p>
      <w:pPr>
        <w:pStyle w:val="24"/>
        <w:numPr>
          <w:ilvl w:val="0"/>
          <w:numId w:val="16"/>
        </w:numPr>
        <w:tabs>
          <w:tab w:val="left" w:pos="1639"/>
        </w:tabs>
        <w:spacing w:before="163" w:after="0" w:line="240" w:lineRule="auto"/>
        <w:ind w:left="1638" w:right="0" w:hanging="603"/>
        <w:jc w:val="left"/>
        <w:rPr>
          <w:sz w:val="24"/>
        </w:rPr>
      </w:pPr>
      <w:r>
        <w:rPr>
          <w:sz w:val="24"/>
        </w:rPr>
        <w:t>不同供应商的法定代表人或委托代理人有夫妻、直系血亲关系的；</w:t>
      </w:r>
    </w:p>
    <w:p>
      <w:pPr>
        <w:pStyle w:val="24"/>
        <w:numPr>
          <w:ilvl w:val="0"/>
          <w:numId w:val="16"/>
        </w:numPr>
        <w:tabs>
          <w:tab w:val="left" w:pos="1639"/>
        </w:tabs>
        <w:spacing w:before="163" w:after="0" w:line="240" w:lineRule="auto"/>
        <w:ind w:left="1638" w:right="0" w:hanging="603"/>
        <w:jc w:val="left"/>
        <w:rPr>
          <w:sz w:val="24"/>
        </w:rPr>
      </w:pPr>
      <w:r>
        <w:rPr>
          <w:sz w:val="24"/>
        </w:rPr>
        <w:t>不同供应商的负责人为同一人或者存在控股、管理关系的；</w:t>
      </w:r>
    </w:p>
    <w:p>
      <w:pPr>
        <w:pStyle w:val="24"/>
        <w:numPr>
          <w:ilvl w:val="0"/>
          <w:numId w:val="16"/>
        </w:numPr>
        <w:tabs>
          <w:tab w:val="left" w:pos="1759"/>
        </w:tabs>
        <w:spacing w:before="165" w:after="0" w:line="240" w:lineRule="auto"/>
        <w:ind w:left="1758" w:right="0" w:hanging="723"/>
        <w:jc w:val="left"/>
        <w:rPr>
          <w:sz w:val="24"/>
        </w:rPr>
      </w:pPr>
      <w:r>
        <w:rPr>
          <w:sz w:val="24"/>
        </w:rPr>
        <w:t>没有详细做出各项技术响应，而是直接复制磋商文件技术内容及要求的；</w:t>
      </w:r>
    </w:p>
    <w:p>
      <w:pPr>
        <w:pStyle w:val="24"/>
        <w:numPr>
          <w:ilvl w:val="0"/>
          <w:numId w:val="16"/>
        </w:numPr>
        <w:tabs>
          <w:tab w:val="left" w:pos="1764"/>
        </w:tabs>
        <w:spacing w:before="166" w:after="0" w:line="367" w:lineRule="auto"/>
        <w:ind w:left="555" w:right="1484" w:firstLine="480"/>
        <w:jc w:val="left"/>
        <w:rPr>
          <w:sz w:val="24"/>
        </w:rPr>
      </w:pPr>
      <w:r>
        <w:rPr>
          <w:spacing w:val="-1"/>
          <w:sz w:val="24"/>
        </w:rPr>
        <w:t>不同供应商的委托代理人(或法定代表人、项目经理、项目总监、项目负责</w:t>
      </w:r>
      <w:r>
        <w:rPr>
          <w:sz w:val="24"/>
        </w:rPr>
        <w:t>人等)在采购文件发布日上月至投标截止日当月在同一单位缴纳社会保险的；</w:t>
      </w:r>
    </w:p>
    <w:p>
      <w:pPr>
        <w:pStyle w:val="24"/>
        <w:numPr>
          <w:ilvl w:val="0"/>
          <w:numId w:val="16"/>
        </w:numPr>
        <w:tabs>
          <w:tab w:val="left" w:pos="1759"/>
        </w:tabs>
        <w:spacing w:before="4" w:after="0" w:line="240" w:lineRule="auto"/>
        <w:ind w:left="1758" w:right="0" w:hanging="723"/>
        <w:jc w:val="left"/>
        <w:rPr>
          <w:sz w:val="24"/>
        </w:rPr>
      </w:pPr>
      <w:r>
        <w:rPr>
          <w:sz w:val="24"/>
        </w:rPr>
        <w:t>服务承诺未响应采购要求的；</w:t>
      </w:r>
    </w:p>
    <w:p>
      <w:pPr>
        <w:pStyle w:val="24"/>
        <w:numPr>
          <w:ilvl w:val="0"/>
          <w:numId w:val="16"/>
        </w:numPr>
        <w:tabs>
          <w:tab w:val="left" w:pos="1759"/>
        </w:tabs>
        <w:spacing w:before="163" w:after="0" w:line="240" w:lineRule="auto"/>
        <w:ind w:left="1758" w:right="0" w:hanging="723"/>
        <w:jc w:val="both"/>
        <w:rPr>
          <w:sz w:val="24"/>
        </w:rPr>
      </w:pPr>
      <w:r>
        <w:rPr>
          <w:sz w:val="24"/>
        </w:rPr>
        <w:t>响应文件含有采购人不能接受的附加条件的；</w:t>
      </w:r>
    </w:p>
    <w:p>
      <w:pPr>
        <w:pStyle w:val="24"/>
        <w:numPr>
          <w:ilvl w:val="0"/>
          <w:numId w:val="16"/>
        </w:numPr>
        <w:tabs>
          <w:tab w:val="left" w:pos="1759"/>
        </w:tabs>
        <w:spacing w:before="166" w:after="0" w:line="369" w:lineRule="auto"/>
        <w:ind w:left="555" w:right="1409" w:firstLine="480"/>
        <w:jc w:val="both"/>
        <w:rPr>
          <w:sz w:val="24"/>
        </w:rPr>
      </w:pPr>
      <w:r>
        <w:rPr>
          <w:spacing w:val="3"/>
          <w:sz w:val="24"/>
        </w:rPr>
        <w:t>磋商小组认为供应商的报价低于完成本服务项目发生的所有含税费用、支</w:t>
      </w:r>
      <w:r>
        <w:rPr>
          <w:spacing w:val="-8"/>
          <w:sz w:val="24"/>
        </w:rPr>
        <w:t>付给员工的工资</w:t>
      </w:r>
      <w:r>
        <w:rPr>
          <w:sz w:val="24"/>
        </w:rPr>
        <w:t>（不得低于供应商所在地最低工资标准</w:t>
      </w:r>
      <w:r>
        <w:rPr>
          <w:spacing w:val="-24"/>
          <w:sz w:val="24"/>
        </w:rPr>
        <w:t>）</w:t>
      </w:r>
      <w:r>
        <w:rPr>
          <w:sz w:val="24"/>
        </w:rPr>
        <w:t>和国家强制缴纳的各种社会保</w:t>
      </w:r>
      <w:r>
        <w:rPr>
          <w:spacing w:val="-9"/>
          <w:sz w:val="24"/>
        </w:rPr>
        <w:t>障资金、公积金，以及供应商认为需要的其他费用等。或供应商的报价明显低于其他通过</w:t>
      </w:r>
      <w:r>
        <w:rPr>
          <w:spacing w:val="-4"/>
          <w:sz w:val="24"/>
        </w:rPr>
        <w:t>符合性审查供应商的报价，有可能影响服务质量或者不能诚信履约的，未在评标现场合</w:t>
      </w:r>
      <w:r>
        <w:rPr>
          <w:spacing w:val="-5"/>
          <w:sz w:val="24"/>
        </w:rPr>
        <w:t>理的时间内提供书面说明或相关证明材料，不能证明其报价合理的；</w:t>
      </w:r>
    </w:p>
    <w:p>
      <w:pPr>
        <w:pStyle w:val="24"/>
        <w:numPr>
          <w:ilvl w:val="0"/>
          <w:numId w:val="16"/>
        </w:numPr>
        <w:tabs>
          <w:tab w:val="left" w:pos="1759"/>
        </w:tabs>
        <w:spacing w:before="0" w:after="0" w:line="301" w:lineRule="exact"/>
        <w:ind w:left="1758" w:right="0" w:hanging="723"/>
        <w:jc w:val="both"/>
        <w:rPr>
          <w:sz w:val="24"/>
        </w:rPr>
      </w:pPr>
      <w:r>
        <w:rPr>
          <w:sz w:val="24"/>
        </w:rPr>
        <w:t>不符合法律、法规和磋商文件规定的其他无效情形。</w:t>
      </w:r>
    </w:p>
    <w:p>
      <w:pPr>
        <w:pStyle w:val="24"/>
        <w:numPr>
          <w:ilvl w:val="1"/>
          <w:numId w:val="14"/>
        </w:numPr>
        <w:tabs>
          <w:tab w:val="left" w:pos="1468"/>
        </w:tabs>
        <w:spacing w:before="167" w:after="0" w:line="367" w:lineRule="auto"/>
        <w:ind w:left="555" w:right="1412" w:firstLine="480"/>
        <w:jc w:val="both"/>
        <w:rPr>
          <w:sz w:val="24"/>
        </w:rPr>
      </w:pPr>
      <w:r>
        <w:rPr>
          <w:spacing w:val="-1"/>
          <w:sz w:val="24"/>
        </w:rPr>
        <w:t>对于通过资格性和符合性审查的供应商，磋商小组所有成员将集中与单一供应</w:t>
      </w:r>
      <w:r>
        <w:rPr>
          <w:sz w:val="24"/>
        </w:rPr>
        <w:t>商分别进行磋商，所有参加磋商的供应商均有同等的磋商机会。</w:t>
      </w:r>
    </w:p>
    <w:p>
      <w:pPr>
        <w:pStyle w:val="24"/>
        <w:numPr>
          <w:ilvl w:val="1"/>
          <w:numId w:val="14"/>
        </w:numPr>
        <w:tabs>
          <w:tab w:val="left" w:pos="1468"/>
        </w:tabs>
        <w:spacing w:before="2" w:after="0" w:line="369" w:lineRule="auto"/>
        <w:ind w:left="555" w:right="1408" w:firstLine="480"/>
        <w:jc w:val="both"/>
        <w:rPr>
          <w:sz w:val="24"/>
        </w:rPr>
      </w:pPr>
      <w:r>
        <w:rPr>
          <w:sz w:val="24"/>
        </w:rPr>
        <w:t>磋商过程中，磋商小组根据磋商文件和磋商情况可以实质性变动采购需求中的</w:t>
      </w:r>
      <w:r>
        <w:rPr>
          <w:spacing w:val="-3"/>
          <w:sz w:val="24"/>
        </w:rPr>
        <w:t>技术、服务要求以及合同草案条款。实质性变动是磋商文件的有效组成部分，磋商小组将以书面形式通知所有参加磋商的供应商。</w:t>
      </w:r>
    </w:p>
    <w:p>
      <w:pPr>
        <w:pStyle w:val="24"/>
        <w:numPr>
          <w:ilvl w:val="1"/>
          <w:numId w:val="14"/>
        </w:numPr>
        <w:tabs>
          <w:tab w:val="left" w:pos="1516"/>
        </w:tabs>
        <w:spacing w:before="39" w:after="0" w:line="367" w:lineRule="auto"/>
        <w:ind w:left="555" w:right="1412" w:firstLine="480"/>
        <w:jc w:val="both"/>
        <w:rPr>
          <w:sz w:val="24"/>
        </w:rPr>
      </w:pPr>
      <w:r>
        <w:rPr>
          <w:spacing w:val="-3"/>
          <w:sz w:val="24"/>
        </w:rPr>
        <w:t>供应商应当按照磋商文件的变动情况和磋商小组的要求重新提交响应文件，并由其法定代表人或授权代表签字或者加盖公章。</w:t>
      </w:r>
    </w:p>
    <w:p>
      <w:pPr>
        <w:pStyle w:val="24"/>
        <w:numPr>
          <w:ilvl w:val="1"/>
          <w:numId w:val="14"/>
        </w:numPr>
        <w:tabs>
          <w:tab w:val="left" w:pos="1468"/>
        </w:tabs>
        <w:spacing w:before="5" w:after="0" w:line="367" w:lineRule="auto"/>
        <w:ind w:left="555" w:right="1415" w:firstLine="480"/>
        <w:jc w:val="both"/>
        <w:rPr>
          <w:sz w:val="24"/>
        </w:rPr>
      </w:pPr>
      <w:r>
        <w:rPr>
          <w:spacing w:val="-1"/>
          <w:sz w:val="24"/>
        </w:rPr>
        <w:t>磋商文件能够详细列明采购标的的技术、服务要求的，磋商结束后，磋商小组</w:t>
      </w:r>
      <w:r>
        <w:rPr>
          <w:sz w:val="24"/>
        </w:rPr>
        <w:t>将要求所有实质性响应的供应商在规定时间内提交最后报价。</w:t>
      </w:r>
    </w:p>
    <w:p>
      <w:pPr>
        <w:pStyle w:val="9"/>
        <w:spacing w:before="2" w:line="369" w:lineRule="auto"/>
        <w:ind w:left="555" w:right="1373" w:firstLine="480"/>
        <w:jc w:val="both"/>
        <w:rPr>
          <w:sz w:val="24"/>
          <w:szCs w:val="24"/>
          <w:u w:val="none" w:color="auto"/>
        </w:rPr>
      </w:pPr>
      <w:r>
        <w:rPr>
          <w:spacing w:val="-3"/>
          <w:sz w:val="24"/>
          <w:szCs w:val="24"/>
          <w:u w:val="none" w:color="auto"/>
        </w:rPr>
        <w:t>磋商文件不能详细列明采购标的的技术、服务要求，需经磋商由供应商提供最终设</w:t>
      </w:r>
      <w:r>
        <w:rPr>
          <w:spacing w:val="-4"/>
          <w:sz w:val="24"/>
          <w:szCs w:val="24"/>
          <w:u w:val="none" w:color="auto"/>
        </w:rPr>
        <w:t xml:space="preserve">计方案或解决方案的，磋商结束后，磋商小组将按照少数服从多数的原则投票推荐 </w:t>
      </w:r>
      <w:r>
        <w:rPr>
          <w:sz w:val="24"/>
          <w:szCs w:val="24"/>
          <w:u w:val="none" w:color="auto"/>
        </w:rPr>
        <w:t>3</w:t>
      </w:r>
      <w:r>
        <w:rPr>
          <w:spacing w:val="-17"/>
          <w:sz w:val="24"/>
          <w:szCs w:val="24"/>
          <w:u w:val="none" w:color="auto"/>
        </w:rPr>
        <w:t xml:space="preserve"> 家以上供应商的设计方案或者解决方案，并要求其在规定时间内提交最后报价。</w:t>
      </w:r>
    </w:p>
    <w:p>
      <w:pPr>
        <w:pStyle w:val="7"/>
        <w:spacing w:line="369" w:lineRule="auto"/>
        <w:ind w:left="555" w:right="1547" w:firstLine="482"/>
      </w:pPr>
      <w:r>
        <w:rPr>
          <w:spacing w:val="-8"/>
          <w:w w:val="95"/>
        </w:rPr>
        <w:t xml:space="preserve">在采购内容和采购需求不变的情况下，供应商次轮报价及最后报价均不得高于首轮  </w:t>
      </w:r>
      <w:r>
        <w:rPr>
          <w:spacing w:val="-8"/>
        </w:rPr>
        <w:t>报价，否则作无效标处理。</w:t>
      </w:r>
    </w:p>
    <w:p>
      <w:pPr>
        <w:pStyle w:val="9"/>
        <w:spacing w:line="369" w:lineRule="auto"/>
        <w:ind w:left="555" w:right="1408" w:firstLine="480"/>
        <w:jc w:val="both"/>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最后报价由磋商供应商法定代表人或授权代表签字或者加盖公章，最后报价是供应商响应文件的有效组成部分，作为评审的依据，同时为最终成交价。符合《政府采购竞争性磋商管理暂行办法》第三条第四项及《财政部关于竞争性磋商采购方式管理暂行办法有关问题的补充通知》（财库[2015]124 号）规定情形的，提交最后报价的供应商可以为 2 家。</w:t>
      </w:r>
    </w:p>
    <w:p>
      <w:pPr>
        <w:pStyle w:val="24"/>
        <w:numPr>
          <w:ilvl w:val="1"/>
          <w:numId w:val="14"/>
        </w:numPr>
        <w:tabs>
          <w:tab w:val="left" w:pos="1456"/>
        </w:tabs>
        <w:spacing w:before="0" w:after="0" w:line="304" w:lineRule="exact"/>
        <w:ind w:left="1456" w:right="0" w:hanging="420"/>
        <w:jc w:val="both"/>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已提交响应文件的供应商，在提交最后报价之前，可以根据磋商情况退出磋商。</w:t>
      </w:r>
    </w:p>
    <w:p>
      <w:pPr>
        <w:pStyle w:val="24"/>
        <w:numPr>
          <w:ilvl w:val="1"/>
          <w:numId w:val="14"/>
        </w:numPr>
        <w:tabs>
          <w:tab w:val="left" w:pos="1519"/>
        </w:tabs>
        <w:spacing w:before="162" w:after="0" w:line="367" w:lineRule="auto"/>
        <w:ind w:left="555" w:right="1405" w:firstLine="480"/>
        <w:jc w:val="both"/>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pPr>
        <w:pStyle w:val="24"/>
        <w:numPr>
          <w:ilvl w:val="1"/>
          <w:numId w:val="14"/>
        </w:numPr>
        <w:tabs>
          <w:tab w:val="left" w:pos="1456"/>
        </w:tabs>
        <w:spacing w:before="11" w:after="0" w:line="240" w:lineRule="auto"/>
        <w:ind w:left="1456" w:right="0" w:hanging="420"/>
        <w:jc w:val="both"/>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出现下列情形之一的，磋商终止：</w:t>
      </w:r>
    </w:p>
    <w:p>
      <w:pPr>
        <w:pStyle w:val="24"/>
        <w:numPr>
          <w:ilvl w:val="0"/>
          <w:numId w:val="17"/>
        </w:numPr>
        <w:tabs>
          <w:tab w:val="left" w:pos="1639"/>
        </w:tabs>
        <w:spacing w:before="163" w:after="0" w:line="240" w:lineRule="auto"/>
        <w:ind w:left="1638" w:right="0" w:hanging="603"/>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因情况变化，不再符合规定的竞争性磋商采购方式适用情形的；</w:t>
      </w:r>
    </w:p>
    <w:p>
      <w:pPr>
        <w:pStyle w:val="24"/>
        <w:numPr>
          <w:ilvl w:val="0"/>
          <w:numId w:val="17"/>
        </w:numPr>
        <w:tabs>
          <w:tab w:val="left" w:pos="1639"/>
        </w:tabs>
        <w:spacing w:before="163" w:after="0" w:line="240" w:lineRule="auto"/>
        <w:ind w:left="1638" w:right="0" w:hanging="603"/>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所有供应商的响应文件被磋商小组认定为无效的；</w:t>
      </w:r>
    </w:p>
    <w:p>
      <w:pPr>
        <w:pStyle w:val="24"/>
        <w:numPr>
          <w:ilvl w:val="0"/>
          <w:numId w:val="17"/>
        </w:numPr>
        <w:tabs>
          <w:tab w:val="left" w:pos="1639"/>
        </w:tabs>
        <w:spacing w:before="165" w:after="0" w:line="240" w:lineRule="auto"/>
        <w:ind w:left="1638" w:right="0" w:hanging="603"/>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出现影响采购公正的违法、违规行为的；</w:t>
      </w:r>
    </w:p>
    <w:p>
      <w:pPr>
        <w:pStyle w:val="24"/>
        <w:numPr>
          <w:ilvl w:val="0"/>
          <w:numId w:val="17"/>
        </w:numPr>
        <w:tabs>
          <w:tab w:val="left" w:pos="1639"/>
        </w:tabs>
        <w:spacing w:before="166" w:after="0" w:line="240" w:lineRule="auto"/>
        <w:ind w:left="1638" w:right="0" w:hanging="603"/>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供应商的最终报价超过采购预算的；</w:t>
      </w:r>
    </w:p>
    <w:p>
      <w:pPr>
        <w:pStyle w:val="24"/>
        <w:numPr>
          <w:ilvl w:val="0"/>
          <w:numId w:val="17"/>
        </w:numPr>
        <w:tabs>
          <w:tab w:val="left" w:pos="1639"/>
        </w:tabs>
        <w:spacing w:before="162" w:after="0" w:line="240" w:lineRule="auto"/>
        <w:ind w:left="1638" w:right="0" w:hanging="603"/>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因重大变故，采购任务取消的；</w:t>
      </w:r>
    </w:p>
    <w:p>
      <w:pPr>
        <w:pStyle w:val="24"/>
        <w:numPr>
          <w:ilvl w:val="0"/>
          <w:numId w:val="17"/>
        </w:numPr>
        <w:tabs>
          <w:tab w:val="left" w:pos="1644"/>
        </w:tabs>
        <w:spacing w:before="166" w:after="0" w:line="369" w:lineRule="auto"/>
        <w:ind w:left="555" w:right="1484" w:firstLine="480"/>
        <w:jc w:val="left"/>
        <w:rPr>
          <w:rFonts w:hint="eastAsia" w:ascii="宋体" w:hAnsi="宋体" w:eastAsia="宋体" w:cs="宋体"/>
          <w:spacing w:val="-2"/>
          <w:sz w:val="24"/>
          <w:szCs w:val="22"/>
          <w:u w:val="none"/>
          <w:lang w:val="en-US" w:eastAsia="zh-CN" w:bidi="ar-SA"/>
        </w:rPr>
      </w:pPr>
      <w:r>
        <w:rPr>
          <w:rFonts w:hint="eastAsia" w:ascii="宋体" w:hAnsi="宋体" w:eastAsia="宋体" w:cs="宋体"/>
          <w:spacing w:val="-2"/>
          <w:sz w:val="24"/>
          <w:szCs w:val="22"/>
          <w:u w:val="none"/>
          <w:lang w:val="en-US" w:eastAsia="zh-CN" w:bidi="ar-SA"/>
        </w:rPr>
        <w:t>采购人需求发生重大变化暂时不能确定或供应商提供的货物、服务和工程不能满足需求等。</w:t>
      </w:r>
    </w:p>
    <w:p>
      <w:pPr>
        <w:pStyle w:val="6"/>
        <w:numPr>
          <w:ilvl w:val="0"/>
          <w:numId w:val="0"/>
        </w:numPr>
        <w:tabs>
          <w:tab w:val="left" w:pos="459"/>
        </w:tabs>
        <w:spacing w:before="44" w:after="0" w:line="240" w:lineRule="auto"/>
        <w:ind w:left="215" w:leftChars="0" w:right="0" w:rightChars="0"/>
        <w:jc w:val="left"/>
        <w:rPr>
          <w:rFonts w:hint="eastAsia" w:ascii="宋体" w:hAnsi="宋体" w:eastAsia="宋体" w:cs="宋体"/>
          <w:b/>
          <w:sz w:val="35"/>
          <w:u w:val="none"/>
        </w:rPr>
      </w:pPr>
      <w:r>
        <w:rPr>
          <w:rFonts w:hint="eastAsia" w:ascii="宋体" w:hAnsi="宋体" w:eastAsia="宋体" w:cs="宋体"/>
          <w:spacing w:val="-2"/>
          <w:w w:val="95"/>
          <w:lang w:val="en-US" w:eastAsia="zh-CN"/>
        </w:rPr>
        <w:t>4.</w:t>
      </w:r>
      <w:r>
        <w:rPr>
          <w:rFonts w:hint="eastAsia" w:ascii="宋体" w:hAnsi="宋体" w:eastAsia="宋体" w:cs="宋体"/>
          <w:spacing w:val="-2"/>
          <w:w w:val="95"/>
        </w:rPr>
        <w:t>评定成交方法和标准</w:t>
      </w:r>
    </w:p>
    <w:p>
      <w:pPr>
        <w:pStyle w:val="24"/>
        <w:numPr>
          <w:ilvl w:val="1"/>
          <w:numId w:val="15"/>
        </w:numPr>
        <w:tabs>
          <w:tab w:val="left" w:pos="1177"/>
        </w:tabs>
        <w:spacing w:before="0"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采用综合评分法。即在最大限度地满足</w:t>
      </w:r>
      <w:r>
        <w:rPr>
          <w:rFonts w:hint="eastAsia" w:cs="宋体"/>
          <w:spacing w:val="-2"/>
          <w:sz w:val="24"/>
          <w:lang w:val="en-US" w:eastAsia="zh-CN"/>
        </w:rPr>
        <w:t>招标</w:t>
      </w:r>
      <w:r>
        <w:rPr>
          <w:rFonts w:hint="eastAsia" w:ascii="宋体" w:hAnsi="宋体" w:eastAsia="宋体" w:cs="宋体"/>
          <w:spacing w:val="-2"/>
          <w:sz w:val="24"/>
        </w:rPr>
        <w:t>文件实质性要求前提下，按照</w:t>
      </w:r>
      <w:r>
        <w:rPr>
          <w:rFonts w:hint="eastAsia" w:cs="宋体"/>
          <w:spacing w:val="-2"/>
          <w:sz w:val="24"/>
          <w:lang w:val="en-US" w:eastAsia="zh-CN"/>
        </w:rPr>
        <w:t>招标</w:t>
      </w:r>
      <w:r>
        <w:rPr>
          <w:rFonts w:hint="eastAsia" w:ascii="宋体" w:hAnsi="宋体" w:eastAsia="宋体" w:cs="宋体"/>
          <w:spacing w:val="-2"/>
          <w:sz w:val="24"/>
        </w:rPr>
        <w:t>文件中规定的各项因素进行综合评审后，以评审总得分最高的供应商作为成交候选供应商或者成交供应商的评审方法。</w:t>
      </w:r>
    </w:p>
    <w:p>
      <w:pPr>
        <w:pStyle w:val="24"/>
        <w:numPr>
          <w:ilvl w:val="1"/>
          <w:numId w:val="15"/>
        </w:numPr>
        <w:tabs>
          <w:tab w:val="left" w:pos="1177"/>
        </w:tabs>
        <w:spacing w:before="2" w:after="0" w:line="240" w:lineRule="auto"/>
        <w:ind w:left="1176" w:right="0" w:hanging="481"/>
        <w:jc w:val="both"/>
        <w:rPr>
          <w:rFonts w:hint="eastAsia" w:ascii="宋体" w:hAnsi="宋体" w:eastAsia="宋体" w:cs="宋体"/>
          <w:sz w:val="34"/>
          <w:u w:val="none"/>
        </w:rPr>
      </w:pPr>
      <w:r>
        <w:rPr>
          <w:rFonts w:hint="eastAsia" w:ascii="宋体" w:hAnsi="宋体" w:eastAsia="宋体" w:cs="宋体"/>
          <w:spacing w:val="-1"/>
          <w:sz w:val="24"/>
        </w:rPr>
        <w:t>评审标准详见文件第三章。</w:t>
      </w:r>
    </w:p>
    <w:p>
      <w:pPr>
        <w:pStyle w:val="6"/>
        <w:numPr>
          <w:ilvl w:val="0"/>
          <w:numId w:val="0"/>
        </w:numPr>
        <w:tabs>
          <w:tab w:val="left" w:pos="459"/>
        </w:tabs>
        <w:spacing w:before="0" w:after="0" w:line="240" w:lineRule="auto"/>
        <w:ind w:left="215" w:leftChars="0" w:right="0" w:rightChars="0"/>
        <w:jc w:val="left"/>
        <w:rPr>
          <w:rFonts w:hint="eastAsia" w:ascii="宋体" w:hAnsi="宋体" w:eastAsia="宋体" w:cs="宋体"/>
          <w:b/>
          <w:sz w:val="34"/>
          <w:u w:val="none"/>
        </w:rPr>
      </w:pPr>
      <w:r>
        <w:rPr>
          <w:rFonts w:hint="eastAsia" w:ascii="宋体" w:hAnsi="宋体" w:eastAsia="宋体" w:cs="宋体"/>
          <w:w w:val="95"/>
          <w:lang w:val="en-US" w:eastAsia="zh-CN"/>
        </w:rPr>
        <w:t>5.</w:t>
      </w:r>
      <w:r>
        <w:rPr>
          <w:rFonts w:hint="eastAsia" w:ascii="宋体" w:hAnsi="宋体" w:eastAsia="宋体" w:cs="宋体"/>
          <w:w w:val="95"/>
        </w:rPr>
        <w:t>确定成交供应</w:t>
      </w:r>
      <w:r>
        <w:rPr>
          <w:rFonts w:hint="eastAsia" w:ascii="宋体" w:hAnsi="宋体" w:eastAsia="宋体" w:cs="宋体"/>
          <w:spacing w:val="-10"/>
          <w:w w:val="95"/>
        </w:rPr>
        <w:t>商</w:t>
      </w:r>
    </w:p>
    <w:p>
      <w:pPr>
        <w:pStyle w:val="24"/>
        <w:numPr>
          <w:ilvl w:val="1"/>
          <w:numId w:val="15"/>
        </w:numPr>
        <w:tabs>
          <w:tab w:val="left" w:pos="1177"/>
        </w:tabs>
        <w:spacing w:before="1" w:after="0" w:line="364" w:lineRule="auto"/>
        <w:ind w:left="216" w:right="1092" w:firstLine="480"/>
        <w:jc w:val="both"/>
        <w:rPr>
          <w:rFonts w:hint="eastAsia" w:ascii="宋体" w:hAnsi="宋体" w:eastAsia="宋体" w:cs="宋体"/>
          <w:sz w:val="24"/>
        </w:rPr>
      </w:pPr>
      <w:r>
        <w:rPr>
          <w:rFonts w:hint="eastAsia" w:ascii="宋体" w:hAnsi="宋体" w:eastAsia="宋体" w:cs="宋体"/>
          <w:spacing w:val="-1"/>
          <w:sz w:val="24"/>
        </w:rPr>
        <w:t>在综合比较与评价后按照得分高低顺序对供应商进行排列。</w:t>
      </w:r>
      <w:r>
        <w:rPr>
          <w:rFonts w:hint="eastAsia" w:ascii="宋体" w:hAnsi="宋体" w:eastAsia="宋体" w:cs="宋体"/>
          <w:b/>
          <w:spacing w:val="-5"/>
          <w:w w:val="99"/>
          <w:sz w:val="24"/>
        </w:rPr>
        <w:t>得分相同的，按报价由低到高顺序排列。得分相同且报价相同的，按技术指标优劣顺序排列。</w:t>
      </w:r>
      <w:r>
        <w:rPr>
          <w:rFonts w:hint="eastAsia" w:cs="宋体"/>
          <w:spacing w:val="-3"/>
          <w:sz w:val="24"/>
          <w:lang w:eastAsia="zh-CN"/>
        </w:rPr>
        <w:t>投标</w:t>
      </w:r>
      <w:r>
        <w:rPr>
          <w:rFonts w:hint="eastAsia" w:ascii="宋体" w:hAnsi="宋体" w:eastAsia="宋体" w:cs="宋体"/>
          <w:spacing w:val="-3"/>
          <w:sz w:val="24"/>
        </w:rPr>
        <w:t>小组将</w:t>
      </w:r>
      <w:r>
        <w:rPr>
          <w:rFonts w:hint="eastAsia" w:ascii="宋体" w:hAnsi="宋体" w:eastAsia="宋体" w:cs="宋体"/>
          <w:sz w:val="24"/>
        </w:rPr>
        <w:t>严格按照</w:t>
      </w:r>
      <w:r>
        <w:rPr>
          <w:rFonts w:hint="eastAsia" w:cs="宋体"/>
          <w:sz w:val="24"/>
          <w:lang w:val="en-US" w:eastAsia="zh-CN"/>
        </w:rPr>
        <w:t>竞争性磋商</w:t>
      </w:r>
      <w:r>
        <w:rPr>
          <w:rFonts w:hint="eastAsia" w:ascii="宋体" w:hAnsi="宋体" w:eastAsia="宋体" w:cs="宋体"/>
          <w:sz w:val="24"/>
        </w:rPr>
        <w:t>文件的要求和条件进行比较,根据评审办法直接确定成交供应商或推荐出成交候选供应商。</w:t>
      </w:r>
    </w:p>
    <w:p>
      <w:pPr>
        <w:pStyle w:val="24"/>
        <w:numPr>
          <w:ilvl w:val="1"/>
          <w:numId w:val="15"/>
        </w:numPr>
        <w:tabs>
          <w:tab w:val="left" w:pos="1177"/>
        </w:tabs>
        <w:spacing w:before="3" w:after="0" w:line="364" w:lineRule="auto"/>
        <w:ind w:left="216" w:right="1095" w:firstLine="480"/>
        <w:jc w:val="both"/>
        <w:rPr>
          <w:rFonts w:hint="eastAsia" w:ascii="宋体" w:hAnsi="宋体" w:eastAsia="宋体" w:cs="宋体"/>
          <w:sz w:val="24"/>
        </w:rPr>
      </w:pPr>
      <w:r>
        <w:rPr>
          <w:rFonts w:hint="eastAsia" w:ascii="宋体" w:hAnsi="宋体" w:eastAsia="宋体" w:cs="宋体"/>
          <w:spacing w:val="-5"/>
          <w:sz w:val="24"/>
        </w:rPr>
        <w:t>成交供应商确定后，将在原采购信息发布媒体上公告。成交供应商需按</w:t>
      </w:r>
      <w:r>
        <w:rPr>
          <w:rFonts w:hint="eastAsia" w:cs="宋体"/>
          <w:spacing w:val="-5"/>
          <w:sz w:val="24"/>
          <w:lang w:val="en-US" w:eastAsia="zh-CN"/>
        </w:rPr>
        <w:t>磋商</w:t>
      </w:r>
      <w:r>
        <w:rPr>
          <w:rFonts w:hint="eastAsia" w:ascii="宋体" w:hAnsi="宋体" w:eastAsia="宋体" w:cs="宋体"/>
          <w:spacing w:val="-5"/>
          <w:sz w:val="24"/>
        </w:rPr>
        <w:t>文</w:t>
      </w:r>
      <w:r>
        <w:rPr>
          <w:rFonts w:hint="eastAsia" w:ascii="宋体" w:hAnsi="宋体" w:eastAsia="宋体" w:cs="宋体"/>
          <w:spacing w:val="3"/>
          <w:sz w:val="24"/>
        </w:rPr>
        <w:t>件要求将由信用承诺书替代的证明材料提交采购人或采购代理机构核验。经核验无误后，由采购人或采购代理机构发出成交通知书。</w:t>
      </w:r>
    </w:p>
    <w:p>
      <w:pPr>
        <w:pStyle w:val="24"/>
        <w:numPr>
          <w:ilvl w:val="1"/>
          <w:numId w:val="15"/>
        </w:numPr>
        <w:tabs>
          <w:tab w:val="left" w:pos="1177"/>
        </w:tabs>
        <w:spacing w:before="1" w:after="0" w:line="240" w:lineRule="auto"/>
        <w:ind w:left="1176" w:right="0" w:hanging="481"/>
        <w:jc w:val="both"/>
        <w:rPr>
          <w:rFonts w:hint="eastAsia" w:ascii="宋体" w:hAnsi="宋体" w:eastAsia="宋体" w:cs="宋体"/>
          <w:sz w:val="24"/>
        </w:rPr>
      </w:pPr>
      <w:r>
        <w:rPr>
          <w:rFonts w:hint="eastAsia" w:ascii="宋体" w:hAnsi="宋体" w:eastAsia="宋体" w:cs="宋体"/>
          <w:spacing w:val="-1"/>
          <w:sz w:val="24"/>
        </w:rPr>
        <w:t>成交通知书对采购人和成交供应商具有同等法律效力。</w:t>
      </w:r>
    </w:p>
    <w:p>
      <w:pPr>
        <w:pStyle w:val="24"/>
        <w:numPr>
          <w:ilvl w:val="1"/>
          <w:numId w:val="15"/>
        </w:numPr>
        <w:tabs>
          <w:tab w:val="left" w:pos="1177"/>
        </w:tabs>
        <w:spacing w:before="161" w:after="0" w:line="240" w:lineRule="auto"/>
        <w:ind w:left="1176" w:right="0" w:hanging="481"/>
        <w:jc w:val="left"/>
        <w:rPr>
          <w:rFonts w:hint="eastAsia" w:ascii="宋体" w:hAnsi="宋体" w:eastAsia="宋体" w:cs="宋体"/>
          <w:sz w:val="24"/>
        </w:rPr>
      </w:pPr>
      <w:r>
        <w:rPr>
          <w:rFonts w:hint="eastAsia" w:ascii="宋体" w:hAnsi="宋体" w:eastAsia="宋体" w:cs="宋体"/>
          <w:spacing w:val="-1"/>
          <w:sz w:val="24"/>
        </w:rPr>
        <w:t>采购代理机构对未成交的供应商不作未成交原因的解释。</w:t>
      </w:r>
    </w:p>
    <w:p>
      <w:pPr>
        <w:pStyle w:val="24"/>
        <w:numPr>
          <w:ilvl w:val="1"/>
          <w:numId w:val="15"/>
        </w:numPr>
        <w:tabs>
          <w:tab w:val="left" w:pos="1177"/>
        </w:tabs>
        <w:spacing w:before="161" w:after="0" w:line="240" w:lineRule="auto"/>
        <w:ind w:left="1176" w:right="0" w:hanging="481"/>
        <w:jc w:val="left"/>
        <w:rPr>
          <w:rFonts w:hint="eastAsia" w:ascii="宋体" w:hAnsi="宋体" w:eastAsia="宋体" w:cs="宋体"/>
          <w:sz w:val="34"/>
          <w:u w:val="none"/>
        </w:rPr>
      </w:pPr>
      <w:r>
        <w:rPr>
          <w:rFonts w:hint="eastAsia" w:ascii="宋体" w:hAnsi="宋体" w:eastAsia="宋体" w:cs="宋体"/>
          <w:spacing w:val="-1"/>
          <w:sz w:val="24"/>
        </w:rPr>
        <w:t>所有响应文件都将作为档案保存，不论成交与否，采购代理机构均不退回。</w:t>
      </w:r>
    </w:p>
    <w:p>
      <w:pPr>
        <w:pStyle w:val="6"/>
        <w:numPr>
          <w:ilvl w:val="0"/>
          <w:numId w:val="0"/>
        </w:numPr>
        <w:tabs>
          <w:tab w:val="left" w:pos="459"/>
        </w:tabs>
        <w:spacing w:before="0" w:after="0" w:line="240" w:lineRule="auto"/>
        <w:ind w:left="215" w:leftChars="0" w:right="0" w:rightChars="0"/>
        <w:jc w:val="left"/>
        <w:rPr>
          <w:rFonts w:hint="eastAsia" w:ascii="宋体" w:hAnsi="宋体" w:eastAsia="宋体" w:cs="宋体"/>
          <w:b/>
          <w:sz w:val="34"/>
          <w:u w:val="none"/>
        </w:rPr>
      </w:pPr>
      <w:r>
        <w:rPr>
          <w:rFonts w:hint="eastAsia" w:ascii="宋体" w:hAnsi="宋体" w:eastAsia="宋体" w:cs="宋体"/>
          <w:w w:val="95"/>
          <w:lang w:val="en-US" w:eastAsia="zh-CN"/>
        </w:rPr>
        <w:t>6.</w:t>
      </w:r>
      <w:r>
        <w:rPr>
          <w:rFonts w:hint="eastAsia" w:ascii="宋体" w:hAnsi="宋体" w:eastAsia="宋体" w:cs="宋体"/>
          <w:w w:val="95"/>
        </w:rPr>
        <w:t>编写评审报</w:t>
      </w:r>
      <w:r>
        <w:rPr>
          <w:rFonts w:hint="eastAsia" w:ascii="宋体" w:hAnsi="宋体" w:eastAsia="宋体" w:cs="宋体"/>
          <w:spacing w:val="-10"/>
          <w:w w:val="95"/>
        </w:rPr>
        <w:t>告</w:t>
      </w:r>
    </w:p>
    <w:p>
      <w:pPr>
        <w:pStyle w:val="24"/>
        <w:numPr>
          <w:ilvl w:val="1"/>
          <w:numId w:val="15"/>
        </w:numPr>
        <w:tabs>
          <w:tab w:val="left" w:pos="1177"/>
        </w:tabs>
        <w:spacing w:before="0" w:after="0" w:line="240" w:lineRule="auto"/>
        <w:ind w:left="1176" w:right="0" w:hanging="481"/>
        <w:jc w:val="left"/>
        <w:rPr>
          <w:rFonts w:hint="eastAsia" w:ascii="宋体" w:hAnsi="宋体" w:eastAsia="宋体" w:cs="宋体"/>
          <w:spacing w:val="-1"/>
          <w:sz w:val="24"/>
        </w:rPr>
      </w:pPr>
      <w:r>
        <w:rPr>
          <w:rFonts w:hint="eastAsia" w:cs="宋体"/>
          <w:spacing w:val="-1"/>
          <w:sz w:val="24"/>
          <w:lang w:eastAsia="zh-CN"/>
        </w:rPr>
        <w:t>投标</w:t>
      </w:r>
      <w:r>
        <w:rPr>
          <w:rFonts w:hint="eastAsia" w:ascii="宋体" w:hAnsi="宋体" w:eastAsia="宋体" w:cs="宋体"/>
          <w:spacing w:val="-1"/>
          <w:sz w:val="24"/>
        </w:rPr>
        <w:t>小组根据</w:t>
      </w:r>
      <w:r>
        <w:rPr>
          <w:rFonts w:hint="eastAsia" w:cs="宋体"/>
          <w:spacing w:val="-1"/>
          <w:sz w:val="24"/>
          <w:lang w:eastAsia="zh-CN"/>
        </w:rPr>
        <w:t>投标</w:t>
      </w:r>
      <w:r>
        <w:rPr>
          <w:rFonts w:hint="eastAsia" w:ascii="宋体" w:hAnsi="宋体" w:eastAsia="宋体" w:cs="宋体"/>
          <w:spacing w:val="-1"/>
          <w:sz w:val="24"/>
        </w:rPr>
        <w:t>过程和结果编写评审报告。</w:t>
      </w:r>
    </w:p>
    <w:p>
      <w:pPr>
        <w:pStyle w:val="24"/>
        <w:numPr>
          <w:ilvl w:val="0"/>
          <w:numId w:val="0"/>
        </w:numPr>
        <w:tabs>
          <w:tab w:val="left" w:pos="1177"/>
        </w:tabs>
        <w:spacing w:before="0" w:after="0" w:line="240" w:lineRule="auto"/>
        <w:ind w:left="275" w:leftChars="0" w:right="0" w:rightChars="0"/>
        <w:jc w:val="left"/>
        <w:rPr>
          <w:rFonts w:hint="eastAsia" w:ascii="宋体" w:hAnsi="宋体" w:eastAsia="宋体" w:cs="宋体"/>
          <w:spacing w:val="-1"/>
          <w:sz w:val="24"/>
        </w:rPr>
      </w:pPr>
    </w:p>
    <w:p>
      <w:pPr>
        <w:pStyle w:val="6"/>
        <w:numPr>
          <w:ilvl w:val="0"/>
          <w:numId w:val="0"/>
        </w:numPr>
        <w:tabs>
          <w:tab w:val="left" w:pos="459"/>
        </w:tabs>
        <w:spacing w:before="0" w:after="0" w:line="240" w:lineRule="auto"/>
        <w:ind w:left="215" w:leftChars="0" w:right="0" w:rightChars="0"/>
        <w:jc w:val="left"/>
        <w:rPr>
          <w:rFonts w:hint="eastAsia" w:ascii="宋体" w:hAnsi="宋体" w:eastAsia="宋体" w:cs="宋体"/>
          <w:b/>
          <w:sz w:val="34"/>
          <w:u w:val="none"/>
        </w:rPr>
      </w:pPr>
      <w:r>
        <w:rPr>
          <w:rFonts w:hint="eastAsia" w:ascii="宋体" w:hAnsi="宋体" w:eastAsia="宋体" w:cs="宋体"/>
          <w:w w:val="95"/>
          <w:lang w:val="en-US" w:eastAsia="zh-CN"/>
        </w:rPr>
        <w:t>7.</w:t>
      </w:r>
      <w:r>
        <w:rPr>
          <w:rFonts w:hint="eastAsia" w:ascii="宋体" w:hAnsi="宋体" w:eastAsia="宋体" w:cs="宋体"/>
          <w:w w:val="95"/>
        </w:rPr>
        <w:t>签订合</w:t>
      </w:r>
      <w:r>
        <w:rPr>
          <w:rFonts w:hint="eastAsia" w:ascii="宋体" w:hAnsi="宋体" w:eastAsia="宋体" w:cs="宋体"/>
          <w:spacing w:val="-10"/>
          <w:w w:val="95"/>
        </w:rPr>
        <w:t>同</w:t>
      </w:r>
    </w:p>
    <w:p>
      <w:pPr>
        <w:rPr>
          <w:rFonts w:hint="eastAsia" w:ascii="宋体" w:hAnsi="宋体" w:eastAsia="宋体" w:cs="宋体"/>
          <w:spacing w:val="-10"/>
          <w:w w:val="95"/>
        </w:rPr>
      </w:pPr>
    </w:p>
    <w:p>
      <w:pPr>
        <w:pStyle w:val="17"/>
        <w:rPr>
          <w:rFonts w:hint="eastAsia"/>
        </w:rPr>
      </w:pPr>
    </w:p>
    <w:p>
      <w:pPr>
        <w:pStyle w:val="24"/>
        <w:numPr>
          <w:ilvl w:val="1"/>
          <w:numId w:val="15"/>
        </w:numPr>
        <w:tabs>
          <w:tab w:val="left" w:pos="1177"/>
        </w:tabs>
        <w:spacing w:before="0" w:after="0" w:line="364" w:lineRule="auto"/>
        <w:ind w:left="216" w:right="1095" w:firstLine="480"/>
        <w:jc w:val="left"/>
        <w:rPr>
          <w:rFonts w:hint="eastAsia" w:ascii="宋体" w:hAnsi="宋体" w:eastAsia="宋体" w:cs="宋体"/>
          <w:sz w:val="24"/>
        </w:rPr>
      </w:pPr>
      <w:r>
        <w:rPr>
          <w:rFonts w:hint="eastAsia" w:ascii="宋体" w:hAnsi="宋体" w:eastAsia="宋体" w:cs="宋体"/>
          <w:spacing w:val="-2"/>
          <w:sz w:val="24"/>
        </w:rPr>
        <w:t>成交供应商应当自成交通知书发出之日起三十日内，与采购人签订政府采购合同，所签订的合同不得对</w:t>
      </w:r>
      <w:r>
        <w:rPr>
          <w:rFonts w:hint="eastAsia" w:cs="宋体"/>
          <w:spacing w:val="-2"/>
          <w:sz w:val="24"/>
          <w:lang w:val="en-US" w:eastAsia="zh-CN"/>
        </w:rPr>
        <w:t>磋商</w:t>
      </w:r>
      <w:r>
        <w:rPr>
          <w:rFonts w:hint="eastAsia" w:ascii="宋体" w:hAnsi="宋体" w:eastAsia="宋体" w:cs="宋体"/>
          <w:spacing w:val="-2"/>
          <w:sz w:val="24"/>
        </w:rPr>
        <w:t>文件和响应文件作实质性修改。</w:t>
      </w:r>
    </w:p>
    <w:p>
      <w:pPr>
        <w:pStyle w:val="24"/>
        <w:numPr>
          <w:ilvl w:val="1"/>
          <w:numId w:val="15"/>
        </w:numPr>
        <w:tabs>
          <w:tab w:val="left" w:pos="1177"/>
        </w:tabs>
        <w:spacing w:before="2" w:after="0" w:line="364" w:lineRule="auto"/>
        <w:ind w:left="216" w:right="1097" w:firstLine="480"/>
        <w:jc w:val="left"/>
        <w:rPr>
          <w:rFonts w:hint="eastAsia" w:ascii="宋体" w:hAnsi="宋体" w:eastAsia="宋体" w:cs="宋体"/>
          <w:sz w:val="24"/>
        </w:rPr>
      </w:pPr>
      <w:r>
        <w:rPr>
          <w:rFonts w:hint="eastAsia" w:ascii="宋体" w:hAnsi="宋体" w:eastAsia="宋体" w:cs="宋体"/>
          <w:spacing w:val="-2"/>
          <w:sz w:val="24"/>
        </w:rPr>
        <w:t>采购人不得向成交供应商提出任何不合理的要求作为签订合同的条件，不得与成交供应商私下订立背离合同实质性内容的协议。</w:t>
      </w:r>
    </w:p>
    <w:p>
      <w:pPr>
        <w:pStyle w:val="24"/>
        <w:numPr>
          <w:ilvl w:val="1"/>
          <w:numId w:val="15"/>
        </w:numPr>
        <w:tabs>
          <w:tab w:val="left" w:pos="1177"/>
        </w:tabs>
        <w:spacing w:before="1" w:after="0" w:line="364" w:lineRule="auto"/>
        <w:ind w:left="216" w:right="1097" w:firstLine="480"/>
        <w:jc w:val="left"/>
        <w:rPr>
          <w:rFonts w:hint="eastAsia" w:ascii="宋体" w:hAnsi="宋体" w:eastAsia="宋体" w:cs="宋体"/>
          <w:sz w:val="24"/>
        </w:rPr>
      </w:pPr>
      <w:r>
        <w:rPr>
          <w:rFonts w:hint="eastAsia" w:ascii="宋体" w:hAnsi="宋体" w:eastAsia="宋体" w:cs="宋体"/>
          <w:spacing w:val="-2"/>
          <w:sz w:val="24"/>
        </w:rPr>
        <w:t>除不可抗力等因素外，成交通知书发出后，采购人改变成交结果，或者成交供应商拒绝签订政府采购合同的，应当承担相应的法律责任。</w:t>
      </w:r>
    </w:p>
    <w:p>
      <w:pPr>
        <w:pStyle w:val="24"/>
        <w:numPr>
          <w:ilvl w:val="1"/>
          <w:numId w:val="15"/>
        </w:numPr>
        <w:tabs>
          <w:tab w:val="left" w:pos="1177"/>
        </w:tabs>
        <w:spacing w:before="37" w:after="0" w:line="364" w:lineRule="auto"/>
        <w:ind w:left="216" w:right="975" w:firstLine="480"/>
        <w:jc w:val="left"/>
        <w:rPr>
          <w:rFonts w:hint="eastAsia" w:ascii="宋体" w:hAnsi="宋体" w:eastAsia="宋体" w:cs="宋体"/>
          <w:sz w:val="24"/>
        </w:rPr>
      </w:pPr>
      <w:r>
        <w:rPr>
          <w:rFonts w:hint="eastAsia" w:ascii="宋体" w:hAnsi="宋体" w:eastAsia="宋体" w:cs="宋体"/>
          <w:spacing w:val="-2"/>
          <w:sz w:val="24"/>
        </w:rPr>
        <w:t>成交供应商除发生法律规定的不能预见、不能避免并不能克服的客观情况外不</w:t>
      </w:r>
      <w:r>
        <w:rPr>
          <w:rFonts w:hint="eastAsia" w:ascii="宋体" w:hAnsi="宋体" w:eastAsia="宋体" w:cs="宋体"/>
          <w:spacing w:val="-14"/>
          <w:sz w:val="24"/>
        </w:rPr>
        <w:t>得放弃或拒绝签订合同。放弃或拒绝签订合同的，财政部门视情将其列入不良行为名单，</w:t>
      </w:r>
      <w:r>
        <w:rPr>
          <w:rFonts w:hint="eastAsia" w:ascii="宋体" w:hAnsi="宋体" w:eastAsia="宋体" w:cs="宋体"/>
          <w:spacing w:val="-2"/>
          <w:sz w:val="24"/>
        </w:rPr>
        <w:t>在一至三年内不得参加南京市政府采购活动。</w:t>
      </w:r>
    </w:p>
    <w:p>
      <w:pPr>
        <w:pStyle w:val="24"/>
        <w:numPr>
          <w:ilvl w:val="1"/>
          <w:numId w:val="15"/>
        </w:numPr>
        <w:tabs>
          <w:tab w:val="left" w:pos="1129"/>
        </w:tabs>
        <w:spacing w:before="2"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成交供应商拒绝签订政府采购合同的，或因不可抗力或者自身原因不能履行政府采购合同的，采购人可以视情与排位在成交供应商之后第一位的成交候选供应商签订政府采购合同，也可以重新开展采购活动。</w:t>
      </w:r>
    </w:p>
    <w:p>
      <w:pPr>
        <w:pStyle w:val="24"/>
        <w:numPr>
          <w:ilvl w:val="1"/>
          <w:numId w:val="15"/>
        </w:numPr>
        <w:tabs>
          <w:tab w:val="left" w:pos="1177"/>
        </w:tabs>
        <w:spacing w:before="2" w:after="0" w:line="364" w:lineRule="auto"/>
        <w:ind w:left="216" w:right="1095" w:firstLine="480"/>
        <w:jc w:val="both"/>
        <w:rPr>
          <w:rFonts w:hint="eastAsia" w:ascii="宋体" w:hAnsi="宋体" w:eastAsia="宋体" w:cs="宋体"/>
          <w:sz w:val="22"/>
          <w:u w:val="none"/>
        </w:rPr>
      </w:pPr>
      <w:r>
        <w:rPr>
          <w:rFonts w:hint="eastAsia" w:ascii="宋体" w:hAnsi="宋体" w:eastAsia="宋体" w:cs="宋体"/>
          <w:spacing w:val="-2"/>
          <w:sz w:val="24"/>
        </w:rPr>
        <w:t>政府采购合同履行中，采购人需追加与合同标的相同的服务的，在不改变合同其他条款的前提下，可以与供应商协商签订补充合同，但所有补充合同的采购金额不得超过原合同采购金额的百分之十。</w:t>
      </w:r>
    </w:p>
    <w:p>
      <w:pPr>
        <w:spacing w:after="0" w:line="364" w:lineRule="auto"/>
        <w:jc w:val="left"/>
        <w:rPr>
          <w:rFonts w:hint="eastAsia" w:ascii="宋体" w:hAnsi="宋体" w:eastAsia="宋体" w:cs="宋体"/>
          <w:sz w:val="24"/>
        </w:rPr>
        <w:sectPr>
          <w:pgSz w:w="11910" w:h="16840"/>
          <w:pgMar w:top="1460" w:right="320" w:bottom="280" w:left="1200" w:header="720" w:footer="720" w:gutter="0"/>
          <w:cols w:space="720" w:num="1"/>
        </w:sectPr>
      </w:pPr>
    </w:p>
    <w:p>
      <w:pPr>
        <w:pStyle w:val="6"/>
        <w:ind w:left="216" w:firstLine="0"/>
        <w:rPr>
          <w:rFonts w:hint="eastAsia" w:ascii="宋体" w:hAnsi="宋体" w:eastAsia="宋体" w:cs="宋体"/>
          <w:b/>
          <w:sz w:val="37"/>
          <w:u w:val="none"/>
        </w:rPr>
      </w:pPr>
      <w:r>
        <w:rPr>
          <w:rFonts w:hint="eastAsia" w:ascii="宋体" w:hAnsi="宋体" w:eastAsia="宋体" w:cs="宋体"/>
          <w:w w:val="95"/>
        </w:rPr>
        <w:t>七、询问、质疑、投诉和诚实信</w:t>
      </w:r>
      <w:r>
        <w:rPr>
          <w:rFonts w:hint="eastAsia" w:ascii="宋体" w:hAnsi="宋体" w:eastAsia="宋体" w:cs="宋体"/>
          <w:spacing w:val="-10"/>
          <w:w w:val="95"/>
        </w:rPr>
        <w:t>用</w:t>
      </w:r>
    </w:p>
    <w:p>
      <w:pPr>
        <w:pStyle w:val="24"/>
        <w:numPr>
          <w:ilvl w:val="0"/>
          <w:numId w:val="18"/>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b/>
          <w:w w:val="95"/>
          <w:sz w:val="32"/>
        </w:rPr>
        <w:t>询</w:t>
      </w:r>
      <w:r>
        <w:rPr>
          <w:rFonts w:hint="eastAsia" w:ascii="宋体" w:hAnsi="宋体" w:eastAsia="宋体" w:cs="宋体"/>
          <w:b/>
          <w:spacing w:val="-10"/>
          <w:sz w:val="32"/>
        </w:rPr>
        <w:t>问</w:t>
      </w:r>
    </w:p>
    <w:p>
      <w:pPr>
        <w:pStyle w:val="24"/>
        <w:numPr>
          <w:ilvl w:val="1"/>
          <w:numId w:val="18"/>
        </w:numPr>
        <w:tabs>
          <w:tab w:val="left" w:pos="1177"/>
        </w:tabs>
        <w:spacing w:before="0" w:after="0" w:line="364" w:lineRule="auto"/>
        <w:ind w:left="216" w:right="1095" w:firstLine="480"/>
        <w:jc w:val="both"/>
        <w:rPr>
          <w:rFonts w:hint="eastAsia" w:ascii="宋体" w:hAnsi="宋体" w:eastAsia="宋体" w:cs="宋体"/>
          <w:sz w:val="22"/>
          <w:u w:val="none"/>
        </w:rPr>
      </w:pPr>
      <w:r>
        <w:rPr>
          <w:rFonts w:hint="eastAsia" w:ascii="宋体" w:hAnsi="宋体" w:eastAsia="宋体" w:cs="宋体"/>
          <w:spacing w:val="-2"/>
          <w:sz w:val="24"/>
        </w:rPr>
        <w:t>供应商对采购活动事项有疑问的，可以向采购代理机构提出询问，采购代理机构将在两个工作日内作出答复，但答复的内容不涉及商业秘密。</w:t>
      </w:r>
    </w:p>
    <w:p>
      <w:pPr>
        <w:pStyle w:val="6"/>
        <w:numPr>
          <w:ilvl w:val="0"/>
          <w:numId w:val="18"/>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w w:val="95"/>
        </w:rPr>
        <w:t>质</w:t>
      </w:r>
      <w:r>
        <w:rPr>
          <w:rFonts w:hint="eastAsia" w:ascii="宋体" w:hAnsi="宋体" w:eastAsia="宋体" w:cs="宋体"/>
          <w:spacing w:val="-10"/>
        </w:rPr>
        <w:t>疑</w:t>
      </w:r>
    </w:p>
    <w:p>
      <w:pPr>
        <w:pStyle w:val="24"/>
        <w:numPr>
          <w:ilvl w:val="1"/>
          <w:numId w:val="18"/>
        </w:numPr>
        <w:tabs>
          <w:tab w:val="left" w:pos="1177"/>
        </w:tabs>
        <w:spacing w:before="0"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供应商认为采购文件、采购过程和成交结果使自己的合法权益受到损害的，可以在知道或者应当知道其权益受到损害之日起七个工作日内，将质疑文件原件送达采购代理机构。</w:t>
      </w:r>
    </w:p>
    <w:p>
      <w:pPr>
        <w:pStyle w:val="24"/>
        <w:numPr>
          <w:ilvl w:val="1"/>
          <w:numId w:val="18"/>
        </w:numPr>
        <w:tabs>
          <w:tab w:val="left" w:pos="1117"/>
        </w:tabs>
        <w:spacing w:before="2"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质疑供应商的质疑行为应符合财政部94号令相关规定，未参加采购活动的供应商或在采购活动中自身权益未受到损害的供应商所提出的质疑不予受理。</w:t>
      </w:r>
    </w:p>
    <w:p>
      <w:pPr>
        <w:pStyle w:val="24"/>
        <w:numPr>
          <w:ilvl w:val="1"/>
          <w:numId w:val="18"/>
        </w:numPr>
        <w:tabs>
          <w:tab w:val="left" w:pos="1117"/>
        </w:tabs>
        <w:spacing w:before="1" w:after="0" w:line="240" w:lineRule="auto"/>
        <w:ind w:left="1116" w:right="0" w:hanging="421"/>
        <w:jc w:val="both"/>
        <w:rPr>
          <w:rFonts w:hint="eastAsia" w:ascii="宋体" w:hAnsi="宋体" w:eastAsia="宋体" w:cs="宋体"/>
          <w:sz w:val="24"/>
        </w:rPr>
      </w:pPr>
      <w:r>
        <w:rPr>
          <w:rFonts w:hint="eastAsia" w:ascii="宋体" w:hAnsi="宋体" w:eastAsia="宋体" w:cs="宋体"/>
          <w:spacing w:val="-1"/>
          <w:sz w:val="24"/>
        </w:rPr>
        <w:t>上述应知其权益受到损害之日是指：</w:t>
      </w:r>
    </w:p>
    <w:p>
      <w:pPr>
        <w:pStyle w:val="24"/>
        <w:numPr>
          <w:ilvl w:val="0"/>
          <w:numId w:val="19"/>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对</w:t>
      </w:r>
      <w:r>
        <w:rPr>
          <w:rFonts w:hint="eastAsia" w:cs="宋体"/>
          <w:spacing w:val="-1"/>
          <w:sz w:val="24"/>
          <w:lang w:val="en-US" w:eastAsia="zh-CN"/>
        </w:rPr>
        <w:t>磋商</w:t>
      </w:r>
      <w:r>
        <w:rPr>
          <w:rFonts w:hint="eastAsia" w:ascii="宋体" w:hAnsi="宋体" w:eastAsia="宋体" w:cs="宋体"/>
          <w:spacing w:val="-1"/>
          <w:sz w:val="24"/>
        </w:rPr>
        <w:t>文件提出质疑的，为</w:t>
      </w:r>
      <w:r>
        <w:rPr>
          <w:rFonts w:hint="eastAsia" w:cs="宋体"/>
          <w:spacing w:val="-1"/>
          <w:sz w:val="24"/>
          <w:lang w:val="en-US" w:eastAsia="zh-CN"/>
        </w:rPr>
        <w:t>磋商</w:t>
      </w:r>
      <w:r>
        <w:rPr>
          <w:rFonts w:hint="eastAsia" w:ascii="宋体" w:hAnsi="宋体" w:eastAsia="宋体" w:cs="宋体"/>
          <w:spacing w:val="-1"/>
          <w:sz w:val="24"/>
        </w:rPr>
        <w:t>文件公告期限届满之日起计算；</w:t>
      </w:r>
    </w:p>
    <w:p>
      <w:pPr>
        <w:pStyle w:val="24"/>
        <w:numPr>
          <w:ilvl w:val="0"/>
          <w:numId w:val="19"/>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对采购过程提出质疑的，自采购程序环节结束之日起计算；</w:t>
      </w:r>
    </w:p>
    <w:p>
      <w:pPr>
        <w:pStyle w:val="24"/>
        <w:numPr>
          <w:ilvl w:val="0"/>
          <w:numId w:val="19"/>
        </w:numPr>
        <w:tabs>
          <w:tab w:val="left" w:pos="1298"/>
        </w:tabs>
        <w:spacing w:before="160" w:after="0" w:line="240" w:lineRule="auto"/>
        <w:ind w:left="1297" w:right="0" w:hanging="602"/>
        <w:jc w:val="left"/>
        <w:rPr>
          <w:rFonts w:hint="eastAsia" w:ascii="宋体" w:hAnsi="宋体" w:eastAsia="宋体" w:cs="宋体"/>
          <w:spacing w:val="-1"/>
          <w:sz w:val="24"/>
        </w:rPr>
      </w:pPr>
      <w:r>
        <w:rPr>
          <w:rFonts w:hint="eastAsia" w:ascii="宋体" w:hAnsi="宋体" w:eastAsia="宋体" w:cs="宋体"/>
          <w:spacing w:val="-1"/>
          <w:sz w:val="24"/>
        </w:rPr>
        <w:t>对成交结果提出质疑的，自成交结果公告期限届满之日起计算。</w:t>
      </w:r>
    </w:p>
    <w:p>
      <w:pPr>
        <w:pStyle w:val="24"/>
        <w:numPr>
          <w:ilvl w:val="1"/>
          <w:numId w:val="18"/>
        </w:numPr>
        <w:tabs>
          <w:tab w:val="left" w:pos="1117"/>
        </w:tabs>
        <w:spacing w:before="161" w:after="0" w:line="240" w:lineRule="auto"/>
        <w:ind w:left="1116" w:right="0" w:hanging="421"/>
        <w:jc w:val="both"/>
        <w:rPr>
          <w:rFonts w:hint="eastAsia" w:ascii="宋体" w:hAnsi="宋体" w:eastAsia="宋体" w:cs="宋体"/>
          <w:sz w:val="24"/>
        </w:rPr>
      </w:pPr>
      <w:r>
        <w:rPr>
          <w:rFonts w:hint="eastAsia" w:ascii="宋体" w:hAnsi="宋体" w:eastAsia="宋体" w:cs="宋体"/>
          <w:spacing w:val="-1"/>
          <w:sz w:val="24"/>
        </w:rPr>
        <w:t>质疑供应商在法定质疑期内应当一次性提出针对同一采购环节的质疑事项。</w:t>
      </w:r>
    </w:p>
    <w:p>
      <w:pPr>
        <w:pStyle w:val="24"/>
        <w:numPr>
          <w:ilvl w:val="1"/>
          <w:numId w:val="18"/>
        </w:numPr>
        <w:tabs>
          <w:tab w:val="left" w:pos="1177"/>
        </w:tabs>
        <w:spacing w:before="160"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质疑文件应包括以下主要内容，并按照“谁主张、谁举证”的原则，附上相关证明材料。否则，采购代理机构不予受理：</w:t>
      </w:r>
    </w:p>
    <w:p>
      <w:pPr>
        <w:spacing w:after="0" w:line="364" w:lineRule="auto"/>
        <w:jc w:val="both"/>
        <w:rPr>
          <w:rFonts w:hint="eastAsia" w:ascii="宋体" w:hAnsi="宋体" w:eastAsia="宋体" w:cs="宋体"/>
          <w:sz w:val="24"/>
        </w:rPr>
        <w:sectPr>
          <w:type w:val="continuous"/>
          <w:pgSz w:w="11910" w:h="16840"/>
          <w:pgMar w:top="1440" w:right="320" w:bottom="280" w:left="1200" w:header="720" w:footer="720" w:gutter="0"/>
          <w:cols w:space="720" w:num="1"/>
        </w:sectPr>
      </w:pPr>
    </w:p>
    <w:p>
      <w:pPr>
        <w:pStyle w:val="24"/>
        <w:numPr>
          <w:ilvl w:val="0"/>
          <w:numId w:val="20"/>
        </w:numPr>
        <w:tabs>
          <w:tab w:val="left" w:pos="1298"/>
        </w:tabs>
        <w:spacing w:before="37"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质疑项目名称、项目编号、包号、采购公告发布时间、</w:t>
      </w:r>
      <w:r>
        <w:rPr>
          <w:rFonts w:hint="eastAsia" w:cs="宋体"/>
          <w:spacing w:val="-1"/>
          <w:sz w:val="24"/>
          <w:lang w:val="en-US" w:eastAsia="zh-CN"/>
        </w:rPr>
        <w:t>磋商</w:t>
      </w:r>
      <w:r>
        <w:rPr>
          <w:rFonts w:hint="eastAsia" w:ascii="宋体" w:hAnsi="宋体" w:eastAsia="宋体" w:cs="宋体"/>
          <w:spacing w:val="-1"/>
          <w:sz w:val="24"/>
        </w:rPr>
        <w:t>时间；</w:t>
      </w:r>
    </w:p>
    <w:p>
      <w:pPr>
        <w:pStyle w:val="24"/>
        <w:numPr>
          <w:ilvl w:val="0"/>
          <w:numId w:val="20"/>
        </w:numPr>
        <w:tabs>
          <w:tab w:val="left" w:pos="1298"/>
        </w:tabs>
        <w:spacing w:before="160" w:after="0" w:line="240" w:lineRule="auto"/>
        <w:ind w:left="1297" w:right="0" w:hanging="602"/>
        <w:jc w:val="left"/>
        <w:rPr>
          <w:rFonts w:hint="eastAsia" w:ascii="宋体" w:hAnsi="宋体" w:eastAsia="宋体" w:cs="宋体"/>
          <w:sz w:val="24"/>
        </w:rPr>
      </w:pPr>
      <w:r>
        <w:rPr>
          <w:rFonts w:hint="eastAsia" w:ascii="宋体" w:hAnsi="宋体" w:eastAsia="宋体" w:cs="宋体"/>
          <w:sz w:val="24"/>
        </w:rPr>
        <w:t>提起质疑的日期、具体的质疑事项及事实根据（具体条款</w:t>
      </w:r>
      <w:r>
        <w:rPr>
          <w:rFonts w:hint="eastAsia" w:ascii="宋体" w:hAnsi="宋体" w:eastAsia="宋体" w:cs="宋体"/>
          <w:spacing w:val="-5"/>
          <w:sz w:val="24"/>
        </w:rPr>
        <w:t>）；</w:t>
      </w:r>
    </w:p>
    <w:p>
      <w:pPr>
        <w:pStyle w:val="24"/>
        <w:numPr>
          <w:ilvl w:val="0"/>
          <w:numId w:val="20"/>
        </w:numPr>
        <w:tabs>
          <w:tab w:val="left" w:pos="1298"/>
        </w:tabs>
        <w:spacing w:before="161" w:after="0" w:line="240" w:lineRule="auto"/>
        <w:ind w:left="1297" w:right="0" w:hanging="602"/>
        <w:jc w:val="left"/>
        <w:rPr>
          <w:rFonts w:hint="eastAsia" w:ascii="宋体" w:hAnsi="宋体" w:eastAsia="宋体" w:cs="宋体"/>
          <w:sz w:val="24"/>
        </w:rPr>
      </w:pPr>
      <w:r>
        <w:rPr>
          <w:rFonts w:hint="eastAsia" w:ascii="宋体" w:hAnsi="宋体" w:eastAsia="宋体" w:cs="宋体"/>
          <w:spacing w:val="-1"/>
          <w:sz w:val="24"/>
        </w:rPr>
        <w:t>认为自己合法权益受到损害或可能受到损害的相关证据材料。</w:t>
      </w:r>
    </w:p>
    <w:p>
      <w:pPr>
        <w:pStyle w:val="24"/>
        <w:numPr>
          <w:ilvl w:val="0"/>
          <w:numId w:val="20"/>
        </w:numPr>
        <w:tabs>
          <w:tab w:val="left" w:pos="1304"/>
        </w:tabs>
        <w:spacing w:before="160" w:after="0" w:line="364" w:lineRule="auto"/>
        <w:ind w:left="216" w:right="1092" w:firstLine="480"/>
        <w:jc w:val="left"/>
        <w:rPr>
          <w:rFonts w:hint="eastAsia" w:ascii="宋体" w:hAnsi="宋体" w:eastAsia="宋体" w:cs="宋体"/>
          <w:sz w:val="24"/>
        </w:rPr>
      </w:pPr>
      <w:r>
        <w:rPr>
          <w:rFonts w:hint="eastAsia" w:ascii="宋体" w:hAnsi="宋体" w:eastAsia="宋体" w:cs="宋体"/>
          <w:spacing w:val="-2"/>
          <w:sz w:val="24"/>
        </w:rPr>
        <w:t>质疑供应商名称、地址、邮编、联系人、联系电话（包括座机、手机、传真号码等）；</w:t>
      </w:r>
    </w:p>
    <w:p>
      <w:pPr>
        <w:pStyle w:val="24"/>
        <w:numPr>
          <w:ilvl w:val="0"/>
          <w:numId w:val="20"/>
        </w:numPr>
        <w:tabs>
          <w:tab w:val="left" w:pos="1304"/>
        </w:tabs>
        <w:spacing w:before="2" w:after="0" w:line="364" w:lineRule="auto"/>
        <w:ind w:left="216" w:right="1088" w:firstLine="480"/>
        <w:jc w:val="left"/>
        <w:rPr>
          <w:rFonts w:hint="eastAsia" w:ascii="宋体" w:hAnsi="宋体" w:eastAsia="宋体" w:cs="宋体"/>
          <w:sz w:val="24"/>
        </w:rPr>
      </w:pPr>
      <w:r>
        <w:rPr>
          <w:rFonts w:hint="eastAsia" w:ascii="宋体" w:hAnsi="宋体" w:eastAsia="宋体" w:cs="宋体"/>
          <w:spacing w:val="-2"/>
          <w:sz w:val="24"/>
        </w:rPr>
        <w:t>质疑函应当署名，质疑人为自然人的，应当由本人签字并附有效身份证明；质疑人为法人或其他组织的，应当由法定代表人签字并加盖单位公章。</w:t>
      </w:r>
    </w:p>
    <w:p>
      <w:pPr>
        <w:pStyle w:val="24"/>
        <w:numPr>
          <w:ilvl w:val="0"/>
          <w:numId w:val="20"/>
        </w:numPr>
        <w:tabs>
          <w:tab w:val="left" w:pos="1304"/>
        </w:tabs>
        <w:spacing w:before="1" w:after="0" w:line="364" w:lineRule="auto"/>
        <w:ind w:left="216" w:right="1088" w:firstLine="480"/>
        <w:jc w:val="left"/>
        <w:rPr>
          <w:rFonts w:hint="eastAsia" w:ascii="宋体" w:hAnsi="宋体" w:eastAsia="宋体" w:cs="宋体"/>
          <w:sz w:val="24"/>
        </w:rPr>
      </w:pPr>
      <w:r>
        <w:rPr>
          <w:rFonts w:hint="eastAsia" w:ascii="宋体" w:hAnsi="宋体" w:eastAsia="宋体" w:cs="宋体"/>
          <w:spacing w:val="-2"/>
          <w:sz w:val="24"/>
        </w:rPr>
        <w:t>供应商委托代理质疑的，应当提交授权委托书，并载明委托代理的具体权限</w:t>
      </w:r>
      <w:r>
        <w:rPr>
          <w:rFonts w:hint="eastAsia" w:ascii="宋体" w:hAnsi="宋体" w:eastAsia="宋体" w:cs="宋体"/>
          <w:spacing w:val="-4"/>
          <w:sz w:val="24"/>
        </w:rPr>
        <w:t>和事项。</w:t>
      </w:r>
    </w:p>
    <w:p>
      <w:pPr>
        <w:pStyle w:val="24"/>
        <w:numPr>
          <w:ilvl w:val="1"/>
          <w:numId w:val="18"/>
        </w:numPr>
        <w:tabs>
          <w:tab w:val="left" w:pos="1129"/>
        </w:tabs>
        <w:spacing w:before="2" w:after="0" w:line="364" w:lineRule="auto"/>
        <w:ind w:left="216" w:right="1097" w:firstLine="480"/>
        <w:jc w:val="left"/>
        <w:rPr>
          <w:rFonts w:hint="eastAsia" w:ascii="宋体" w:hAnsi="宋体" w:eastAsia="宋体" w:cs="宋体"/>
          <w:sz w:val="24"/>
        </w:rPr>
      </w:pPr>
      <w:r>
        <w:rPr>
          <w:rFonts w:hint="eastAsia" w:ascii="宋体" w:hAnsi="宋体" w:eastAsia="宋体" w:cs="宋体"/>
          <w:spacing w:val="-2"/>
          <w:sz w:val="24"/>
        </w:rPr>
        <w:t>代理机构在收到供应商的质疑后将及时组织调查核实，在七个工作日内作出答复，答复的内容不涉及商业秘密。</w:t>
      </w:r>
    </w:p>
    <w:p>
      <w:pPr>
        <w:pStyle w:val="24"/>
        <w:numPr>
          <w:ilvl w:val="1"/>
          <w:numId w:val="18"/>
        </w:numPr>
        <w:tabs>
          <w:tab w:val="left" w:pos="1177"/>
        </w:tabs>
        <w:spacing w:before="1" w:after="0" w:line="364" w:lineRule="auto"/>
        <w:ind w:left="216" w:right="977" w:firstLine="480"/>
        <w:jc w:val="left"/>
        <w:rPr>
          <w:rFonts w:hint="eastAsia" w:ascii="宋体" w:hAnsi="宋体" w:eastAsia="宋体" w:cs="宋体"/>
          <w:sz w:val="22"/>
          <w:u w:val="none"/>
        </w:rPr>
      </w:pPr>
      <w:r>
        <w:rPr>
          <w:rFonts w:hint="eastAsia" w:ascii="宋体" w:hAnsi="宋体" w:eastAsia="宋体" w:cs="宋体"/>
          <w:spacing w:val="-15"/>
          <w:sz w:val="24"/>
        </w:rPr>
        <w:t>采购代理机构遵循“谁过错谁负担”的原则，有过错的一方承担调查论证费用。</w:t>
      </w:r>
      <w:r>
        <w:rPr>
          <w:rFonts w:hint="eastAsia" w:ascii="宋体" w:hAnsi="宋体" w:eastAsia="宋体" w:cs="宋体"/>
          <w:spacing w:val="-2"/>
          <w:sz w:val="24"/>
        </w:rPr>
        <w:t>违规质疑或多次质疑不成立的，将被列入不良行为记录。</w:t>
      </w:r>
    </w:p>
    <w:p>
      <w:pPr>
        <w:pStyle w:val="6"/>
        <w:numPr>
          <w:ilvl w:val="0"/>
          <w:numId w:val="18"/>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w w:val="95"/>
        </w:rPr>
        <w:t>投</w:t>
      </w:r>
      <w:r>
        <w:rPr>
          <w:rFonts w:hint="eastAsia" w:ascii="宋体" w:hAnsi="宋体" w:eastAsia="宋体" w:cs="宋体"/>
          <w:spacing w:val="-10"/>
        </w:rPr>
        <w:t>诉</w:t>
      </w:r>
    </w:p>
    <w:p>
      <w:pPr>
        <w:pStyle w:val="24"/>
        <w:numPr>
          <w:ilvl w:val="1"/>
          <w:numId w:val="18"/>
        </w:numPr>
        <w:tabs>
          <w:tab w:val="left" w:pos="1177"/>
        </w:tabs>
        <w:spacing w:before="0" w:after="0" w:line="364" w:lineRule="auto"/>
        <w:ind w:left="216" w:right="1097" w:firstLine="480"/>
        <w:jc w:val="left"/>
        <w:rPr>
          <w:rFonts w:hint="eastAsia" w:ascii="宋体" w:hAnsi="宋体" w:eastAsia="宋体" w:cs="宋体"/>
          <w:sz w:val="22"/>
          <w:u w:val="none"/>
        </w:rPr>
      </w:pPr>
      <w:r>
        <w:rPr>
          <w:rFonts w:hint="eastAsia" w:ascii="宋体" w:hAnsi="宋体" w:eastAsia="宋体" w:cs="宋体"/>
          <w:spacing w:val="-2"/>
          <w:sz w:val="24"/>
        </w:rPr>
        <w:t>质疑供应商对采购代理机构的答复不满意，或采购代理机构未在规定的时间内作出答复的，可以在答复期满后十五个工作日内向采购项目同级财政部门投诉。</w:t>
      </w:r>
    </w:p>
    <w:p>
      <w:pPr>
        <w:pStyle w:val="6"/>
        <w:numPr>
          <w:ilvl w:val="0"/>
          <w:numId w:val="18"/>
        </w:numPr>
        <w:tabs>
          <w:tab w:val="left" w:pos="459"/>
        </w:tabs>
        <w:spacing w:before="0" w:after="0" w:line="240" w:lineRule="auto"/>
        <w:ind w:left="458" w:right="0" w:hanging="243"/>
        <w:jc w:val="left"/>
        <w:rPr>
          <w:rFonts w:hint="eastAsia" w:ascii="宋体" w:hAnsi="宋体" w:eastAsia="宋体" w:cs="宋体"/>
          <w:b/>
          <w:sz w:val="34"/>
          <w:u w:val="none"/>
        </w:rPr>
      </w:pPr>
      <w:r>
        <w:rPr>
          <w:rFonts w:hint="eastAsia" w:ascii="宋体" w:hAnsi="宋体" w:eastAsia="宋体" w:cs="宋体"/>
          <w:w w:val="95"/>
        </w:rPr>
        <w:t>诚实信</w:t>
      </w:r>
      <w:r>
        <w:rPr>
          <w:rFonts w:hint="eastAsia" w:ascii="宋体" w:hAnsi="宋体" w:eastAsia="宋体" w:cs="宋体"/>
          <w:spacing w:val="-10"/>
          <w:w w:val="95"/>
        </w:rPr>
        <w:t>用</w:t>
      </w:r>
    </w:p>
    <w:p>
      <w:pPr>
        <w:pStyle w:val="24"/>
        <w:numPr>
          <w:ilvl w:val="1"/>
          <w:numId w:val="18"/>
        </w:numPr>
        <w:tabs>
          <w:tab w:val="left" w:pos="1177"/>
        </w:tabs>
        <w:spacing w:before="0" w:after="0" w:line="364" w:lineRule="auto"/>
        <w:ind w:left="216" w:right="1097" w:firstLine="480"/>
        <w:jc w:val="both"/>
        <w:rPr>
          <w:rFonts w:hint="eastAsia" w:ascii="宋体" w:hAnsi="宋体" w:eastAsia="宋体" w:cs="宋体"/>
          <w:sz w:val="24"/>
        </w:rPr>
      </w:pPr>
      <w:r>
        <w:rPr>
          <w:rFonts w:hint="eastAsia" w:ascii="宋体" w:hAnsi="宋体" w:eastAsia="宋体" w:cs="宋体"/>
          <w:spacing w:val="-2"/>
          <w:sz w:val="24"/>
        </w:rPr>
        <w:t>供应商之间不得相互串通报价，不得妨碍其他供应商的公平竞争，不得损害采购人和其他供应商的合法权益。</w:t>
      </w:r>
    </w:p>
    <w:p>
      <w:pPr>
        <w:pStyle w:val="24"/>
        <w:numPr>
          <w:ilvl w:val="1"/>
          <w:numId w:val="18"/>
        </w:numPr>
        <w:tabs>
          <w:tab w:val="left" w:pos="1177"/>
        </w:tabs>
        <w:spacing w:before="1"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供应商不得以向采购代理机构工作人员、</w:t>
      </w:r>
      <w:r>
        <w:rPr>
          <w:rFonts w:hint="eastAsia" w:cs="宋体"/>
          <w:spacing w:val="-2"/>
          <w:sz w:val="24"/>
          <w:lang w:val="en-US" w:eastAsia="zh-CN"/>
        </w:rPr>
        <w:t>磋商</w:t>
      </w:r>
      <w:r>
        <w:rPr>
          <w:rFonts w:hint="eastAsia" w:ascii="宋体" w:hAnsi="宋体" w:eastAsia="宋体" w:cs="宋体"/>
          <w:spacing w:val="-2"/>
          <w:sz w:val="24"/>
        </w:rPr>
        <w:t>小组成员行贿或者采取其他不正当手段谋取成交。经查实供应商有此行为的，政府采购管理部门将供应商列入不良行为记录名单，按照《政府采购法》有关规定处理。</w:t>
      </w:r>
    </w:p>
    <w:p>
      <w:pPr>
        <w:pStyle w:val="24"/>
        <w:numPr>
          <w:ilvl w:val="1"/>
          <w:numId w:val="18"/>
        </w:numPr>
        <w:tabs>
          <w:tab w:val="left" w:pos="1177"/>
        </w:tabs>
        <w:spacing w:before="3" w:after="0" w:line="364" w:lineRule="auto"/>
        <w:ind w:left="216" w:right="1094" w:firstLine="480"/>
        <w:jc w:val="both"/>
        <w:rPr>
          <w:rFonts w:hint="eastAsia" w:ascii="宋体" w:hAnsi="宋体" w:eastAsia="宋体" w:cs="宋体"/>
          <w:sz w:val="24"/>
        </w:rPr>
      </w:pPr>
      <w:r>
        <w:rPr>
          <w:rFonts w:hint="eastAsia" w:ascii="宋体" w:hAnsi="宋体" w:eastAsia="宋体" w:cs="宋体"/>
          <w:spacing w:val="-2"/>
          <w:sz w:val="24"/>
        </w:rPr>
        <w:t>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pPr>
        <w:pStyle w:val="24"/>
        <w:numPr>
          <w:ilvl w:val="1"/>
          <w:numId w:val="18"/>
        </w:numPr>
        <w:tabs>
          <w:tab w:val="left" w:pos="1177"/>
        </w:tabs>
        <w:spacing w:before="2" w:after="0" w:line="240" w:lineRule="auto"/>
        <w:ind w:left="1176" w:right="0" w:hanging="481"/>
        <w:jc w:val="both"/>
        <w:rPr>
          <w:rFonts w:hint="eastAsia" w:ascii="宋体" w:hAnsi="宋体" w:eastAsia="宋体" w:cs="宋体"/>
          <w:spacing w:val="-1"/>
          <w:sz w:val="24"/>
        </w:rPr>
      </w:pPr>
      <w:r>
        <w:rPr>
          <w:rFonts w:hint="eastAsia" w:ascii="宋体" w:hAnsi="宋体" w:eastAsia="宋体" w:cs="宋体"/>
          <w:spacing w:val="-1"/>
          <w:sz w:val="24"/>
        </w:rPr>
        <w:t>供应商不得虚假承诺，否则，按照提供虚假材料谋取成交处理。</w:t>
      </w:r>
    </w:p>
    <w:p>
      <w:pPr>
        <w:spacing w:after="0" w:line="240" w:lineRule="auto"/>
        <w:jc w:val="both"/>
        <w:rPr>
          <w:rFonts w:hint="eastAsia" w:ascii="宋体" w:hAnsi="宋体" w:eastAsia="宋体" w:cs="宋体"/>
          <w:sz w:val="24"/>
        </w:rPr>
      </w:pPr>
    </w:p>
    <w:p>
      <w:pPr>
        <w:pStyle w:val="24"/>
        <w:numPr>
          <w:ilvl w:val="1"/>
          <w:numId w:val="18"/>
        </w:numPr>
        <w:tabs>
          <w:tab w:val="left" w:pos="1177"/>
        </w:tabs>
        <w:spacing w:before="37" w:after="0" w:line="364" w:lineRule="auto"/>
        <w:ind w:left="216" w:right="1095" w:firstLine="480"/>
        <w:jc w:val="both"/>
        <w:rPr>
          <w:rFonts w:hint="eastAsia" w:ascii="宋体" w:hAnsi="宋体" w:eastAsia="宋体" w:cs="宋体"/>
          <w:sz w:val="24"/>
        </w:rPr>
      </w:pPr>
      <w:r>
        <w:rPr>
          <w:rFonts w:hint="eastAsia" w:ascii="宋体" w:hAnsi="宋体" w:eastAsia="宋体" w:cs="宋体"/>
          <w:spacing w:val="-2"/>
          <w:sz w:val="24"/>
        </w:rPr>
        <w:t>供应商应自觉遵守</w:t>
      </w:r>
      <w:r>
        <w:rPr>
          <w:rFonts w:hint="eastAsia" w:cs="宋体"/>
          <w:spacing w:val="-2"/>
          <w:sz w:val="24"/>
          <w:lang w:val="en-US" w:eastAsia="zh-CN"/>
        </w:rPr>
        <w:t>磋商</w:t>
      </w:r>
      <w:r>
        <w:rPr>
          <w:rFonts w:hint="eastAsia" w:ascii="宋体" w:hAnsi="宋体" w:eastAsia="宋体" w:cs="宋体"/>
          <w:spacing w:val="-2"/>
          <w:sz w:val="24"/>
        </w:rPr>
        <w:t>、评审纪律，扰乱</w:t>
      </w:r>
      <w:r>
        <w:rPr>
          <w:rFonts w:hint="eastAsia" w:cs="宋体"/>
          <w:spacing w:val="-2"/>
          <w:sz w:val="24"/>
          <w:lang w:val="en-US" w:eastAsia="zh-CN"/>
        </w:rPr>
        <w:t>磋商</w:t>
      </w:r>
      <w:r>
        <w:rPr>
          <w:rFonts w:hint="eastAsia" w:ascii="宋体" w:hAnsi="宋体" w:eastAsia="宋体" w:cs="宋体"/>
          <w:spacing w:val="-2"/>
          <w:sz w:val="24"/>
        </w:rPr>
        <w:t>、评审现场秩序的，属于失信行为，根据《江苏省政府采购供应商监督管理暂行办法》，失信行为将被记入供应商诚信</w:t>
      </w:r>
      <w:r>
        <w:rPr>
          <w:rFonts w:hint="eastAsia" w:ascii="宋体" w:hAnsi="宋体" w:eastAsia="宋体" w:cs="宋体"/>
          <w:spacing w:val="-4"/>
          <w:sz w:val="24"/>
        </w:rPr>
        <w:t>档案。</w:t>
      </w:r>
    </w:p>
    <w:p>
      <w:pPr>
        <w:spacing w:before="160"/>
        <w:ind w:left="696" w:right="0" w:firstLine="0"/>
        <w:jc w:val="left"/>
        <w:rPr>
          <w:rFonts w:hint="eastAsia" w:ascii="宋体" w:hAnsi="宋体" w:eastAsia="宋体" w:cs="宋体"/>
          <w:sz w:val="24"/>
        </w:rPr>
        <w:sectPr>
          <w:type w:val="continuous"/>
          <w:pgSz w:w="11910" w:h="16840"/>
          <w:pgMar w:top="1440" w:right="320" w:bottom="280" w:left="1200" w:header="720" w:footer="720" w:gutter="0"/>
          <w:cols w:space="720" w:num="1"/>
        </w:sectPr>
      </w:pPr>
    </w:p>
    <w:p>
      <w:pPr>
        <w:spacing w:after="0" w:line="364" w:lineRule="auto"/>
        <w:jc w:val="both"/>
        <w:rPr>
          <w:rFonts w:hint="eastAsia" w:ascii="宋体" w:hAnsi="宋体" w:eastAsia="宋体" w:cs="宋体"/>
          <w:spacing w:val="-2"/>
          <w:sz w:val="24"/>
        </w:rPr>
        <w:sectPr>
          <w:type w:val="continuous"/>
          <w:pgSz w:w="11910" w:h="16840"/>
          <w:pgMar w:top="1400" w:right="320" w:bottom="280" w:left="1200" w:header="720" w:footer="720" w:gutter="0"/>
          <w:cols w:space="720" w:num="1"/>
        </w:sectPr>
      </w:pPr>
    </w:p>
    <w:p>
      <w:pPr>
        <w:pStyle w:val="9"/>
        <w:spacing w:before="6"/>
        <w:rPr>
          <w:rFonts w:hint="eastAsia" w:ascii="仿宋" w:hAnsi="仿宋" w:eastAsia="仿宋" w:cs="仿宋"/>
          <w:sz w:val="16"/>
          <w:u w:val="none"/>
        </w:rPr>
      </w:pPr>
    </w:p>
    <w:p>
      <w:pPr>
        <w:jc w:val="center"/>
        <w:rPr>
          <w:rFonts w:hint="eastAsia" w:ascii="宋体" w:hAnsi="宋体" w:eastAsia="宋体" w:cs="宋体"/>
          <w:b/>
          <w:bCs/>
          <w:spacing w:val="-10"/>
          <w:sz w:val="32"/>
          <w:szCs w:val="32"/>
          <w:highlight w:val="none"/>
        </w:rPr>
      </w:pPr>
      <w:r>
        <w:rPr>
          <w:rFonts w:hint="eastAsia" w:ascii="宋体" w:hAnsi="宋体" w:eastAsia="宋体" w:cs="宋体"/>
          <w:b/>
          <w:bCs/>
          <w:sz w:val="32"/>
          <w:szCs w:val="32"/>
          <w:highlight w:val="none"/>
        </w:rPr>
        <w:t>第三</w:t>
      </w:r>
      <w:r>
        <w:rPr>
          <w:rFonts w:hint="eastAsia" w:ascii="宋体" w:hAnsi="宋体" w:eastAsia="宋体" w:cs="宋体"/>
          <w:b/>
          <w:bCs/>
          <w:spacing w:val="-6"/>
          <w:sz w:val="32"/>
          <w:szCs w:val="32"/>
          <w:highlight w:val="none"/>
        </w:rPr>
        <w:t>章评</w:t>
      </w:r>
      <w:r>
        <w:rPr>
          <w:rFonts w:hint="eastAsia" w:ascii="宋体" w:hAnsi="宋体" w:eastAsia="宋体" w:cs="宋体"/>
          <w:b/>
          <w:bCs/>
          <w:sz w:val="32"/>
          <w:szCs w:val="32"/>
          <w:highlight w:val="none"/>
        </w:rPr>
        <w:t>标标</w:t>
      </w:r>
      <w:r>
        <w:rPr>
          <w:rFonts w:hint="eastAsia" w:ascii="宋体" w:hAnsi="宋体" w:eastAsia="宋体" w:cs="宋体"/>
          <w:b/>
          <w:bCs/>
          <w:spacing w:val="-10"/>
          <w:sz w:val="32"/>
          <w:szCs w:val="32"/>
          <w:highlight w:val="none"/>
        </w:rPr>
        <w:t>准</w:t>
      </w:r>
    </w:p>
    <w:tbl>
      <w:tblPr>
        <w:tblStyle w:val="19"/>
        <w:tblW w:w="9855" w:type="dxa"/>
        <w:tblInd w:w="-193" w:type="dxa"/>
        <w:tblLayout w:type="fixed"/>
        <w:tblCellMar>
          <w:top w:w="0" w:type="dxa"/>
          <w:left w:w="108" w:type="dxa"/>
          <w:bottom w:w="0" w:type="dxa"/>
          <w:right w:w="108" w:type="dxa"/>
        </w:tblCellMar>
      </w:tblPr>
      <w:tblGrid>
        <w:gridCol w:w="915"/>
        <w:gridCol w:w="1395"/>
        <w:gridCol w:w="6330"/>
        <w:gridCol w:w="1215"/>
      </w:tblGrid>
      <w:tr>
        <w:tblPrEx>
          <w:tblCellMar>
            <w:top w:w="0" w:type="dxa"/>
            <w:left w:w="108" w:type="dxa"/>
            <w:bottom w:w="0" w:type="dxa"/>
            <w:right w:w="108" w:type="dxa"/>
          </w:tblCellMar>
        </w:tblPrEx>
        <w:trPr>
          <w:trHeight w:val="499"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序号</w:t>
            </w:r>
          </w:p>
        </w:tc>
        <w:tc>
          <w:tcPr>
            <w:tcW w:w="139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评分要素</w:t>
            </w: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评分标准（方案）</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分值</w:t>
            </w:r>
          </w:p>
        </w:tc>
      </w:tr>
      <w:tr>
        <w:tblPrEx>
          <w:tblCellMar>
            <w:top w:w="0" w:type="dxa"/>
            <w:left w:w="108" w:type="dxa"/>
            <w:bottom w:w="0" w:type="dxa"/>
            <w:right w:w="108" w:type="dxa"/>
          </w:tblCellMar>
        </w:tblPrEx>
        <w:trPr>
          <w:trHeight w:val="590"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1</w:t>
            </w:r>
          </w:p>
        </w:tc>
        <w:tc>
          <w:tcPr>
            <w:tcW w:w="139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投标报价（2</w:t>
            </w:r>
            <w:r>
              <w:rPr>
                <w:rFonts w:hint="eastAsia"/>
                <w:b/>
                <w:bCs/>
                <w:sz w:val="24"/>
                <w:szCs w:val="24"/>
                <w:lang w:val="en-US" w:eastAsia="zh-CN"/>
              </w:rPr>
              <w:t>5</w:t>
            </w:r>
            <w:r>
              <w:rPr>
                <w:rFonts w:hint="eastAsia"/>
                <w:b/>
                <w:bCs/>
                <w:sz w:val="24"/>
                <w:szCs w:val="24"/>
              </w:rPr>
              <w:t>分）</w:t>
            </w: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采用低价优先法计算，即满足</w:t>
            </w:r>
            <w:r>
              <w:rPr>
                <w:rFonts w:hint="eastAsia"/>
                <w:sz w:val="24"/>
                <w:szCs w:val="24"/>
                <w:lang w:val="en-US" w:eastAsia="zh-CN"/>
              </w:rPr>
              <w:t>磋商</w:t>
            </w:r>
            <w:r>
              <w:rPr>
                <w:rFonts w:hint="eastAsia"/>
                <w:sz w:val="24"/>
                <w:szCs w:val="24"/>
              </w:rPr>
              <w:t>文件要求且最后报价最低的供应商的价格为</w:t>
            </w:r>
            <w:r>
              <w:rPr>
                <w:rFonts w:hint="eastAsia"/>
                <w:sz w:val="24"/>
                <w:szCs w:val="24"/>
                <w:lang w:val="en-US" w:eastAsia="zh-CN"/>
              </w:rPr>
              <w:t>磋商</w:t>
            </w:r>
            <w:r>
              <w:rPr>
                <w:rFonts w:hint="eastAsia"/>
                <w:sz w:val="24"/>
                <w:szCs w:val="24"/>
              </w:rPr>
              <w:t>基准价，其价格分为满分。其他供应商的价格分统一按照下列公式计算：</w:t>
            </w:r>
            <w:r>
              <w:rPr>
                <w:rFonts w:hint="eastAsia"/>
                <w:sz w:val="24"/>
                <w:szCs w:val="24"/>
                <w:lang w:val="en-US" w:eastAsia="zh-CN"/>
              </w:rPr>
              <w:t>磋商</w:t>
            </w:r>
            <w:r>
              <w:rPr>
                <w:rFonts w:hint="eastAsia"/>
                <w:sz w:val="24"/>
                <w:szCs w:val="24"/>
              </w:rPr>
              <w:t>报价得分=（</w:t>
            </w:r>
            <w:r>
              <w:rPr>
                <w:rFonts w:hint="eastAsia"/>
                <w:sz w:val="24"/>
                <w:szCs w:val="24"/>
                <w:lang w:val="en-US" w:eastAsia="zh-CN"/>
              </w:rPr>
              <w:t>磋商</w:t>
            </w:r>
            <w:r>
              <w:rPr>
                <w:rFonts w:hint="eastAsia"/>
                <w:sz w:val="24"/>
                <w:szCs w:val="24"/>
              </w:rPr>
              <w:t>基准价/最后</w:t>
            </w:r>
            <w:r>
              <w:rPr>
                <w:rFonts w:hint="eastAsia"/>
                <w:sz w:val="24"/>
                <w:szCs w:val="24"/>
                <w:lang w:val="en-US" w:eastAsia="zh-CN"/>
              </w:rPr>
              <w:t>磋商</w:t>
            </w:r>
            <w:r>
              <w:rPr>
                <w:rFonts w:hint="eastAsia"/>
                <w:sz w:val="24"/>
                <w:szCs w:val="24"/>
              </w:rPr>
              <w:t>报价）×2</w:t>
            </w:r>
            <w:r>
              <w:rPr>
                <w:rFonts w:hint="eastAsia"/>
                <w:sz w:val="24"/>
                <w:szCs w:val="24"/>
                <w:lang w:val="en-US" w:eastAsia="zh-CN"/>
              </w:rPr>
              <w:t>5</w:t>
            </w:r>
            <w:r>
              <w:rPr>
                <w:rFonts w:hint="eastAsia"/>
                <w:sz w:val="24"/>
                <w:szCs w:val="24"/>
              </w:rPr>
              <w:t>（小数点保留两位）。（评标委员会在评审时发现供应商的报价明显低于成本价的，应当要求供应商书面说明并提供相关证明材料。供应商不能当场合理说明原因并提供证明材料的，评标委员会应将该供应商的投标文件作无效处理，并在评审报告中说明）。</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2</w:t>
            </w:r>
            <w:r>
              <w:rPr>
                <w:rFonts w:hint="eastAsia"/>
                <w:b/>
                <w:bCs/>
                <w:sz w:val="24"/>
                <w:szCs w:val="24"/>
                <w:lang w:val="en-US" w:eastAsia="zh-CN"/>
              </w:rPr>
              <w:t>5</w:t>
            </w:r>
            <w:r>
              <w:rPr>
                <w:rFonts w:hint="eastAsia"/>
                <w:b/>
                <w:bCs/>
                <w:sz w:val="24"/>
                <w:szCs w:val="24"/>
              </w:rPr>
              <w:t>分</w:t>
            </w:r>
          </w:p>
        </w:tc>
      </w:tr>
      <w:tr>
        <w:tblPrEx>
          <w:tblCellMar>
            <w:top w:w="0" w:type="dxa"/>
            <w:left w:w="108" w:type="dxa"/>
            <w:bottom w:w="0" w:type="dxa"/>
            <w:right w:w="108" w:type="dxa"/>
          </w:tblCellMar>
        </w:tblPrEx>
        <w:trPr>
          <w:trHeight w:val="308"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2.1</w:t>
            </w:r>
          </w:p>
        </w:tc>
        <w:tc>
          <w:tcPr>
            <w:tcW w:w="1395" w:type="dxa"/>
            <w:vMerge w:val="restart"/>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施工组织方案</w:t>
            </w:r>
          </w:p>
          <w:p>
            <w:pPr>
              <w:adjustRightInd w:val="0"/>
              <w:jc w:val="center"/>
              <w:rPr>
                <w:b/>
                <w:bCs/>
                <w:sz w:val="24"/>
                <w:szCs w:val="24"/>
              </w:rPr>
            </w:pPr>
            <w:r>
              <w:rPr>
                <w:rFonts w:hint="eastAsia"/>
                <w:b/>
                <w:bCs/>
                <w:sz w:val="24"/>
                <w:szCs w:val="24"/>
              </w:rPr>
              <w:t>（50分）</w:t>
            </w: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施工组织总体安排：评委根据供应商提供的项目实施总体方案进行综合评分，对本项目实施总体方案表述的清晰性、全面性、前瞻性、合理性、科学性、可行性及针对性进行对比打分。针对性强，方案最全面的得10分，较为详细，无明显缺陷的得8分；基本符合本项目需求的得</w:t>
            </w:r>
            <w:r>
              <w:rPr>
                <w:sz w:val="24"/>
                <w:szCs w:val="24"/>
              </w:rPr>
              <w:t>6</w:t>
            </w:r>
            <w:r>
              <w:rPr>
                <w:rFonts w:hint="eastAsia"/>
                <w:sz w:val="24"/>
                <w:szCs w:val="24"/>
              </w:rPr>
              <w:t>分；内容较少，表述的内容较一般的得</w:t>
            </w:r>
            <w:r>
              <w:rPr>
                <w:sz w:val="24"/>
                <w:szCs w:val="24"/>
              </w:rPr>
              <w:t>4</w:t>
            </w:r>
            <w:r>
              <w:rPr>
                <w:rFonts w:hint="eastAsia"/>
                <w:sz w:val="24"/>
                <w:szCs w:val="24"/>
              </w:rPr>
              <w:t>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10分</w:t>
            </w:r>
          </w:p>
        </w:tc>
      </w:tr>
      <w:tr>
        <w:tblPrEx>
          <w:tblCellMar>
            <w:top w:w="0" w:type="dxa"/>
            <w:left w:w="108" w:type="dxa"/>
            <w:bottom w:w="0" w:type="dxa"/>
            <w:right w:w="108" w:type="dxa"/>
          </w:tblCellMar>
        </w:tblPrEx>
        <w:trPr>
          <w:trHeight w:val="306"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pPr>
            <w:r>
              <w:rPr>
                <w:rFonts w:hint="eastAsia"/>
                <w:b/>
                <w:bCs/>
                <w:sz w:val="24"/>
                <w:szCs w:val="24"/>
              </w:rPr>
              <w:t>2.2</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widowControl/>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难点、重点及合理化建议：评委根据供应商针对本项目关键施工技术的难点、重点的分析及针对性合理化建议（措施）进行综合评分，对本项目难点、重点及合理化建议的科学性、可行性、全面性、针对性对比打分。针对性强，方案最全面的得</w:t>
            </w:r>
            <w:r>
              <w:rPr>
                <w:sz w:val="24"/>
                <w:szCs w:val="24"/>
              </w:rPr>
              <w:t>8</w:t>
            </w:r>
            <w:r>
              <w:rPr>
                <w:rFonts w:hint="eastAsia"/>
                <w:sz w:val="24"/>
                <w:szCs w:val="24"/>
              </w:rPr>
              <w:t>分，较为详细，无明显缺陷的得6分；基本符合本项目需求的得4分；内容较少，表述的内容较一般的得2分；没有不得分。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b/>
                <w:bCs/>
                <w:sz w:val="24"/>
                <w:szCs w:val="24"/>
              </w:rPr>
              <w:t>8分</w:t>
            </w:r>
          </w:p>
        </w:tc>
      </w:tr>
      <w:tr>
        <w:tblPrEx>
          <w:tblCellMar>
            <w:top w:w="0" w:type="dxa"/>
            <w:left w:w="108" w:type="dxa"/>
            <w:bottom w:w="0" w:type="dxa"/>
            <w:right w:w="108" w:type="dxa"/>
          </w:tblCellMar>
        </w:tblPrEx>
        <w:trPr>
          <w:trHeight w:val="306"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b/>
                <w:bCs/>
                <w:sz w:val="24"/>
                <w:szCs w:val="24"/>
              </w:rPr>
              <w:t>2.3</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widowControl/>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施工进度计划和进度的保证措施：评委根据供应商提供的施工进度计划和进度的保证措施进行综合评分，对本项目实施关键线路清晰、施工进度计划编制完整、合理及可行对比打分。针对性强，方案最全面的得</w:t>
            </w:r>
            <w:r>
              <w:rPr>
                <w:sz w:val="24"/>
                <w:szCs w:val="24"/>
              </w:rPr>
              <w:t>8</w:t>
            </w:r>
            <w:r>
              <w:rPr>
                <w:rFonts w:hint="eastAsia"/>
                <w:sz w:val="24"/>
                <w:szCs w:val="24"/>
              </w:rPr>
              <w:t>分，较为详细，无明显缺陷的得6分；基本符合本项目需求的得4分；内容较少，表述的内容较一般的得2分；没有不得分。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b/>
                <w:bCs/>
                <w:sz w:val="24"/>
                <w:szCs w:val="24"/>
              </w:rPr>
              <w:t>8分</w:t>
            </w:r>
          </w:p>
        </w:tc>
      </w:tr>
      <w:tr>
        <w:tblPrEx>
          <w:tblCellMar>
            <w:top w:w="0" w:type="dxa"/>
            <w:left w:w="108" w:type="dxa"/>
            <w:bottom w:w="0" w:type="dxa"/>
            <w:right w:w="108" w:type="dxa"/>
          </w:tblCellMar>
        </w:tblPrEx>
        <w:trPr>
          <w:trHeight w:val="306"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b/>
                <w:bCs/>
                <w:sz w:val="24"/>
                <w:szCs w:val="24"/>
              </w:rPr>
              <w:t>2.4</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widowControl/>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施工质量保证措施：评委根据供应商提供的施工质量控制措施、质量保证体系进行综合评分，对本项目的施工质量控制措施、质量保证体系的科学性、合理性、全面性、可行性、有效性及采用新技术、新工艺的可靠性对比打分。针对性强，方案最全面的得</w:t>
            </w:r>
            <w:r>
              <w:rPr>
                <w:sz w:val="24"/>
                <w:szCs w:val="24"/>
              </w:rPr>
              <w:t>8</w:t>
            </w:r>
            <w:r>
              <w:rPr>
                <w:rFonts w:hint="eastAsia"/>
                <w:sz w:val="24"/>
                <w:szCs w:val="24"/>
              </w:rPr>
              <w:t>分，较为详细，无明显缺陷的得6分；基本符合本项目需求的得4分；内容较少，表述的内容较一般的得2分；没有不得分。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b/>
                <w:bCs/>
                <w:sz w:val="24"/>
                <w:szCs w:val="24"/>
              </w:rPr>
              <w:t>8分</w:t>
            </w:r>
          </w:p>
        </w:tc>
      </w:tr>
      <w:tr>
        <w:tblPrEx>
          <w:tblCellMar>
            <w:top w:w="0" w:type="dxa"/>
            <w:left w:w="108" w:type="dxa"/>
            <w:bottom w:w="0" w:type="dxa"/>
            <w:right w:w="108" w:type="dxa"/>
          </w:tblCellMar>
        </w:tblPrEx>
        <w:trPr>
          <w:trHeight w:val="306"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2.5</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widowControl/>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现场管理：评委根据供应商提供的针对本项目现场管理进行综合评分，对本项目现场管理的科学性、规范性、全面性、可行性及合理性对比打分。针对性强，方案最全面的得</w:t>
            </w:r>
            <w:r>
              <w:rPr>
                <w:sz w:val="24"/>
                <w:szCs w:val="24"/>
              </w:rPr>
              <w:t>8</w:t>
            </w:r>
            <w:r>
              <w:rPr>
                <w:rFonts w:hint="eastAsia"/>
                <w:sz w:val="24"/>
                <w:szCs w:val="24"/>
              </w:rPr>
              <w:t>分，较为详细，无明显缺陷的得6分；基本符合本项目需求的得4分；内容较少，表述的内容较一般的得2分；没有不得分。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8分</w:t>
            </w:r>
          </w:p>
        </w:tc>
      </w:tr>
      <w:tr>
        <w:tblPrEx>
          <w:tblCellMar>
            <w:top w:w="0" w:type="dxa"/>
            <w:left w:w="108" w:type="dxa"/>
            <w:bottom w:w="0" w:type="dxa"/>
            <w:right w:w="108" w:type="dxa"/>
          </w:tblCellMar>
        </w:tblPrEx>
        <w:trPr>
          <w:trHeight w:val="308" w:hRule="atLeast"/>
        </w:trPr>
        <w:tc>
          <w:tcPr>
            <w:tcW w:w="9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2.6</w:t>
            </w:r>
          </w:p>
        </w:tc>
        <w:tc>
          <w:tcPr>
            <w:tcW w:w="1395" w:type="dxa"/>
            <w:vMerge w:val="continue"/>
            <w:tcBorders>
              <w:top w:val="single" w:color="auto" w:sz="6" w:space="0"/>
              <w:left w:val="single" w:color="auto" w:sz="6" w:space="0"/>
              <w:bottom w:val="single" w:color="auto" w:sz="6" w:space="0"/>
              <w:right w:val="single" w:color="auto" w:sz="6" w:space="0"/>
            </w:tcBorders>
            <w:vAlign w:val="center"/>
          </w:tcPr>
          <w:p>
            <w:pPr>
              <w:widowControl/>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sz w:val="24"/>
                <w:szCs w:val="24"/>
              </w:rPr>
            </w:pPr>
            <w:r>
              <w:rPr>
                <w:rFonts w:hint="eastAsia"/>
                <w:sz w:val="24"/>
                <w:szCs w:val="24"/>
              </w:rPr>
              <w:t>安全文明施工措施：评委根据供应商提供的针对本项目安全文明施工采取措施进行综合评分，本项目对安全文明施工措施的规范性、全面性、合理性、针对性、具体性、可靠性、及操作规程科学性对比打分。针对性强，方案最全面的得</w:t>
            </w:r>
            <w:r>
              <w:rPr>
                <w:sz w:val="24"/>
                <w:szCs w:val="24"/>
              </w:rPr>
              <w:t>8</w:t>
            </w:r>
            <w:r>
              <w:rPr>
                <w:rFonts w:hint="eastAsia"/>
                <w:sz w:val="24"/>
                <w:szCs w:val="24"/>
              </w:rPr>
              <w:t>分，较为详细，无明显缺陷的得6分；基本符合本项目需求的得4分；内容较少，表述的内容较一般的得2分；没有不得分。</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8分</w:t>
            </w:r>
          </w:p>
        </w:tc>
      </w:tr>
      <w:tr>
        <w:tblPrEx>
          <w:tblCellMar>
            <w:top w:w="0" w:type="dxa"/>
            <w:left w:w="108" w:type="dxa"/>
            <w:bottom w:w="0" w:type="dxa"/>
            <w:right w:w="108" w:type="dxa"/>
          </w:tblCellMar>
        </w:tblPrEx>
        <w:trPr>
          <w:trHeight w:val="1182" w:hRule="atLeast"/>
        </w:trPr>
        <w:tc>
          <w:tcPr>
            <w:tcW w:w="915" w:type="dxa"/>
            <w:vMerge w:val="restart"/>
            <w:tcBorders>
              <w:top w:val="single" w:color="auto" w:sz="6" w:space="0"/>
              <w:left w:val="single" w:color="auto" w:sz="6" w:space="0"/>
              <w:right w:val="single" w:color="auto" w:sz="6" w:space="0"/>
            </w:tcBorders>
            <w:vAlign w:val="center"/>
          </w:tcPr>
          <w:p>
            <w:pPr>
              <w:adjustRightInd w:val="0"/>
              <w:jc w:val="center"/>
              <w:rPr>
                <w:b/>
                <w:bCs/>
                <w:sz w:val="24"/>
                <w:szCs w:val="24"/>
              </w:rPr>
            </w:pPr>
            <w:r>
              <w:rPr>
                <w:rFonts w:hint="eastAsia"/>
                <w:b/>
                <w:bCs/>
                <w:sz w:val="24"/>
                <w:szCs w:val="24"/>
                <w:lang w:val="en-US"/>
              </w:rPr>
              <w:t>3</w:t>
            </w:r>
          </w:p>
        </w:tc>
        <w:tc>
          <w:tcPr>
            <w:tcW w:w="1395" w:type="dxa"/>
            <w:vMerge w:val="restart"/>
            <w:tcBorders>
              <w:top w:val="single" w:color="auto" w:sz="6" w:space="0"/>
              <w:left w:val="single" w:color="auto" w:sz="6" w:space="0"/>
              <w:right w:val="single" w:color="auto" w:sz="6" w:space="0"/>
            </w:tcBorders>
            <w:vAlign w:val="center"/>
          </w:tcPr>
          <w:p>
            <w:pPr>
              <w:widowControl/>
              <w:rPr>
                <w:b/>
                <w:bCs/>
              </w:rPr>
            </w:pPr>
            <w:r>
              <w:rPr>
                <w:rFonts w:hint="eastAsia"/>
                <w:b/>
                <w:bCs/>
                <w:color w:val="000000"/>
                <w:sz w:val="24"/>
                <w:szCs w:val="24"/>
                <w:lang w:val="en-US" w:bidi="ar"/>
              </w:rPr>
              <w:t>人员配备</w:t>
            </w:r>
          </w:p>
        </w:tc>
        <w:tc>
          <w:tcPr>
            <w:tcW w:w="6330" w:type="dxa"/>
            <w:tcBorders>
              <w:top w:val="single" w:color="auto" w:sz="6" w:space="0"/>
              <w:left w:val="single" w:color="auto" w:sz="6" w:space="0"/>
              <w:bottom w:val="single" w:color="auto" w:sz="6" w:space="0"/>
              <w:right w:val="single" w:color="auto" w:sz="6" w:space="0"/>
            </w:tcBorders>
            <w:vAlign w:val="center"/>
          </w:tcPr>
          <w:p>
            <w:pPr>
              <w:adjustRightInd w:val="0"/>
              <w:rPr>
                <w:rFonts w:hint="eastAsia" w:ascii="宋体" w:hAnsi="宋体" w:eastAsia="宋体" w:cs="宋体"/>
                <w:spacing w:val="8"/>
                <w:kern w:val="0"/>
                <w:sz w:val="24"/>
                <w:szCs w:val="22"/>
                <w:lang w:val="zh-CN" w:eastAsia="zh-CN" w:bidi="zh-CN"/>
              </w:rPr>
            </w:pPr>
            <w:r>
              <w:rPr>
                <w:rFonts w:hint="eastAsia" w:ascii="宋体" w:hAnsi="宋体" w:eastAsia="宋体" w:cs="宋体"/>
                <w:spacing w:val="8"/>
                <w:kern w:val="0"/>
                <w:sz w:val="24"/>
                <w:szCs w:val="22"/>
                <w:lang w:val="en-US" w:eastAsia="zh-CN" w:bidi="zh-CN"/>
              </w:rPr>
              <w:t>项目技术负责人</w:t>
            </w:r>
            <w:r>
              <w:rPr>
                <w:rFonts w:hint="eastAsia" w:ascii="宋体" w:hAnsi="宋体" w:eastAsia="宋体" w:cs="宋体"/>
                <w:spacing w:val="8"/>
                <w:kern w:val="0"/>
                <w:sz w:val="24"/>
                <w:szCs w:val="22"/>
                <w:lang w:val="zh-CN" w:eastAsia="zh-CN" w:bidi="zh-CN"/>
              </w:rPr>
              <w:t>具有</w:t>
            </w:r>
            <w:r>
              <w:rPr>
                <w:rFonts w:hint="eastAsia" w:ascii="宋体" w:hAnsi="宋体" w:eastAsia="宋体" w:cs="宋体"/>
                <w:spacing w:val="8"/>
                <w:kern w:val="0"/>
                <w:sz w:val="24"/>
                <w:szCs w:val="22"/>
                <w:lang w:val="en-US" w:eastAsia="zh-CN" w:bidi="zh-CN"/>
              </w:rPr>
              <w:t>水利类专业</w:t>
            </w:r>
            <w:r>
              <w:rPr>
                <w:rFonts w:hint="eastAsia" w:ascii="宋体" w:hAnsi="宋体" w:eastAsia="宋体" w:cs="宋体"/>
                <w:spacing w:val="8"/>
                <w:kern w:val="0"/>
                <w:sz w:val="24"/>
                <w:szCs w:val="22"/>
                <w:lang w:val="zh-CN" w:eastAsia="zh-CN" w:bidi="zh-CN"/>
              </w:rPr>
              <w:t>中级工程师及以上职称的得</w:t>
            </w:r>
            <w:r>
              <w:rPr>
                <w:rFonts w:hint="eastAsia" w:cs="宋体"/>
                <w:spacing w:val="8"/>
                <w:kern w:val="0"/>
                <w:sz w:val="24"/>
                <w:szCs w:val="22"/>
                <w:lang w:val="en-US" w:eastAsia="zh-CN" w:bidi="zh-CN"/>
              </w:rPr>
              <w:t>5</w:t>
            </w:r>
            <w:r>
              <w:rPr>
                <w:rFonts w:hint="eastAsia" w:ascii="宋体" w:hAnsi="宋体" w:eastAsia="宋体" w:cs="宋体"/>
                <w:spacing w:val="8"/>
                <w:kern w:val="0"/>
                <w:sz w:val="24"/>
                <w:szCs w:val="22"/>
                <w:lang w:val="zh-CN" w:eastAsia="zh-CN" w:bidi="zh-CN"/>
              </w:rPr>
              <w:t>分（须提供</w:t>
            </w:r>
            <w:r>
              <w:rPr>
                <w:rFonts w:hint="eastAsia" w:ascii="宋体" w:hAnsi="宋体" w:eastAsia="宋体" w:cs="宋体"/>
                <w:spacing w:val="8"/>
                <w:kern w:val="0"/>
                <w:sz w:val="24"/>
                <w:szCs w:val="22"/>
                <w:lang w:val="en-US" w:eastAsia="zh-CN" w:bidi="zh-CN"/>
              </w:rPr>
              <w:t>职称</w:t>
            </w:r>
            <w:r>
              <w:rPr>
                <w:rFonts w:hint="eastAsia" w:ascii="宋体" w:hAnsi="宋体" w:eastAsia="宋体" w:cs="宋体"/>
                <w:spacing w:val="8"/>
                <w:kern w:val="0"/>
                <w:sz w:val="24"/>
                <w:szCs w:val="22"/>
                <w:lang w:val="zh-CN" w:eastAsia="zh-CN" w:bidi="zh-CN"/>
              </w:rPr>
              <w:t>证书复印件加盖公章）</w:t>
            </w:r>
          </w:p>
          <w:p>
            <w:pPr>
              <w:pStyle w:val="18"/>
              <w:ind w:left="0" w:leftChars="0" w:firstLine="0" w:firstLineChars="0"/>
            </w:pPr>
            <w:r>
              <w:rPr>
                <w:rFonts w:hint="eastAsia" w:ascii="宋体" w:hAnsi="宋体" w:eastAsia="宋体" w:cs="宋体"/>
                <w:spacing w:val="8"/>
                <w:kern w:val="0"/>
                <w:sz w:val="24"/>
                <w:szCs w:val="22"/>
                <w:lang w:val="en-US" w:eastAsia="zh-CN" w:bidi="zh-CN"/>
              </w:rPr>
              <w:t>供应商须提供项目技术负责人社保机构出具的近三个月（2022年 05 月至 2022年 07月）供应商为其缴纳的养老保险缴费证明材料并加盖社保中心章或社保中心参保缴费证明电子专用章，加盖社保中心参保缴费证明电子专用章的社保材料可视为原件，必须出具相关证明材料，否则视为未提供。</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lang w:val="en-US" w:eastAsia="zh-CN"/>
              </w:rPr>
              <w:t>5</w:t>
            </w:r>
            <w:r>
              <w:rPr>
                <w:rFonts w:hint="eastAsia"/>
                <w:b/>
                <w:bCs/>
                <w:sz w:val="24"/>
                <w:szCs w:val="24"/>
              </w:rPr>
              <w:t>分</w:t>
            </w:r>
          </w:p>
        </w:tc>
      </w:tr>
      <w:tr>
        <w:tblPrEx>
          <w:tblCellMar>
            <w:top w:w="0" w:type="dxa"/>
            <w:left w:w="108" w:type="dxa"/>
            <w:bottom w:w="0" w:type="dxa"/>
            <w:right w:w="108" w:type="dxa"/>
          </w:tblCellMar>
        </w:tblPrEx>
        <w:trPr>
          <w:trHeight w:val="1118" w:hRule="atLeast"/>
        </w:trPr>
        <w:tc>
          <w:tcPr>
            <w:tcW w:w="915" w:type="dxa"/>
            <w:vMerge w:val="continue"/>
            <w:tcBorders>
              <w:left w:val="single" w:color="auto" w:sz="6" w:space="0"/>
              <w:bottom w:val="single" w:color="auto" w:sz="6" w:space="0"/>
              <w:right w:val="single" w:color="auto" w:sz="6" w:space="0"/>
            </w:tcBorders>
            <w:vAlign w:val="center"/>
          </w:tcPr>
          <w:p>
            <w:pPr>
              <w:adjustRightInd w:val="0"/>
              <w:jc w:val="center"/>
              <w:rPr>
                <w:b/>
                <w:bCs/>
                <w:sz w:val="24"/>
                <w:szCs w:val="24"/>
              </w:rPr>
            </w:pPr>
          </w:p>
        </w:tc>
        <w:tc>
          <w:tcPr>
            <w:tcW w:w="1395" w:type="dxa"/>
            <w:vMerge w:val="continue"/>
            <w:tcBorders>
              <w:left w:val="single" w:color="auto" w:sz="6" w:space="0"/>
              <w:bottom w:val="single" w:color="auto" w:sz="6" w:space="0"/>
              <w:right w:val="single" w:color="auto" w:sz="6" w:space="0"/>
            </w:tcBorders>
            <w:vAlign w:val="center"/>
          </w:tcPr>
          <w:p>
            <w:pPr>
              <w:adjustRightInd w:val="0"/>
              <w:jc w:val="center"/>
              <w:rPr>
                <w:b/>
                <w:bCs/>
                <w:sz w:val="24"/>
                <w:szCs w:val="24"/>
              </w:rPr>
            </w:pPr>
          </w:p>
        </w:tc>
        <w:tc>
          <w:tcPr>
            <w:tcW w:w="6330" w:type="dxa"/>
            <w:tcBorders>
              <w:top w:val="single" w:color="auto" w:sz="6" w:space="0"/>
              <w:left w:val="single" w:color="auto" w:sz="6" w:space="0"/>
              <w:bottom w:val="single" w:color="auto" w:sz="6" w:space="0"/>
              <w:right w:val="single" w:color="auto" w:sz="6" w:space="0"/>
            </w:tcBorders>
            <w:vAlign w:val="center"/>
          </w:tcPr>
          <w:p>
            <w:pPr>
              <w:widowControl/>
              <w:rPr>
                <w:rFonts w:hint="eastAsia"/>
                <w:sz w:val="24"/>
                <w:szCs w:val="24"/>
                <w:lang w:val="en-US" w:bidi="ar"/>
              </w:rPr>
            </w:pPr>
            <w:r>
              <w:rPr>
                <w:rFonts w:hint="eastAsia"/>
                <w:sz w:val="24"/>
                <w:szCs w:val="24"/>
                <w:lang w:val="en-US" w:bidi="ar"/>
              </w:rPr>
              <w:t xml:space="preserve">项目组成员（项目经理、项目技术负责人除外）须配备施工员、安全员、材料员、质量员、资料员各一名，有一个得 </w:t>
            </w:r>
            <w:r>
              <w:rPr>
                <w:sz w:val="24"/>
                <w:szCs w:val="24"/>
                <w:lang w:val="en-US" w:bidi="ar"/>
              </w:rPr>
              <w:t>2</w:t>
            </w:r>
            <w:r>
              <w:rPr>
                <w:rFonts w:hint="eastAsia"/>
                <w:sz w:val="24"/>
                <w:szCs w:val="24"/>
                <w:lang w:val="en-US" w:bidi="ar"/>
              </w:rPr>
              <w:t>分，最高得 10 分。 （须提供证书复印件加盖公章）</w:t>
            </w:r>
          </w:p>
          <w:p>
            <w:pPr>
              <w:pStyle w:val="25"/>
              <w:spacing w:before="52" w:line="280" w:lineRule="auto"/>
              <w:ind w:right="95"/>
              <w:jc w:val="both"/>
              <w:rPr>
                <w:sz w:val="24"/>
                <w:szCs w:val="24"/>
              </w:rPr>
            </w:pPr>
            <w:r>
              <w:rPr>
                <w:spacing w:val="-4"/>
                <w:sz w:val="24"/>
              </w:rPr>
              <w:t>备注：供应商须提供拟投入本项目人员</w:t>
            </w:r>
            <w:r>
              <w:rPr>
                <w:spacing w:val="-12"/>
                <w:sz w:val="24"/>
              </w:rPr>
              <w:t>社保机构出具的近</w:t>
            </w:r>
            <w:r>
              <w:rPr>
                <w:rFonts w:hint="eastAsia"/>
                <w:spacing w:val="-12"/>
                <w:sz w:val="24"/>
                <w:lang w:val="en-US" w:eastAsia="zh-CN"/>
              </w:rPr>
              <w:t>三个月</w:t>
            </w:r>
            <w:r>
              <w:rPr>
                <w:sz w:val="24"/>
              </w:rPr>
              <w:t>（202</w:t>
            </w:r>
            <w:r>
              <w:rPr>
                <w:rFonts w:hint="eastAsia"/>
                <w:sz w:val="24"/>
                <w:lang w:val="en-US" w:eastAsia="zh-CN"/>
              </w:rPr>
              <w:t>2</w:t>
            </w:r>
            <w:r>
              <w:rPr>
                <w:spacing w:val="-40"/>
                <w:sz w:val="24"/>
              </w:rPr>
              <w:t>年</w:t>
            </w:r>
            <w:r>
              <w:rPr>
                <w:rFonts w:hint="eastAsia"/>
                <w:spacing w:val="-40"/>
                <w:sz w:val="24"/>
                <w:lang w:val="en-US" w:eastAsia="zh-CN"/>
              </w:rPr>
              <w:t xml:space="preserve"> 05 </w:t>
            </w:r>
            <w:r>
              <w:rPr>
                <w:spacing w:val="-30"/>
                <w:sz w:val="24"/>
              </w:rPr>
              <w:t xml:space="preserve">月至 </w:t>
            </w:r>
            <w:r>
              <w:rPr>
                <w:spacing w:val="-5"/>
                <w:sz w:val="24"/>
              </w:rPr>
              <w:t>202</w:t>
            </w:r>
            <w:r>
              <w:rPr>
                <w:rFonts w:hint="eastAsia"/>
                <w:spacing w:val="-5"/>
                <w:sz w:val="24"/>
                <w:lang w:val="en-US" w:eastAsia="zh-CN"/>
              </w:rPr>
              <w:t>2</w:t>
            </w:r>
            <w:r>
              <w:rPr>
                <w:spacing w:val="-28"/>
                <w:sz w:val="24"/>
              </w:rPr>
              <w:t xml:space="preserve">年 </w:t>
            </w:r>
            <w:r>
              <w:rPr>
                <w:rFonts w:hint="eastAsia"/>
                <w:sz w:val="24"/>
                <w:lang w:val="en-US" w:eastAsia="zh-CN"/>
              </w:rPr>
              <w:t>07</w:t>
            </w:r>
            <w:r>
              <w:rPr>
                <w:spacing w:val="-26"/>
                <w:sz w:val="24"/>
              </w:rPr>
              <w:t>月</w:t>
            </w:r>
            <w:r>
              <w:rPr>
                <w:spacing w:val="4"/>
                <w:sz w:val="24"/>
              </w:rPr>
              <w:t>）</w:t>
            </w:r>
            <w:r>
              <w:rPr>
                <w:spacing w:val="2"/>
                <w:sz w:val="24"/>
              </w:rPr>
              <w:t>供应商为其缴纳的养老保险缴费证明材料并加</w:t>
            </w:r>
            <w:r>
              <w:rPr>
                <w:spacing w:val="-1"/>
                <w:sz w:val="24"/>
              </w:rPr>
              <w:t>盖社保中心章或社保中心参保缴费证明电子专用章，加盖</w:t>
            </w:r>
            <w:r>
              <w:rPr>
                <w:spacing w:val="8"/>
                <w:sz w:val="24"/>
              </w:rPr>
              <w:t>社保中心参保缴费证明电子专用章的社保材料可视为原</w:t>
            </w:r>
            <w:r>
              <w:rPr>
                <w:spacing w:val="-3"/>
                <w:sz w:val="24"/>
              </w:rPr>
              <w:t>件，必须出具相关证明材料，否则视为未提供</w:t>
            </w:r>
            <w:r>
              <w:rPr>
                <w:sz w:val="24"/>
              </w:rPr>
              <w:t>。</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lang w:val="en-US"/>
              </w:rPr>
              <w:t>10</w:t>
            </w:r>
            <w:r>
              <w:rPr>
                <w:rFonts w:hint="eastAsia"/>
                <w:b/>
                <w:bCs/>
                <w:sz w:val="24"/>
                <w:szCs w:val="24"/>
              </w:rPr>
              <w:t>分</w:t>
            </w:r>
          </w:p>
        </w:tc>
      </w:tr>
      <w:tr>
        <w:tblPrEx>
          <w:tblCellMar>
            <w:top w:w="0" w:type="dxa"/>
            <w:left w:w="108" w:type="dxa"/>
            <w:bottom w:w="0" w:type="dxa"/>
            <w:right w:w="108" w:type="dxa"/>
          </w:tblCellMar>
        </w:tblPrEx>
        <w:trPr>
          <w:trHeight w:val="1118" w:hRule="atLeast"/>
        </w:trPr>
        <w:tc>
          <w:tcPr>
            <w:tcW w:w="915" w:type="dxa"/>
            <w:tcBorders>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4</w:t>
            </w:r>
          </w:p>
        </w:tc>
        <w:tc>
          <w:tcPr>
            <w:tcW w:w="1395" w:type="dxa"/>
            <w:tcBorders>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类似业绩</w:t>
            </w:r>
          </w:p>
        </w:tc>
        <w:tc>
          <w:tcPr>
            <w:tcW w:w="6330" w:type="dxa"/>
            <w:tcBorders>
              <w:top w:val="single" w:color="auto" w:sz="6" w:space="0"/>
              <w:left w:val="single" w:color="auto" w:sz="6" w:space="0"/>
              <w:bottom w:val="single" w:color="auto" w:sz="6" w:space="0"/>
              <w:right w:val="single" w:color="auto" w:sz="6" w:space="0"/>
            </w:tcBorders>
            <w:vAlign w:val="center"/>
          </w:tcPr>
          <w:p>
            <w:pPr>
              <w:widowControl/>
              <w:numPr>
                <w:ilvl w:val="0"/>
                <w:numId w:val="21"/>
              </w:numPr>
              <w:adjustRightInd w:val="0"/>
              <w:rPr>
                <w:sz w:val="24"/>
                <w:szCs w:val="24"/>
              </w:rPr>
            </w:pPr>
            <w:r>
              <w:rPr>
                <w:sz w:val="24"/>
                <w:szCs w:val="24"/>
              </w:rPr>
              <w:t>企业业绩：</w:t>
            </w:r>
            <w:r>
              <w:rPr>
                <w:rFonts w:hint="eastAsia"/>
                <w:sz w:val="24"/>
                <w:szCs w:val="24"/>
              </w:rPr>
              <w:t>自</w:t>
            </w:r>
            <w:r>
              <w:rPr>
                <w:sz w:val="24"/>
                <w:szCs w:val="24"/>
              </w:rPr>
              <w:t>201</w:t>
            </w:r>
            <w:r>
              <w:rPr>
                <w:rFonts w:hint="eastAsia"/>
                <w:sz w:val="24"/>
                <w:szCs w:val="24"/>
              </w:rPr>
              <w:t>9</w:t>
            </w:r>
            <w:r>
              <w:rPr>
                <w:sz w:val="24"/>
                <w:szCs w:val="24"/>
              </w:rPr>
              <w:t>年8月</w:t>
            </w:r>
            <w:r>
              <w:rPr>
                <w:rFonts w:hint="eastAsia"/>
                <w:sz w:val="24"/>
                <w:szCs w:val="24"/>
              </w:rPr>
              <w:t>1日（含）</w:t>
            </w:r>
            <w:r>
              <w:rPr>
                <w:sz w:val="24"/>
                <w:szCs w:val="24"/>
              </w:rPr>
              <w:t>以来</w:t>
            </w:r>
            <w:r>
              <w:rPr>
                <w:rFonts w:hint="eastAsia"/>
                <w:sz w:val="24"/>
                <w:szCs w:val="24"/>
              </w:rPr>
              <w:t>供应商</w:t>
            </w:r>
            <w:r>
              <w:rPr>
                <w:sz w:val="24"/>
                <w:szCs w:val="24"/>
              </w:rPr>
              <w:t>承担</w:t>
            </w:r>
            <w:r>
              <w:rPr>
                <w:rFonts w:hint="eastAsia"/>
                <w:sz w:val="24"/>
                <w:szCs w:val="24"/>
              </w:rPr>
              <w:t>过且已完成</w:t>
            </w:r>
            <w:r>
              <w:rPr>
                <w:rFonts w:hint="eastAsia"/>
                <w:sz w:val="24"/>
                <w:szCs w:val="24"/>
                <w:lang w:val="en-US" w:eastAsia="zh-CN"/>
              </w:rPr>
              <w:t>水利</w:t>
            </w:r>
            <w:r>
              <w:rPr>
                <w:rFonts w:hint="eastAsia"/>
                <w:sz w:val="24"/>
                <w:szCs w:val="24"/>
              </w:rPr>
              <w:t>工程施工</w:t>
            </w:r>
            <w:r>
              <w:rPr>
                <w:sz w:val="24"/>
                <w:szCs w:val="24"/>
              </w:rPr>
              <w:t>业绩</w:t>
            </w:r>
            <w:r>
              <w:rPr>
                <w:rFonts w:hint="eastAsia"/>
                <w:sz w:val="24"/>
                <w:szCs w:val="24"/>
              </w:rPr>
              <w:t>的</w:t>
            </w:r>
            <w:r>
              <w:rPr>
                <w:sz w:val="24"/>
                <w:szCs w:val="24"/>
              </w:rPr>
              <w:t>，每</w:t>
            </w:r>
            <w:r>
              <w:rPr>
                <w:rFonts w:hint="eastAsia"/>
                <w:sz w:val="24"/>
                <w:szCs w:val="24"/>
              </w:rPr>
              <w:t>有1</w:t>
            </w:r>
            <w:r>
              <w:rPr>
                <w:sz w:val="24"/>
                <w:szCs w:val="24"/>
              </w:rPr>
              <w:t>个得5分，最高得5分。（</w:t>
            </w:r>
            <w:r>
              <w:rPr>
                <w:rFonts w:hint="eastAsia"/>
                <w:sz w:val="24"/>
                <w:szCs w:val="24"/>
                <w:lang w:val="en-US" w:eastAsia="zh-CN"/>
              </w:rPr>
              <w:t>须同时</w:t>
            </w:r>
            <w:r>
              <w:rPr>
                <w:rFonts w:hint="eastAsia"/>
                <w:sz w:val="24"/>
                <w:szCs w:val="24"/>
              </w:rPr>
              <w:t>提供中标通知书、</w:t>
            </w:r>
            <w:r>
              <w:rPr>
                <w:sz w:val="24"/>
                <w:szCs w:val="24"/>
              </w:rPr>
              <w:t>合同</w:t>
            </w:r>
            <w:r>
              <w:rPr>
                <w:rFonts w:hint="eastAsia"/>
                <w:sz w:val="24"/>
                <w:szCs w:val="24"/>
              </w:rPr>
              <w:t>、合同完工验收证明（需各方参建单位盖章）或竣工验收证书（需各方参建单位盖章）或合同工程完工验收鉴定书为准。</w:t>
            </w:r>
            <w:r>
              <w:rPr>
                <w:sz w:val="24"/>
                <w:szCs w:val="24"/>
              </w:rPr>
              <w:t>如相关证明材料未能反映数据的，视为没有提供。）</w:t>
            </w:r>
          </w:p>
          <w:p>
            <w:pPr>
              <w:widowControl/>
              <w:numPr>
                <w:ilvl w:val="0"/>
                <w:numId w:val="21"/>
              </w:numPr>
              <w:adjustRightInd w:val="0"/>
              <w:rPr>
                <w:sz w:val="24"/>
                <w:szCs w:val="24"/>
              </w:rPr>
            </w:pPr>
            <w:r>
              <w:rPr>
                <w:rFonts w:hint="eastAsia"/>
                <w:sz w:val="24"/>
                <w:szCs w:val="24"/>
              </w:rPr>
              <w:t>项目经理业绩：自</w:t>
            </w:r>
            <w:r>
              <w:rPr>
                <w:sz w:val="24"/>
                <w:szCs w:val="24"/>
              </w:rPr>
              <w:t>201</w:t>
            </w:r>
            <w:r>
              <w:rPr>
                <w:rFonts w:hint="eastAsia"/>
                <w:sz w:val="24"/>
                <w:szCs w:val="24"/>
              </w:rPr>
              <w:t>9</w:t>
            </w:r>
            <w:r>
              <w:rPr>
                <w:sz w:val="24"/>
                <w:szCs w:val="24"/>
              </w:rPr>
              <w:t>年8月</w:t>
            </w:r>
            <w:r>
              <w:rPr>
                <w:rFonts w:hint="eastAsia"/>
                <w:sz w:val="24"/>
                <w:szCs w:val="24"/>
              </w:rPr>
              <w:t>1日（含）</w:t>
            </w:r>
            <w:r>
              <w:rPr>
                <w:sz w:val="24"/>
                <w:szCs w:val="24"/>
              </w:rPr>
              <w:t>以来承担</w:t>
            </w:r>
            <w:r>
              <w:rPr>
                <w:rFonts w:hint="eastAsia"/>
                <w:sz w:val="24"/>
                <w:szCs w:val="24"/>
              </w:rPr>
              <w:t>过且已完成</w:t>
            </w:r>
            <w:r>
              <w:rPr>
                <w:rFonts w:hint="eastAsia"/>
                <w:sz w:val="24"/>
                <w:szCs w:val="24"/>
                <w:lang w:val="en-US" w:eastAsia="zh-CN"/>
              </w:rPr>
              <w:t>水利</w:t>
            </w:r>
            <w:r>
              <w:rPr>
                <w:rFonts w:hint="eastAsia"/>
                <w:sz w:val="24"/>
                <w:szCs w:val="24"/>
              </w:rPr>
              <w:t>工程施工</w:t>
            </w:r>
            <w:r>
              <w:rPr>
                <w:sz w:val="24"/>
                <w:szCs w:val="24"/>
              </w:rPr>
              <w:t>业绩</w:t>
            </w:r>
            <w:r>
              <w:rPr>
                <w:rFonts w:hint="eastAsia"/>
                <w:sz w:val="24"/>
                <w:szCs w:val="24"/>
              </w:rPr>
              <w:t>的</w:t>
            </w:r>
            <w:r>
              <w:rPr>
                <w:sz w:val="24"/>
                <w:szCs w:val="24"/>
              </w:rPr>
              <w:t>，每</w:t>
            </w:r>
            <w:r>
              <w:rPr>
                <w:rFonts w:hint="eastAsia"/>
                <w:sz w:val="24"/>
                <w:szCs w:val="24"/>
              </w:rPr>
              <w:t>有1</w:t>
            </w:r>
            <w:r>
              <w:rPr>
                <w:sz w:val="24"/>
                <w:szCs w:val="24"/>
              </w:rPr>
              <w:t>个得5分，最高得5分。（</w:t>
            </w:r>
            <w:r>
              <w:rPr>
                <w:rFonts w:hint="eastAsia"/>
                <w:sz w:val="24"/>
                <w:szCs w:val="24"/>
                <w:lang w:val="en-US" w:eastAsia="zh-CN"/>
              </w:rPr>
              <w:t>须同时</w:t>
            </w:r>
            <w:r>
              <w:rPr>
                <w:rFonts w:hint="eastAsia"/>
                <w:sz w:val="24"/>
                <w:szCs w:val="24"/>
              </w:rPr>
              <w:t>提供中标通知书、</w:t>
            </w:r>
            <w:r>
              <w:rPr>
                <w:sz w:val="24"/>
                <w:szCs w:val="24"/>
              </w:rPr>
              <w:t>合同</w:t>
            </w:r>
            <w:r>
              <w:rPr>
                <w:rFonts w:hint="eastAsia"/>
                <w:sz w:val="24"/>
                <w:szCs w:val="24"/>
              </w:rPr>
              <w:t>、合同完工验收证明（需各方参建单位盖章）或竣工验收证书（需各方参建单位盖章）或合同工程完工验收鉴定书为准。</w:t>
            </w:r>
            <w:r>
              <w:rPr>
                <w:sz w:val="24"/>
                <w:szCs w:val="24"/>
              </w:rPr>
              <w:t>如相关证明材料未能反映数据的，视为没有提供。）</w:t>
            </w:r>
          </w:p>
          <w:p>
            <w:pPr>
              <w:widowControl/>
              <w:rPr>
                <w:sz w:val="24"/>
                <w:szCs w:val="24"/>
                <w:lang w:val="en-US" w:bidi="ar"/>
              </w:rPr>
            </w:pPr>
            <w:r>
              <w:rPr>
                <w:rFonts w:hint="eastAsia"/>
                <w:sz w:val="24"/>
                <w:szCs w:val="24"/>
              </w:rPr>
              <w:t>注：企业业绩和项目经理业绩不可重复得分，项目经理业绩须为供应商承接的。</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hint="eastAsia" w:eastAsia="宋体"/>
                <w:b/>
                <w:bCs/>
                <w:sz w:val="24"/>
                <w:szCs w:val="24"/>
                <w:lang w:val="en-US" w:eastAsia="zh-CN"/>
              </w:rPr>
            </w:pPr>
            <w:r>
              <w:rPr>
                <w:b/>
                <w:bCs/>
                <w:sz w:val="24"/>
                <w:szCs w:val="24"/>
                <w:lang w:val="en-US"/>
              </w:rPr>
              <w:t>10</w:t>
            </w:r>
            <w:r>
              <w:rPr>
                <w:rFonts w:hint="eastAsia"/>
                <w:b/>
                <w:bCs/>
                <w:sz w:val="24"/>
                <w:szCs w:val="24"/>
                <w:lang w:val="en-US" w:eastAsia="zh-CN"/>
              </w:rPr>
              <w:t>分</w:t>
            </w:r>
          </w:p>
        </w:tc>
      </w:tr>
      <w:tr>
        <w:tblPrEx>
          <w:tblCellMar>
            <w:top w:w="0" w:type="dxa"/>
            <w:left w:w="108" w:type="dxa"/>
            <w:bottom w:w="0" w:type="dxa"/>
            <w:right w:w="108" w:type="dxa"/>
          </w:tblCellMar>
        </w:tblPrEx>
        <w:trPr>
          <w:trHeight w:val="394" w:hRule="atLeast"/>
        </w:trPr>
        <w:tc>
          <w:tcPr>
            <w:tcW w:w="8640" w:type="dxa"/>
            <w:gridSpan w:val="3"/>
            <w:tcBorders>
              <w:top w:val="single" w:color="auto" w:sz="6" w:space="0"/>
              <w:left w:val="single" w:color="auto" w:sz="6" w:space="0"/>
              <w:bottom w:val="single" w:color="auto" w:sz="6" w:space="0"/>
              <w:right w:val="single" w:color="auto" w:sz="6" w:space="0"/>
            </w:tcBorders>
            <w:vAlign w:val="center"/>
          </w:tcPr>
          <w:p>
            <w:pPr>
              <w:adjustRightInd w:val="0"/>
              <w:jc w:val="center"/>
              <w:rPr>
                <w:sz w:val="24"/>
                <w:szCs w:val="24"/>
              </w:rPr>
            </w:pPr>
            <w:r>
              <w:rPr>
                <w:rFonts w:hint="eastAsia" w:ascii="Calibri" w:hAnsi="Calibri"/>
                <w:sz w:val="24"/>
                <w:szCs w:val="24"/>
              </w:rPr>
              <w:t>合计</w:t>
            </w:r>
          </w:p>
        </w:tc>
        <w:tc>
          <w:tcPr>
            <w:tcW w:w="1215" w:type="dxa"/>
            <w:tcBorders>
              <w:top w:val="single" w:color="auto" w:sz="6" w:space="0"/>
              <w:left w:val="single" w:color="auto" w:sz="6" w:space="0"/>
              <w:bottom w:val="single" w:color="auto" w:sz="6" w:space="0"/>
              <w:right w:val="single" w:color="auto" w:sz="6" w:space="0"/>
            </w:tcBorders>
            <w:vAlign w:val="center"/>
          </w:tcPr>
          <w:p>
            <w:pPr>
              <w:adjustRightInd w:val="0"/>
              <w:jc w:val="center"/>
              <w:rPr>
                <w:b/>
                <w:bCs/>
                <w:sz w:val="24"/>
                <w:szCs w:val="24"/>
              </w:rPr>
            </w:pPr>
            <w:r>
              <w:rPr>
                <w:rFonts w:hint="eastAsia"/>
                <w:b/>
                <w:bCs/>
                <w:sz w:val="24"/>
                <w:szCs w:val="24"/>
              </w:rPr>
              <w:t>100</w:t>
            </w:r>
          </w:p>
        </w:tc>
      </w:tr>
    </w:tbl>
    <w:p>
      <w:pPr>
        <w:pStyle w:val="6"/>
        <w:rPr>
          <w:rFonts w:hint="eastAsia"/>
        </w:rPr>
      </w:pPr>
    </w:p>
    <w:p>
      <w:pPr>
        <w:pStyle w:val="7"/>
        <w:spacing w:before="66"/>
        <w:ind w:left="0" w:leftChars="0" w:firstLine="0" w:firstLineChars="0"/>
        <w:rPr>
          <w:rFonts w:hint="eastAsia" w:ascii="宋体" w:hAnsi="宋体" w:eastAsia="宋体" w:cs="宋体"/>
        </w:rPr>
      </w:pPr>
      <w:r>
        <w:rPr>
          <w:rFonts w:hint="eastAsia" w:ascii="宋体" w:hAnsi="宋体" w:eastAsia="宋体" w:cs="宋体"/>
          <w:w w:val="95"/>
          <w:lang w:val="en-US" w:eastAsia="zh-CN"/>
        </w:rPr>
        <w:t>说</w:t>
      </w:r>
      <w:r>
        <w:rPr>
          <w:rFonts w:hint="eastAsia" w:ascii="宋体" w:hAnsi="宋体" w:eastAsia="宋体" w:cs="宋体"/>
          <w:w w:val="95"/>
        </w:rPr>
        <w:t>明</w:t>
      </w:r>
      <w:r>
        <w:rPr>
          <w:rFonts w:hint="eastAsia" w:ascii="宋体" w:hAnsi="宋体" w:eastAsia="宋体" w:cs="宋体"/>
          <w:spacing w:val="-10"/>
          <w:w w:val="95"/>
        </w:rPr>
        <w:t>：</w:t>
      </w:r>
    </w:p>
    <w:p>
      <w:pPr>
        <w:pStyle w:val="9"/>
        <w:keepNext w:val="0"/>
        <w:keepLines w:val="0"/>
        <w:pageBreakBefore w:val="0"/>
        <w:widowControl w:val="0"/>
        <w:kinsoku/>
        <w:wordWrap/>
        <w:overflowPunct/>
        <w:topLinePunct w:val="0"/>
        <w:autoSpaceDE w:val="0"/>
        <w:autoSpaceDN w:val="0"/>
        <w:bidi w:val="0"/>
        <w:adjustRightInd/>
        <w:snapToGrid/>
        <w:spacing w:before="7" w:line="360" w:lineRule="auto"/>
        <w:ind w:left="0"/>
        <w:textAlignment w:val="auto"/>
        <w:rPr>
          <w:sz w:val="24"/>
          <w:szCs w:val="24"/>
          <w:u w:val="none" w:color="auto"/>
        </w:rPr>
      </w:pPr>
      <w:r>
        <w:rPr>
          <w:sz w:val="24"/>
          <w:szCs w:val="24"/>
          <w:u w:val="none" w:color="auto"/>
        </w:rPr>
        <w:t>注：1.所有认证、证明和业绩均以有效的证明文件的扫描件（加盖公章）为依据，原件备查。</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ind w:left="0" w:right="293"/>
        <w:textAlignment w:val="auto"/>
        <w:rPr>
          <w:sz w:val="24"/>
          <w:szCs w:val="24"/>
          <w:u w:val="none" w:color="auto"/>
        </w:rPr>
      </w:pPr>
      <w:r>
        <w:rPr>
          <w:sz w:val="24"/>
          <w:szCs w:val="24"/>
          <w:u w:val="none" w:color="auto"/>
        </w:rPr>
        <w:t>(供应商必须提供真实信息，如有提供虚假信息、合同或证书等虚假资料的，按照无效投标处理， 如已签署合同的，则中止合同并承担相应法律责任，并依据相关规定在一至三年内取消其参加南京市政府采购项目的投标资格。)</w:t>
      </w:r>
    </w:p>
    <w:p>
      <w:pPr>
        <w:pStyle w:val="9"/>
        <w:keepNext w:val="0"/>
        <w:keepLines w:val="0"/>
        <w:pageBreakBefore w:val="0"/>
        <w:widowControl w:val="0"/>
        <w:kinsoku/>
        <w:wordWrap/>
        <w:overflowPunct/>
        <w:topLinePunct w:val="0"/>
        <w:autoSpaceDE w:val="0"/>
        <w:autoSpaceDN w:val="0"/>
        <w:bidi w:val="0"/>
        <w:adjustRightInd/>
        <w:snapToGrid/>
        <w:spacing w:before="6" w:line="360" w:lineRule="auto"/>
        <w:ind w:left="0" w:right="173"/>
        <w:textAlignment w:val="auto"/>
        <w:rPr>
          <w:sz w:val="24"/>
          <w:szCs w:val="24"/>
          <w:u w:val="none" w:color="auto"/>
        </w:rPr>
      </w:pPr>
      <w:r>
        <w:rPr>
          <w:sz w:val="24"/>
          <w:szCs w:val="24"/>
          <w:u w:val="none" w:color="auto"/>
        </w:rPr>
        <w:t>2.供应商在制作投标文件时，应将本“评分表格”制作于投标文件中，并标注投标文件对应页码， 以便方便评标委员会评审。</w:t>
      </w:r>
    </w:p>
    <w:p>
      <w:pPr>
        <w:spacing w:after="0" w:line="242" w:lineRule="auto"/>
        <w:sectPr>
          <w:pgSz w:w="11910" w:h="16840"/>
          <w:pgMar w:top="1420" w:right="0" w:bottom="840" w:left="860" w:header="0" w:footer="646" w:gutter="0"/>
          <w:cols w:space="720" w:num="1"/>
        </w:sectPr>
      </w:pPr>
    </w:p>
    <w:p>
      <w:pPr>
        <w:pStyle w:val="4"/>
        <w:spacing w:before="131"/>
        <w:jc w:val="center"/>
        <w:rPr>
          <w:rFonts w:hint="eastAsia" w:ascii="宋体" w:hAnsi="宋体" w:eastAsia="宋体" w:cs="宋体"/>
          <w:w w:val="95"/>
        </w:rPr>
      </w:pPr>
    </w:p>
    <w:p>
      <w:pPr>
        <w:pStyle w:val="4"/>
        <w:spacing w:before="131"/>
        <w:jc w:val="center"/>
        <w:rPr>
          <w:rFonts w:hint="eastAsia" w:ascii="宋体" w:hAnsi="宋体" w:eastAsia="宋体" w:cs="宋体"/>
        </w:rPr>
      </w:pPr>
      <w:r>
        <w:rPr>
          <w:rFonts w:hint="eastAsia" w:ascii="宋体" w:hAnsi="宋体" w:eastAsia="宋体" w:cs="宋体"/>
          <w:w w:val="95"/>
        </w:rPr>
        <w:t>第四章采购项目的技术标准、要求</w:t>
      </w:r>
      <w:r>
        <w:rPr>
          <w:rFonts w:hint="eastAsia" w:ascii="宋体" w:hAnsi="宋体" w:eastAsia="宋体" w:cs="宋体"/>
          <w:spacing w:val="-10"/>
          <w:w w:val="95"/>
        </w:rPr>
        <w:t>等</w:t>
      </w:r>
    </w:p>
    <w:p>
      <w:pPr>
        <w:pStyle w:val="9"/>
        <w:spacing w:before="3"/>
        <w:rPr>
          <w:rFonts w:hint="eastAsia" w:ascii="仿宋" w:hAnsi="仿宋" w:eastAsia="仿宋" w:cs="仿宋"/>
          <w:b/>
          <w:sz w:val="39"/>
          <w:u w:val="none"/>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331" w:firstLine="474" w:firstLineChars="200"/>
        <w:textAlignment w:val="auto"/>
        <w:rPr>
          <w:rFonts w:hint="eastAsia" w:ascii="宋体" w:hAnsi="宋体" w:eastAsia="宋体" w:cs="宋体"/>
          <w:b/>
          <w:bCs/>
          <w:spacing w:val="-2"/>
          <w:sz w:val="24"/>
          <w:szCs w:val="24"/>
          <w:lang w:val="en-US" w:eastAsia="zh-CN" w:bidi="ar-SA"/>
        </w:rPr>
      </w:pPr>
      <w:r>
        <w:rPr>
          <w:rFonts w:hint="eastAsia" w:ascii="宋体" w:hAnsi="宋体" w:eastAsia="宋体" w:cs="宋体"/>
          <w:b/>
          <w:bCs/>
          <w:spacing w:val="-2"/>
          <w:sz w:val="24"/>
          <w:szCs w:val="24"/>
          <w:lang w:val="en-US" w:eastAsia="zh-CN" w:bidi="ar-SA"/>
        </w:rPr>
        <w:t>一、工程概况：</w:t>
      </w:r>
    </w:p>
    <w:p>
      <w:pPr>
        <w:keepNext w:val="0"/>
        <w:keepLines w:val="0"/>
        <w:pageBreakBefore w:val="0"/>
        <w:widowControl w:val="0"/>
        <w:kinsoku/>
        <w:wordWrap/>
        <w:overflowPunct/>
        <w:topLinePunct w:val="0"/>
        <w:autoSpaceDE w:val="0"/>
        <w:autoSpaceDN w:val="0"/>
        <w:bidi w:val="0"/>
        <w:adjustRightInd/>
        <w:snapToGrid/>
        <w:spacing w:before="161" w:line="360" w:lineRule="auto"/>
        <w:ind w:left="331" w:right="0" w:firstLine="472" w:firstLineChars="200"/>
        <w:jc w:val="left"/>
        <w:textAlignment w:val="auto"/>
        <w:rPr>
          <w:rFonts w:hint="eastAsia" w:ascii="宋体" w:hAnsi="宋体" w:eastAsia="宋体" w:cs="宋体"/>
          <w:b w:val="0"/>
          <w:bCs w:val="0"/>
          <w:spacing w:val="-2"/>
          <w:sz w:val="24"/>
          <w:szCs w:val="24"/>
          <w:lang w:val="en-US" w:eastAsia="zh-CN" w:bidi="ar-SA"/>
        </w:rPr>
      </w:pPr>
      <w:r>
        <w:rPr>
          <w:rFonts w:hint="eastAsia" w:ascii="宋体" w:hAnsi="宋体" w:eastAsia="宋体" w:cs="宋体"/>
          <w:b w:val="0"/>
          <w:bCs w:val="0"/>
          <w:spacing w:val="-2"/>
          <w:sz w:val="24"/>
          <w:szCs w:val="24"/>
          <w:lang w:val="en-US" w:eastAsia="zh-CN" w:bidi="ar-SA"/>
        </w:rPr>
        <w:t>1、工程名称：</w:t>
      </w:r>
      <w:r>
        <w:rPr>
          <w:rFonts w:hint="eastAsia" w:cs="宋体"/>
          <w:b w:val="0"/>
          <w:bCs w:val="0"/>
          <w:spacing w:val="-2"/>
          <w:sz w:val="24"/>
          <w:szCs w:val="24"/>
          <w:lang w:val="en-US" w:eastAsia="zh-CN" w:bidi="ar-SA"/>
        </w:rPr>
        <w:t>2022年度石湫街道中天堡翻水线更新改造工程</w:t>
      </w:r>
      <w:r>
        <w:rPr>
          <w:rFonts w:hint="eastAsia" w:ascii="宋体" w:hAnsi="宋体" w:eastAsia="宋体" w:cs="宋体"/>
          <w:b w:val="0"/>
          <w:bCs w:val="0"/>
          <w:spacing w:val="-2"/>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160" w:line="360" w:lineRule="auto"/>
        <w:ind w:left="331" w:right="0" w:firstLine="472" w:firstLineChars="200"/>
        <w:jc w:val="left"/>
        <w:textAlignment w:val="auto"/>
        <w:rPr>
          <w:rFonts w:hint="eastAsia" w:ascii="宋体" w:hAnsi="宋体" w:eastAsia="宋体" w:cs="宋体"/>
          <w:b w:val="0"/>
          <w:bCs w:val="0"/>
          <w:spacing w:val="-2"/>
          <w:sz w:val="24"/>
          <w:szCs w:val="24"/>
          <w:lang w:val="en-US" w:eastAsia="zh-CN" w:bidi="ar-SA"/>
        </w:rPr>
      </w:pPr>
      <w:r>
        <w:rPr>
          <w:rFonts w:hint="eastAsia" w:ascii="宋体" w:hAnsi="宋体" w:eastAsia="宋体" w:cs="宋体"/>
          <w:b w:val="0"/>
          <w:bCs w:val="0"/>
          <w:spacing w:val="-2"/>
          <w:sz w:val="24"/>
          <w:szCs w:val="24"/>
          <w:lang w:val="en-US" w:eastAsia="zh-CN" w:bidi="ar-SA"/>
        </w:rPr>
        <w:t>2、工程地点：溧水区石湫街道；</w:t>
      </w:r>
    </w:p>
    <w:p>
      <w:pPr>
        <w:keepNext w:val="0"/>
        <w:keepLines w:val="0"/>
        <w:pageBreakBefore w:val="0"/>
        <w:widowControl w:val="0"/>
        <w:kinsoku/>
        <w:wordWrap/>
        <w:overflowPunct/>
        <w:topLinePunct w:val="0"/>
        <w:autoSpaceDE w:val="0"/>
        <w:autoSpaceDN w:val="0"/>
        <w:bidi w:val="0"/>
        <w:adjustRightInd/>
        <w:snapToGrid/>
        <w:spacing w:before="161" w:line="360" w:lineRule="auto"/>
        <w:ind w:left="331" w:right="0" w:firstLine="472" w:firstLineChars="200"/>
        <w:jc w:val="left"/>
        <w:textAlignment w:val="auto"/>
        <w:rPr>
          <w:rFonts w:hint="default" w:ascii="宋体" w:hAnsi="宋体" w:eastAsia="宋体" w:cs="宋体"/>
          <w:b w:val="0"/>
          <w:bCs w:val="0"/>
          <w:spacing w:val="-2"/>
          <w:sz w:val="24"/>
          <w:szCs w:val="24"/>
          <w:lang w:val="en-US" w:eastAsia="zh-CN" w:bidi="ar-SA"/>
        </w:rPr>
      </w:pPr>
      <w:r>
        <w:rPr>
          <w:rFonts w:hint="eastAsia" w:ascii="宋体" w:hAnsi="宋体" w:eastAsia="宋体" w:cs="宋体"/>
          <w:b w:val="0"/>
          <w:bCs w:val="0"/>
          <w:spacing w:val="-2"/>
          <w:sz w:val="24"/>
          <w:szCs w:val="24"/>
          <w:lang w:val="en-US" w:eastAsia="zh-CN" w:bidi="ar-SA"/>
        </w:rPr>
        <w:t xml:space="preserve">3、工程概况：工程主要实施内容为:拆建泵站1座,配套PE管道1975m, T100渠道90m，新建分水池1座，闸阀井4座，排气阀井2座;河道清淤整治1800m，河道护岸整治140m;拆建箱涵1座，改造倒虹吸1座。 </w:t>
      </w:r>
    </w:p>
    <w:p>
      <w:pPr>
        <w:keepNext w:val="0"/>
        <w:keepLines w:val="0"/>
        <w:pageBreakBefore w:val="0"/>
        <w:widowControl w:val="0"/>
        <w:kinsoku/>
        <w:wordWrap/>
        <w:overflowPunct/>
        <w:topLinePunct w:val="0"/>
        <w:autoSpaceDE w:val="0"/>
        <w:autoSpaceDN w:val="0"/>
        <w:bidi w:val="0"/>
        <w:adjustRightInd/>
        <w:snapToGrid/>
        <w:spacing w:before="1" w:line="360" w:lineRule="auto"/>
        <w:ind w:left="331" w:right="0" w:firstLine="446"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b/>
          <w:bCs/>
          <w:spacing w:val="-9"/>
          <w:sz w:val="24"/>
          <w:szCs w:val="24"/>
          <w:u w:val="none" w:color="auto"/>
          <w:lang w:val="en-US" w:eastAsia="zh-CN" w:bidi="ar-SA"/>
        </w:rPr>
        <w:t>二、工期</w:t>
      </w:r>
      <w:r>
        <w:rPr>
          <w:rFonts w:hint="eastAsia" w:ascii="宋体" w:hAnsi="宋体" w:eastAsia="宋体" w:cs="宋体"/>
          <w:spacing w:val="-9"/>
          <w:sz w:val="24"/>
          <w:szCs w:val="24"/>
          <w:u w:val="none" w:color="auto"/>
          <w:lang w:val="en-US" w:eastAsia="zh-CN" w:bidi="ar-SA"/>
        </w:rPr>
        <w:t>：90日历天。</w:t>
      </w:r>
    </w:p>
    <w:p>
      <w:pPr>
        <w:keepNext w:val="0"/>
        <w:keepLines w:val="0"/>
        <w:pageBreakBefore w:val="0"/>
        <w:widowControl w:val="0"/>
        <w:kinsoku/>
        <w:wordWrap/>
        <w:overflowPunct/>
        <w:topLinePunct w:val="0"/>
        <w:autoSpaceDE w:val="0"/>
        <w:autoSpaceDN w:val="0"/>
        <w:bidi w:val="0"/>
        <w:adjustRightInd/>
        <w:snapToGrid/>
        <w:spacing w:before="160" w:line="360" w:lineRule="auto"/>
        <w:ind w:left="331" w:right="0" w:firstLine="446"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b/>
          <w:bCs/>
          <w:spacing w:val="-9"/>
          <w:sz w:val="24"/>
          <w:szCs w:val="24"/>
          <w:u w:val="none" w:color="auto"/>
          <w:lang w:val="en-US" w:eastAsia="zh-CN" w:bidi="ar-SA"/>
        </w:rPr>
        <w:t>三、质量要求</w:t>
      </w:r>
      <w:r>
        <w:rPr>
          <w:rFonts w:hint="eastAsia" w:ascii="宋体" w:hAnsi="宋体" w:eastAsia="宋体" w:cs="宋体"/>
          <w:spacing w:val="-9"/>
          <w:sz w:val="24"/>
          <w:szCs w:val="24"/>
          <w:u w:val="none" w:color="auto"/>
          <w:lang w:val="en-US" w:eastAsia="zh-CN" w:bidi="ar-SA"/>
        </w:rPr>
        <w:t>：符合国家质量验收标准。</w:t>
      </w:r>
    </w:p>
    <w:p>
      <w:pPr>
        <w:autoSpaceDE w:val="0"/>
        <w:autoSpaceDN w:val="0"/>
        <w:spacing w:line="360" w:lineRule="exact"/>
        <w:ind w:firstLine="723" w:firstLineChars="300"/>
        <w:rPr>
          <w:rFonts w:hint="eastAsia" w:ascii="宋体" w:hAnsi="宋体" w:eastAsia="宋体" w:cs="宋体"/>
          <w:spacing w:val="-9"/>
          <w:sz w:val="24"/>
          <w:szCs w:val="24"/>
          <w:u w:val="none" w:color="auto"/>
          <w:lang w:val="en-US" w:eastAsia="zh-CN" w:bidi="ar-SA"/>
        </w:rPr>
      </w:pPr>
      <w:bookmarkStart w:id="5" w:name="_Toc4134_WPSOffice_Level2"/>
      <w:r>
        <w:rPr>
          <w:rFonts w:hint="eastAsia" w:ascii="宋体" w:hAnsi="宋体" w:cs="Arial"/>
          <w:b/>
          <w:sz w:val="24"/>
          <w:szCs w:val="24"/>
          <w:lang w:val="en-US" w:eastAsia="zh-CN"/>
        </w:rPr>
        <w:t>四</w:t>
      </w:r>
      <w:r>
        <w:rPr>
          <w:rFonts w:hint="eastAsia" w:ascii="宋体" w:hAnsi="宋体" w:cs="Arial"/>
          <w:b/>
          <w:sz w:val="24"/>
          <w:szCs w:val="24"/>
          <w:lang w:eastAsia="zh-CN"/>
        </w:rPr>
        <w:t>、</w:t>
      </w:r>
      <w:bookmarkEnd w:id="5"/>
      <w:r>
        <w:rPr>
          <w:rFonts w:hint="eastAsia" w:cs="Arial"/>
          <w:b/>
          <w:sz w:val="24"/>
          <w:szCs w:val="24"/>
          <w:lang w:val="en-US" w:eastAsia="zh-CN"/>
        </w:rPr>
        <w:t>付款条件</w:t>
      </w:r>
      <w:r>
        <w:rPr>
          <w:rFonts w:hint="eastAsia" w:ascii="宋体" w:hAnsi="宋体" w:cs="Arial"/>
          <w:b/>
          <w:sz w:val="24"/>
          <w:szCs w:val="24"/>
          <w:lang w:eastAsia="zh-CN"/>
        </w:rPr>
        <w:t>：</w:t>
      </w:r>
    </w:p>
    <w:p>
      <w:pPr>
        <w:pStyle w:val="24"/>
        <w:numPr>
          <w:ilvl w:val="0"/>
          <w:numId w:val="0"/>
        </w:numPr>
        <w:tabs>
          <w:tab w:val="left" w:pos="1260"/>
        </w:tabs>
        <w:spacing w:before="82" w:after="0" w:line="240" w:lineRule="auto"/>
        <w:ind w:right="0" w:rightChars="0" w:firstLine="444" w:firstLineChars="200"/>
        <w:jc w:val="left"/>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（1）完成工程量的50%，付已完合格工程量核产的70%；</w:t>
      </w:r>
    </w:p>
    <w:p>
      <w:pPr>
        <w:pStyle w:val="24"/>
        <w:numPr>
          <w:ilvl w:val="0"/>
          <w:numId w:val="0"/>
        </w:numPr>
        <w:tabs>
          <w:tab w:val="left" w:pos="1260"/>
        </w:tabs>
        <w:spacing w:before="82" w:after="0" w:line="240" w:lineRule="auto"/>
        <w:ind w:right="0" w:rightChars="0" w:firstLine="444" w:firstLineChars="200"/>
        <w:jc w:val="left"/>
        <w:rPr>
          <w:rFonts w:hint="default"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（2）完工验收合格后，付至合同价款的40%；</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160" w:after="0" w:line="360" w:lineRule="auto"/>
        <w:ind w:right="0" w:rightChars="0" w:firstLine="444"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（3）工程竣工验收合格并经工程审计结束后付至审定价的70%。</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0" w:after="0" w:line="360" w:lineRule="auto"/>
        <w:ind w:right="0" w:rightChars="0" w:firstLine="444"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（4）剩余30%分两年付清（含质量保修金，无息支付）。</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五、</w:t>
      </w:r>
      <w:r>
        <w:rPr>
          <w:rFonts w:hint="eastAsia" w:cs="宋体" w:asciiTheme="minorEastAsia" w:hAnsiTheme="minorEastAsia" w:eastAsiaTheme="minorEastAsia"/>
          <w:b/>
          <w:sz w:val="24"/>
          <w:lang w:eastAsia="zh-CN"/>
        </w:rPr>
        <w:t>最高限价</w:t>
      </w:r>
      <w:r>
        <w:rPr>
          <w:rFonts w:hint="eastAsia" w:cs="宋体" w:asciiTheme="minorEastAsia" w:hAnsiTheme="minorEastAsia" w:eastAsiaTheme="minorEastAsia"/>
          <w:b/>
          <w:sz w:val="24"/>
        </w:rPr>
        <w:t>编制依据</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5.1 《水利工程工程量清单计价规范》（GB50501-2007）；</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5.2 《江苏省水利工程设计概（估）算编制规定》（2017年修订版）；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5.3 《江苏省水利工程预算定额》（2010版）《江苏省水利工程预算定额建筑工程、安装工程动态基价表》（2019年含税版），《江苏省水利工程施工机械台时费定额》（2019年含税版）；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5.4 《江苏省市政工程计价表定额》（2014年）；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5.5《江苏省仿古建筑与园林工程计价表》；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5.6 省水利厅关于调整水利工程计价依据增值税计算标准的通知（苏水基[2019]6号）；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5.7 省水利厅关于发布江苏省水利工程人工预算工时单价标准的通知（苏水基[2015]32号文）；</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5.8 省住房城乡建设厅关于发布建设工程人工工资指导价的通知</w:t>
      </w:r>
      <w:r>
        <w:rPr>
          <w:rFonts w:hint="eastAsia" w:ascii="宋体" w:hAnsi="宋体" w:cs="宋体"/>
          <w:color w:val="FF0000"/>
          <w:sz w:val="24"/>
          <w:szCs w:val="24"/>
          <w:lang w:val="en-US" w:eastAsia="zh-CN"/>
        </w:rPr>
        <w:t>（苏建函价[2022]62号文）</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5.9 安全文明措施费使用管理办法（苏水基[2017]2号文）；</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5.10 安全文明措施费分解表（苏水基[2017]3号文）；</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5.11 建筑工程材料价格采用</w:t>
      </w:r>
      <w:r>
        <w:rPr>
          <w:rFonts w:hint="eastAsia" w:ascii="宋体" w:hAnsi="宋体" w:cs="宋体"/>
          <w:color w:val="FF0000"/>
          <w:sz w:val="24"/>
          <w:szCs w:val="24"/>
          <w:lang w:val="en-US" w:eastAsia="zh-CN"/>
        </w:rPr>
        <w:t>《南京市2022年06月份建设工程材料指导价》</w:t>
      </w:r>
      <w:r>
        <w:rPr>
          <w:rFonts w:hint="eastAsia" w:ascii="宋体" w:hAnsi="宋体" w:cs="宋体"/>
          <w:sz w:val="24"/>
          <w:szCs w:val="24"/>
          <w:lang w:val="en-US" w:eastAsia="zh-CN"/>
        </w:rPr>
        <w:t>，对于没有发布价格信息的材料，其价格参照市场价；</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5.12 拟定的招标文件；</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5.13 施工图纸（电子版）；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5.14 与以上配套的相关规定、规范、标准图集和技术资料。</w:t>
      </w:r>
    </w:p>
    <w:p>
      <w:pPr>
        <w:spacing w:line="360" w:lineRule="auto"/>
        <w:ind w:firstLine="482" w:firstLineChars="200"/>
        <w:rPr>
          <w:rFonts w:hint="eastAsia" w:asciiTheme="minorEastAsia" w:hAnsiTheme="minorEastAsia" w:eastAsiaTheme="minorEastAsia" w:cstheme="minorEastAsia"/>
          <w:sz w:val="24"/>
        </w:rPr>
      </w:pPr>
      <w:r>
        <w:rPr>
          <w:rFonts w:hint="eastAsia" w:cs="宋体" w:asciiTheme="minorEastAsia" w:hAnsiTheme="minorEastAsia" w:eastAsiaTheme="minorEastAsia"/>
          <w:b/>
          <w:sz w:val="24"/>
          <w:lang w:val="en-US" w:eastAsia="zh-CN"/>
        </w:rPr>
        <w:t>六</w:t>
      </w:r>
      <w:r>
        <w:rPr>
          <w:rFonts w:hint="eastAsia" w:cs="宋体" w:asciiTheme="minorEastAsia" w:hAnsiTheme="minorEastAsia" w:eastAsiaTheme="minorEastAsia"/>
          <w:b/>
          <w:sz w:val="24"/>
        </w:rPr>
        <w:t>、其他须说明的问题</w:t>
      </w:r>
      <w:r>
        <w:rPr>
          <w:rFonts w:hint="eastAsia" w:asciiTheme="minorEastAsia" w:hAnsiTheme="minorEastAsia" w:eastAsiaTheme="minorEastAsia" w:cstheme="minorEastAsia"/>
          <w:sz w:val="24"/>
        </w:rPr>
        <w:t xml:space="preserve"> </w:t>
      </w:r>
    </w:p>
    <w:p>
      <w:pPr>
        <w:spacing w:line="360" w:lineRule="auto"/>
        <w:ind w:firstLine="480"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 xml:space="preserve">1 </w:t>
      </w:r>
      <w:r>
        <w:rPr>
          <w:rFonts w:hint="eastAsia" w:asciiTheme="minorEastAsia" w:hAnsiTheme="minorEastAsia" w:eastAsiaTheme="minorEastAsia" w:cstheme="minorEastAsia"/>
          <w:kern w:val="2"/>
          <w:sz w:val="24"/>
          <w:szCs w:val="24"/>
        </w:rPr>
        <w:t>垃圾清运</w:t>
      </w:r>
      <w:r>
        <w:rPr>
          <w:rFonts w:hint="eastAsia" w:asciiTheme="minorEastAsia" w:hAnsiTheme="minorEastAsia" w:eastAsiaTheme="minorEastAsia" w:cstheme="minorEastAsia"/>
          <w:kern w:val="2"/>
          <w:sz w:val="24"/>
          <w:szCs w:val="24"/>
          <w:lang w:val="en-US" w:eastAsia="zh-CN"/>
        </w:rPr>
        <w:t>至溧水区指定土场</w:t>
      </w:r>
      <w:r>
        <w:rPr>
          <w:rFonts w:hint="eastAsia" w:asciiTheme="minorEastAsia" w:hAnsiTheme="minorEastAsia" w:eastAsiaTheme="minorEastAsia" w:cstheme="minorEastAsia"/>
          <w:kern w:val="2"/>
          <w:sz w:val="24"/>
          <w:szCs w:val="24"/>
          <w:lang w:eastAsia="zh-CN"/>
        </w:rPr>
        <w:t>，运距自行考虑</w:t>
      </w:r>
      <w:r>
        <w:rPr>
          <w:rFonts w:hint="eastAsia" w:asciiTheme="minorEastAsia" w:hAnsiTheme="minorEastAsia" w:eastAsiaTheme="minorEastAsia" w:cstheme="minorEastAsia"/>
          <w:kern w:val="2"/>
          <w:sz w:val="24"/>
          <w:szCs w:val="24"/>
        </w:rPr>
        <w:t>，外运渣土方和缺方内运所需</w:t>
      </w:r>
      <w:r>
        <w:rPr>
          <w:rFonts w:hint="eastAsia" w:asciiTheme="minorEastAsia" w:hAnsiTheme="minorEastAsia" w:eastAsiaTheme="minorEastAsia" w:cstheme="minorEastAsia"/>
          <w:kern w:val="2"/>
          <w:sz w:val="24"/>
          <w:szCs w:val="24"/>
          <w:lang w:eastAsia="zh-CN"/>
        </w:rPr>
        <w:t>的</w:t>
      </w:r>
      <w:r>
        <w:rPr>
          <w:rFonts w:hint="eastAsia" w:asciiTheme="minorEastAsia" w:hAnsiTheme="minorEastAsia" w:eastAsiaTheme="minorEastAsia" w:cstheme="minorEastAsia"/>
          <w:kern w:val="2"/>
          <w:sz w:val="24"/>
          <w:szCs w:val="24"/>
        </w:rPr>
        <w:t>渣土费、缴纳政府相关部门的费用自行考虑。</w:t>
      </w:r>
    </w:p>
    <w:p>
      <w:pPr>
        <w:tabs>
          <w:tab w:val="left" w:pos="34"/>
          <w:tab w:val="left" w:pos="567"/>
          <w:tab w:val="left" w:pos="743"/>
        </w:tabs>
        <w:spacing w:line="360" w:lineRule="auto"/>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 xml:space="preserve">2 </w:t>
      </w:r>
      <w:r>
        <w:rPr>
          <w:rFonts w:hint="eastAsia" w:asciiTheme="minorEastAsia" w:hAnsiTheme="minorEastAsia" w:eastAsiaTheme="minorEastAsia" w:cstheme="minorEastAsia"/>
          <w:sz w:val="24"/>
        </w:rPr>
        <w:t>环境保护要求等</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按省、市及当地环保主管部门的规定</w:t>
      </w:r>
      <w:r>
        <w:rPr>
          <w:rFonts w:hint="eastAsia" w:asciiTheme="minorEastAsia" w:hAnsiTheme="minorEastAsia" w:eastAsiaTheme="minorEastAsia" w:cstheme="minorEastAsia"/>
          <w:sz w:val="24"/>
          <w:lang w:eastAsia="zh-CN"/>
        </w:rPr>
        <w:t>。</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lang w:val="en-US" w:eastAsia="zh-CN" w:bidi="ar"/>
        </w:rPr>
        <w:t>6.3</w:t>
      </w:r>
      <w:r>
        <w:rPr>
          <w:rFonts w:hint="eastAsia" w:asciiTheme="minorEastAsia" w:hAnsiTheme="minorEastAsia" w:eastAsiaTheme="minorEastAsia"/>
          <w:sz w:val="24"/>
        </w:rPr>
        <w:t>工程量清单中所描述的项目特征仅为招标人对该分部分项工程特征的概述，而非是工程特征的全面描述，</w:t>
      </w:r>
      <w:r>
        <w:rPr>
          <w:rFonts w:hint="eastAsia" w:asciiTheme="minorEastAsia" w:hAnsiTheme="minorEastAsia" w:eastAsiaTheme="minorEastAsia"/>
          <w:color w:val="auto"/>
          <w:sz w:val="24"/>
        </w:rPr>
        <w:t>计价时必须按相关的国家规范</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sz w:val="24"/>
          <w:lang w:eastAsia="zh-CN"/>
        </w:rPr>
        <w:t>设计图纸</w:t>
      </w:r>
      <w:r>
        <w:rPr>
          <w:rFonts w:hint="eastAsia" w:asciiTheme="minorEastAsia" w:hAnsiTheme="minorEastAsia" w:eastAsiaTheme="minorEastAsia"/>
          <w:sz w:val="24"/>
          <w:lang w:val="en-US" w:eastAsia="zh-CN"/>
        </w:rPr>
        <w:t>及建设单位要求</w:t>
      </w:r>
      <w:r>
        <w:rPr>
          <w:rFonts w:hint="eastAsia" w:asciiTheme="minorEastAsia" w:hAnsiTheme="minorEastAsia" w:eastAsiaTheme="minorEastAsia"/>
          <w:sz w:val="24"/>
        </w:rPr>
        <w:t>。</w:t>
      </w:r>
      <w:r>
        <w:rPr>
          <w:rFonts w:hint="eastAsia" w:asciiTheme="minorEastAsia" w:hAnsiTheme="minorEastAsia" w:eastAsiaTheme="minorEastAsia" w:cstheme="minorEastAsia"/>
          <w:color w:val="000000"/>
          <w:kern w:val="0"/>
          <w:sz w:val="24"/>
          <w:szCs w:val="24"/>
          <w:lang w:val="en-US" w:eastAsia="zh-CN" w:bidi="ar"/>
        </w:rPr>
        <w:t xml:space="preserve">  </w:t>
      </w:r>
    </w:p>
    <w:p>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 xml:space="preserve">4 </w:t>
      </w:r>
      <w:r>
        <w:rPr>
          <w:rFonts w:hint="eastAsia" w:cs="宋体" w:asciiTheme="minorEastAsia" w:hAnsiTheme="minorEastAsia" w:eastAsiaTheme="minorEastAsia"/>
          <w:sz w:val="24"/>
        </w:rPr>
        <w:t>投标单位严格按照清单项目特征描述内容及施工程序进行投标报价，如有某施工程序未报价视同含在其清单项目中，</w:t>
      </w:r>
      <w:r>
        <w:rPr>
          <w:rFonts w:hint="eastAsia" w:cs="宋体" w:asciiTheme="minorEastAsia" w:hAnsiTheme="minorEastAsia" w:eastAsiaTheme="minorEastAsia"/>
          <w:sz w:val="24"/>
          <w:lang w:val="en-US" w:eastAsia="zh-CN"/>
        </w:rPr>
        <w:t>结算时</w:t>
      </w:r>
      <w:r>
        <w:rPr>
          <w:rFonts w:hint="eastAsia" w:asciiTheme="minorEastAsia" w:hAnsiTheme="minorEastAsia" w:eastAsiaTheme="minorEastAsia"/>
          <w:sz w:val="24"/>
        </w:rPr>
        <w:t>不另外增加费用。不同单项及单位工程中的分部分项工程量清单中相同项目（项目特征及工作内容相同）的报价应统一，如有差异，按最低的一个报价进行结算。</w:t>
      </w:r>
    </w:p>
    <w:p>
      <w:pPr>
        <w:spacing w:line="360" w:lineRule="auto"/>
        <w:ind w:firstLine="480" w:firstLineChars="200"/>
        <w:rPr>
          <w:rFonts w:hint="eastAsia" w:ascii="宋体" w:hAnsi="宋体" w:eastAsia="宋体" w:cs="宋体"/>
          <w:kern w:val="0"/>
          <w:sz w:val="24"/>
          <w:lang w:val="en-US" w:eastAsia="zh-CN"/>
        </w:rPr>
      </w:pPr>
      <w:r>
        <w:rPr>
          <w:rFonts w:hint="eastAsia" w:asciiTheme="minorEastAsia" w:hAnsiTheme="minorEastAsia" w:eastAsiaTheme="minorEastAsia"/>
          <w:sz w:val="24"/>
          <w:lang w:val="en-US" w:eastAsia="zh-CN"/>
        </w:rPr>
        <w:t>6.5 本工程均采用商品砼，砂浆为预拌砂浆，具体要求详见设计图纸。</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6.6 施工用</w:t>
      </w:r>
      <w:r>
        <w:rPr>
          <w:rFonts w:hint="eastAsia" w:ascii="宋体" w:hAnsi="宋体" w:cs="宋体"/>
          <w:sz w:val="24"/>
        </w:rPr>
        <w:t>水、</w:t>
      </w:r>
      <w:r>
        <w:rPr>
          <w:rFonts w:hint="eastAsia" w:ascii="宋体" w:hAnsi="宋体" w:cs="宋体"/>
          <w:sz w:val="24"/>
          <w:lang w:val="en-US" w:eastAsia="zh-CN"/>
        </w:rPr>
        <w:t>用</w:t>
      </w:r>
      <w:r>
        <w:rPr>
          <w:rFonts w:hint="eastAsia" w:ascii="宋体" w:hAnsi="宋体" w:cs="宋体"/>
          <w:sz w:val="24"/>
        </w:rPr>
        <w:t>电由投标人</w:t>
      </w:r>
      <w:r>
        <w:rPr>
          <w:rFonts w:hint="eastAsia" w:ascii="宋体" w:hAnsi="宋体" w:cs="宋体"/>
          <w:sz w:val="24"/>
          <w:lang w:val="en-US" w:eastAsia="zh-CN"/>
        </w:rPr>
        <w:t>根据现状自行考虑</w:t>
      </w:r>
      <w:r>
        <w:rPr>
          <w:rFonts w:hint="eastAsia" w:ascii="宋体" w:hAnsi="宋体" w:cs="宋体"/>
          <w:sz w:val="24"/>
        </w:rPr>
        <w:t>到报价中。</w:t>
      </w:r>
    </w:p>
    <w:p>
      <w:pPr>
        <w:spacing w:line="360" w:lineRule="auto"/>
        <w:ind w:firstLine="480"/>
        <w:rPr>
          <w:rFonts w:hint="eastAsia" w:ascii="宋体" w:hAnsi="宋体" w:cs="宋体"/>
          <w:sz w:val="24"/>
        </w:rPr>
      </w:pPr>
      <w:r>
        <w:rPr>
          <w:rFonts w:hint="eastAsia" w:ascii="宋体" w:hAnsi="宋体" w:cs="宋体"/>
          <w:sz w:val="24"/>
          <w:lang w:val="en-US" w:eastAsia="zh-CN"/>
        </w:rPr>
        <w:t>6.7</w:t>
      </w:r>
      <w:r>
        <w:rPr>
          <w:rFonts w:hint="eastAsia" w:ascii="宋体" w:hAnsi="宋体" w:cs="宋体"/>
          <w:sz w:val="24"/>
        </w:rPr>
        <w:t>措施项目清单中，由投标人根据现场实际情况本企业施工经验自行考虑完成该项目全部工作内容所需要的措施项目，投标人没有计算或少计的措施项目费用,视为该费用已包含在其它费用内，除合同中约定可调整范围外，没有计算或少计的措施项目费结算时不予增加。</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6.8 保险费自主报价，结算凭发票按实报销，但不超过投标总价。</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lang w:val="en-US" w:eastAsia="zh-CN"/>
        </w:rPr>
        <w:t xml:space="preserve">6.9 </w:t>
      </w:r>
      <w:r>
        <w:rPr>
          <w:rFonts w:hint="eastAsia" w:ascii="宋体" w:hAnsi="宋体" w:cs="宋体"/>
          <w:sz w:val="24"/>
          <w:highlight w:val="none"/>
        </w:rPr>
        <w:t>安全文明措施费</w:t>
      </w:r>
      <w:r>
        <w:rPr>
          <w:rFonts w:hint="eastAsia" w:ascii="宋体" w:hAnsi="宋体" w:cs="宋体"/>
          <w:color w:val="000000" w:themeColor="text1"/>
          <w:sz w:val="24"/>
          <w:highlight w:val="none"/>
          <w:lang w:eastAsia="zh-CN"/>
          <w14:textFill>
            <w14:solidFill>
              <w14:schemeClr w14:val="tx1"/>
            </w14:solidFill>
          </w14:textFill>
        </w:rPr>
        <w:t>按苏水规（2017）3号要求报分解表</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rPr>
          <w:rFonts w:hint="eastAsia" w:ascii="宋体" w:hAnsi="宋体" w:cs="宋体"/>
          <w:b/>
          <w:bCs/>
          <w:sz w:val="24"/>
          <w:szCs w:val="24"/>
          <w:highlight w:val="none"/>
          <w:lang w:val="en-US" w:eastAsia="zh-CN"/>
        </w:rPr>
      </w:pPr>
      <w:r>
        <w:rPr>
          <w:rFonts w:hint="eastAsia" w:ascii="宋体" w:hAnsi="宋体" w:cs="宋体"/>
          <w:b/>
          <w:bCs/>
          <w:sz w:val="24"/>
          <w:highlight w:val="none"/>
          <w:lang w:val="en-US" w:eastAsia="zh-CN"/>
        </w:rPr>
        <w:t>6.10本工程不可竞争费：安全文明措施费按</w:t>
      </w:r>
      <w:r>
        <w:rPr>
          <w:rFonts w:hint="eastAsia" w:ascii="宋体" w:hAnsi="宋体" w:cs="宋体"/>
          <w:b/>
          <w:bCs/>
          <w:sz w:val="24"/>
          <w:szCs w:val="24"/>
          <w:highlight w:val="none"/>
          <w:lang w:val="en-US" w:eastAsia="zh-CN"/>
        </w:rPr>
        <w:t>25731.88元计入。</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6.11 本项目中工程量不作为工程结算与支付价款依据，结算时工程量须按实际施工要求计量，以甲乙双方及监理单位签证为准。</w:t>
      </w:r>
    </w:p>
    <w:p>
      <w:pPr>
        <w:spacing w:line="480" w:lineRule="auto"/>
        <w:ind w:firstLine="480" w:firstLineChars="200"/>
        <w:rPr>
          <w:rFonts w:hint="eastAsia" w:ascii="宋体" w:hAnsi="宋体" w:eastAsia="宋体" w:cs="宋体"/>
          <w:spacing w:val="-9"/>
          <w:sz w:val="24"/>
          <w:szCs w:val="24"/>
          <w:u w:val="none" w:color="auto"/>
          <w:lang w:val="en-US" w:eastAsia="zh-CN" w:bidi="ar-SA"/>
        </w:rPr>
      </w:pPr>
      <w:r>
        <w:rPr>
          <w:rFonts w:hint="eastAsia" w:asciiTheme="minorEastAsia" w:hAnsiTheme="minorEastAsia" w:eastAsiaTheme="minorEastAsia" w:cstheme="minorEastAsia"/>
          <w:color w:val="000000"/>
          <w:kern w:val="0"/>
          <w:sz w:val="24"/>
          <w:szCs w:val="24"/>
          <w:lang w:val="en-US" w:eastAsia="zh-CN" w:bidi="ar"/>
        </w:rPr>
        <w:t>6.12本说明未尽事项，以计价规范、计价管理办法、工程量计算规范、招标文件以及有关法律、法规及相关文件为准。</w:t>
      </w:r>
    </w:p>
    <w:p>
      <w:pPr>
        <w:autoSpaceDE w:val="0"/>
        <w:autoSpaceDN w:val="0"/>
        <w:spacing w:line="360" w:lineRule="exact"/>
        <w:ind w:firstLine="723" w:firstLineChars="300"/>
        <w:rPr>
          <w:rFonts w:hint="eastAsia" w:cs="Arial"/>
          <w:b/>
          <w:sz w:val="24"/>
          <w:szCs w:val="24"/>
          <w:lang w:val="en-US" w:eastAsia="zh-CN"/>
        </w:rPr>
      </w:pPr>
      <w:r>
        <w:rPr>
          <w:rFonts w:hint="eastAsia" w:cs="Arial"/>
          <w:b/>
          <w:sz w:val="24"/>
          <w:szCs w:val="24"/>
          <w:lang w:val="en-US" w:eastAsia="zh-CN"/>
        </w:rPr>
        <w:t>七</w:t>
      </w:r>
      <w:r>
        <w:rPr>
          <w:rFonts w:hint="eastAsia" w:ascii="宋体" w:hAnsi="宋体" w:cs="Arial"/>
          <w:b/>
          <w:sz w:val="24"/>
          <w:szCs w:val="24"/>
          <w:lang w:val="en-US" w:eastAsia="zh-CN"/>
        </w:rPr>
        <w:t xml:space="preserve">、工程量清单 </w:t>
      </w:r>
      <w:r>
        <w:rPr>
          <w:rFonts w:hint="eastAsia" w:cs="Arial"/>
          <w:b/>
          <w:sz w:val="24"/>
          <w:szCs w:val="24"/>
          <w:lang w:val="en-US" w:eastAsia="zh-CN"/>
        </w:rPr>
        <w:t>：</w:t>
      </w:r>
    </w:p>
    <w:p>
      <w:pPr>
        <w:pStyle w:val="18"/>
        <w:rPr>
          <w:rFonts w:hint="eastAsia" w:ascii="宋体" w:hAnsi="宋体" w:eastAsia="宋体" w:cs="宋体"/>
          <w:spacing w:val="-9"/>
          <w:sz w:val="24"/>
          <w:szCs w:val="24"/>
          <w:u w:val="none" w:color="auto"/>
          <w:lang w:val="en-US" w:eastAsia="zh-CN" w:bidi="ar-SA"/>
        </w:rPr>
      </w:pPr>
    </w:p>
    <w:p>
      <w:pPr>
        <w:pStyle w:val="18"/>
        <w:rPr>
          <w:rFonts w:hint="default" w:ascii="宋体" w:hAnsi="宋体" w:eastAsia="宋体" w:cs="宋体"/>
          <w:spacing w:val="-9"/>
          <w:sz w:val="24"/>
          <w:szCs w:val="24"/>
          <w:u w:val="none" w:color="auto"/>
          <w:lang w:val="en-US" w:eastAsia="zh-CN" w:bidi="ar-SA"/>
        </w:rPr>
        <w:sectPr>
          <w:pgSz w:w="11910" w:h="16840"/>
          <w:pgMar w:top="720" w:right="720" w:bottom="720" w:left="720" w:header="1065" w:footer="992" w:gutter="0"/>
          <w:cols w:space="720" w:num="1"/>
        </w:sectPr>
      </w:pPr>
      <w:r>
        <w:rPr>
          <w:rFonts w:hint="eastAsia" w:ascii="宋体" w:hAnsi="宋体" w:eastAsia="宋体" w:cs="宋体"/>
          <w:spacing w:val="-9"/>
          <w:sz w:val="24"/>
          <w:szCs w:val="24"/>
          <w:u w:val="none" w:color="auto"/>
          <w:lang w:val="en-US" w:eastAsia="zh-CN" w:bidi="ar-SA"/>
        </w:rPr>
        <w:t>详见磋商文件附件</w:t>
      </w:r>
    </w:p>
    <w:p>
      <w:pPr>
        <w:pStyle w:val="4"/>
        <w:ind w:right="904"/>
        <w:jc w:val="both"/>
        <w:rPr>
          <w:rFonts w:hint="eastAsia" w:ascii="仿宋" w:hAnsi="仿宋" w:eastAsia="仿宋" w:cs="仿宋"/>
        </w:rPr>
      </w:pPr>
    </w:p>
    <w:p>
      <w:pPr>
        <w:pStyle w:val="4"/>
        <w:ind w:right="904"/>
        <w:jc w:val="center"/>
        <w:rPr>
          <w:rFonts w:hint="eastAsia" w:ascii="仿宋" w:hAnsi="仿宋" w:eastAsia="仿宋" w:cs="仿宋"/>
        </w:rPr>
      </w:pPr>
    </w:p>
    <w:p>
      <w:pPr>
        <w:pStyle w:val="4"/>
        <w:ind w:right="904"/>
        <w:jc w:val="center"/>
        <w:rPr>
          <w:rFonts w:hint="eastAsia" w:ascii="宋体" w:hAnsi="宋体" w:eastAsia="宋体" w:cs="宋体"/>
        </w:rPr>
      </w:pPr>
      <w:r>
        <w:rPr>
          <w:rFonts w:hint="eastAsia" w:ascii="宋体" w:hAnsi="宋体" w:eastAsia="宋体" w:cs="宋体"/>
        </w:rPr>
        <w:t>第五</w:t>
      </w:r>
      <w:r>
        <w:rPr>
          <w:rFonts w:hint="eastAsia" w:ascii="宋体" w:hAnsi="宋体" w:eastAsia="宋体" w:cs="宋体"/>
          <w:spacing w:val="-10"/>
        </w:rPr>
        <w:t>章合</w:t>
      </w:r>
      <w:r>
        <w:rPr>
          <w:rFonts w:hint="eastAsia" w:ascii="宋体" w:hAnsi="宋体" w:eastAsia="宋体" w:cs="宋体"/>
        </w:rPr>
        <w:t>同主要条款及格</w:t>
      </w:r>
      <w:r>
        <w:rPr>
          <w:rFonts w:hint="eastAsia" w:ascii="宋体" w:hAnsi="宋体" w:eastAsia="宋体" w:cs="宋体"/>
          <w:spacing w:val="-10"/>
        </w:rPr>
        <w:t>式</w:t>
      </w:r>
    </w:p>
    <w:p>
      <w:pPr>
        <w:pStyle w:val="9"/>
        <w:spacing w:before="3"/>
        <w:rPr>
          <w:b/>
          <w:sz w:val="41"/>
        </w:rPr>
      </w:pPr>
      <w:bookmarkStart w:id="6" w:name="EBea696e2f19ff479ba403d199c418c4a1"/>
    </w:p>
    <w:p>
      <w:pPr>
        <w:spacing w:before="0"/>
        <w:ind w:left="298" w:right="618" w:firstLine="0"/>
        <w:jc w:val="center"/>
        <w:rPr>
          <w:sz w:val="32"/>
        </w:rPr>
      </w:pPr>
      <w:r>
        <w:rPr>
          <w:sz w:val="32"/>
        </w:rPr>
        <w:t xml:space="preserve">政府采购合同 </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keepNext w:val="0"/>
        <w:keepLines w:val="0"/>
        <w:pageBreakBefore w:val="0"/>
        <w:widowControl w:val="0"/>
        <w:kinsoku/>
        <w:wordWrap/>
        <w:overflowPunct/>
        <w:topLinePunct w:val="0"/>
        <w:autoSpaceDE w:val="0"/>
        <w:autoSpaceDN w:val="0"/>
        <w:bidi w:val="0"/>
        <w:adjustRightInd/>
        <w:snapToGrid/>
        <w:spacing w:before="2" w:line="480" w:lineRule="auto"/>
        <w:textAlignment w:val="auto"/>
        <w:rPr>
          <w:rFonts w:ascii="宋体" w:hAnsi="宋体" w:eastAsia="宋体" w:cs="宋体"/>
          <w:b/>
          <w:spacing w:val="4"/>
          <w:sz w:val="24"/>
          <w:szCs w:val="22"/>
          <w:u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line="480" w:lineRule="auto"/>
        <w:ind w:right="0" w:firstLine="2738" w:firstLineChars="1100"/>
        <w:jc w:val="left"/>
        <w:textAlignment w:val="auto"/>
        <w:rPr>
          <w:rFonts w:ascii="宋体" w:hAnsi="宋体" w:eastAsia="宋体" w:cs="宋体"/>
          <w:b/>
          <w:spacing w:val="4"/>
          <w:sz w:val="24"/>
          <w:szCs w:val="22"/>
          <w:u w:val="none"/>
          <w:lang w:val="en-US" w:eastAsia="zh-CN" w:bidi="ar-SA"/>
        </w:rPr>
      </w:pPr>
      <w:r>
        <w:rPr>
          <w:rFonts w:ascii="宋体" w:hAnsi="宋体" w:eastAsia="宋体" w:cs="宋体"/>
          <w:b/>
          <w:spacing w:val="4"/>
          <w:sz w:val="24"/>
          <w:szCs w:val="22"/>
          <w:u w:val="none"/>
          <w:lang w:val="en-US" w:eastAsia="zh-CN" w:bidi="ar-SA"/>
        </w:rPr>
        <w:t>项 目 名 称  ：</w:t>
      </w:r>
    </w:p>
    <w:p>
      <w:pPr>
        <w:keepNext w:val="0"/>
        <w:keepLines w:val="0"/>
        <w:pageBreakBefore w:val="0"/>
        <w:widowControl w:val="0"/>
        <w:kinsoku/>
        <w:wordWrap/>
        <w:overflowPunct/>
        <w:topLinePunct w:val="0"/>
        <w:autoSpaceDE w:val="0"/>
        <w:autoSpaceDN w:val="0"/>
        <w:bidi w:val="0"/>
        <w:adjustRightInd/>
        <w:snapToGrid/>
        <w:spacing w:before="0" w:line="480" w:lineRule="auto"/>
        <w:ind w:right="0" w:firstLine="2738" w:firstLineChars="1100"/>
        <w:jc w:val="left"/>
        <w:textAlignment w:val="auto"/>
        <w:rPr>
          <w:rFonts w:ascii="宋体" w:hAnsi="宋体" w:eastAsia="宋体" w:cs="宋体"/>
          <w:b/>
          <w:spacing w:val="4"/>
          <w:sz w:val="24"/>
          <w:szCs w:val="22"/>
          <w:u w:val="none"/>
          <w:lang w:val="en-US" w:eastAsia="zh-CN" w:bidi="ar-SA"/>
        </w:rPr>
      </w:pPr>
      <w:r>
        <w:rPr>
          <w:rFonts w:ascii="宋体" w:hAnsi="宋体" w:eastAsia="宋体" w:cs="宋体"/>
          <w:b/>
          <w:spacing w:val="4"/>
          <w:sz w:val="24"/>
          <w:szCs w:val="22"/>
          <w:u w:val="none"/>
          <w:lang w:val="en-US" w:eastAsia="zh-CN" w:bidi="ar-SA"/>
        </w:rPr>
        <w:t>使 用 单 位  ：</w:t>
      </w:r>
    </w:p>
    <w:p>
      <w:pPr>
        <w:keepNext w:val="0"/>
        <w:keepLines w:val="0"/>
        <w:pageBreakBefore w:val="0"/>
        <w:widowControl w:val="0"/>
        <w:kinsoku/>
        <w:wordWrap/>
        <w:overflowPunct/>
        <w:topLinePunct w:val="0"/>
        <w:autoSpaceDE w:val="0"/>
        <w:autoSpaceDN w:val="0"/>
        <w:bidi w:val="0"/>
        <w:adjustRightInd/>
        <w:snapToGrid/>
        <w:spacing w:before="0" w:line="480" w:lineRule="auto"/>
        <w:ind w:right="0" w:firstLine="2738" w:firstLineChars="1100"/>
        <w:jc w:val="left"/>
        <w:textAlignment w:val="auto"/>
        <w:rPr>
          <w:rFonts w:ascii="宋体" w:hAnsi="宋体" w:eastAsia="宋体" w:cs="宋体"/>
          <w:b/>
          <w:spacing w:val="4"/>
          <w:sz w:val="24"/>
          <w:szCs w:val="22"/>
          <w:u w:val="none"/>
          <w:lang w:val="en-US" w:eastAsia="zh-CN" w:bidi="ar-SA"/>
        </w:rPr>
      </w:pPr>
      <w:r>
        <w:rPr>
          <w:rFonts w:ascii="宋体" w:hAnsi="宋体" w:eastAsia="宋体" w:cs="宋体"/>
          <w:b/>
          <w:spacing w:val="4"/>
          <w:sz w:val="24"/>
          <w:szCs w:val="22"/>
          <w:u w:val="none"/>
          <w:lang w:val="en-US" w:eastAsia="zh-CN" w:bidi="ar-SA"/>
        </w:rPr>
        <w:t>供 货 单 位 ：</w:t>
      </w:r>
    </w:p>
    <w:p>
      <w:pPr>
        <w:keepNext w:val="0"/>
        <w:keepLines w:val="0"/>
        <w:pageBreakBefore w:val="0"/>
        <w:widowControl w:val="0"/>
        <w:kinsoku/>
        <w:wordWrap/>
        <w:overflowPunct/>
        <w:topLinePunct w:val="0"/>
        <w:autoSpaceDE w:val="0"/>
        <w:autoSpaceDN w:val="0"/>
        <w:bidi w:val="0"/>
        <w:adjustRightInd/>
        <w:snapToGrid/>
        <w:spacing w:before="0" w:line="480" w:lineRule="auto"/>
        <w:ind w:right="0" w:firstLine="2738" w:firstLineChars="1100"/>
        <w:jc w:val="left"/>
        <w:textAlignment w:val="auto"/>
        <w:rPr>
          <w:b/>
          <w:sz w:val="24"/>
        </w:rPr>
      </w:pPr>
      <w:r>
        <w:rPr>
          <w:rFonts w:ascii="宋体" w:hAnsi="宋体" w:eastAsia="宋体" w:cs="宋体"/>
          <w:b/>
          <w:spacing w:val="4"/>
          <w:sz w:val="24"/>
          <w:szCs w:val="22"/>
          <w:u w:val="none"/>
          <w:lang w:val="en-US" w:eastAsia="zh-CN" w:bidi="ar-SA"/>
        </w:rPr>
        <w:t>签订日期 ：</w:t>
      </w:r>
    </w:p>
    <w:p>
      <w:pPr>
        <w:pStyle w:val="9"/>
        <w:keepNext w:val="0"/>
        <w:keepLines w:val="0"/>
        <w:pageBreakBefore w:val="0"/>
        <w:widowControl w:val="0"/>
        <w:kinsoku/>
        <w:wordWrap/>
        <w:overflowPunct/>
        <w:topLinePunct w:val="0"/>
        <w:autoSpaceDE w:val="0"/>
        <w:autoSpaceDN w:val="0"/>
        <w:bidi w:val="0"/>
        <w:adjustRightInd/>
        <w:snapToGrid/>
        <w:spacing w:line="480" w:lineRule="auto"/>
        <w:jc w:val="left"/>
        <w:textAlignment w:val="auto"/>
        <w:rPr>
          <w:b/>
          <w:sz w:val="20"/>
        </w:rPr>
      </w:pPr>
    </w:p>
    <w:p>
      <w:pPr>
        <w:pStyle w:val="9"/>
        <w:rPr>
          <w:b/>
          <w:sz w:val="20"/>
        </w:rPr>
      </w:pPr>
    </w:p>
    <w:p>
      <w:pPr>
        <w:pStyle w:val="9"/>
        <w:rPr>
          <w:b/>
          <w:sz w:val="20"/>
        </w:rPr>
      </w:pPr>
    </w:p>
    <w:p>
      <w:pPr>
        <w:pStyle w:val="9"/>
        <w:rPr>
          <w:b/>
          <w:sz w:val="20"/>
        </w:rPr>
      </w:pPr>
    </w:p>
    <w:p>
      <w:pPr>
        <w:pStyle w:val="9"/>
        <w:spacing w:before="1"/>
        <w:rPr>
          <w:b/>
          <w:sz w:val="29"/>
        </w:rPr>
      </w:pPr>
    </w:p>
    <w:p>
      <w:pPr>
        <w:spacing w:before="61"/>
        <w:ind w:left="296" w:right="0" w:firstLine="0"/>
        <w:jc w:val="left"/>
        <w:rPr>
          <w:sz w:val="28"/>
        </w:rPr>
      </w:pPr>
      <w:r>
        <w:rPr>
          <w:w w:val="103"/>
          <w:sz w:val="28"/>
        </w:rPr>
        <w:t xml:space="preserve"> </w:t>
      </w:r>
    </w:p>
    <w:p>
      <w:pPr>
        <w:spacing w:after="0"/>
        <w:jc w:val="left"/>
        <w:rPr>
          <w:sz w:val="28"/>
        </w:rPr>
        <w:sectPr>
          <w:pgSz w:w="11910" w:h="16840"/>
          <w:pgMar w:top="1260" w:right="0" w:bottom="1180" w:left="1120" w:header="1065" w:footer="992" w:gutter="0"/>
          <w:cols w:space="720" w:num="1"/>
        </w:sect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spacing w:val="-10"/>
          <w:sz w:val="24"/>
          <w:szCs w:val="24"/>
          <w:u w:val="none" w:color="auto"/>
        </w:rPr>
      </w:pPr>
      <w:r>
        <w:rPr>
          <w:sz w:val="24"/>
          <w:szCs w:val="24"/>
          <w:u w:val="none" w:color="auto"/>
        </w:rPr>
        <w:t>采购人（以下称甲方</w:t>
      </w:r>
      <w:r>
        <w:rPr>
          <w:spacing w:val="-10"/>
          <w:sz w:val="24"/>
          <w:szCs w:val="24"/>
          <w:u w:val="none" w:color="auto"/>
        </w:rPr>
        <w:t xml:space="preserve">）： </w:t>
      </w:r>
      <w:r>
        <w:rPr>
          <w:rFonts w:hint="eastAsia"/>
          <w:spacing w:val="-10"/>
          <w:sz w:val="24"/>
          <w:szCs w:val="24"/>
          <w:u w:val="none" w:color="auto"/>
          <w:lang w:val="en-US" w:eastAsia="zh-CN"/>
        </w:rPr>
        <w:t xml:space="preserve">                   </w:t>
      </w:r>
      <w:r>
        <w:rPr>
          <w:sz w:val="24"/>
          <w:szCs w:val="24"/>
          <w:u w:val="none" w:color="auto"/>
        </w:rPr>
        <w:t>投标人（以下称乙方</w:t>
      </w:r>
      <w:r>
        <w:rPr>
          <w:spacing w:val="-10"/>
          <w:sz w:val="24"/>
          <w:szCs w:val="24"/>
          <w:u w:val="none" w:color="auto"/>
        </w:rPr>
        <w:t>）：</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sz w:val="24"/>
          <w:szCs w:val="24"/>
          <w:u w:val="none" w:color="auto"/>
        </w:rPr>
      </w:pPr>
      <w:r>
        <w:rPr>
          <w:spacing w:val="-10"/>
          <w:sz w:val="24"/>
          <w:szCs w:val="24"/>
          <w:u w:val="none" w:color="auto"/>
        </w:rPr>
        <w:t xml:space="preserve"> </w:t>
      </w:r>
      <w:r>
        <w:rPr>
          <w:sz w:val="24"/>
          <w:szCs w:val="24"/>
          <w:u w:val="none" w:color="auto"/>
        </w:rPr>
        <w:t>住所地：</w:t>
      </w:r>
      <w:r>
        <w:rPr>
          <w:rFonts w:hint="eastAsia"/>
          <w:sz w:val="24"/>
          <w:szCs w:val="24"/>
          <w:u w:val="none" w:color="auto"/>
          <w:lang w:val="en-US" w:eastAsia="zh-CN"/>
        </w:rPr>
        <w:t xml:space="preserve">                                </w:t>
      </w:r>
      <w:r>
        <w:rPr>
          <w:sz w:val="24"/>
          <w:szCs w:val="24"/>
          <w:u w:val="none" w:color="auto"/>
        </w:rPr>
        <w:t>住所地：</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ind w:right="389" w:firstLine="480" w:firstLineChars="200"/>
        <w:textAlignment w:val="auto"/>
        <w:rPr>
          <w:sz w:val="24"/>
          <w:szCs w:val="24"/>
          <w:u w:val="none" w:color="auto"/>
        </w:rPr>
      </w:pPr>
      <w:r>
        <w:rPr>
          <w:sz w:val="24"/>
          <w:szCs w:val="24"/>
          <w:u w:val="none" w:color="auto"/>
        </w:rPr>
        <w:t>根据《中华人民共和国政府采购法》、《中华人民共和国民法典》等法律法规的规定，甲乙双方按照南京</w:t>
      </w:r>
      <w:r>
        <w:rPr>
          <w:rFonts w:hint="eastAsia"/>
          <w:sz w:val="24"/>
          <w:szCs w:val="24"/>
          <w:u w:val="none" w:color="auto"/>
          <w:lang w:val="en-US" w:eastAsia="zh-CN"/>
        </w:rPr>
        <w:t>玖盛</w:t>
      </w:r>
      <w:r>
        <w:rPr>
          <w:sz w:val="24"/>
          <w:szCs w:val="24"/>
          <w:u w:val="none" w:color="auto"/>
        </w:rPr>
        <w:t>的招标结果签订本合同。</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b/>
          <w:bCs/>
          <w:sz w:val="24"/>
          <w:szCs w:val="24"/>
          <w:u w:val="none" w:color="auto"/>
        </w:rPr>
      </w:pPr>
      <w:r>
        <w:rPr>
          <w:b/>
          <w:bCs/>
          <w:sz w:val="24"/>
          <w:szCs w:val="24"/>
          <w:u w:val="none" w:color="auto"/>
        </w:rPr>
        <w:t>第一条 合同标的</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乙方根据甲方要求提供下列工程：</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rFonts w:hint="eastAsia" w:eastAsia="宋体"/>
          <w:sz w:val="24"/>
          <w:szCs w:val="24"/>
          <w:u w:val="none" w:color="auto"/>
          <w:lang w:eastAsia="zh-CN"/>
        </w:rPr>
      </w:pPr>
      <w:r>
        <w:rPr>
          <w:sz w:val="24"/>
          <w:szCs w:val="24"/>
          <w:u w:val="none" w:color="auto"/>
        </w:rPr>
        <w:t xml:space="preserve">招标内容及范围: </w:t>
      </w:r>
      <w:r>
        <w:rPr>
          <w:rFonts w:hint="eastAsia"/>
          <w:sz w:val="24"/>
          <w:szCs w:val="24"/>
          <w:u w:val="none" w:color="auto"/>
          <w:lang w:eastAsia="zh-CN"/>
        </w:rPr>
        <w:t>2022年度石湫街道中天堡翻水线更新改造工程</w:t>
      </w:r>
    </w:p>
    <w:p>
      <w:pPr>
        <w:pStyle w:val="9"/>
        <w:keepNext w:val="0"/>
        <w:keepLines w:val="0"/>
        <w:pageBreakBefore w:val="0"/>
        <w:widowControl w:val="0"/>
        <w:tabs>
          <w:tab w:val="left" w:pos="6339"/>
        </w:tabs>
        <w:kinsoku/>
        <w:wordWrap/>
        <w:overflowPunct/>
        <w:topLinePunct w:val="0"/>
        <w:autoSpaceDE w:val="0"/>
        <w:autoSpaceDN w:val="0"/>
        <w:bidi w:val="0"/>
        <w:adjustRightInd/>
        <w:snapToGrid/>
        <w:spacing w:before="5" w:line="360" w:lineRule="auto"/>
        <w:textAlignment w:val="auto"/>
        <w:rPr>
          <w:sz w:val="24"/>
          <w:szCs w:val="24"/>
          <w:u w:val="none" w:color="auto"/>
        </w:rPr>
      </w:pPr>
      <w:r>
        <w:rPr>
          <w:b/>
          <w:bCs/>
          <w:sz w:val="24"/>
          <w:szCs w:val="24"/>
          <w:u w:val="none" w:color="auto"/>
        </w:rPr>
        <w:t>第二条 合同总价款</w:t>
      </w:r>
      <w:r>
        <w:rPr>
          <w:sz w:val="24"/>
          <w:szCs w:val="24"/>
          <w:u w:val="none" w:color="auto"/>
        </w:rPr>
        <w:t xml:space="preserve">：本合同项下，总价款为 </w:t>
      </w:r>
      <w:r>
        <w:rPr>
          <w:sz w:val="24"/>
          <w:szCs w:val="24"/>
          <w:u w:val="none" w:color="auto"/>
        </w:rPr>
        <w:tab/>
      </w:r>
      <w:r>
        <w:rPr>
          <w:sz w:val="24"/>
          <w:szCs w:val="24"/>
          <w:u w:val="none" w:color="auto"/>
        </w:rPr>
        <w:t>（大写）人民币，供应商中标后：</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389"/>
        <w:jc w:val="both"/>
        <w:textAlignment w:val="auto"/>
      </w:pPr>
      <w:r>
        <w:rPr>
          <w:sz w:val="24"/>
          <w:szCs w:val="24"/>
          <w:u w:val="none" w:color="auto"/>
        </w:rPr>
        <w:t>中标价仅作为预算送审价的依据（预算送审价不得高于中标价），审核单位审定后的施工图预算作为工程计量支付和造价控制的依据，最终签订的合同价以预算审定价为准。最终结算时以经采购人认可的审核单位出具的结算审定价为依据，当结算审定价高于合同金额时，以合同金额为结算价结算。</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ind w:right="509"/>
        <w:jc w:val="both"/>
        <w:textAlignment w:val="auto"/>
        <w:rPr>
          <w:sz w:val="24"/>
          <w:szCs w:val="24"/>
          <w:u w:val="none" w:color="auto"/>
        </w:rPr>
      </w:pPr>
      <w:r>
        <w:rPr>
          <w:b/>
          <w:bCs/>
          <w:sz w:val="24"/>
          <w:szCs w:val="24"/>
          <w:u w:val="none" w:color="auto"/>
        </w:rPr>
        <w:t>第三条 组成本合同的有关文件</w:t>
      </w:r>
      <w:r>
        <w:rPr>
          <w:sz w:val="24"/>
          <w:szCs w:val="24"/>
          <w:u w:val="none" w:color="auto"/>
        </w:rPr>
        <w:t>：下列关于南京</w:t>
      </w:r>
      <w:r>
        <w:rPr>
          <w:rFonts w:hint="eastAsia"/>
          <w:sz w:val="24"/>
          <w:szCs w:val="24"/>
          <w:u w:val="none" w:color="auto"/>
          <w:lang w:val="en-US" w:eastAsia="zh-CN"/>
        </w:rPr>
        <w:t>玖盛</w:t>
      </w:r>
      <w:r>
        <w:rPr>
          <w:sz w:val="24"/>
          <w:szCs w:val="24"/>
          <w:u w:val="none" w:color="auto"/>
        </w:rPr>
        <w:t>招标文件和有关附件是本合同不可分割的组成部分，与本合同具有同等法律效力。</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jc w:val="both"/>
        <w:textAlignment w:val="auto"/>
        <w:rPr>
          <w:b/>
          <w:bCs/>
          <w:sz w:val="24"/>
          <w:szCs w:val="24"/>
          <w:u w:val="none" w:color="auto"/>
        </w:rPr>
      </w:pPr>
      <w:r>
        <w:rPr>
          <w:b/>
          <w:bCs/>
          <w:sz w:val="24"/>
          <w:szCs w:val="24"/>
          <w:u w:val="none" w:color="auto"/>
        </w:rPr>
        <w:t>第四条 权利保证</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389"/>
        <w:textAlignment w:val="auto"/>
        <w:rPr>
          <w:sz w:val="24"/>
          <w:szCs w:val="24"/>
          <w:u w:val="none" w:color="auto"/>
        </w:rPr>
      </w:pPr>
      <w:r>
        <w:rPr>
          <w:sz w:val="24"/>
          <w:szCs w:val="24"/>
          <w:u w:val="none" w:color="auto"/>
        </w:rPr>
        <w:t>乙方应保证为甲方提供工程和服务任何一部分时不受第三方提出侵犯其专利权、版权、商标权或其他权利的起诉。一旦出现侵权，乙方应承担全部责任。</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b/>
          <w:bCs/>
          <w:sz w:val="24"/>
          <w:szCs w:val="24"/>
          <w:u w:val="none" w:color="auto"/>
        </w:rPr>
      </w:pPr>
      <w:r>
        <w:rPr>
          <w:b/>
          <w:bCs/>
          <w:sz w:val="24"/>
          <w:szCs w:val="24"/>
          <w:u w:val="none" w:color="auto"/>
        </w:rPr>
        <w:t>第五条 质量保证</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1、项目改造质量标准:</w:t>
      </w:r>
    </w:p>
    <w:p>
      <w:pPr>
        <w:pStyle w:val="24"/>
        <w:keepNext w:val="0"/>
        <w:keepLines w:val="0"/>
        <w:pageBreakBefore w:val="0"/>
        <w:widowControl w:val="0"/>
        <w:numPr>
          <w:ilvl w:val="0"/>
          <w:numId w:val="22"/>
        </w:numPr>
        <w:tabs>
          <w:tab w:val="left" w:pos="941"/>
        </w:tabs>
        <w:kinsoku/>
        <w:wordWrap/>
        <w:overflowPunct/>
        <w:topLinePunct w:val="0"/>
        <w:autoSpaceDE w:val="0"/>
        <w:autoSpaceDN w:val="0"/>
        <w:bidi w:val="0"/>
        <w:adjustRightInd/>
        <w:snapToGrid/>
        <w:spacing w:before="5" w:after="0" w:line="360" w:lineRule="auto"/>
        <w:ind w:left="340" w:right="389" w:firstLine="0"/>
        <w:jc w:val="left"/>
        <w:textAlignment w:val="auto"/>
        <w:rPr>
          <w:sz w:val="24"/>
          <w:szCs w:val="24"/>
          <w:u w:val="none" w:color="auto"/>
        </w:rPr>
      </w:pPr>
      <w:r>
        <w:rPr>
          <w:spacing w:val="-1"/>
          <w:sz w:val="24"/>
          <w:szCs w:val="24"/>
          <w:u w:val="none" w:color="auto"/>
        </w:rPr>
        <w:t>施工要求的质量标准:施工质量符合设计图纸及国家有关标准规范要求，工程质量达到国家及</w:t>
      </w:r>
      <w:r>
        <w:rPr>
          <w:sz w:val="24"/>
          <w:szCs w:val="24"/>
          <w:u w:val="none" w:color="auto"/>
        </w:rPr>
        <w:t>行业现行施工验收规范合格标准。</w:t>
      </w:r>
    </w:p>
    <w:p>
      <w:pPr>
        <w:pStyle w:val="24"/>
        <w:keepNext w:val="0"/>
        <w:keepLines w:val="0"/>
        <w:pageBreakBefore w:val="0"/>
        <w:widowControl w:val="0"/>
        <w:numPr>
          <w:ilvl w:val="0"/>
          <w:numId w:val="22"/>
        </w:numPr>
        <w:tabs>
          <w:tab w:val="left" w:pos="941"/>
        </w:tabs>
        <w:kinsoku/>
        <w:wordWrap/>
        <w:overflowPunct/>
        <w:topLinePunct w:val="0"/>
        <w:autoSpaceDE w:val="0"/>
        <w:autoSpaceDN w:val="0"/>
        <w:bidi w:val="0"/>
        <w:adjustRightInd/>
        <w:snapToGrid/>
        <w:spacing w:before="0" w:after="0" w:line="360" w:lineRule="auto"/>
        <w:ind w:left="340" w:right="389" w:firstLine="0"/>
        <w:jc w:val="left"/>
        <w:textAlignment w:val="auto"/>
        <w:rPr>
          <w:sz w:val="24"/>
          <w:szCs w:val="24"/>
          <w:u w:val="none" w:color="auto"/>
        </w:rPr>
      </w:pPr>
      <w:r>
        <w:rPr>
          <w:spacing w:val="-1"/>
          <w:sz w:val="24"/>
          <w:szCs w:val="24"/>
          <w:u w:val="none" w:color="auto"/>
        </w:rPr>
        <w:t xml:space="preserve">物资采购的质量标准:项目所有物资(设备、构配件等)采购质量需符合有关标准规范的要求， </w:t>
      </w:r>
      <w:r>
        <w:rPr>
          <w:sz w:val="24"/>
          <w:szCs w:val="24"/>
          <w:u w:val="none" w:color="auto"/>
        </w:rPr>
        <w:t>合格率达到100%。</w:t>
      </w:r>
    </w:p>
    <w:p>
      <w:pPr>
        <w:pStyle w:val="9"/>
        <w:keepNext w:val="0"/>
        <w:keepLines w:val="0"/>
        <w:pageBreakBefore w:val="0"/>
        <w:widowControl w:val="0"/>
        <w:numPr>
          <w:ilvl w:val="0"/>
          <w:numId w:val="23"/>
        </w:numPr>
        <w:kinsoku/>
        <w:wordWrap/>
        <w:overflowPunct/>
        <w:topLinePunct w:val="0"/>
        <w:autoSpaceDE w:val="0"/>
        <w:autoSpaceDN w:val="0"/>
        <w:bidi w:val="0"/>
        <w:adjustRightInd/>
        <w:snapToGrid/>
        <w:spacing w:before="3" w:line="360" w:lineRule="auto"/>
        <w:ind w:right="8189"/>
        <w:textAlignment w:val="auto"/>
        <w:rPr>
          <w:b/>
          <w:bCs/>
          <w:sz w:val="24"/>
          <w:szCs w:val="24"/>
          <w:u w:val="none" w:color="auto"/>
        </w:rPr>
      </w:pPr>
      <w:r>
        <w:rPr>
          <w:b/>
          <w:bCs/>
          <w:sz w:val="24"/>
          <w:szCs w:val="24"/>
          <w:u w:val="none" w:color="auto"/>
        </w:rPr>
        <w:t>交付使用和验收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3" w:line="360" w:lineRule="auto"/>
        <w:ind w:right="8189" w:rightChars="0"/>
        <w:textAlignment w:val="auto"/>
        <w:rPr>
          <w:sz w:val="24"/>
          <w:szCs w:val="24"/>
          <w:u w:val="none" w:color="auto"/>
        </w:rPr>
      </w:pPr>
      <w:r>
        <w:rPr>
          <w:sz w:val="24"/>
          <w:szCs w:val="24"/>
          <w:u w:val="none" w:color="auto"/>
        </w:rPr>
        <w:t>1、主要日期：</w:t>
      </w:r>
    </w:p>
    <w:p>
      <w:pPr>
        <w:pStyle w:val="24"/>
        <w:keepNext w:val="0"/>
        <w:keepLines w:val="0"/>
        <w:pageBreakBefore w:val="0"/>
        <w:widowControl w:val="0"/>
        <w:numPr>
          <w:ilvl w:val="0"/>
          <w:numId w:val="24"/>
        </w:numPr>
        <w:tabs>
          <w:tab w:val="left" w:pos="941"/>
        </w:tabs>
        <w:kinsoku/>
        <w:wordWrap/>
        <w:overflowPunct/>
        <w:topLinePunct w:val="0"/>
        <w:autoSpaceDE w:val="0"/>
        <w:autoSpaceDN w:val="0"/>
        <w:bidi w:val="0"/>
        <w:adjustRightInd/>
        <w:snapToGrid/>
        <w:spacing w:before="0" w:after="0" w:line="360" w:lineRule="auto"/>
        <w:ind w:left="941" w:right="0" w:hanging="601"/>
        <w:jc w:val="left"/>
        <w:textAlignment w:val="auto"/>
        <w:rPr>
          <w:sz w:val="24"/>
          <w:szCs w:val="24"/>
          <w:u w:val="none" w:color="auto"/>
        </w:rPr>
      </w:pPr>
      <w:r>
        <w:rPr>
          <w:sz w:val="24"/>
          <w:szCs w:val="24"/>
          <w:u w:val="none" w:color="auto"/>
        </w:rPr>
        <w:t>施工开工日期：</w:t>
      </w:r>
    </w:p>
    <w:p>
      <w:pPr>
        <w:pStyle w:val="24"/>
        <w:keepNext w:val="0"/>
        <w:keepLines w:val="0"/>
        <w:pageBreakBefore w:val="0"/>
        <w:widowControl w:val="0"/>
        <w:numPr>
          <w:ilvl w:val="0"/>
          <w:numId w:val="24"/>
        </w:numPr>
        <w:tabs>
          <w:tab w:val="left" w:pos="941"/>
        </w:tabs>
        <w:kinsoku/>
        <w:wordWrap/>
        <w:overflowPunct/>
        <w:topLinePunct w:val="0"/>
        <w:autoSpaceDE w:val="0"/>
        <w:autoSpaceDN w:val="0"/>
        <w:bidi w:val="0"/>
        <w:adjustRightInd/>
        <w:snapToGrid/>
        <w:spacing w:before="5" w:after="0" w:line="360" w:lineRule="auto"/>
        <w:ind w:left="941" w:right="0" w:hanging="601"/>
        <w:jc w:val="left"/>
        <w:textAlignment w:val="auto"/>
        <w:rPr>
          <w:sz w:val="24"/>
          <w:szCs w:val="24"/>
          <w:u w:val="none" w:color="auto"/>
        </w:rPr>
      </w:pPr>
      <w:r>
        <w:rPr>
          <w:sz w:val="24"/>
          <w:szCs w:val="24"/>
          <w:u w:val="none" w:color="auto"/>
        </w:rPr>
        <w:t>工程竣工日期：</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right="509"/>
        <w:textAlignment w:val="auto"/>
        <w:rPr>
          <w:sz w:val="24"/>
          <w:szCs w:val="24"/>
          <w:u w:val="none" w:color="auto"/>
        </w:rPr>
      </w:pPr>
      <w:r>
        <w:rPr>
          <w:sz w:val="24"/>
          <w:szCs w:val="24"/>
          <w:u w:val="none" w:color="auto"/>
        </w:rPr>
        <w:t>2、甲方自行组织或视情邀请相关专家或国家认可的质量检测机构参加验收，乙方提供的服务不符合采购文件和合同规定的，甲方有权拒收，并承担验收费用等。</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b/>
          <w:bCs/>
          <w:sz w:val="24"/>
          <w:szCs w:val="24"/>
          <w:u w:val="none" w:color="auto"/>
        </w:rPr>
      </w:pPr>
      <w:r>
        <w:rPr>
          <w:b/>
          <w:bCs/>
          <w:sz w:val="24"/>
          <w:szCs w:val="24"/>
          <w:u w:val="none" w:color="auto"/>
        </w:rPr>
        <w:t>第七条 履约保证金</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1、履约保证金采用以下第（）种方式缴纳。</w:t>
      </w:r>
    </w:p>
    <w:p>
      <w:pPr>
        <w:pStyle w:val="24"/>
        <w:keepNext w:val="0"/>
        <w:keepLines w:val="0"/>
        <w:pageBreakBefore w:val="0"/>
        <w:widowControl w:val="0"/>
        <w:numPr>
          <w:ilvl w:val="0"/>
          <w:numId w:val="25"/>
        </w:numPr>
        <w:tabs>
          <w:tab w:val="left" w:pos="941"/>
        </w:tabs>
        <w:kinsoku/>
        <w:wordWrap/>
        <w:overflowPunct/>
        <w:topLinePunct w:val="0"/>
        <w:autoSpaceDE w:val="0"/>
        <w:autoSpaceDN w:val="0"/>
        <w:bidi w:val="0"/>
        <w:adjustRightInd/>
        <w:snapToGrid/>
        <w:spacing w:before="2" w:after="0" w:line="360" w:lineRule="auto"/>
        <w:ind w:left="941" w:right="0" w:hanging="601"/>
        <w:jc w:val="left"/>
        <w:textAlignment w:val="auto"/>
        <w:rPr>
          <w:sz w:val="24"/>
          <w:szCs w:val="24"/>
          <w:u w:val="none" w:color="auto"/>
        </w:rPr>
      </w:pPr>
      <w:r>
        <w:rPr>
          <w:sz w:val="24"/>
          <w:szCs w:val="24"/>
          <w:u w:val="none" w:color="auto"/>
        </w:rPr>
        <w:t>乙方在签订本合同时，向采购人缴纳中标价的10%作为履约保证金。</w:t>
      </w:r>
    </w:p>
    <w:p>
      <w:pPr>
        <w:pStyle w:val="24"/>
        <w:keepNext w:val="0"/>
        <w:keepLines w:val="0"/>
        <w:pageBreakBefore w:val="0"/>
        <w:widowControl w:val="0"/>
        <w:numPr>
          <w:ilvl w:val="0"/>
          <w:numId w:val="25"/>
        </w:numPr>
        <w:tabs>
          <w:tab w:val="left" w:pos="941"/>
        </w:tabs>
        <w:kinsoku/>
        <w:wordWrap/>
        <w:overflowPunct/>
        <w:topLinePunct w:val="0"/>
        <w:autoSpaceDE w:val="0"/>
        <w:autoSpaceDN w:val="0"/>
        <w:bidi w:val="0"/>
        <w:adjustRightInd/>
        <w:snapToGrid/>
        <w:spacing w:before="5" w:after="0" w:line="360" w:lineRule="auto"/>
        <w:ind w:left="941" w:right="0" w:hanging="601"/>
        <w:jc w:val="left"/>
        <w:textAlignment w:val="auto"/>
        <w:rPr>
          <w:sz w:val="24"/>
          <w:szCs w:val="24"/>
          <w:u w:val="none" w:color="auto"/>
        </w:rPr>
      </w:pPr>
      <w:r>
        <w:rPr>
          <w:sz w:val="24"/>
          <w:szCs w:val="24"/>
          <w:u w:val="none" w:color="auto"/>
        </w:rPr>
        <w:t>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2、履约保证金（若有）的有效期为该项目免费维护期满时止。</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3、如乙方未能履行合同规定的义务，甲方有权从履约保证金（若有）中取得补偿。</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ind w:right="1949"/>
        <w:textAlignment w:val="auto"/>
        <w:rPr>
          <w:sz w:val="24"/>
          <w:szCs w:val="24"/>
          <w:u w:val="none" w:color="auto"/>
        </w:rPr>
      </w:pPr>
      <w:r>
        <w:rPr>
          <w:sz w:val="24"/>
          <w:szCs w:val="24"/>
          <w:u w:val="none" w:color="auto"/>
        </w:rPr>
        <w:t>4、履约保证金（若有）扣除甲方应得的补偿后的余额在有效期满后七工作日内无息退还给乙方。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4"/>
          <w:szCs w:val="24"/>
          <w:u w:val="none" w:color="auto"/>
        </w:rPr>
      </w:pPr>
      <w:r>
        <w:rPr>
          <w:b/>
          <w:bCs/>
          <w:sz w:val="24"/>
          <w:szCs w:val="24"/>
          <w:u w:val="none" w:color="auto"/>
        </w:rPr>
        <w:t>第八条 合同款支付</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sz w:val="24"/>
          <w:szCs w:val="24"/>
          <w:u w:val="none" w:color="auto"/>
        </w:rPr>
      </w:pPr>
      <w:r>
        <w:rPr>
          <w:sz w:val="24"/>
          <w:szCs w:val="24"/>
          <w:u w:val="none" w:color="auto"/>
        </w:rPr>
        <w:t>1、本合同项下所有款项均以人民币支付。</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2、本合同项下的采购资金由甲方自行支付，乙方向甲方开具发票。</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color w:val="0000FF"/>
          <w:sz w:val="24"/>
          <w:szCs w:val="24"/>
          <w:u w:val="none" w:color="auto"/>
        </w:rPr>
      </w:pPr>
      <w:r>
        <w:rPr>
          <w:color w:val="0000FF"/>
          <w:sz w:val="24"/>
          <w:szCs w:val="24"/>
          <w:u w:val="none" w:color="auto"/>
        </w:rPr>
        <w:t>3、付款条件：</w:t>
      </w:r>
    </w:p>
    <w:p>
      <w:pPr>
        <w:pStyle w:val="24"/>
        <w:numPr>
          <w:ilvl w:val="0"/>
          <w:numId w:val="0"/>
        </w:numPr>
        <w:tabs>
          <w:tab w:val="left" w:pos="1260"/>
        </w:tabs>
        <w:spacing w:before="82" w:after="0" w:line="240" w:lineRule="auto"/>
        <w:ind w:right="0" w:rightChars="0"/>
        <w:jc w:val="left"/>
        <w:rPr>
          <w:rFonts w:hint="eastAsia" w:cs="宋体"/>
          <w:color w:val="0000FF"/>
          <w:spacing w:val="-9"/>
          <w:sz w:val="24"/>
          <w:szCs w:val="24"/>
          <w:u w:val="none" w:color="auto"/>
          <w:lang w:val="en-US" w:eastAsia="zh-CN" w:bidi="ar-SA"/>
        </w:rPr>
      </w:pPr>
      <w:r>
        <w:rPr>
          <w:rFonts w:hint="eastAsia" w:cs="宋体"/>
          <w:color w:val="0000FF"/>
          <w:spacing w:val="-9"/>
          <w:sz w:val="24"/>
          <w:szCs w:val="24"/>
          <w:u w:val="none" w:color="auto"/>
          <w:lang w:val="en-US" w:eastAsia="zh-CN" w:bidi="ar-SA"/>
        </w:rPr>
        <w:t>（1）完成工程量的50%，付已完合格工程量核产的70%；</w:t>
      </w:r>
    </w:p>
    <w:p>
      <w:pPr>
        <w:pStyle w:val="24"/>
        <w:numPr>
          <w:ilvl w:val="0"/>
          <w:numId w:val="0"/>
        </w:numPr>
        <w:tabs>
          <w:tab w:val="left" w:pos="1260"/>
        </w:tabs>
        <w:spacing w:before="82" w:after="0" w:line="240" w:lineRule="auto"/>
        <w:ind w:right="0" w:rightChars="0"/>
        <w:jc w:val="left"/>
        <w:rPr>
          <w:rFonts w:hint="default" w:cs="宋体"/>
          <w:color w:val="0000FF"/>
          <w:spacing w:val="-9"/>
          <w:sz w:val="24"/>
          <w:szCs w:val="24"/>
          <w:u w:val="none" w:color="auto"/>
          <w:lang w:val="en-US" w:eastAsia="zh-CN" w:bidi="ar-SA"/>
        </w:rPr>
      </w:pPr>
      <w:r>
        <w:rPr>
          <w:rFonts w:hint="eastAsia" w:cs="宋体"/>
          <w:color w:val="0000FF"/>
          <w:spacing w:val="-9"/>
          <w:sz w:val="24"/>
          <w:szCs w:val="24"/>
          <w:u w:val="none" w:color="auto"/>
          <w:lang w:val="en-US" w:eastAsia="zh-CN" w:bidi="ar-SA"/>
        </w:rPr>
        <w:t>（2）完工验收合格后，付至合同价款的40%；</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160" w:after="0" w:line="360" w:lineRule="auto"/>
        <w:ind w:right="0" w:rightChars="0"/>
        <w:jc w:val="left"/>
        <w:textAlignment w:val="auto"/>
        <w:rPr>
          <w:rFonts w:hint="eastAsia" w:ascii="宋体" w:hAnsi="宋体" w:eastAsia="宋体" w:cs="宋体"/>
          <w:color w:val="0000FF"/>
          <w:spacing w:val="-9"/>
          <w:sz w:val="24"/>
          <w:szCs w:val="24"/>
          <w:u w:val="none" w:color="auto"/>
          <w:lang w:val="en-US" w:eastAsia="zh-CN" w:bidi="ar-SA"/>
        </w:rPr>
      </w:pPr>
      <w:r>
        <w:rPr>
          <w:rFonts w:hint="eastAsia" w:cs="宋体"/>
          <w:color w:val="0000FF"/>
          <w:spacing w:val="-9"/>
          <w:sz w:val="24"/>
          <w:szCs w:val="24"/>
          <w:u w:val="none" w:color="auto"/>
          <w:lang w:val="en-US" w:eastAsia="zh-CN" w:bidi="ar-SA"/>
        </w:rPr>
        <w:t>（3）</w:t>
      </w:r>
      <w:r>
        <w:rPr>
          <w:rFonts w:hint="eastAsia" w:ascii="宋体" w:hAnsi="宋体" w:eastAsia="宋体" w:cs="宋体"/>
          <w:color w:val="0000FF"/>
          <w:spacing w:val="-9"/>
          <w:sz w:val="24"/>
          <w:szCs w:val="24"/>
          <w:u w:val="none" w:color="auto"/>
          <w:lang w:val="en-US" w:eastAsia="zh-CN" w:bidi="ar-SA"/>
        </w:rPr>
        <w:t>工程竣工验收合格</w:t>
      </w:r>
      <w:r>
        <w:rPr>
          <w:rFonts w:hint="eastAsia" w:cs="宋体"/>
          <w:color w:val="0000FF"/>
          <w:spacing w:val="-9"/>
          <w:sz w:val="24"/>
          <w:szCs w:val="24"/>
          <w:u w:val="none" w:color="auto"/>
          <w:lang w:val="en-US" w:eastAsia="zh-CN" w:bidi="ar-SA"/>
        </w:rPr>
        <w:t>并经工程审计结束后</w:t>
      </w:r>
      <w:r>
        <w:rPr>
          <w:rFonts w:hint="eastAsia" w:ascii="宋体" w:hAnsi="宋体" w:eastAsia="宋体" w:cs="宋体"/>
          <w:color w:val="0000FF"/>
          <w:spacing w:val="-9"/>
          <w:sz w:val="24"/>
          <w:szCs w:val="24"/>
          <w:u w:val="none" w:color="auto"/>
          <w:lang w:val="en-US" w:eastAsia="zh-CN" w:bidi="ar-SA"/>
        </w:rPr>
        <w:t>付至</w:t>
      </w:r>
      <w:r>
        <w:rPr>
          <w:rFonts w:hint="eastAsia" w:cs="宋体"/>
          <w:color w:val="0000FF"/>
          <w:spacing w:val="-9"/>
          <w:sz w:val="24"/>
          <w:szCs w:val="24"/>
          <w:u w:val="none" w:color="auto"/>
          <w:lang w:val="en-US" w:eastAsia="zh-CN" w:bidi="ar-SA"/>
        </w:rPr>
        <w:t>审定价的70</w:t>
      </w:r>
      <w:r>
        <w:rPr>
          <w:rFonts w:hint="eastAsia" w:ascii="宋体" w:hAnsi="宋体" w:eastAsia="宋体" w:cs="宋体"/>
          <w:color w:val="0000FF"/>
          <w:spacing w:val="-9"/>
          <w:sz w:val="24"/>
          <w:szCs w:val="24"/>
          <w:u w:val="none" w:color="auto"/>
          <w:lang w:val="en-US" w:eastAsia="zh-CN" w:bidi="ar-SA"/>
        </w:rPr>
        <w:t>%。</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0000FF"/>
          <w:kern w:val="0"/>
          <w:sz w:val="28"/>
          <w:szCs w:val="28"/>
          <w:lang w:val="en-US" w:eastAsia="zh-CN" w:bidi="ar"/>
        </w:rPr>
      </w:pPr>
      <w:r>
        <w:rPr>
          <w:rFonts w:hint="eastAsia" w:ascii="宋体" w:hAnsi="宋体" w:eastAsia="宋体" w:cs="宋体"/>
          <w:color w:val="0000FF"/>
          <w:spacing w:val="-9"/>
          <w:sz w:val="24"/>
          <w:szCs w:val="24"/>
          <w:u w:val="none" w:color="auto"/>
          <w:lang w:val="en-US" w:eastAsia="zh-CN" w:bidi="ar-SA"/>
        </w:rPr>
        <w:t>（</w:t>
      </w:r>
      <w:r>
        <w:rPr>
          <w:rFonts w:hint="eastAsia" w:cs="宋体"/>
          <w:color w:val="0000FF"/>
          <w:spacing w:val="-9"/>
          <w:sz w:val="24"/>
          <w:szCs w:val="24"/>
          <w:u w:val="none" w:color="auto"/>
          <w:lang w:val="en-US" w:eastAsia="zh-CN" w:bidi="ar-SA"/>
        </w:rPr>
        <w:t>4</w:t>
      </w:r>
      <w:r>
        <w:rPr>
          <w:rFonts w:hint="eastAsia" w:ascii="宋体" w:hAnsi="宋体" w:eastAsia="宋体" w:cs="宋体"/>
          <w:color w:val="0000FF"/>
          <w:spacing w:val="-9"/>
          <w:sz w:val="24"/>
          <w:szCs w:val="24"/>
          <w:u w:val="none" w:color="auto"/>
          <w:lang w:val="en-US" w:eastAsia="zh-CN" w:bidi="ar-SA"/>
        </w:rPr>
        <w:t>）剩余3</w:t>
      </w:r>
      <w:r>
        <w:rPr>
          <w:rFonts w:hint="eastAsia" w:cs="宋体"/>
          <w:color w:val="0000FF"/>
          <w:spacing w:val="-9"/>
          <w:sz w:val="24"/>
          <w:szCs w:val="24"/>
          <w:u w:val="none" w:color="auto"/>
          <w:lang w:val="en-US" w:eastAsia="zh-CN" w:bidi="ar-SA"/>
        </w:rPr>
        <w:t>0</w:t>
      </w:r>
      <w:r>
        <w:rPr>
          <w:rFonts w:hint="eastAsia" w:ascii="宋体" w:hAnsi="宋体" w:eastAsia="宋体" w:cs="宋体"/>
          <w:color w:val="0000FF"/>
          <w:spacing w:val="-9"/>
          <w:sz w:val="24"/>
          <w:szCs w:val="24"/>
          <w:u w:val="none" w:color="auto"/>
          <w:lang w:val="en-US" w:eastAsia="zh-CN" w:bidi="ar-SA"/>
        </w:rPr>
        <w:t>%</w:t>
      </w:r>
      <w:r>
        <w:rPr>
          <w:rFonts w:hint="eastAsia" w:cs="宋体"/>
          <w:color w:val="0000FF"/>
          <w:spacing w:val="-9"/>
          <w:sz w:val="24"/>
          <w:szCs w:val="24"/>
          <w:u w:val="none" w:color="auto"/>
          <w:lang w:val="en-US" w:eastAsia="zh-CN" w:bidi="ar-SA"/>
        </w:rPr>
        <w:t>分两年</w:t>
      </w:r>
      <w:r>
        <w:rPr>
          <w:rFonts w:hint="eastAsia" w:ascii="宋体" w:hAnsi="宋体" w:eastAsia="宋体" w:cs="宋体"/>
          <w:color w:val="0000FF"/>
          <w:spacing w:val="-9"/>
          <w:sz w:val="24"/>
          <w:szCs w:val="24"/>
          <w:u w:val="none" w:color="auto"/>
          <w:lang w:val="en-US" w:eastAsia="zh-CN" w:bidi="ar-SA"/>
        </w:rPr>
        <w:t>付清</w:t>
      </w:r>
      <w:r>
        <w:rPr>
          <w:rFonts w:hint="eastAsia" w:cs="宋体"/>
          <w:color w:val="0000FF"/>
          <w:spacing w:val="-9"/>
          <w:sz w:val="24"/>
          <w:szCs w:val="24"/>
          <w:u w:val="none" w:color="auto"/>
          <w:lang w:val="en-US" w:eastAsia="zh-CN" w:bidi="ar-SA"/>
        </w:rPr>
        <w:t>（含质量保修金，无息支付）</w:t>
      </w:r>
      <w:r>
        <w:rPr>
          <w:rFonts w:hint="eastAsia" w:ascii="宋体" w:hAnsi="宋体" w:eastAsia="宋体" w:cs="宋体"/>
          <w:color w:val="0000FF"/>
          <w:spacing w:val="-9"/>
          <w:sz w:val="24"/>
          <w:szCs w:val="24"/>
          <w:u w:val="none" w:color="auto"/>
          <w:lang w:val="en-US" w:eastAsia="zh-CN" w:bidi="ar-SA"/>
        </w:rPr>
        <w:t>。</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textAlignment w:val="auto"/>
        <w:rPr>
          <w:b/>
          <w:bCs/>
          <w:sz w:val="24"/>
          <w:szCs w:val="24"/>
          <w:u w:val="none" w:color="auto"/>
        </w:rPr>
      </w:pPr>
      <w:r>
        <w:rPr>
          <w:b/>
          <w:bCs/>
          <w:sz w:val="24"/>
          <w:szCs w:val="24"/>
          <w:u w:val="none" w:color="auto"/>
        </w:rPr>
        <w:t>第九条 违约责任</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１、甲方无正当理由拒绝验收或拒付款的，甲方向乙方偿付合同总价的5%违约金。</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right="389"/>
        <w:textAlignment w:val="auto"/>
        <w:rPr>
          <w:sz w:val="24"/>
          <w:szCs w:val="24"/>
          <w:u w:val="none" w:color="auto"/>
        </w:rPr>
      </w:pPr>
      <w:r>
        <w:rPr>
          <w:sz w:val="24"/>
          <w:szCs w:val="24"/>
          <w:u w:val="none" w:color="auto"/>
        </w:rPr>
        <w:t>２、甲方未按合同规定的期限向乙方支付合同款的，每逾期1天甲方向乙方偿付欠款总额的5‰滞纳金，但累计滞纳金总额不超过欠款总额的5% 。</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sz w:val="24"/>
          <w:szCs w:val="24"/>
          <w:u w:val="none" w:color="auto"/>
        </w:rPr>
      </w:pPr>
      <w:r>
        <w:rPr>
          <w:sz w:val="24"/>
          <w:szCs w:val="24"/>
          <w:u w:val="none" w:color="auto"/>
        </w:rPr>
        <w:t>３、如乙方不能按期交付服务的，甲方有权扣留全部履约保证金；同时乙方应向甲方支付合同总价</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5%的违约金。</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ind w:right="389"/>
        <w:jc w:val="both"/>
        <w:textAlignment w:val="auto"/>
        <w:rPr>
          <w:sz w:val="24"/>
          <w:szCs w:val="24"/>
          <w:u w:val="none" w:color="auto"/>
        </w:rPr>
      </w:pPr>
      <w:r>
        <w:rPr>
          <w:sz w:val="24"/>
          <w:szCs w:val="24"/>
          <w:u w:val="none" w:color="auto"/>
        </w:rPr>
        <w:t>４、乙方逾期交付的，每逾期1天，乙方向甲方偿付合同总额的5‰的滞纳金。如乙方逾期交付达10 天，甲方有权解除合同，解除合同的通知自到达乙方时生效。乙方逾期交付的，今后参加政府采购信誉将受到影响。</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5、乙方在承担违约责任后，仍应继续履行合同规定的义务（甲方解除合同的除外）。</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甲方未能及时追究乙方的任何一项违约责任并不表明甲方放弃追究乙方该项或其他违约责任。</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ind w:right="509"/>
        <w:jc w:val="both"/>
        <w:textAlignment w:val="auto"/>
        <w:rPr>
          <w:sz w:val="24"/>
          <w:szCs w:val="24"/>
          <w:u w:val="none" w:color="auto"/>
        </w:rPr>
      </w:pPr>
      <w:r>
        <w:rPr>
          <w:sz w:val="24"/>
          <w:szCs w:val="24"/>
          <w:u w:val="none" w:color="auto"/>
        </w:rPr>
        <w:t>6、乙方虚假承诺，或经权威部门检测提供的货物和服务不能满足采购文件要求，或是由于乙方的过错造成合同无法继续履行的，乙方履约保证金不予退还外，还应向甲方支付不少于合同总价30% 赔偿金。</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jc w:val="both"/>
        <w:textAlignment w:val="auto"/>
        <w:rPr>
          <w:b/>
          <w:bCs/>
          <w:sz w:val="24"/>
          <w:szCs w:val="24"/>
          <w:u w:val="none" w:color="auto"/>
        </w:rPr>
      </w:pPr>
      <w:r>
        <w:rPr>
          <w:b/>
          <w:bCs/>
          <w:sz w:val="24"/>
          <w:szCs w:val="24"/>
          <w:u w:val="none" w:color="auto"/>
        </w:rPr>
        <w:t>第十条 合同的变更和终止</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509"/>
        <w:textAlignment w:val="auto"/>
        <w:rPr>
          <w:sz w:val="24"/>
          <w:szCs w:val="24"/>
          <w:u w:val="none" w:color="auto"/>
        </w:rPr>
      </w:pPr>
      <w:r>
        <w:rPr>
          <w:sz w:val="24"/>
          <w:szCs w:val="24"/>
          <w:u w:val="none" w:color="auto"/>
        </w:rPr>
        <w:t>1、除《政府采购法》第50条第二款规定的情形外，本合同一经签订，甲乙双方不得擅自变更、中止或终止合同。</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389"/>
        <w:textAlignment w:val="auto"/>
        <w:rPr>
          <w:sz w:val="24"/>
          <w:szCs w:val="24"/>
          <w:u w:val="none" w:color="auto"/>
        </w:rPr>
      </w:pPr>
      <w:r>
        <w:rPr>
          <w:sz w:val="24"/>
          <w:szCs w:val="24"/>
          <w:u w:val="none" w:color="auto"/>
        </w:rPr>
        <w:t>2、除发生法律规定的不能预见、不能避免并不能克服的客观情况外，甲乙双方不得放弃或拒绝履行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389"/>
        <w:textAlignment w:val="auto"/>
        <w:rPr>
          <w:sz w:val="24"/>
          <w:szCs w:val="24"/>
          <w:u w:val="none" w:color="auto"/>
        </w:rPr>
      </w:pPr>
      <w:r>
        <w:rPr>
          <w:sz w:val="24"/>
          <w:szCs w:val="24"/>
          <w:u w:val="none" w:color="auto"/>
        </w:rPr>
        <w:t>合同。乙方放弃或拒绝履行合同，保证金不予退还，在三年内不得参加南京市的政府采购活动。第十一条 合同的转让乙方不得擅自部分或全部转让其应履行的合同义务。</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b/>
          <w:bCs/>
          <w:sz w:val="24"/>
          <w:szCs w:val="24"/>
          <w:u w:val="none" w:color="auto"/>
        </w:rPr>
      </w:pPr>
      <w:r>
        <w:rPr>
          <w:b/>
          <w:bCs/>
          <w:sz w:val="24"/>
          <w:szCs w:val="24"/>
          <w:u w:val="none" w:color="auto"/>
        </w:rPr>
        <w:t>第十</w:t>
      </w:r>
      <w:r>
        <w:rPr>
          <w:rFonts w:hint="eastAsia"/>
          <w:b/>
          <w:bCs/>
          <w:sz w:val="24"/>
          <w:szCs w:val="24"/>
          <w:u w:val="none" w:color="auto"/>
          <w:lang w:val="en-US" w:eastAsia="zh-CN"/>
        </w:rPr>
        <w:t>一</w:t>
      </w:r>
      <w:r>
        <w:rPr>
          <w:b/>
          <w:bCs/>
          <w:sz w:val="24"/>
          <w:szCs w:val="24"/>
          <w:u w:val="none" w:color="auto"/>
        </w:rPr>
        <w:t>条 争议的解决</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509"/>
        <w:textAlignment w:val="auto"/>
        <w:rPr>
          <w:sz w:val="24"/>
          <w:szCs w:val="24"/>
          <w:u w:val="none" w:color="auto"/>
        </w:rPr>
      </w:pPr>
      <w:r>
        <w:rPr>
          <w:sz w:val="24"/>
          <w:szCs w:val="24"/>
          <w:u w:val="none" w:color="auto"/>
        </w:rPr>
        <w:t>1、因履行本合同引起的或与本合同有关的争议，甲、乙双方应首先通过友好协商解决，如果协商不能解决争议，则采取以下第（ ）种方式解决争议：</w:t>
      </w:r>
    </w:p>
    <w:p>
      <w:pPr>
        <w:pStyle w:val="24"/>
        <w:numPr>
          <w:ilvl w:val="0"/>
          <w:numId w:val="26"/>
        </w:numPr>
        <w:tabs>
          <w:tab w:val="left" w:pos="941"/>
        </w:tabs>
        <w:spacing w:before="3" w:after="0" w:line="240" w:lineRule="auto"/>
        <w:ind w:left="941" w:right="0" w:hanging="601"/>
        <w:jc w:val="left"/>
        <w:rPr>
          <w:rFonts w:ascii="宋体" w:hAnsi="宋体" w:eastAsia="宋体" w:cs="宋体"/>
          <w:sz w:val="24"/>
          <w:szCs w:val="24"/>
          <w:u w:val="none" w:color="auto"/>
          <w:lang w:val="en-US" w:eastAsia="zh-CN" w:bidi="ar-SA"/>
        </w:rPr>
      </w:pPr>
      <w:r>
        <w:rPr>
          <w:rFonts w:ascii="宋体" w:hAnsi="宋体" w:eastAsia="宋体" w:cs="宋体"/>
          <w:sz w:val="24"/>
          <w:szCs w:val="24"/>
          <w:u w:val="none" w:color="auto"/>
          <w:lang w:val="en-US" w:eastAsia="zh-CN" w:bidi="ar-SA"/>
        </w:rPr>
        <w:t>向甲方所在地有管辖权的人民法院提起诉讼；</w:t>
      </w:r>
    </w:p>
    <w:p>
      <w:pPr>
        <w:pStyle w:val="24"/>
        <w:numPr>
          <w:ilvl w:val="0"/>
          <w:numId w:val="26"/>
        </w:numPr>
        <w:tabs>
          <w:tab w:val="left" w:pos="941"/>
        </w:tabs>
        <w:spacing w:before="2" w:after="0" w:line="242" w:lineRule="auto"/>
        <w:ind w:left="340" w:right="5549" w:firstLine="0"/>
        <w:jc w:val="left"/>
        <w:rPr>
          <w:rFonts w:ascii="宋体" w:hAnsi="宋体" w:eastAsia="宋体" w:cs="宋体"/>
          <w:sz w:val="24"/>
          <w:szCs w:val="24"/>
          <w:u w:val="none" w:color="auto"/>
          <w:lang w:val="en-US" w:eastAsia="zh-CN" w:bidi="ar-SA"/>
        </w:rPr>
      </w:pPr>
      <w:r>
        <w:rPr>
          <w:rFonts w:ascii="宋体" w:hAnsi="宋体" w:eastAsia="宋体" w:cs="宋体"/>
          <w:sz w:val="24"/>
          <w:szCs w:val="24"/>
          <w:u w:val="none" w:color="auto"/>
          <w:lang w:val="en-US" w:eastAsia="zh-CN" w:bidi="ar-SA"/>
        </w:rPr>
        <w:t>向南京仲裁委员会按其仲裁规则申请仲裁。3、在仲裁期间，本合同应继续履行。</w:t>
      </w:r>
    </w:p>
    <w:p>
      <w:pPr>
        <w:pStyle w:val="9"/>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b/>
          <w:bCs/>
          <w:sz w:val="24"/>
          <w:szCs w:val="24"/>
          <w:u w:val="none" w:color="auto"/>
        </w:rPr>
      </w:pPr>
      <w:r>
        <w:rPr>
          <w:b/>
          <w:bCs/>
          <w:sz w:val="24"/>
          <w:szCs w:val="24"/>
          <w:u w:val="none" w:color="auto"/>
        </w:rPr>
        <w:t>第十</w:t>
      </w:r>
      <w:r>
        <w:rPr>
          <w:rFonts w:hint="eastAsia"/>
          <w:b/>
          <w:bCs/>
          <w:sz w:val="24"/>
          <w:szCs w:val="24"/>
          <w:u w:val="none" w:color="auto"/>
          <w:lang w:val="en-US" w:eastAsia="zh-CN"/>
        </w:rPr>
        <w:t>二</w:t>
      </w:r>
      <w:r>
        <w:rPr>
          <w:b/>
          <w:bCs/>
          <w:sz w:val="24"/>
          <w:szCs w:val="24"/>
          <w:u w:val="none" w:color="auto"/>
        </w:rPr>
        <w:t>条 诚实信用</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sz w:val="24"/>
          <w:szCs w:val="24"/>
          <w:u w:val="none" w:color="auto"/>
        </w:rPr>
      </w:pPr>
      <w:r>
        <w:rPr>
          <w:sz w:val="24"/>
          <w:szCs w:val="24"/>
          <w:u w:val="none" w:color="auto"/>
        </w:rPr>
        <w:t>乙方应诚实信用，严格按照采购文件要求和承诺履行合同，不向甲方进行商业贿赂或者提供不正当利益。</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4"/>
          <w:szCs w:val="24"/>
          <w:u w:val="none" w:color="auto"/>
        </w:rPr>
      </w:pPr>
      <w:r>
        <w:rPr>
          <w:b/>
          <w:bCs/>
          <w:sz w:val="24"/>
          <w:szCs w:val="24"/>
          <w:u w:val="none" w:color="auto"/>
        </w:rPr>
        <w:t>第十</w:t>
      </w:r>
      <w:r>
        <w:rPr>
          <w:rFonts w:hint="eastAsia"/>
          <w:b/>
          <w:bCs/>
          <w:sz w:val="24"/>
          <w:szCs w:val="24"/>
          <w:u w:val="none" w:color="auto"/>
          <w:lang w:val="en-US" w:eastAsia="zh-CN"/>
        </w:rPr>
        <w:t>三</w:t>
      </w:r>
      <w:r>
        <w:rPr>
          <w:b/>
          <w:bCs/>
          <w:sz w:val="24"/>
          <w:szCs w:val="24"/>
          <w:u w:val="none" w:color="auto"/>
        </w:rPr>
        <w:t>条 合同生效及其他</w:t>
      </w:r>
    </w:p>
    <w:p>
      <w:pPr>
        <w:pStyle w:val="9"/>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sz w:val="24"/>
          <w:szCs w:val="24"/>
          <w:u w:val="none" w:color="auto"/>
        </w:rPr>
      </w:pPr>
      <w:r>
        <w:rPr>
          <w:sz w:val="24"/>
          <w:szCs w:val="24"/>
          <w:u w:val="none" w:color="auto"/>
        </w:rPr>
        <w:t>1、本合同自签订之日起生效。</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2、本合同一式贰份，甲乙双方各执一份。</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4"/>
          <w:szCs w:val="24"/>
          <w:u w:val="none" w:color="auto"/>
        </w:rPr>
      </w:pPr>
      <w:r>
        <w:rPr>
          <w:sz w:val="24"/>
          <w:szCs w:val="24"/>
          <w:u w:val="none" w:color="auto"/>
        </w:rPr>
        <w:t>3、本合同应按照中华人民共和国的现行法律进行解释。</w:t>
      </w:r>
    </w:p>
    <w:p>
      <w:pPr>
        <w:pStyle w:val="9"/>
        <w:keepNext w:val="0"/>
        <w:keepLines w:val="0"/>
        <w:pageBreakBefore w:val="0"/>
        <w:widowControl w:val="0"/>
        <w:tabs>
          <w:tab w:val="left" w:pos="4179"/>
        </w:tabs>
        <w:kinsoku/>
        <w:wordWrap/>
        <w:overflowPunct/>
        <w:topLinePunct w:val="0"/>
        <w:autoSpaceDE w:val="0"/>
        <w:autoSpaceDN w:val="0"/>
        <w:bidi w:val="0"/>
        <w:adjustRightInd/>
        <w:snapToGrid/>
        <w:spacing w:before="2" w:line="360" w:lineRule="auto"/>
        <w:ind w:right="3989"/>
        <w:textAlignment w:val="auto"/>
        <w:rPr>
          <w:sz w:val="24"/>
          <w:szCs w:val="24"/>
          <w:u w:val="none" w:color="auto"/>
        </w:rPr>
      </w:pPr>
      <w:r>
        <w:rPr>
          <w:sz w:val="24"/>
          <w:szCs w:val="24"/>
          <w:u w:val="none" w:color="auto"/>
        </w:rPr>
        <w:t>甲方（采购人）：（盖章）</w:t>
      </w:r>
      <w:r>
        <w:rPr>
          <w:sz w:val="24"/>
          <w:szCs w:val="24"/>
          <w:u w:val="none" w:color="auto"/>
        </w:rPr>
        <w:tab/>
      </w:r>
      <w:r>
        <w:rPr>
          <w:sz w:val="24"/>
          <w:szCs w:val="24"/>
          <w:u w:val="none" w:color="auto"/>
        </w:rPr>
        <w:t>乙方（投标人）：（盖章</w:t>
      </w:r>
      <w:r>
        <w:rPr>
          <w:spacing w:val="-18"/>
          <w:sz w:val="24"/>
          <w:szCs w:val="24"/>
          <w:u w:val="none" w:color="auto"/>
        </w:rPr>
        <w:t xml:space="preserve">） </w:t>
      </w:r>
      <w:r>
        <w:rPr>
          <w:sz w:val="24"/>
          <w:szCs w:val="24"/>
          <w:u w:val="none" w:color="auto"/>
        </w:rPr>
        <w:t>代表人：</w:t>
      </w:r>
      <w:r>
        <w:rPr>
          <w:sz w:val="24"/>
          <w:szCs w:val="24"/>
          <w:u w:val="none" w:color="auto"/>
        </w:rPr>
        <w:tab/>
      </w:r>
      <w:r>
        <w:rPr>
          <w:sz w:val="24"/>
          <w:szCs w:val="24"/>
          <w:u w:val="none" w:color="auto"/>
        </w:rPr>
        <w:t>代表人：</w:t>
      </w:r>
    </w:p>
    <w:p>
      <w:pPr>
        <w:pStyle w:val="9"/>
        <w:keepNext w:val="0"/>
        <w:keepLines w:val="0"/>
        <w:pageBreakBefore w:val="0"/>
        <w:widowControl w:val="0"/>
        <w:tabs>
          <w:tab w:val="left" w:pos="4179"/>
        </w:tabs>
        <w:kinsoku/>
        <w:wordWrap/>
        <w:overflowPunct/>
        <w:topLinePunct w:val="0"/>
        <w:autoSpaceDE w:val="0"/>
        <w:autoSpaceDN w:val="0"/>
        <w:bidi w:val="0"/>
        <w:adjustRightInd/>
        <w:snapToGrid/>
        <w:spacing w:before="3" w:line="360" w:lineRule="auto"/>
        <w:textAlignment w:val="auto"/>
        <w:rPr>
          <w:sz w:val="24"/>
          <w:szCs w:val="24"/>
          <w:u w:val="none" w:color="auto"/>
        </w:rPr>
      </w:pPr>
      <w:r>
        <w:rPr>
          <w:sz w:val="24"/>
          <w:szCs w:val="24"/>
          <w:u w:val="none" w:color="auto"/>
        </w:rPr>
        <w:t>电 话：</w:t>
      </w:r>
      <w:r>
        <w:rPr>
          <w:sz w:val="24"/>
          <w:szCs w:val="24"/>
          <w:u w:val="none" w:color="auto"/>
        </w:rPr>
        <w:tab/>
      </w:r>
      <w:r>
        <w:rPr>
          <w:sz w:val="24"/>
          <w:szCs w:val="24"/>
          <w:u w:val="none" w:color="auto"/>
        </w:rPr>
        <w:t>电 话：</w:t>
      </w:r>
    </w:p>
    <w:p>
      <w:pPr>
        <w:pStyle w:val="9"/>
        <w:keepNext w:val="0"/>
        <w:keepLines w:val="0"/>
        <w:pageBreakBefore w:val="0"/>
        <w:widowControl w:val="0"/>
        <w:tabs>
          <w:tab w:val="left" w:pos="4179"/>
        </w:tabs>
        <w:kinsoku/>
        <w:wordWrap/>
        <w:overflowPunct/>
        <w:topLinePunct w:val="0"/>
        <w:autoSpaceDE w:val="0"/>
        <w:autoSpaceDN w:val="0"/>
        <w:bidi w:val="0"/>
        <w:adjustRightInd/>
        <w:snapToGrid/>
        <w:spacing w:before="5" w:line="360" w:lineRule="auto"/>
        <w:textAlignment w:val="auto"/>
        <w:rPr>
          <w:sz w:val="24"/>
          <w:szCs w:val="24"/>
          <w:u w:val="none" w:color="auto"/>
        </w:rPr>
      </w:pPr>
      <w:r>
        <w:rPr>
          <w:sz w:val="24"/>
          <w:szCs w:val="24"/>
          <w:u w:val="none" w:color="auto"/>
        </w:rPr>
        <w:t>开户银行：</w:t>
      </w:r>
      <w:r>
        <w:rPr>
          <w:sz w:val="24"/>
          <w:szCs w:val="24"/>
          <w:u w:val="none" w:color="auto"/>
        </w:rPr>
        <w:tab/>
      </w:r>
      <w:r>
        <w:rPr>
          <w:sz w:val="24"/>
          <w:szCs w:val="24"/>
          <w:u w:val="none" w:color="auto"/>
        </w:rPr>
        <w:t>开户银行：</w:t>
      </w:r>
    </w:p>
    <w:p>
      <w:pPr>
        <w:pStyle w:val="9"/>
        <w:keepNext w:val="0"/>
        <w:keepLines w:val="0"/>
        <w:pageBreakBefore w:val="0"/>
        <w:widowControl w:val="0"/>
        <w:tabs>
          <w:tab w:val="left" w:pos="4419"/>
        </w:tabs>
        <w:kinsoku/>
        <w:wordWrap/>
        <w:overflowPunct/>
        <w:topLinePunct w:val="0"/>
        <w:autoSpaceDE w:val="0"/>
        <w:autoSpaceDN w:val="0"/>
        <w:bidi w:val="0"/>
        <w:adjustRightInd/>
        <w:snapToGrid/>
        <w:spacing w:before="2" w:line="360" w:lineRule="auto"/>
        <w:textAlignment w:val="auto"/>
        <w:rPr>
          <w:sz w:val="24"/>
          <w:szCs w:val="24"/>
          <w:u w:val="none" w:color="auto"/>
        </w:rPr>
      </w:pPr>
      <w:r>
        <w:rPr>
          <w:sz w:val="24"/>
          <w:szCs w:val="24"/>
          <w:u w:val="none" w:color="auto"/>
        </w:rPr>
        <w:t>帐 号：</w:t>
      </w:r>
      <w:r>
        <w:rPr>
          <w:rFonts w:hint="eastAsia"/>
          <w:sz w:val="24"/>
          <w:szCs w:val="24"/>
          <w:u w:val="none" w:color="auto"/>
          <w:lang w:val="en-US" w:eastAsia="zh-CN"/>
        </w:rPr>
        <w:t xml:space="preserve">                            </w:t>
      </w:r>
      <w:r>
        <w:rPr>
          <w:sz w:val="24"/>
          <w:szCs w:val="24"/>
          <w:u w:val="none" w:color="auto"/>
        </w:rPr>
        <w:t>帐 号：</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sz w:val="24"/>
          <w:szCs w:val="24"/>
          <w:u w:val="none" w:color="auto"/>
          <w:lang w:val="en-US" w:eastAsia="zh-CN"/>
        </w:rPr>
      </w:pPr>
      <w:r>
        <w:rPr>
          <w:sz w:val="24"/>
          <w:szCs w:val="24"/>
          <w:u w:val="none" w:color="auto"/>
        </w:rPr>
        <w:t>年 月 日</w:t>
      </w:r>
      <w:r>
        <w:rPr>
          <w:rFonts w:hint="eastAsia"/>
          <w:sz w:val="24"/>
          <w:szCs w:val="24"/>
          <w:u w:val="none" w:color="auto"/>
          <w:lang w:val="en-US" w:eastAsia="zh-CN"/>
        </w:rPr>
        <w:t xml:space="preserve">                           年  月   日</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right="7349"/>
        <w:textAlignment w:val="auto"/>
        <w:rPr>
          <w:rFonts w:hint="eastAsia"/>
          <w:sz w:val="24"/>
          <w:szCs w:val="24"/>
          <w:u w:val="none" w:color="auto"/>
          <w:lang w:val="en-US" w:eastAsia="zh-CN"/>
        </w:rPr>
      </w:pPr>
      <w:r>
        <w:rPr>
          <w:rFonts w:hint="eastAsia"/>
          <w:sz w:val="24"/>
          <w:szCs w:val="24"/>
          <w:u w:val="none" w:color="auto"/>
          <w:lang w:val="en-US" w:eastAsia="zh-CN"/>
        </w:rPr>
        <w:t xml:space="preserve"> </w:t>
      </w:r>
    </w:p>
    <w:p>
      <w:pPr>
        <w:rPr>
          <w:rFonts w:hint="default"/>
          <w:sz w:val="24"/>
          <w:szCs w:val="24"/>
          <w:u w:val="none" w:color="auto"/>
          <w:lang w:val="en-US" w:eastAsia="zh-CN"/>
        </w:rPr>
        <w:sectPr>
          <w:footerReference r:id="rId5" w:type="default"/>
          <w:pgSz w:w="11910" w:h="16840"/>
          <w:pgMar w:top="1480" w:right="0" w:bottom="1134" w:left="860" w:header="0" w:footer="6" w:gutter="0"/>
          <w:pgNumType w:start="40"/>
          <w:cols w:space="720" w:num="1"/>
        </w:sectPr>
      </w:pPr>
    </w:p>
    <w:p>
      <w:pPr>
        <w:pStyle w:val="26"/>
        <w:jc w:val="center"/>
        <w:rPr>
          <w:rFonts w:hint="eastAsia" w:ascii="宋体" w:hAnsi="宋体" w:eastAsia="宋体" w:cs="宋体"/>
          <w:b/>
          <w:sz w:val="24"/>
          <w:szCs w:val="24"/>
        </w:rPr>
      </w:pPr>
      <w:r>
        <w:rPr>
          <w:rFonts w:hint="eastAsia" w:ascii="宋体" w:hAnsi="宋体" w:eastAsia="宋体" w:cs="宋体"/>
          <w:b/>
          <w:sz w:val="24"/>
          <w:szCs w:val="24"/>
        </w:rPr>
        <w:t>第1节　通用合同条款</w:t>
      </w:r>
    </w:p>
    <w:p>
      <w:pPr>
        <w:pStyle w:val="26"/>
        <w:rPr>
          <w:rFonts w:hint="eastAsia" w:ascii="宋体" w:hAnsi="宋体" w:eastAsia="宋体" w:cs="宋体"/>
          <w:b/>
          <w:sz w:val="24"/>
          <w:szCs w:val="24"/>
        </w:rPr>
      </w:pPr>
      <w:bookmarkStart w:id="7" w:name="第04章合同条款及格式0101"/>
      <w:bookmarkEnd w:id="7"/>
      <w:r>
        <w:rPr>
          <w:rFonts w:hint="eastAsia" w:ascii="宋体" w:hAnsi="宋体" w:eastAsia="宋体" w:cs="宋体"/>
          <w:b/>
          <w:sz w:val="24"/>
          <w:szCs w:val="24"/>
        </w:rPr>
        <w:t>1　一般约定</w:t>
      </w:r>
    </w:p>
    <w:p>
      <w:pPr>
        <w:pStyle w:val="26"/>
        <w:numPr>
          <w:ilvl w:val="1"/>
          <w:numId w:val="27"/>
        </w:numPr>
        <w:rPr>
          <w:rFonts w:hint="eastAsia" w:ascii="宋体" w:hAnsi="宋体" w:eastAsia="宋体" w:cs="宋体"/>
          <w:sz w:val="24"/>
          <w:szCs w:val="24"/>
        </w:rPr>
      </w:pPr>
      <w:r>
        <w:rPr>
          <w:rFonts w:hint="eastAsia" w:ascii="宋体" w:hAnsi="宋体" w:eastAsia="宋体" w:cs="宋体"/>
          <w:sz w:val="24"/>
          <w:szCs w:val="24"/>
        </w:rPr>
        <w:t>词语定义</w:t>
      </w:r>
    </w:p>
    <w:p>
      <w:pPr>
        <w:pStyle w:val="26"/>
        <w:spacing w:line="400" w:lineRule="exact"/>
        <w:ind w:left="480"/>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Style w:val="26"/>
        <w:ind w:firstLine="360" w:firstLineChars="150"/>
        <w:rPr>
          <w:rFonts w:hint="eastAsia" w:ascii="宋体" w:hAnsi="宋体" w:eastAsia="宋体" w:cs="宋体"/>
          <w:sz w:val="24"/>
          <w:szCs w:val="24"/>
        </w:rPr>
      </w:pPr>
      <w:r>
        <w:rPr>
          <w:rFonts w:hint="eastAsia" w:ascii="宋体" w:hAnsi="宋体" w:eastAsia="宋体" w:cs="宋体"/>
          <w:sz w:val="24"/>
          <w:szCs w:val="24"/>
        </w:rPr>
        <w:t>1.1.1　合同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1.1.1.1合同文件（或称合同）：指合同协议书、中标通知书、投标函及投标函附录、专用合同条款、通用合同条款、技术标准和要求、图纸、已标价工程量清单，以及其他合同文件。</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1.1.1.2合同协议书：指第1.5款所指的合同协议书。</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1.1.1.3中标通知书：指发包人通知承包人中标的函件。</w:t>
      </w:r>
    </w:p>
    <w:p>
      <w:pPr>
        <w:pStyle w:val="26"/>
        <w:spacing w:line="400" w:lineRule="exact"/>
        <w:ind w:firstLine="480" w:firstLineChars="200"/>
        <w:rPr>
          <w:rFonts w:hint="eastAsia" w:ascii="宋体" w:hAnsi="宋体" w:eastAsia="宋体" w:cs="宋体"/>
          <w:dstrike/>
          <w:sz w:val="24"/>
          <w:szCs w:val="24"/>
        </w:rPr>
      </w:pPr>
      <w:r>
        <w:rPr>
          <w:rFonts w:hint="eastAsia" w:ascii="宋体" w:hAnsi="宋体" w:eastAsia="宋体" w:cs="宋体"/>
          <w:sz w:val="24"/>
          <w:szCs w:val="24"/>
        </w:rPr>
        <w:t>1.1.1.4投标函：指构成合同文件组成部分的由承包人填写并签署的投标函。</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1.1.1.5投标函附录：指附在投标函后构成合同文件的投标函附录。</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技术标准和要求：指构成合同文件组成部分的名为技术标准和要求(合同技术条款)的文件，包括合同双方当事人约定对其所作的修改或补充。</w:t>
      </w:r>
    </w:p>
    <w:p>
      <w:pPr>
        <w:pStyle w:val="26"/>
        <w:ind w:firstLine="420"/>
        <w:rPr>
          <w:rFonts w:hint="eastAsia" w:ascii="宋体" w:hAnsi="宋体" w:eastAsia="宋体" w:cs="宋体"/>
          <w:sz w:val="24"/>
          <w:szCs w:val="24"/>
        </w:rPr>
      </w:pPr>
      <w:r>
        <w:rPr>
          <w:rFonts w:hint="eastAsia" w:ascii="宋体" w:hAnsi="宋体" w:eastAsia="宋体" w:cs="宋体"/>
          <w:sz w:val="24"/>
          <w:szCs w:val="24"/>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1.1.1.8已标价工程量清单：指构成合同文件组成部分的由承包人按照规定的格式和要求填写并标明价格的工程量清单。</w:t>
      </w:r>
    </w:p>
    <w:p>
      <w:pPr>
        <w:pStyle w:val="26"/>
        <w:ind w:firstLine="420"/>
        <w:rPr>
          <w:rFonts w:hint="eastAsia" w:ascii="宋体" w:hAnsi="宋体" w:eastAsia="宋体" w:cs="宋体"/>
          <w:sz w:val="24"/>
          <w:szCs w:val="24"/>
        </w:rPr>
      </w:pPr>
      <w:r>
        <w:rPr>
          <w:rFonts w:hint="eastAsia" w:ascii="宋体" w:hAnsi="宋体" w:eastAsia="宋体" w:cs="宋体"/>
          <w:sz w:val="24"/>
          <w:szCs w:val="24"/>
        </w:rPr>
        <w:t>1.1.1.9其他合同文件：指经合同双方当事人确认构成合同文件的其他文件。</w:t>
      </w:r>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1.1.2　合同当事人和人员</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1.1.2.1合同当事人:指发包人和（或）承包人。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1.1.2.2发包人：指专用合同条款中指明并与承包人在合同协议书中签字的当事人。</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1.1.2.3　承包人：指专用合同条款中指明并与发包人在合同协议书中签字的当事人。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1.1.2.4承包人项目经理：指承包人派驻施工场地的全权负责人。</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1.1.2.5　分包人：指专用合同条款中指明的，从承包人处分包合同中某一部分工程，并与其签订分包合同的分包人。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1.1.2.6监理人：指在专用合同条款中指明的，受发包人委托对合同履行实施管理的法人或其他组织。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1.1.2.7总监理工程师（总监）：指由监理人委派常驻施工场地对合同履行实施管理的全权负责人。</w:t>
      </w:r>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1.1.3　工程和设备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1.1.3.1工程：指永久工程和（或）临时工程。</w:t>
      </w:r>
    </w:p>
    <w:p>
      <w:pPr>
        <w:pStyle w:val="26"/>
        <w:ind w:firstLine="420"/>
        <w:rPr>
          <w:rFonts w:hint="eastAsia" w:ascii="宋体" w:hAnsi="宋体" w:eastAsia="宋体" w:cs="宋体"/>
          <w:sz w:val="24"/>
          <w:szCs w:val="24"/>
        </w:rPr>
      </w:pPr>
      <w:r>
        <w:rPr>
          <w:rFonts w:hint="eastAsia" w:ascii="宋体" w:hAnsi="宋体" w:eastAsia="宋体" w:cs="宋体"/>
          <w:sz w:val="24"/>
          <w:szCs w:val="24"/>
        </w:rPr>
        <w:t>1.1.3.2永久工程：指按合同约定建造并移交给发包人的工程，包括工程设备。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1.1.3.3临时工程：指为完成合同约定的永久工程所修建的各类临时性工程，不包括施工设备。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1.1.3.4单位工程：指专用合同条款中指明特定范围的永久工程。</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1.1.3.5工程设备：指构成或计划构成永久工程一部分的机电设备、金属结构设备、仪器装置及其他类似的设备和装置。</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1.1.3.6施工设备：指为完成合同约定的各项工作所需的设备、器具和其他物品，不包括临时工程和材料。</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1.1.3.7临时设施：指为完成合同约定的各项工作所服务的临时性生产和生活设施。</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1.1.3.8承包人设备：指承包人自带的施工设备。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1.1.3.9施工场地（或称工地、现场）：指用于合同工程施工的场所，以及在合同中指定作为施工场地组成部分的其他场所，包括永久占地和临时占地。</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1.1.3.10　永久占地：指发包人为建设本合同工程永久征用的场地。</w:t>
      </w:r>
    </w:p>
    <w:p>
      <w:pPr>
        <w:pStyle w:val="26"/>
        <w:rPr>
          <w:rFonts w:hint="eastAsia" w:ascii="宋体" w:hAnsi="宋体" w:eastAsia="宋体" w:cs="宋体"/>
          <w:sz w:val="24"/>
          <w:szCs w:val="24"/>
        </w:rPr>
      </w:pPr>
      <w:r>
        <w:rPr>
          <w:rFonts w:hint="eastAsia" w:ascii="宋体" w:hAnsi="宋体" w:eastAsia="宋体" w:cs="宋体"/>
          <w:sz w:val="24"/>
          <w:szCs w:val="24"/>
        </w:rPr>
        <w:t>　　1.1.3.11　临时占地：指发包人为建设本合同工程临时征用，承包人在完工后须按合同要求退还的场地。</w:t>
      </w:r>
    </w:p>
    <w:p>
      <w:pPr>
        <w:pStyle w:val="26"/>
        <w:rPr>
          <w:rFonts w:hint="eastAsia" w:ascii="宋体" w:hAnsi="宋体" w:eastAsia="宋体" w:cs="宋体"/>
          <w:sz w:val="24"/>
          <w:szCs w:val="24"/>
        </w:rPr>
      </w:pPr>
      <w:r>
        <w:rPr>
          <w:rFonts w:hint="eastAsia" w:ascii="宋体" w:hAnsi="宋体" w:eastAsia="宋体" w:cs="宋体"/>
          <w:sz w:val="24"/>
          <w:szCs w:val="24"/>
        </w:rPr>
        <w:t>　1.1.4　日期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1.1.4.1开工通知：指监理人按第11.1款通知承包人开工的函件。</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1.1.4.2开工日期：指监理人按第11.1款发出的开工通知中写明的开工日期。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1.1.4.3工期：指承包人在投标函中承诺的完成合同工程所需的期限，包括按第11.3款、第11.4款和第11.6款约定所作的变更。</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1.1.4.4　竣工日期：即合同工程完工日期，指第1.1.4.3目约定工期届满时的日期。实际完工日期以合同工程完工证书中写明的日期为准。</w:t>
      </w:r>
    </w:p>
    <w:p>
      <w:pPr>
        <w:pStyle w:val="26"/>
        <w:ind w:firstLine="420"/>
        <w:rPr>
          <w:rFonts w:hint="eastAsia" w:ascii="宋体" w:hAnsi="宋体" w:eastAsia="宋体" w:cs="宋体"/>
          <w:sz w:val="24"/>
          <w:szCs w:val="24"/>
        </w:rPr>
      </w:pPr>
      <w:r>
        <w:rPr>
          <w:rFonts w:hint="eastAsia" w:ascii="宋体" w:hAnsi="宋体" w:eastAsia="宋体" w:cs="宋体"/>
          <w:sz w:val="24"/>
          <w:szCs w:val="24"/>
        </w:rPr>
        <w:t>1.1.4.5　缺陷责任期：即工程质量保修期，指履行第19.2款约定的缺陷责任的期限，包括根据第19.3款约定所作的延长，具体期限由专用合同条款约定。</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1.1.4.6基准日期：指投标截止时间前28天的日期。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1.1.4.7天：除特别指明外，指日历天。合同中按天计算时间的，开始当天不计入，从次日开始计算。期限最后一天的截止时间为当天24:00。</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1.1.5合同价格和费用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1.1.5.1签约合同价：指签定合同时合同协议书中写明的，包括了暂列金额、暂估价的合同总金额。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1.1.5.2合同价格：指承包人按合同约定完成了包括缺陷责任期内的全部承包工作后，发包人应付给承包人的金额，包括在履行合同过程中按合同约定进行的变更和调整。</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1.1.5.3费用：指为履行合同所发生的或将要发生的所有合理开支，包括管理费和应分摊的其他费用，但不包括利润。</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1.1.5.4暂列金额：指已标价工程量清单中所列的暂列金额，用于在签订协议书时尚未确定或不可预见变更的施工及其所需材料、工程设备、服务等的金额，包括以计日工方式支付的金额。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1.1.5.5暂估价：指发包人在工程量清单中给定的用于支付必然发生但暂时不能确定价格的材料、设备以及专业工程的金额。</w:t>
      </w:r>
    </w:p>
    <w:p>
      <w:pPr>
        <w:pStyle w:val="26"/>
        <w:spacing w:line="400" w:lineRule="exact"/>
        <w:ind w:left="440" w:leftChars="200"/>
        <w:rPr>
          <w:rFonts w:hint="eastAsia" w:ascii="宋体" w:hAnsi="宋体" w:eastAsia="宋体" w:cs="宋体"/>
          <w:sz w:val="24"/>
          <w:szCs w:val="24"/>
        </w:rPr>
      </w:pPr>
      <w:r>
        <w:rPr>
          <w:rFonts w:hint="eastAsia" w:ascii="宋体" w:hAnsi="宋体" w:eastAsia="宋体" w:cs="宋体"/>
          <w:sz w:val="24"/>
          <w:szCs w:val="24"/>
        </w:rPr>
        <w:t>1.1.5.6计日工：指对零星工作采取的一种计价方式，按合同中的计日工子目及其单价计价付款。1.1.5.7质量保证金（或称保留金）：指按第17.4.1项约定用于保证在缺陷责任期内履行缺陷修复义务的金额。</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1.1.6其他</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1.1.6.1书面形式：指合同文件、信函、电报、传真等可以有形地表现所载内容的形式。</w:t>
      </w:r>
      <w:bookmarkStart w:id="8" w:name="_Toc144974581"/>
      <w:bookmarkStart w:id="9" w:name="_Toc179632631"/>
      <w:bookmarkStart w:id="10" w:name="_Toc152045613"/>
      <w:bookmarkStart w:id="11" w:name="_Toc152042391"/>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1.2语言文字</w:t>
      </w:r>
      <w:bookmarkEnd w:id="8"/>
      <w:bookmarkEnd w:id="9"/>
      <w:bookmarkEnd w:id="10"/>
      <w:bookmarkEnd w:id="1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除专用术语外，合同使用的语言文字为中文。必要时专用术语应附有中文注释。</w:t>
      </w:r>
      <w:bookmarkStart w:id="12" w:name="_Toc152045614"/>
      <w:bookmarkStart w:id="13" w:name="_Toc152042392"/>
      <w:bookmarkStart w:id="14" w:name="_Toc144974582"/>
      <w:bookmarkStart w:id="15" w:name="_Toc179632632"/>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1.3法律</w:t>
      </w:r>
      <w:bookmarkEnd w:id="12"/>
      <w:bookmarkEnd w:id="13"/>
      <w:bookmarkEnd w:id="14"/>
      <w:bookmarkEnd w:id="1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bookmarkStart w:id="16" w:name="_Toc152042393"/>
      <w:bookmarkStart w:id="17" w:name="_Toc144974583"/>
      <w:bookmarkStart w:id="18" w:name="_Toc152045615"/>
      <w:bookmarkStart w:id="19" w:name="_Toc179632633"/>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1.4合同文件的优先顺序</w:t>
      </w:r>
      <w:bookmarkEnd w:id="16"/>
      <w:bookmarkEnd w:id="17"/>
      <w:bookmarkEnd w:id="18"/>
      <w:bookmarkEnd w:id="1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（1）合同协议书；</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（2）中标通知书；</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（3）投标函及投标函附录；</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（4）专用合同条款；</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（5）通用合同条款；</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（6）技术标准和要求；</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（7）图纸；</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（8）已标价工程量清单；</w:t>
      </w:r>
    </w:p>
    <w:p>
      <w:pPr>
        <w:pStyle w:val="26"/>
        <w:ind w:firstLine="420"/>
        <w:rPr>
          <w:rFonts w:hint="eastAsia" w:ascii="宋体" w:hAnsi="宋体" w:eastAsia="宋体" w:cs="宋体"/>
          <w:sz w:val="24"/>
          <w:szCs w:val="24"/>
        </w:rPr>
      </w:pPr>
      <w:r>
        <w:rPr>
          <w:rFonts w:hint="eastAsia" w:ascii="宋体" w:hAnsi="宋体" w:eastAsia="宋体" w:cs="宋体"/>
          <w:sz w:val="24"/>
          <w:szCs w:val="24"/>
        </w:rPr>
        <w:t>（9）其他合同文件。</w:t>
      </w:r>
      <w:bookmarkStart w:id="20" w:name="_Toc144974584"/>
      <w:bookmarkStart w:id="21" w:name="_Toc152045616"/>
      <w:bookmarkStart w:id="22" w:name="_Toc152042394"/>
      <w:bookmarkStart w:id="23" w:name="_Toc179632634"/>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1.5合同协议书</w:t>
      </w:r>
      <w:bookmarkEnd w:id="20"/>
      <w:bookmarkEnd w:id="21"/>
      <w:bookmarkEnd w:id="22"/>
      <w:bookmarkEnd w:id="2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1.6　图纸和承包人文件</w:t>
      </w:r>
    </w:p>
    <w:p>
      <w:pPr>
        <w:pStyle w:val="26"/>
        <w:rPr>
          <w:rFonts w:hint="eastAsia" w:ascii="宋体" w:hAnsi="宋体" w:eastAsia="宋体" w:cs="宋体"/>
          <w:sz w:val="24"/>
          <w:szCs w:val="24"/>
        </w:rPr>
      </w:pPr>
      <w:r>
        <w:rPr>
          <w:rFonts w:hint="eastAsia" w:ascii="宋体" w:hAnsi="宋体" w:eastAsia="宋体" w:cs="宋体"/>
          <w:sz w:val="24"/>
          <w:szCs w:val="24"/>
        </w:rPr>
        <w:t>　　1.6.1　图纸的提供</w:t>
      </w:r>
    </w:p>
    <w:p>
      <w:pPr>
        <w:pStyle w:val="26"/>
        <w:rPr>
          <w:rFonts w:hint="eastAsia" w:ascii="宋体" w:hAnsi="宋体" w:eastAsia="宋体" w:cs="宋体"/>
          <w:sz w:val="24"/>
          <w:szCs w:val="24"/>
        </w:rPr>
      </w:pPr>
      <w:r>
        <w:rPr>
          <w:rFonts w:hint="eastAsia" w:ascii="宋体" w:hAnsi="宋体" w:eastAsia="宋体" w:cs="宋体"/>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pPr>
        <w:pStyle w:val="26"/>
        <w:rPr>
          <w:rFonts w:hint="eastAsia" w:ascii="宋体" w:hAnsi="宋体" w:eastAsia="宋体" w:cs="宋体"/>
          <w:sz w:val="24"/>
          <w:szCs w:val="24"/>
        </w:rPr>
      </w:pPr>
      <w:r>
        <w:rPr>
          <w:rFonts w:hint="eastAsia" w:ascii="宋体" w:hAnsi="宋体" w:eastAsia="宋体" w:cs="宋体"/>
          <w:sz w:val="24"/>
          <w:szCs w:val="24"/>
        </w:rPr>
        <w:t>　　1.6.2　承包人提供的文件</w:t>
      </w:r>
    </w:p>
    <w:p>
      <w:pPr>
        <w:pStyle w:val="26"/>
        <w:rPr>
          <w:rFonts w:hint="eastAsia" w:ascii="宋体" w:hAnsi="宋体" w:eastAsia="宋体" w:cs="宋体"/>
          <w:sz w:val="24"/>
          <w:szCs w:val="24"/>
        </w:rPr>
      </w:pPr>
      <w:r>
        <w:rPr>
          <w:rFonts w:hint="eastAsia" w:ascii="宋体" w:hAnsi="宋体" w:eastAsia="宋体" w:cs="宋体"/>
          <w:sz w:val="24"/>
          <w:szCs w:val="24"/>
        </w:rPr>
        <w:t>　　承包人提供的文件应按技术标准和要求(合同技术条款)约定的期限和数量提供给监理人。监理人应按技术标准和要求(合同技术条款)约定的期限批复承包人。</w:t>
      </w:r>
    </w:p>
    <w:p>
      <w:pPr>
        <w:pStyle w:val="26"/>
        <w:rPr>
          <w:rFonts w:hint="eastAsia" w:ascii="宋体" w:hAnsi="宋体" w:eastAsia="宋体" w:cs="宋体"/>
          <w:sz w:val="24"/>
          <w:szCs w:val="24"/>
        </w:rPr>
      </w:pPr>
      <w:r>
        <w:rPr>
          <w:rFonts w:hint="eastAsia" w:ascii="宋体" w:hAnsi="宋体" w:eastAsia="宋体" w:cs="宋体"/>
          <w:sz w:val="24"/>
          <w:szCs w:val="24"/>
        </w:rPr>
        <w:t>　　1.6.3　图纸的修改</w:t>
      </w:r>
    </w:p>
    <w:p>
      <w:pPr>
        <w:pStyle w:val="26"/>
        <w:ind w:firstLine="420"/>
        <w:rPr>
          <w:rFonts w:hint="eastAsia" w:ascii="宋体" w:hAnsi="宋体" w:eastAsia="宋体" w:cs="宋体"/>
          <w:sz w:val="24"/>
          <w:szCs w:val="24"/>
        </w:rPr>
      </w:pPr>
      <w:r>
        <w:rPr>
          <w:rFonts w:hint="eastAsia" w:ascii="宋体" w:hAnsi="宋体" w:eastAsia="宋体" w:cs="宋体"/>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1.6.4图纸的错误</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承包人发现发包人提供的图纸存在明显错误或疏忽，应及时通知监理人。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1.6.5图纸和承包人文件的保管</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监理人和承包人均应在施工场地各保存一套完整的包含第1.6.1项、第1.6.2项、第1.6.3项约定内容的图纸和承包人文件。</w:t>
      </w:r>
    </w:p>
    <w:p>
      <w:pPr>
        <w:pStyle w:val="26"/>
        <w:rPr>
          <w:rFonts w:hint="eastAsia" w:ascii="宋体" w:hAnsi="宋体" w:eastAsia="宋体" w:cs="宋体"/>
          <w:sz w:val="24"/>
          <w:szCs w:val="24"/>
        </w:rPr>
      </w:pPr>
      <w:r>
        <w:rPr>
          <w:rFonts w:hint="eastAsia" w:ascii="宋体" w:hAnsi="宋体" w:eastAsia="宋体" w:cs="宋体"/>
          <w:sz w:val="24"/>
          <w:szCs w:val="24"/>
        </w:rPr>
        <w:t>　1.7　联络</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1.7.1与合同有关的通知、批准、证明、证书、指示、要求、请求、同意、意见、确定和决定等，均应采用书面形式。</w:t>
      </w:r>
    </w:p>
    <w:p>
      <w:pPr>
        <w:pStyle w:val="26"/>
        <w:rPr>
          <w:rFonts w:hint="eastAsia" w:ascii="宋体" w:hAnsi="宋体" w:eastAsia="宋体" w:cs="宋体"/>
          <w:sz w:val="24"/>
          <w:szCs w:val="24"/>
        </w:rPr>
      </w:pPr>
      <w:r>
        <w:rPr>
          <w:rFonts w:hint="eastAsia" w:ascii="宋体" w:hAnsi="宋体" w:eastAsia="宋体" w:cs="宋体"/>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Style w:val="26"/>
        <w:ind w:firstLine="420"/>
        <w:rPr>
          <w:rFonts w:hint="eastAsia" w:ascii="宋体" w:hAnsi="宋体" w:eastAsia="宋体" w:cs="宋体"/>
          <w:sz w:val="24"/>
          <w:szCs w:val="24"/>
        </w:rPr>
      </w:pPr>
      <w:r>
        <w:rPr>
          <w:rFonts w:hint="eastAsia" w:ascii="宋体" w:hAnsi="宋体" w:eastAsia="宋体" w:cs="宋体"/>
          <w:sz w:val="24"/>
          <w:szCs w:val="24"/>
        </w:rPr>
        <w:t>1.7.3　来往函件均应按合同约定的期限及时发出和答复，不得无故扣压和拖延，亦不得拒收。否则，由此造成的后果由责任方负责。</w:t>
      </w:r>
      <w:bookmarkStart w:id="24" w:name="_Toc152045619"/>
      <w:bookmarkStart w:id="25" w:name="_Toc152042397"/>
      <w:bookmarkStart w:id="26" w:name="_Toc144974587"/>
      <w:bookmarkStart w:id="27" w:name="_Toc179632637"/>
    </w:p>
    <w:p>
      <w:pPr>
        <w:pStyle w:val="26"/>
        <w:ind w:firstLine="420"/>
        <w:rPr>
          <w:rFonts w:hint="eastAsia" w:ascii="宋体" w:hAnsi="宋体" w:eastAsia="宋体" w:cs="宋体"/>
          <w:sz w:val="24"/>
          <w:szCs w:val="24"/>
        </w:rPr>
      </w:pPr>
      <w:r>
        <w:rPr>
          <w:rFonts w:hint="eastAsia" w:ascii="宋体" w:hAnsi="宋体" w:eastAsia="宋体" w:cs="宋体"/>
          <w:sz w:val="24"/>
          <w:szCs w:val="24"/>
        </w:rPr>
        <w:t>1.8转让</w:t>
      </w:r>
      <w:bookmarkEnd w:id="24"/>
      <w:bookmarkEnd w:id="25"/>
      <w:bookmarkEnd w:id="26"/>
      <w:bookmarkEnd w:id="27"/>
    </w:p>
    <w:p>
      <w:pPr>
        <w:pStyle w:val="26"/>
        <w:ind w:firstLine="420"/>
        <w:rPr>
          <w:rFonts w:hint="eastAsia" w:ascii="宋体" w:hAnsi="宋体" w:eastAsia="宋体" w:cs="宋体"/>
          <w:sz w:val="24"/>
          <w:szCs w:val="24"/>
        </w:rPr>
      </w:pPr>
      <w:r>
        <w:rPr>
          <w:rFonts w:hint="eastAsia" w:ascii="宋体" w:hAnsi="宋体" w:eastAsia="宋体" w:cs="宋体"/>
          <w:sz w:val="24"/>
          <w:szCs w:val="24"/>
        </w:rPr>
        <w:t>除合同另有约定外，未经对方当事人同意，一方当事人不得将合同权利全部或部分转让给第三人，也不得全部或部分转移合同义务。</w:t>
      </w:r>
      <w:bookmarkStart w:id="28" w:name="_Toc152045620"/>
      <w:bookmarkStart w:id="29" w:name="_Toc152042398"/>
      <w:bookmarkStart w:id="30" w:name="_Toc179632638"/>
      <w:bookmarkStart w:id="31" w:name="_Toc144974588"/>
    </w:p>
    <w:p>
      <w:pPr>
        <w:pStyle w:val="26"/>
        <w:ind w:firstLine="420"/>
        <w:rPr>
          <w:rFonts w:hint="eastAsia" w:ascii="宋体" w:hAnsi="宋体" w:eastAsia="宋体" w:cs="宋体"/>
          <w:sz w:val="24"/>
          <w:szCs w:val="24"/>
        </w:rPr>
      </w:pPr>
      <w:r>
        <w:rPr>
          <w:rFonts w:hint="eastAsia" w:ascii="宋体" w:hAnsi="宋体" w:eastAsia="宋体" w:cs="宋体"/>
          <w:sz w:val="24"/>
          <w:szCs w:val="24"/>
        </w:rPr>
        <w:t>1.9严禁贿赂</w:t>
      </w:r>
      <w:bookmarkEnd w:id="28"/>
      <w:bookmarkEnd w:id="29"/>
      <w:bookmarkEnd w:id="30"/>
      <w:bookmarkEnd w:id="3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合同双方当事人不得以贿赂或变相贿赂的方式，谋取不当利益或损害对方权益。因贿赂造成对方损失的，行为人应赔偿损失，并承担相应的法律责任。</w:t>
      </w:r>
      <w:bookmarkStart w:id="32" w:name="_Toc152042399"/>
      <w:bookmarkStart w:id="33" w:name="_Toc179632639"/>
      <w:bookmarkStart w:id="34" w:name="_Toc144974589"/>
      <w:bookmarkStart w:id="35" w:name="_Toc15204562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1.10化石、文物</w:t>
      </w:r>
      <w:bookmarkEnd w:id="32"/>
      <w:bookmarkEnd w:id="33"/>
      <w:bookmarkEnd w:id="34"/>
      <w:bookmarkEnd w:id="3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1.10.2承包人发现文物后不及时报告或隐瞒不报，致使文物丢失或损坏的，应赔偿损失，并承担相应的法律责任。</w:t>
      </w:r>
    </w:p>
    <w:p>
      <w:pPr>
        <w:pStyle w:val="26"/>
        <w:ind w:firstLine="420"/>
        <w:rPr>
          <w:rFonts w:hint="eastAsia" w:ascii="宋体" w:hAnsi="宋体" w:eastAsia="宋体" w:cs="宋体"/>
          <w:sz w:val="24"/>
          <w:szCs w:val="24"/>
        </w:rPr>
      </w:pPr>
      <w:r>
        <w:rPr>
          <w:rFonts w:hint="eastAsia" w:ascii="宋体" w:hAnsi="宋体" w:eastAsia="宋体" w:cs="宋体"/>
          <w:sz w:val="24"/>
          <w:szCs w:val="24"/>
        </w:rPr>
        <w:t>1.11　专利技术</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1.11.1承包人在使用任何材料、承包人设备、工程设备或采用施工工艺时，因侵犯专利权或其他知识产权所引起的责任，由承包人承担，但由于遵照发包人提供的设计或技术标准和要求引起的除外。</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1.11.2承包人在投标文件中采用专利技术的，专利技术的使用费包含在投标报价内。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1.11.3承包人的技术秘密和声明需要保密的资料和信息，发包人和监理人不得为合同以外的目的泄露给他人。</w:t>
      </w:r>
    </w:p>
    <w:p>
      <w:pPr>
        <w:pStyle w:val="26"/>
        <w:ind w:firstLine="420"/>
        <w:rPr>
          <w:rFonts w:hint="eastAsia" w:ascii="宋体" w:hAnsi="宋体" w:eastAsia="宋体" w:cs="宋体"/>
          <w:sz w:val="24"/>
          <w:szCs w:val="24"/>
        </w:rPr>
      </w:pPr>
      <w:r>
        <w:rPr>
          <w:rFonts w:hint="eastAsia" w:ascii="宋体" w:hAnsi="宋体" w:eastAsia="宋体" w:cs="宋体"/>
          <w:sz w:val="24"/>
          <w:szCs w:val="24"/>
        </w:rPr>
        <w:t>1.11.4　合同实施过程中，发包人要求承包人采用专利技术的，发包人应办理相应的使用手续，承包人应按发包人约定的条件使用，并承担使用专利技术的相关试验工作，所需费用由发包人承担。1.12图纸和文件的保密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1.12.1发包人提供的图纸和文件，未经发包人同意，承包人不得为合同以外的目的泄露给他人或公开发表与引用。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1.12.2承包人提供的文件，未经承包人同意，发包人和监理人不得为合同以外的目的泄露给他人或公开发表与引用。</w:t>
      </w:r>
    </w:p>
    <w:p>
      <w:pPr>
        <w:pStyle w:val="26"/>
        <w:rPr>
          <w:rFonts w:hint="eastAsia" w:ascii="宋体" w:hAnsi="宋体" w:eastAsia="宋体" w:cs="宋体"/>
          <w:b/>
          <w:sz w:val="24"/>
          <w:szCs w:val="24"/>
        </w:rPr>
      </w:pPr>
      <w:bookmarkStart w:id="36" w:name="第04章合同条款及格式0102"/>
      <w:bookmarkEnd w:id="36"/>
      <w:r>
        <w:rPr>
          <w:rFonts w:hint="eastAsia" w:ascii="宋体" w:hAnsi="宋体" w:eastAsia="宋体" w:cs="宋体"/>
          <w:b/>
          <w:sz w:val="24"/>
          <w:szCs w:val="24"/>
        </w:rPr>
        <w:t>2　发包人义务</w:t>
      </w:r>
      <w:bookmarkStart w:id="37" w:name="_Toc144974593"/>
      <w:bookmarkStart w:id="38" w:name="_Toc152045625"/>
      <w:bookmarkStart w:id="39" w:name="_Toc152042403"/>
      <w:bookmarkStart w:id="40" w:name="_Toc179632643"/>
    </w:p>
    <w:p>
      <w:pPr>
        <w:pStyle w:val="26"/>
        <w:ind w:firstLine="240" w:firstLineChars="100"/>
        <w:rPr>
          <w:rFonts w:hint="eastAsia" w:ascii="宋体" w:hAnsi="宋体" w:eastAsia="宋体" w:cs="宋体"/>
          <w:b/>
          <w:sz w:val="24"/>
          <w:szCs w:val="24"/>
        </w:rPr>
      </w:pPr>
      <w:r>
        <w:rPr>
          <w:rFonts w:hint="eastAsia" w:ascii="宋体" w:hAnsi="宋体" w:eastAsia="宋体" w:cs="宋体"/>
          <w:sz w:val="24"/>
          <w:szCs w:val="24"/>
        </w:rPr>
        <w:t>2.1遵守法律</w:t>
      </w:r>
      <w:bookmarkEnd w:id="37"/>
      <w:bookmarkEnd w:id="38"/>
      <w:bookmarkEnd w:id="39"/>
      <w:bookmarkEnd w:id="4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bookmarkStart w:id="41" w:name="_Toc144974594"/>
      <w:bookmarkStart w:id="42" w:name="_Toc152045626"/>
      <w:bookmarkStart w:id="43" w:name="_Toc179632644"/>
      <w:bookmarkStart w:id="44" w:name="_Toc152042404"/>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2.2发出开工通知</w:t>
      </w:r>
      <w:bookmarkEnd w:id="41"/>
      <w:bookmarkEnd w:id="42"/>
      <w:bookmarkEnd w:id="43"/>
      <w:bookmarkEnd w:id="4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发包人应委托监理人按第11.1款的约定向承包人发出开工通知。</w:t>
      </w:r>
    </w:p>
    <w:p>
      <w:pPr>
        <w:pStyle w:val="26"/>
        <w:rPr>
          <w:rFonts w:hint="eastAsia" w:ascii="宋体" w:hAnsi="宋体" w:eastAsia="宋体" w:cs="宋体"/>
          <w:sz w:val="24"/>
          <w:szCs w:val="24"/>
        </w:rPr>
      </w:pPr>
      <w:r>
        <w:rPr>
          <w:rFonts w:hint="eastAsia" w:ascii="宋体" w:hAnsi="宋体" w:eastAsia="宋体" w:cs="宋体"/>
          <w:sz w:val="24"/>
          <w:szCs w:val="24"/>
        </w:rPr>
        <w:t>　2.3　提供施工场地</w:t>
      </w:r>
    </w:p>
    <w:p>
      <w:pPr>
        <w:pStyle w:val="26"/>
        <w:rPr>
          <w:rFonts w:hint="eastAsia" w:ascii="宋体" w:hAnsi="宋体" w:eastAsia="宋体" w:cs="宋体"/>
          <w:sz w:val="24"/>
          <w:szCs w:val="24"/>
        </w:rPr>
      </w:pPr>
      <w:r>
        <w:rPr>
          <w:rFonts w:hint="eastAsia" w:ascii="宋体" w:hAnsi="宋体" w:eastAsia="宋体" w:cs="宋体"/>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pStyle w:val="26"/>
        <w:rPr>
          <w:rFonts w:hint="eastAsia" w:ascii="宋体" w:hAnsi="宋体" w:eastAsia="宋体" w:cs="宋体"/>
          <w:sz w:val="24"/>
          <w:szCs w:val="24"/>
        </w:rPr>
      </w:pPr>
      <w:r>
        <w:rPr>
          <w:rFonts w:hint="eastAsia" w:ascii="宋体" w:hAnsi="宋体" w:eastAsia="宋体" w:cs="宋体"/>
          <w:sz w:val="24"/>
          <w:szCs w:val="24"/>
        </w:rPr>
        <w:t>　　2.3.2　发包人提供的施工用地范围在专用合同条款中约定。</w:t>
      </w:r>
    </w:p>
    <w:p>
      <w:pPr>
        <w:pStyle w:val="26"/>
        <w:ind w:firstLine="420"/>
        <w:rPr>
          <w:rFonts w:hint="eastAsia" w:ascii="宋体" w:hAnsi="宋体" w:eastAsia="宋体" w:cs="宋体"/>
          <w:sz w:val="24"/>
          <w:szCs w:val="24"/>
        </w:rPr>
      </w:pPr>
      <w:r>
        <w:rPr>
          <w:rFonts w:hint="eastAsia" w:ascii="宋体" w:hAnsi="宋体" w:eastAsia="宋体" w:cs="宋体"/>
          <w:sz w:val="24"/>
          <w:szCs w:val="24"/>
        </w:rPr>
        <w:t>2.3.3　除专用合同条款另有约定外，发包人应按技术标准和要求(合同技术条款)的约定，向承包人提供施工场地内的工程地质图纸和报告，以及地下障碍物图纸等施工场地有关资料，并保证资料的真实、准确、完整。</w:t>
      </w:r>
      <w:bookmarkStart w:id="45" w:name="_Toc179632646"/>
      <w:bookmarkStart w:id="46" w:name="_Toc152045628"/>
      <w:bookmarkStart w:id="47" w:name="_Toc152042406"/>
      <w:bookmarkStart w:id="48" w:name="_Toc144974596"/>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2.4协助承包人办理证件和批件</w:t>
      </w:r>
      <w:bookmarkEnd w:id="45"/>
      <w:bookmarkEnd w:id="46"/>
      <w:bookmarkEnd w:id="47"/>
      <w:bookmarkEnd w:id="48"/>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bookmarkStart w:id="49" w:name="_Toc144974597"/>
      <w:bookmarkStart w:id="50" w:name="_Toc152042407"/>
      <w:bookmarkStart w:id="51" w:name="_Toc152045629"/>
      <w:bookmarkStart w:id="52" w:name="_Toc179632647"/>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2.5组织设计交底</w:t>
      </w:r>
      <w:bookmarkEnd w:id="49"/>
      <w:bookmarkEnd w:id="50"/>
      <w:bookmarkEnd w:id="51"/>
      <w:bookmarkEnd w:id="52"/>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bookmarkStart w:id="53" w:name="_Toc152042408"/>
      <w:bookmarkStart w:id="54" w:name="_Toc152045630"/>
      <w:bookmarkStart w:id="55" w:name="_Toc144974598"/>
      <w:bookmarkStart w:id="56" w:name="_Toc179632648"/>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2.6支付合同价款</w:t>
      </w:r>
      <w:bookmarkEnd w:id="53"/>
      <w:bookmarkEnd w:id="54"/>
      <w:bookmarkEnd w:id="55"/>
      <w:bookmarkEnd w:id="56"/>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Style w:val="26"/>
        <w:rPr>
          <w:rFonts w:hint="eastAsia" w:ascii="宋体" w:hAnsi="宋体" w:eastAsia="宋体" w:cs="宋体"/>
          <w:sz w:val="24"/>
          <w:szCs w:val="24"/>
        </w:rPr>
      </w:pPr>
      <w:r>
        <w:rPr>
          <w:rFonts w:hint="eastAsia" w:ascii="宋体" w:hAnsi="宋体" w:eastAsia="宋体" w:cs="宋体"/>
          <w:sz w:val="24"/>
          <w:szCs w:val="24"/>
        </w:rPr>
        <w:t>　2.7　组织竣工验收(组织法人验收)</w:t>
      </w:r>
    </w:p>
    <w:p>
      <w:pPr>
        <w:pStyle w:val="26"/>
        <w:rPr>
          <w:rFonts w:hint="eastAsia" w:ascii="宋体" w:hAnsi="宋体" w:eastAsia="宋体" w:cs="宋体"/>
          <w:sz w:val="24"/>
          <w:szCs w:val="24"/>
        </w:rPr>
      </w:pPr>
      <w:r>
        <w:rPr>
          <w:rFonts w:hint="eastAsia" w:ascii="宋体" w:hAnsi="宋体" w:eastAsia="宋体" w:cs="宋体"/>
          <w:sz w:val="24"/>
          <w:szCs w:val="24"/>
        </w:rPr>
        <w:t>　　发包人应按合同约定及时组织法人验收。</w:t>
      </w:r>
    </w:p>
    <w:p>
      <w:pPr>
        <w:pStyle w:val="26"/>
        <w:rPr>
          <w:rFonts w:hint="eastAsia" w:ascii="宋体" w:hAnsi="宋体" w:eastAsia="宋体" w:cs="宋体"/>
          <w:sz w:val="24"/>
          <w:szCs w:val="24"/>
        </w:rPr>
      </w:pPr>
      <w:r>
        <w:rPr>
          <w:rFonts w:hint="eastAsia" w:ascii="宋体" w:hAnsi="宋体" w:eastAsia="宋体" w:cs="宋体"/>
          <w:sz w:val="24"/>
          <w:szCs w:val="24"/>
        </w:rPr>
        <w:t>　2.8　其它义务</w:t>
      </w:r>
    </w:p>
    <w:p>
      <w:pPr>
        <w:pStyle w:val="26"/>
        <w:rPr>
          <w:rFonts w:hint="eastAsia" w:ascii="宋体" w:hAnsi="宋体" w:eastAsia="宋体" w:cs="宋体"/>
          <w:sz w:val="24"/>
          <w:szCs w:val="24"/>
        </w:rPr>
      </w:pPr>
      <w:r>
        <w:rPr>
          <w:rFonts w:hint="eastAsia" w:ascii="宋体" w:hAnsi="宋体" w:eastAsia="宋体" w:cs="宋体"/>
          <w:sz w:val="24"/>
          <w:szCs w:val="24"/>
        </w:rPr>
        <w:t>　　其它义务在专用合同条款中补充约定。</w:t>
      </w:r>
    </w:p>
    <w:p>
      <w:pPr>
        <w:pStyle w:val="26"/>
        <w:rPr>
          <w:rFonts w:hint="eastAsia" w:ascii="宋体" w:hAnsi="宋体" w:eastAsia="宋体" w:cs="宋体"/>
          <w:b/>
          <w:sz w:val="24"/>
          <w:szCs w:val="24"/>
        </w:rPr>
      </w:pPr>
      <w:bookmarkStart w:id="57" w:name="第04章合同条款及格式0103"/>
      <w:bookmarkEnd w:id="57"/>
      <w:r>
        <w:rPr>
          <w:rFonts w:hint="eastAsia" w:ascii="宋体" w:hAnsi="宋体" w:eastAsia="宋体" w:cs="宋体"/>
          <w:b/>
          <w:sz w:val="24"/>
          <w:szCs w:val="24"/>
        </w:rPr>
        <w:t>3　监理人</w:t>
      </w:r>
    </w:p>
    <w:p>
      <w:pPr>
        <w:pStyle w:val="26"/>
        <w:rPr>
          <w:rFonts w:hint="eastAsia" w:ascii="宋体" w:hAnsi="宋体" w:eastAsia="宋体" w:cs="宋体"/>
          <w:sz w:val="24"/>
          <w:szCs w:val="24"/>
        </w:rPr>
      </w:pPr>
      <w:r>
        <w:rPr>
          <w:rFonts w:hint="eastAsia" w:ascii="宋体" w:hAnsi="宋体" w:eastAsia="宋体" w:cs="宋体"/>
          <w:sz w:val="24"/>
          <w:szCs w:val="24"/>
        </w:rPr>
        <w:t>　3.1　监理人的职责和权力</w:t>
      </w:r>
    </w:p>
    <w:p>
      <w:pPr>
        <w:pStyle w:val="26"/>
        <w:ind w:firstLine="420"/>
        <w:rPr>
          <w:rFonts w:hint="eastAsia" w:ascii="宋体" w:hAnsi="宋体" w:eastAsia="宋体" w:cs="宋体"/>
          <w:sz w:val="24"/>
          <w:szCs w:val="24"/>
        </w:rPr>
      </w:pPr>
      <w:r>
        <w:rPr>
          <w:rFonts w:hint="eastAsia" w:ascii="宋体" w:hAnsi="宋体" w:eastAsia="宋体" w:cs="宋体"/>
          <w:sz w:val="24"/>
          <w:szCs w:val="24"/>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3.1.2监理人发出的任何指示应视为已得到发包人的批准，但监理人无权免除或变更合同约定的发包人和承包人的权利、义务和责任。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3.1.3合同约定应由承包人承担的义务和责任，不因监理人对承包人提交文件的审查或批准，对工程、材料和设备的检查和检验，以及为实施监理作出的指示等职务行为而减轻或解除。</w:t>
      </w:r>
      <w:bookmarkStart w:id="58" w:name="_Toc179632653"/>
      <w:bookmarkStart w:id="59" w:name="_Toc152042413"/>
      <w:bookmarkStart w:id="60" w:name="_Toc152045635"/>
      <w:bookmarkStart w:id="61" w:name="_Toc144974603"/>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3.2总监理工程师</w:t>
      </w:r>
      <w:bookmarkEnd w:id="58"/>
      <w:bookmarkEnd w:id="59"/>
      <w:bookmarkEnd w:id="60"/>
      <w:bookmarkEnd w:id="61"/>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发包人应在发出开工通知前将总监理工程师的任命通知承包人。总监理工程师更换时，应在调离14天前通知承包人。总监理工程师短期离开施工场地的，应委派代表代行其职责，并通知承包人。</w:t>
      </w:r>
      <w:bookmarkStart w:id="62" w:name="_Toc152045636"/>
      <w:bookmarkStart w:id="63" w:name="_Toc144974604"/>
      <w:bookmarkStart w:id="64" w:name="_Toc179632654"/>
      <w:bookmarkStart w:id="65" w:name="_Toc15204241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3.3监理人员</w:t>
      </w:r>
      <w:bookmarkEnd w:id="62"/>
      <w:bookmarkEnd w:id="63"/>
      <w:bookmarkEnd w:id="64"/>
      <w:bookmarkEnd w:id="6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3.3.2监理人员对承包人的任何工作、工程或其采用的材料和工程设备未在约定的或合理的期限内提出否定意见的，视为已获批准，但不影响监理人在以后拒绝该项工作、工程、材料或工程设备的权利。</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3.3.3承包人对总监理工程师授权的监理人员发出的指示有疑问的，可向总监理工程师提出书面异议，总监理工程师应在48小时内对该指示予以确认、更改或撤销。</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3.3.4除专用合同条款另有约定外，总监理工程师不应将第3.5款约定应由总监理工程师作出确定的权力授权或委托给其他监理人员。</w:t>
      </w:r>
      <w:bookmarkStart w:id="66" w:name="_Toc152042415"/>
      <w:bookmarkStart w:id="67" w:name="_Toc144974605"/>
      <w:bookmarkStart w:id="68" w:name="_Toc179632655"/>
      <w:bookmarkStart w:id="69" w:name="_Toc152045637"/>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3.4监理人的指示</w:t>
      </w:r>
      <w:bookmarkEnd w:id="66"/>
      <w:bookmarkEnd w:id="67"/>
      <w:bookmarkEnd w:id="68"/>
      <w:bookmarkEnd w:id="6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3.4.1监理人应按第3.1款的约定向承包人发出指示，监理人的指示应盖有监理人授权的施工场地机构章，并由总监理工程师或总监理工程师按第3.3.1项约定授权的监理人员签字。</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3.4.2承包人收到监理人按第3.4.1项作出的指示后应遵照执行。指示构成变更的，应按第15条处理。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3.4.4除合同另有约定外，承包人只从总监理工程师或按第3.3.1项被授权的监理人员处取得指示。</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3.4.5由于监理人未能按合同约定发出指示、指示延误或指示错误而导致承包人费用增加和（或）工期延误的，由发包人承担赔偿责任。</w:t>
      </w:r>
      <w:bookmarkStart w:id="70" w:name="_Toc144974606"/>
      <w:bookmarkStart w:id="71" w:name="_Toc152045638"/>
      <w:bookmarkStart w:id="72" w:name="_Toc179632656"/>
      <w:bookmarkStart w:id="73" w:name="_Toc152042416"/>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3.5商定或确定</w:t>
      </w:r>
      <w:bookmarkEnd w:id="70"/>
      <w:bookmarkEnd w:id="71"/>
      <w:bookmarkEnd w:id="72"/>
      <w:bookmarkEnd w:id="7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3.5.1合同约定总监理工程师应按照本款对任何事项进行商定或确定时，总监理工程师应与合同当事人协商，尽量达成一致。不能达成一致的，总监理工程师应认真研究后审慎确定。</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26"/>
        <w:rPr>
          <w:rFonts w:hint="eastAsia" w:ascii="宋体" w:hAnsi="宋体" w:eastAsia="宋体" w:cs="宋体"/>
          <w:b/>
          <w:sz w:val="24"/>
          <w:szCs w:val="24"/>
        </w:rPr>
      </w:pPr>
      <w:bookmarkStart w:id="74" w:name="第04章合同条款及格式0104"/>
      <w:bookmarkEnd w:id="74"/>
      <w:r>
        <w:rPr>
          <w:rFonts w:hint="eastAsia" w:ascii="宋体" w:hAnsi="宋体" w:eastAsia="宋体" w:cs="宋体"/>
          <w:b/>
          <w:sz w:val="24"/>
          <w:szCs w:val="24"/>
        </w:rPr>
        <w:t>4　承包人</w:t>
      </w:r>
    </w:p>
    <w:p>
      <w:pPr>
        <w:pStyle w:val="26"/>
        <w:rPr>
          <w:rFonts w:hint="eastAsia" w:ascii="宋体" w:hAnsi="宋体" w:eastAsia="宋体" w:cs="宋体"/>
          <w:sz w:val="24"/>
          <w:szCs w:val="24"/>
        </w:rPr>
      </w:pPr>
      <w:r>
        <w:rPr>
          <w:rFonts w:hint="eastAsia" w:ascii="宋体" w:hAnsi="宋体" w:eastAsia="宋体" w:cs="宋体"/>
          <w:sz w:val="24"/>
          <w:szCs w:val="24"/>
        </w:rPr>
        <w:t>　4.1　承包人的一般义务</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4.1.1遵守法律</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承包人在履行合同过程中应遵守法律，并保证发包人免于承担因承包人违反法律而引起的任何责任。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4.1.2依法纳税</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承包人应按有关法律规定纳税，应缴纳的税金包括在合同价格内。</w:t>
      </w:r>
    </w:p>
    <w:p>
      <w:pPr>
        <w:pStyle w:val="26"/>
        <w:rPr>
          <w:rFonts w:hint="eastAsia" w:ascii="宋体" w:hAnsi="宋体" w:eastAsia="宋体" w:cs="宋体"/>
          <w:sz w:val="24"/>
          <w:szCs w:val="24"/>
        </w:rPr>
      </w:pPr>
    </w:p>
    <w:p>
      <w:pPr>
        <w:pStyle w:val="26"/>
        <w:rPr>
          <w:rFonts w:hint="eastAsia" w:ascii="宋体" w:hAnsi="宋体" w:eastAsia="宋体" w:cs="宋体"/>
          <w:sz w:val="24"/>
          <w:szCs w:val="24"/>
        </w:rPr>
      </w:pPr>
      <w:r>
        <w:rPr>
          <w:rFonts w:hint="eastAsia" w:ascii="宋体" w:hAnsi="宋体" w:eastAsia="宋体" w:cs="宋体"/>
          <w:sz w:val="24"/>
          <w:szCs w:val="24"/>
        </w:rPr>
        <w:t>　　4.1.3　完成各项承包工作</w:t>
      </w:r>
    </w:p>
    <w:p>
      <w:pPr>
        <w:pStyle w:val="26"/>
        <w:ind w:firstLine="420"/>
        <w:rPr>
          <w:rFonts w:hint="eastAsia" w:ascii="宋体" w:hAnsi="宋体" w:eastAsia="宋体" w:cs="宋体"/>
          <w:sz w:val="24"/>
          <w:szCs w:val="24"/>
        </w:rPr>
      </w:pPr>
      <w:r>
        <w:rPr>
          <w:rFonts w:hint="eastAsia" w:ascii="宋体" w:hAnsi="宋体" w:eastAsia="宋体" w:cs="宋体"/>
          <w:sz w:val="24"/>
          <w:szCs w:val="24"/>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4.1.4对施工作业和施工方法的完备性负责</w:t>
      </w:r>
    </w:p>
    <w:p>
      <w:pPr>
        <w:pStyle w:val="26"/>
        <w:ind w:firstLine="420"/>
        <w:rPr>
          <w:rFonts w:hint="eastAsia" w:ascii="宋体" w:hAnsi="宋体" w:eastAsia="宋体" w:cs="宋体"/>
          <w:sz w:val="24"/>
          <w:szCs w:val="24"/>
        </w:rPr>
      </w:pPr>
      <w:r>
        <w:rPr>
          <w:rFonts w:hint="eastAsia" w:ascii="宋体" w:hAnsi="宋体" w:eastAsia="宋体" w:cs="宋体"/>
          <w:sz w:val="24"/>
          <w:szCs w:val="24"/>
        </w:rPr>
        <w:t>承包人应按合同约定的工作内容和施工进度要求，编制施工组织设计和施工措施计划，并对所有施工作业和施工方法的完备性和安全可靠性负责。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4.1.5保证工程施工和人员的安全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承包人应按第9.2款约定采取施工安全措施，确保工程及其人员、材料、设备和设施的安全，防止因工程施工造成的人身伤害和财产损失。</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4.1.6负责施工场地及其周边环境与生态的保护工作</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承包人应按照第9.4款约定负责施工场地及其周边环境与生态的保护工作。</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4.1.7避免施工对公众与他人的利益造成损害</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4.1.8为他人提供方便</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4.1.9　工程的维护和照管</w:t>
      </w:r>
    </w:p>
    <w:p>
      <w:pPr>
        <w:pStyle w:val="26"/>
        <w:rPr>
          <w:rFonts w:hint="eastAsia" w:ascii="宋体" w:hAnsi="宋体" w:eastAsia="宋体" w:cs="宋体"/>
          <w:sz w:val="24"/>
          <w:szCs w:val="24"/>
        </w:rPr>
      </w:pPr>
      <w:r>
        <w:rPr>
          <w:rFonts w:hint="eastAsia" w:ascii="宋体" w:hAnsi="宋体" w:eastAsia="宋体" w:cs="宋体"/>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26"/>
        <w:rPr>
          <w:rFonts w:hint="eastAsia" w:ascii="宋体" w:hAnsi="宋体" w:eastAsia="宋体" w:cs="宋体"/>
          <w:sz w:val="24"/>
          <w:szCs w:val="24"/>
        </w:rPr>
      </w:pPr>
      <w:r>
        <w:rPr>
          <w:rFonts w:hint="eastAsia" w:ascii="宋体" w:hAnsi="宋体" w:eastAsia="宋体" w:cs="宋体"/>
          <w:sz w:val="24"/>
          <w:szCs w:val="24"/>
        </w:rPr>
        <w:t>　　4.1.10　其它义务</w:t>
      </w:r>
    </w:p>
    <w:p>
      <w:pPr>
        <w:pStyle w:val="26"/>
        <w:rPr>
          <w:rFonts w:hint="eastAsia" w:ascii="宋体" w:hAnsi="宋体" w:eastAsia="宋体" w:cs="宋体"/>
          <w:sz w:val="24"/>
          <w:szCs w:val="24"/>
        </w:rPr>
      </w:pPr>
      <w:r>
        <w:rPr>
          <w:rFonts w:hint="eastAsia" w:ascii="宋体" w:hAnsi="宋体" w:eastAsia="宋体" w:cs="宋体"/>
          <w:sz w:val="24"/>
          <w:szCs w:val="24"/>
        </w:rPr>
        <w:t>　　其它义务在专用合同条款中补充约定。</w:t>
      </w:r>
    </w:p>
    <w:p>
      <w:pPr>
        <w:pStyle w:val="26"/>
        <w:rPr>
          <w:rFonts w:hint="eastAsia" w:ascii="宋体" w:hAnsi="宋体" w:eastAsia="宋体" w:cs="宋体"/>
          <w:sz w:val="24"/>
          <w:szCs w:val="24"/>
        </w:rPr>
      </w:pPr>
      <w:r>
        <w:rPr>
          <w:rFonts w:hint="eastAsia" w:ascii="宋体" w:hAnsi="宋体" w:eastAsia="宋体" w:cs="宋体"/>
          <w:sz w:val="24"/>
          <w:szCs w:val="24"/>
        </w:rPr>
        <w:t>　4.2　履约担保</w:t>
      </w:r>
    </w:p>
    <w:p>
      <w:pPr>
        <w:pStyle w:val="26"/>
        <w:rPr>
          <w:rFonts w:hint="eastAsia" w:ascii="宋体" w:hAnsi="宋体" w:eastAsia="宋体" w:cs="宋体"/>
          <w:sz w:val="24"/>
          <w:szCs w:val="24"/>
        </w:rPr>
      </w:pPr>
      <w:r>
        <w:rPr>
          <w:rFonts w:hint="eastAsia" w:ascii="宋体" w:hAnsi="宋体" w:eastAsia="宋体" w:cs="宋体"/>
          <w:sz w:val="24"/>
          <w:szCs w:val="24"/>
        </w:rPr>
        <w:t>　　承包人应保证其履约担保在发包人颁发合同工程完工证书前一直有效。发包人应在合同工程完工证书颁发后28天内将履约担保退还给承包人。</w:t>
      </w:r>
    </w:p>
    <w:p>
      <w:pPr>
        <w:pStyle w:val="26"/>
        <w:rPr>
          <w:rFonts w:hint="eastAsia" w:ascii="宋体" w:hAnsi="宋体" w:eastAsia="宋体" w:cs="宋体"/>
          <w:sz w:val="24"/>
          <w:szCs w:val="24"/>
        </w:rPr>
      </w:pPr>
      <w:r>
        <w:rPr>
          <w:rFonts w:hint="eastAsia" w:ascii="宋体" w:hAnsi="宋体" w:eastAsia="宋体" w:cs="宋体"/>
          <w:sz w:val="24"/>
          <w:szCs w:val="24"/>
        </w:rPr>
        <w:t>　4.3　分包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4.3.1承包人不得将其承包的全部工程转包给第三人，或将其承包的全部工程肢解后以分包的名义转包给第三人。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4.3.2承包人不得将工程主体、关键性工作分包给第三人。除专用合同条款另有约定外，未经发包人同意，承包人不得将工程的其他部分或工作分包给第三人。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4.3.3分包人的资格能力应与其分包工程的标准和规模相适应。</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4.3.4按投标函附录约定分包工程的，承包人应向发包人和监理人提交分包合同副本。</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4.3.5承包人应与分包人就分包工程向发包人承担连带责任。</w:t>
      </w:r>
    </w:p>
    <w:p>
      <w:pPr>
        <w:pStyle w:val="26"/>
        <w:rPr>
          <w:rFonts w:hint="eastAsia" w:ascii="宋体" w:hAnsi="宋体" w:eastAsia="宋体" w:cs="宋体"/>
          <w:sz w:val="24"/>
          <w:szCs w:val="24"/>
        </w:rPr>
      </w:pPr>
      <w:r>
        <w:rPr>
          <w:rFonts w:hint="eastAsia" w:ascii="宋体" w:hAnsi="宋体" w:eastAsia="宋体" w:cs="宋体"/>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26"/>
        <w:rPr>
          <w:rFonts w:hint="eastAsia" w:ascii="宋体" w:hAnsi="宋体" w:eastAsia="宋体" w:cs="宋体"/>
          <w:sz w:val="24"/>
          <w:szCs w:val="24"/>
        </w:rPr>
      </w:pPr>
      <w:r>
        <w:rPr>
          <w:rFonts w:hint="eastAsia" w:ascii="宋体" w:hAnsi="宋体" w:eastAsia="宋体" w:cs="宋体"/>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pStyle w:val="26"/>
        <w:rPr>
          <w:rFonts w:hint="eastAsia" w:ascii="宋体" w:hAnsi="宋体" w:eastAsia="宋体" w:cs="宋体"/>
          <w:sz w:val="24"/>
          <w:szCs w:val="24"/>
        </w:rPr>
      </w:pPr>
      <w:r>
        <w:rPr>
          <w:rFonts w:hint="eastAsia" w:ascii="宋体" w:hAnsi="宋体" w:eastAsia="宋体" w:cs="宋体"/>
          <w:sz w:val="24"/>
          <w:szCs w:val="24"/>
        </w:rPr>
        <w:t>　　由指定分包人造成的与其分包工作有关的一切索赔、诉讼和损失赔偿由指定分包人直接对发包人负责，承包人不对此承担责任。</w:t>
      </w:r>
    </w:p>
    <w:p>
      <w:pPr>
        <w:pStyle w:val="26"/>
        <w:rPr>
          <w:rFonts w:hint="eastAsia" w:ascii="宋体" w:hAnsi="宋体" w:eastAsia="宋体" w:cs="宋体"/>
          <w:sz w:val="24"/>
          <w:szCs w:val="24"/>
        </w:rPr>
      </w:pPr>
      <w:r>
        <w:rPr>
          <w:rFonts w:hint="eastAsia" w:ascii="宋体" w:hAnsi="宋体" w:eastAsia="宋体" w:cs="宋体"/>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pStyle w:val="26"/>
        <w:rPr>
          <w:rFonts w:hint="eastAsia" w:ascii="宋体" w:hAnsi="宋体" w:eastAsia="宋体" w:cs="宋体"/>
          <w:sz w:val="24"/>
          <w:szCs w:val="24"/>
        </w:rPr>
      </w:pPr>
      <w:r>
        <w:rPr>
          <w:rFonts w:hint="eastAsia" w:ascii="宋体" w:hAnsi="宋体" w:eastAsia="宋体" w:cs="宋体"/>
          <w:sz w:val="24"/>
          <w:szCs w:val="24"/>
        </w:rPr>
        <w:t>　　4.3.9　除第4.3.7项规定的指定分包外，承包人对其分包项目的实施以及分包人的行为向发包人负全部责任。承包人应对分包项目的工程进度、质量、安全、计量和验收等实施监督和管理。</w:t>
      </w:r>
    </w:p>
    <w:p>
      <w:pPr>
        <w:pStyle w:val="26"/>
        <w:ind w:firstLine="420"/>
        <w:rPr>
          <w:rFonts w:hint="eastAsia" w:ascii="宋体" w:hAnsi="宋体" w:eastAsia="宋体" w:cs="宋体"/>
          <w:sz w:val="24"/>
          <w:szCs w:val="24"/>
        </w:rPr>
      </w:pPr>
      <w:r>
        <w:rPr>
          <w:rFonts w:hint="eastAsia" w:ascii="宋体" w:hAnsi="宋体" w:eastAsia="宋体" w:cs="宋体"/>
          <w:sz w:val="24"/>
          <w:szCs w:val="24"/>
        </w:rPr>
        <w:t>4.3.10　分包人应按专用合同条款的约定设立项目管理机构组织管理分包工程的施工活动。</w:t>
      </w:r>
      <w:bookmarkStart w:id="75" w:name="_Toc179632661"/>
      <w:bookmarkStart w:id="76" w:name="_Toc152042421"/>
      <w:bookmarkStart w:id="77" w:name="_Toc144974611"/>
      <w:bookmarkStart w:id="78" w:name="_Toc152045643"/>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4.4联合体</w:t>
      </w:r>
      <w:bookmarkEnd w:id="75"/>
      <w:bookmarkEnd w:id="76"/>
      <w:bookmarkEnd w:id="77"/>
      <w:bookmarkEnd w:id="78"/>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4.4.1联合体各方应共同与发包人签订合同协议书。联合体各方应为履行合同承担连带责任。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4.4.2联合体协议经发包人确认后作为合同附件。在履行合同过程中，未经发包人同意，不得修改联合体协议。</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4.4.3联合体牵头人负责与发包人和监理人联系，并接受指示，负责组织联合体各成员全面履行合同。</w:t>
      </w:r>
      <w:bookmarkStart w:id="79" w:name="_Toc144974612"/>
      <w:bookmarkStart w:id="80" w:name="_Toc152045644"/>
      <w:bookmarkStart w:id="81" w:name="_Toc152042422"/>
      <w:bookmarkStart w:id="82" w:name="_Toc179632662"/>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4.5承包人项目经理</w:t>
      </w:r>
      <w:bookmarkEnd w:id="79"/>
      <w:bookmarkEnd w:id="80"/>
      <w:bookmarkEnd w:id="81"/>
      <w:bookmarkEnd w:id="82"/>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4.5.2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4.5.3承包人为履行合同发出的一切函件均应盖有承包人授权的施工场地管理机构章，并由承包人项目经理或其授权代表签字。</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4.5.4承包人项目经理可以授权其下属人员履行其某项职责，但事先应将这些人员的姓名和授权范围通知监理人。</w:t>
      </w:r>
      <w:bookmarkStart w:id="83" w:name="_Toc144974613"/>
      <w:bookmarkStart w:id="84" w:name="_Toc152045645"/>
      <w:bookmarkStart w:id="85" w:name="_Toc152042423"/>
      <w:bookmarkStart w:id="86" w:name="_Toc179632663"/>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4.6承包人人员的管理</w:t>
      </w:r>
      <w:bookmarkEnd w:id="83"/>
      <w:bookmarkEnd w:id="84"/>
      <w:bookmarkEnd w:id="85"/>
      <w:bookmarkEnd w:id="86"/>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4.6.2为完成合同约定的各项工作，承包人应向施工场地派遣或雇佣足够数量的下列人员：</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（1）具有相应资格的专业技工和合格的普工；</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（2）具有相应施工经验的技术人员；</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（3）具有相应岗位资格的各级管理人员。</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4.6.3承包人安排在施工场地的主要管理人员和技术骨干应相对稳定。承包人更换主要管理人员和技术骨干时，应取得监理人的同意。</w:t>
      </w:r>
    </w:p>
    <w:p>
      <w:pPr>
        <w:pStyle w:val="26"/>
        <w:ind w:firstLine="420"/>
        <w:rPr>
          <w:rFonts w:hint="eastAsia" w:ascii="宋体" w:hAnsi="宋体" w:eastAsia="宋体" w:cs="宋体"/>
          <w:sz w:val="24"/>
          <w:szCs w:val="24"/>
        </w:rPr>
      </w:pPr>
      <w:r>
        <w:rPr>
          <w:rFonts w:hint="eastAsia" w:ascii="宋体" w:hAnsi="宋体" w:eastAsia="宋体" w:cs="宋体"/>
          <w:sz w:val="24"/>
          <w:szCs w:val="24"/>
        </w:rPr>
        <w:t>4.6.4特殊岗位的工作人员均应持有相应的资格证明，监理人有权随时检查。监理人认为有必要时，可进行现场考核。</w:t>
      </w:r>
      <w:bookmarkStart w:id="87" w:name="_Toc144974614"/>
      <w:bookmarkStart w:id="88" w:name="_Toc179632664"/>
      <w:bookmarkStart w:id="89" w:name="_Toc152045646"/>
      <w:bookmarkStart w:id="90" w:name="_Toc152042424"/>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4.7撤换承包人项目经理和其他人员</w:t>
      </w:r>
      <w:bookmarkEnd w:id="87"/>
      <w:bookmarkEnd w:id="88"/>
      <w:bookmarkEnd w:id="89"/>
      <w:bookmarkEnd w:id="9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承包人应对其项目经理和其他人员进行有效管理。监理人要求撤换不能胜任本职工作、行为不端或玩忽职守的承包人项目经理和其他人员的，承包人应予以撤换。</w:t>
      </w:r>
      <w:bookmarkStart w:id="91" w:name="_Toc144974615"/>
      <w:bookmarkStart w:id="92" w:name="_Toc179632665"/>
      <w:bookmarkStart w:id="93" w:name="_Toc152042425"/>
      <w:bookmarkStart w:id="94" w:name="_Toc152045647"/>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4.8保障承包人人员的合法权益</w:t>
      </w:r>
      <w:bookmarkEnd w:id="91"/>
      <w:bookmarkEnd w:id="92"/>
      <w:bookmarkEnd w:id="93"/>
      <w:bookmarkEnd w:id="9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4.8.1承包人应与其雇佣的人员签订劳动合同，并按时发放工资。</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4.8.2承包人应按劳动法的规定安排工作时间，保证其雇佣人员享有休息和休假的权利。因工程施工的特殊需要占用休假日或延长工作时间的，应不超过法律规定的限度，并按法律规定给予补休或付酬。</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4.8.3承包人应为其雇佣人员提供必要的食宿条件，以及符合环境保护和卫生要求的生活环境，在远离城镇的施工场地，还应配备必要的伤病防治和急救的医务人员与医疗设施。</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4.8.5承包人应按有关法律规定和合同约定，为其雇佣人员办理保险。</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4.8.6承包人应负责处理其雇佣人员因工伤亡事故的善后事宜。</w:t>
      </w:r>
      <w:bookmarkStart w:id="95" w:name="_Toc179632666"/>
      <w:bookmarkStart w:id="96" w:name="_Toc144974616"/>
      <w:bookmarkStart w:id="97" w:name="_Toc152042426"/>
      <w:bookmarkStart w:id="98" w:name="_Toc152045648"/>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4.9工程价款应专款专用</w:t>
      </w:r>
      <w:bookmarkEnd w:id="95"/>
      <w:bookmarkEnd w:id="96"/>
      <w:bookmarkEnd w:id="97"/>
      <w:bookmarkEnd w:id="98"/>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p>
    <w:p>
      <w:pPr>
        <w:pStyle w:val="26"/>
        <w:ind w:firstLine="240" w:firstLineChars="100"/>
        <w:rPr>
          <w:rFonts w:hint="eastAsia" w:ascii="宋体" w:hAnsi="宋体" w:eastAsia="宋体" w:cs="宋体"/>
          <w:sz w:val="24"/>
          <w:szCs w:val="24"/>
        </w:rPr>
      </w:pPr>
      <w:bookmarkStart w:id="99" w:name="_Toc152042427"/>
      <w:bookmarkStart w:id="100" w:name="_Toc144974617"/>
      <w:bookmarkStart w:id="101" w:name="_Toc179632667"/>
      <w:bookmarkStart w:id="102" w:name="_Toc152045649"/>
      <w:r>
        <w:rPr>
          <w:rFonts w:hint="eastAsia" w:ascii="宋体" w:hAnsi="宋体" w:eastAsia="宋体" w:cs="宋体"/>
          <w:sz w:val="24"/>
          <w:szCs w:val="24"/>
        </w:rPr>
        <w:t>4.10承包人现场查勘</w:t>
      </w:r>
      <w:bookmarkEnd w:id="99"/>
      <w:bookmarkEnd w:id="100"/>
      <w:bookmarkEnd w:id="101"/>
      <w:bookmarkEnd w:id="102"/>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4.10.1发包人应将其持有的现场地质勘探资料、水文气象资料提供给承包人，并对其准确性负责。但承包人应对其阅读上述有关资料后所作出的解释和推断负责。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26"/>
        <w:rPr>
          <w:rFonts w:hint="eastAsia" w:ascii="宋体" w:hAnsi="宋体" w:eastAsia="宋体" w:cs="宋体"/>
          <w:sz w:val="24"/>
          <w:szCs w:val="24"/>
        </w:rPr>
      </w:pPr>
      <w:r>
        <w:rPr>
          <w:rFonts w:hint="eastAsia" w:ascii="宋体" w:hAnsi="宋体" w:eastAsia="宋体" w:cs="宋体"/>
          <w:sz w:val="24"/>
          <w:szCs w:val="24"/>
        </w:rPr>
        <w:t>　4.11　不利物质条件</w:t>
      </w:r>
    </w:p>
    <w:p>
      <w:pPr>
        <w:pStyle w:val="26"/>
        <w:rPr>
          <w:rFonts w:hint="eastAsia" w:ascii="宋体" w:hAnsi="宋体" w:eastAsia="宋体" w:cs="宋体"/>
          <w:sz w:val="24"/>
          <w:szCs w:val="24"/>
        </w:rPr>
      </w:pPr>
      <w:r>
        <w:rPr>
          <w:rFonts w:hint="eastAsia" w:ascii="宋体" w:hAnsi="宋体" w:eastAsia="宋体" w:cs="宋体"/>
          <w:sz w:val="24"/>
          <w:szCs w:val="24"/>
        </w:rPr>
        <w:t>　　4.11.1　除专用合同条款另有约定外，不利物质条件是指在施工中遭遇不可预见的外界障碍或自然条件造成施工受阻。</w:t>
      </w:r>
    </w:p>
    <w:p>
      <w:pPr>
        <w:pStyle w:val="26"/>
        <w:rPr>
          <w:rFonts w:hint="eastAsia" w:ascii="宋体" w:hAnsi="宋体" w:eastAsia="宋体" w:cs="宋体"/>
          <w:sz w:val="24"/>
          <w:szCs w:val="24"/>
        </w:rPr>
      </w:pPr>
      <w:r>
        <w:rPr>
          <w:rFonts w:hint="eastAsia" w:ascii="宋体" w:hAnsi="宋体" w:eastAsia="宋体" w:cs="宋体"/>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pStyle w:val="26"/>
        <w:rPr>
          <w:rFonts w:hint="eastAsia" w:ascii="宋体" w:hAnsi="宋体" w:eastAsia="宋体" w:cs="宋体"/>
          <w:b/>
          <w:sz w:val="24"/>
          <w:szCs w:val="24"/>
        </w:rPr>
      </w:pPr>
      <w:bookmarkStart w:id="103" w:name="第04章合同条款及格式0105"/>
      <w:bookmarkEnd w:id="103"/>
      <w:r>
        <w:rPr>
          <w:rFonts w:hint="eastAsia" w:ascii="宋体" w:hAnsi="宋体" w:eastAsia="宋体" w:cs="宋体"/>
          <w:b/>
          <w:sz w:val="24"/>
          <w:szCs w:val="24"/>
        </w:rPr>
        <w:t>5　材料和工程设备</w:t>
      </w:r>
    </w:p>
    <w:p>
      <w:pPr>
        <w:pStyle w:val="26"/>
        <w:rPr>
          <w:rFonts w:hint="eastAsia" w:ascii="宋体" w:hAnsi="宋体" w:eastAsia="宋体" w:cs="宋体"/>
          <w:sz w:val="24"/>
          <w:szCs w:val="24"/>
        </w:rPr>
      </w:pPr>
      <w:r>
        <w:rPr>
          <w:rFonts w:hint="eastAsia" w:ascii="宋体" w:hAnsi="宋体" w:eastAsia="宋体" w:cs="宋体"/>
          <w:sz w:val="24"/>
          <w:szCs w:val="24"/>
        </w:rPr>
        <w:t>　5.1　承包人提供的材料和工程设备</w:t>
      </w:r>
    </w:p>
    <w:p>
      <w:pPr>
        <w:pStyle w:val="26"/>
        <w:ind w:firstLine="420"/>
        <w:rPr>
          <w:rFonts w:hint="eastAsia" w:ascii="宋体" w:hAnsi="宋体" w:eastAsia="宋体" w:cs="宋体"/>
          <w:sz w:val="24"/>
          <w:szCs w:val="24"/>
        </w:rPr>
      </w:pPr>
      <w:r>
        <w:rPr>
          <w:rFonts w:hint="eastAsia" w:ascii="宋体" w:hAnsi="宋体" w:eastAsia="宋体" w:cs="宋体"/>
          <w:sz w:val="24"/>
          <w:szCs w:val="24"/>
        </w:rPr>
        <w:t>5.1.1　除第5.2款约定由发包人提供的材料和工程设备外，承包人负责采购、运输和保管完成本合同工作所需的材料和工程设备。承包人应对其采购的材料和工程设备负责。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26"/>
        <w:rPr>
          <w:rFonts w:hint="eastAsia" w:ascii="宋体" w:hAnsi="宋体" w:eastAsia="宋体" w:cs="宋体"/>
          <w:sz w:val="24"/>
          <w:szCs w:val="24"/>
        </w:rPr>
      </w:pPr>
      <w:r>
        <w:rPr>
          <w:rFonts w:hint="eastAsia" w:ascii="宋体" w:hAnsi="宋体" w:eastAsia="宋体" w:cs="宋体"/>
          <w:sz w:val="24"/>
          <w:szCs w:val="24"/>
        </w:rPr>
        <w:t>　5.2　发包人提供的材料和工程设备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5.2.1发包人提供的材料和工程设备，应在专用合同条款中写明材料和工程设备的名称、规格、数量、价格、交货方式、交货地点和计划交货日期等。</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5.2.2承包人应根据合同进度计划的安排，向监理人报送要求发包人交货的日期计划。发包人应按照监理人与合同双方当事人商定的交货日期，向承包人提交材料和工程设备。</w:t>
      </w:r>
    </w:p>
    <w:p>
      <w:pPr>
        <w:pStyle w:val="26"/>
        <w:ind w:firstLine="420"/>
        <w:rPr>
          <w:rFonts w:hint="eastAsia" w:ascii="宋体" w:hAnsi="宋体" w:eastAsia="宋体" w:cs="宋体"/>
          <w:sz w:val="24"/>
          <w:szCs w:val="24"/>
        </w:rPr>
      </w:pPr>
      <w:r>
        <w:rPr>
          <w:rFonts w:hint="eastAsia" w:ascii="宋体" w:hAnsi="宋体" w:eastAsia="宋体" w:cs="宋体"/>
          <w:sz w:val="24"/>
          <w:szCs w:val="24"/>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5.2.4发包人要求向承包人提前交货的，承包人不得拒绝，但发包人应承担承包人由此增加的费用。</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5.2.5承包人要求更改交货日期或地点的，应事先报请监理人批准。由于承包人要求更改交货时间或地点所增加的费用和（或）工期延误由承包人承担。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5.2.6发包人提供的材料和工程设备的规格、数量或质量不符合合同要求，或由于发包人原因发生交货日期延误及交货地点变更等情况的，发包人应承担由此增加的费用和（或）工期延误，并向承包人支付合理利润。</w:t>
      </w:r>
      <w:bookmarkStart w:id="104" w:name="_Toc179632672"/>
      <w:bookmarkStart w:id="105" w:name="_Toc152045654"/>
      <w:bookmarkStart w:id="106" w:name="_Toc144974622"/>
      <w:bookmarkStart w:id="107" w:name="_Toc152042432"/>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5.3材料和工程设备专用于合同工程</w:t>
      </w:r>
      <w:bookmarkEnd w:id="104"/>
      <w:bookmarkEnd w:id="105"/>
      <w:bookmarkEnd w:id="106"/>
      <w:bookmarkEnd w:id="10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5.3.1运入施工场地的材料、工程设备，包括备品备件、安装专用工器具与随机资料，必须专用于合同工程，未经监理人同意，承包人不得运出施工场地或挪作他用。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bookmarkStart w:id="108" w:name="_Toc144974623"/>
      <w:bookmarkStart w:id="109" w:name="_Toc152045655"/>
      <w:bookmarkStart w:id="110" w:name="_Toc179632673"/>
      <w:bookmarkStart w:id="111" w:name="_Toc152042433"/>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5.4禁止使用不合格的材料和工程设备</w:t>
      </w:r>
      <w:bookmarkEnd w:id="108"/>
      <w:bookmarkEnd w:id="109"/>
      <w:bookmarkEnd w:id="110"/>
      <w:bookmarkEnd w:id="11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5.4.1监理人有权拒绝承包人提供的不合格材料或工程设备，并要求承包人立即进行更换。监理人应在更换后再次进行检查和检验，由此增加的费用和（或）工期延误由承包人承担。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5.4.2监理人发现承包人使用了不合格的材料和工程设备，应即时发出指示要求承包人立即改正，并禁止在工程中继续使用不合格的材料和工程设备。</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5.4.3发包人提供的材料或工程设备不符合合同要求的，承包人有权拒绝，并可要求发包人更换，由此增加的费用和（或）工期延误由发包人承担。</w:t>
      </w:r>
    </w:p>
    <w:p>
      <w:pPr>
        <w:pStyle w:val="26"/>
        <w:rPr>
          <w:rFonts w:hint="eastAsia" w:ascii="宋体" w:hAnsi="宋体" w:eastAsia="宋体" w:cs="宋体"/>
          <w:b/>
          <w:sz w:val="24"/>
          <w:szCs w:val="24"/>
        </w:rPr>
      </w:pPr>
      <w:bookmarkStart w:id="112" w:name="第04章合同条款及格式0106"/>
      <w:bookmarkEnd w:id="112"/>
      <w:r>
        <w:rPr>
          <w:rFonts w:hint="eastAsia" w:ascii="宋体" w:hAnsi="宋体" w:eastAsia="宋体" w:cs="宋体"/>
          <w:b/>
          <w:sz w:val="24"/>
          <w:szCs w:val="24"/>
        </w:rPr>
        <w:t>6　施工设备和临时设施</w:t>
      </w:r>
      <w:bookmarkStart w:id="113" w:name="_Toc144974625"/>
      <w:bookmarkStart w:id="114" w:name="_Toc179632675"/>
      <w:bookmarkStart w:id="115" w:name="_Toc152045657"/>
      <w:bookmarkStart w:id="116" w:name="_Toc152042435"/>
    </w:p>
    <w:p>
      <w:pPr>
        <w:pStyle w:val="26"/>
        <w:ind w:firstLine="240" w:firstLineChars="100"/>
        <w:rPr>
          <w:rFonts w:hint="eastAsia" w:ascii="宋体" w:hAnsi="宋体" w:eastAsia="宋体" w:cs="宋体"/>
          <w:b/>
          <w:sz w:val="24"/>
          <w:szCs w:val="24"/>
        </w:rPr>
      </w:pPr>
      <w:r>
        <w:rPr>
          <w:rFonts w:hint="eastAsia" w:ascii="宋体" w:hAnsi="宋体" w:eastAsia="宋体" w:cs="宋体"/>
          <w:sz w:val="24"/>
          <w:szCs w:val="24"/>
        </w:rPr>
        <w:t>6.1承包人提供的施工设备和临时设施</w:t>
      </w:r>
      <w:bookmarkEnd w:id="113"/>
      <w:bookmarkEnd w:id="114"/>
      <w:bookmarkEnd w:id="115"/>
      <w:bookmarkEnd w:id="116"/>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6.1.1承包人应按合同进度计划的要求，及时配置施工设备和修建临时设施。进入施工场地的承包人设备需经监理人核查后才能投入使用。承包人更换合同约定的承包人设备的，应报监理人批准。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6.1.2除专用合同条款另有约定外，承包人应自行承担修建临时设施的费用，需要临时占地的，应由发包人办理申请手续并承担相应费用。</w:t>
      </w:r>
      <w:bookmarkStart w:id="117" w:name="_Toc144974626"/>
      <w:bookmarkStart w:id="118" w:name="_Toc179632676"/>
      <w:bookmarkStart w:id="119" w:name="_Toc152045658"/>
      <w:bookmarkStart w:id="120" w:name="_Toc152042436"/>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bookmarkEnd w:id="117"/>
      <w:bookmarkEnd w:id="118"/>
      <w:bookmarkEnd w:id="119"/>
      <w:bookmarkEnd w:id="12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bookmarkStart w:id="121" w:name="_Toc144974627"/>
      <w:bookmarkStart w:id="122" w:name="_Toc152042437"/>
      <w:bookmarkStart w:id="123" w:name="_Toc179632677"/>
      <w:bookmarkStart w:id="124" w:name="_Toc152045659"/>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6.3要求承包人增加或更换施工设备</w:t>
      </w:r>
      <w:bookmarkEnd w:id="121"/>
      <w:bookmarkEnd w:id="122"/>
      <w:bookmarkEnd w:id="123"/>
      <w:bookmarkEnd w:id="124"/>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bookmarkStart w:id="125" w:name="_Toc179632678"/>
      <w:bookmarkStart w:id="126" w:name="_Toc144974628"/>
      <w:bookmarkStart w:id="127" w:name="_Toc152042438"/>
      <w:bookmarkStart w:id="128" w:name="_Toc152045660"/>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bookmarkEnd w:id="125"/>
      <w:bookmarkEnd w:id="126"/>
      <w:bookmarkEnd w:id="127"/>
      <w:bookmarkEnd w:id="128"/>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6.4.2经监理人同意，承包人可根据合同进度计划撤走闲置的施工设备。</w:t>
      </w:r>
    </w:p>
    <w:p>
      <w:pPr>
        <w:pStyle w:val="26"/>
        <w:rPr>
          <w:rFonts w:hint="eastAsia" w:ascii="宋体" w:hAnsi="宋体" w:eastAsia="宋体" w:cs="宋体"/>
          <w:sz w:val="24"/>
          <w:szCs w:val="24"/>
        </w:rPr>
      </w:pPr>
    </w:p>
    <w:p>
      <w:pPr>
        <w:pStyle w:val="26"/>
        <w:rPr>
          <w:rFonts w:hint="eastAsia" w:ascii="宋体" w:hAnsi="宋体" w:eastAsia="宋体" w:cs="宋体"/>
          <w:b/>
          <w:sz w:val="24"/>
          <w:szCs w:val="24"/>
        </w:rPr>
      </w:pPr>
      <w:bookmarkStart w:id="129" w:name="第04章合同条款及格式0107"/>
      <w:bookmarkEnd w:id="129"/>
      <w:r>
        <w:rPr>
          <w:rFonts w:hint="eastAsia" w:ascii="宋体" w:hAnsi="宋体" w:eastAsia="宋体" w:cs="宋体"/>
          <w:b/>
          <w:sz w:val="24"/>
          <w:szCs w:val="24"/>
        </w:rPr>
        <w:t>7　交通运输</w:t>
      </w:r>
    </w:p>
    <w:p>
      <w:pPr>
        <w:pStyle w:val="26"/>
        <w:rPr>
          <w:rFonts w:hint="eastAsia" w:ascii="宋体" w:hAnsi="宋体" w:eastAsia="宋体" w:cs="宋体"/>
          <w:sz w:val="24"/>
          <w:szCs w:val="24"/>
        </w:rPr>
      </w:pPr>
      <w:r>
        <w:rPr>
          <w:rFonts w:hint="eastAsia" w:ascii="宋体" w:hAnsi="宋体" w:eastAsia="宋体" w:cs="宋体"/>
          <w:sz w:val="24"/>
          <w:szCs w:val="24"/>
        </w:rPr>
        <w:t>　7.1　道路通行权和场外设施</w:t>
      </w:r>
    </w:p>
    <w:p>
      <w:pPr>
        <w:pStyle w:val="26"/>
        <w:rPr>
          <w:rFonts w:hint="eastAsia" w:ascii="宋体" w:hAnsi="宋体" w:eastAsia="宋体" w:cs="宋体"/>
          <w:sz w:val="24"/>
          <w:szCs w:val="24"/>
        </w:rPr>
      </w:pPr>
      <w:r>
        <w:rPr>
          <w:rFonts w:hint="eastAsia" w:ascii="宋体" w:hAnsi="宋体" w:eastAsia="宋体" w:cs="宋体"/>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26"/>
        <w:rPr>
          <w:rFonts w:hint="eastAsia" w:ascii="宋体" w:hAnsi="宋体" w:eastAsia="宋体" w:cs="宋体"/>
          <w:sz w:val="24"/>
          <w:szCs w:val="24"/>
        </w:rPr>
      </w:pPr>
      <w:r>
        <w:rPr>
          <w:rFonts w:hint="eastAsia" w:ascii="宋体" w:hAnsi="宋体" w:eastAsia="宋体" w:cs="宋体"/>
          <w:sz w:val="24"/>
          <w:szCs w:val="24"/>
        </w:rPr>
        <w:t>　7.2　场内施工道路</w:t>
      </w:r>
    </w:p>
    <w:p>
      <w:pPr>
        <w:pStyle w:val="26"/>
        <w:rPr>
          <w:rFonts w:hint="eastAsia" w:ascii="宋体" w:hAnsi="宋体" w:eastAsia="宋体" w:cs="宋体"/>
          <w:sz w:val="24"/>
          <w:szCs w:val="24"/>
        </w:rPr>
      </w:pPr>
      <w:r>
        <w:rPr>
          <w:rFonts w:hint="eastAsia" w:ascii="宋体" w:hAnsi="宋体" w:eastAsia="宋体" w:cs="宋体"/>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pStyle w:val="26"/>
        <w:ind w:firstLine="420"/>
        <w:rPr>
          <w:rFonts w:hint="eastAsia" w:ascii="宋体" w:hAnsi="宋体" w:eastAsia="宋体" w:cs="宋体"/>
          <w:sz w:val="24"/>
          <w:szCs w:val="24"/>
        </w:rPr>
      </w:pPr>
      <w:r>
        <w:rPr>
          <w:rFonts w:hint="eastAsia" w:ascii="宋体" w:hAnsi="宋体" w:eastAsia="宋体" w:cs="宋体"/>
          <w:sz w:val="24"/>
          <w:szCs w:val="24"/>
        </w:rPr>
        <w:t>7.2.2　承包人修建的临时道路和交通设施，应免费提供发包人、监理人以及与本合同有关的其他承包人使用。</w:t>
      </w:r>
      <w:bookmarkStart w:id="130" w:name="_Toc152045664"/>
      <w:bookmarkStart w:id="131" w:name="_Toc144974632"/>
      <w:bookmarkStart w:id="132" w:name="_Toc152042442"/>
      <w:bookmarkStart w:id="133" w:name="_Toc179632682"/>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7.3场外交通</w:t>
      </w:r>
      <w:bookmarkEnd w:id="130"/>
      <w:bookmarkEnd w:id="131"/>
      <w:bookmarkEnd w:id="132"/>
      <w:bookmarkEnd w:id="13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7.3.1承包人车辆外出行驶所需的场外公共道路的通行费、养路费和税款等由承包人承担。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7.3.2承包人应遵守有关交通法规，严格按照道路和桥梁的限制荷重安全行驶，并服从交通管理部门的检查和监督。</w:t>
      </w:r>
      <w:bookmarkStart w:id="134" w:name="_Toc152045665"/>
      <w:bookmarkStart w:id="135" w:name="_Toc144974633"/>
      <w:bookmarkStart w:id="136" w:name="_Toc179632683"/>
      <w:bookmarkStart w:id="137" w:name="_Toc152042443"/>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7.4超大件和超重件的运输</w:t>
      </w:r>
      <w:bookmarkEnd w:id="134"/>
      <w:bookmarkEnd w:id="135"/>
      <w:bookmarkEnd w:id="136"/>
      <w:bookmarkEnd w:id="13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bookmarkStart w:id="138" w:name="_Toc179632684"/>
      <w:bookmarkStart w:id="139" w:name="_Toc152045666"/>
      <w:bookmarkStart w:id="140" w:name="_Toc144974634"/>
      <w:bookmarkStart w:id="141" w:name="_Toc152042444"/>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7.5道路和桥梁的损坏责任</w:t>
      </w:r>
      <w:bookmarkEnd w:id="138"/>
      <w:bookmarkEnd w:id="139"/>
      <w:bookmarkEnd w:id="140"/>
      <w:bookmarkEnd w:id="14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pPr>
        <w:pStyle w:val="26"/>
        <w:ind w:firstLine="240" w:firstLineChars="100"/>
        <w:rPr>
          <w:rFonts w:hint="eastAsia" w:ascii="宋体" w:hAnsi="宋体" w:eastAsia="宋体" w:cs="宋体"/>
          <w:sz w:val="24"/>
          <w:szCs w:val="24"/>
        </w:rPr>
      </w:pPr>
      <w:bookmarkStart w:id="142" w:name="_Toc152045667"/>
      <w:bookmarkStart w:id="143" w:name="_Toc179632685"/>
      <w:bookmarkStart w:id="144" w:name="_Toc144974635"/>
      <w:bookmarkStart w:id="145" w:name="_Toc152042445"/>
      <w:r>
        <w:rPr>
          <w:rFonts w:hint="eastAsia" w:ascii="宋体" w:hAnsi="宋体" w:eastAsia="宋体" w:cs="宋体"/>
          <w:sz w:val="24"/>
          <w:szCs w:val="24"/>
        </w:rPr>
        <w:t>7.6水路和航空运输</w:t>
      </w:r>
      <w:bookmarkEnd w:id="142"/>
      <w:bookmarkEnd w:id="143"/>
      <w:bookmarkEnd w:id="144"/>
      <w:bookmarkEnd w:id="145"/>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26"/>
        <w:rPr>
          <w:rFonts w:hint="eastAsia" w:ascii="宋体" w:hAnsi="宋体" w:eastAsia="宋体" w:cs="宋体"/>
          <w:b/>
          <w:sz w:val="24"/>
          <w:szCs w:val="24"/>
        </w:rPr>
      </w:pPr>
      <w:bookmarkStart w:id="146" w:name="第04章合同条款及格式0108"/>
      <w:bookmarkEnd w:id="146"/>
      <w:r>
        <w:rPr>
          <w:rFonts w:hint="eastAsia" w:ascii="宋体" w:hAnsi="宋体" w:eastAsia="宋体" w:cs="宋体"/>
          <w:b/>
          <w:sz w:val="24"/>
          <w:szCs w:val="24"/>
        </w:rPr>
        <w:t>8　测量放线</w:t>
      </w:r>
    </w:p>
    <w:p>
      <w:pPr>
        <w:pStyle w:val="26"/>
        <w:rPr>
          <w:rFonts w:hint="eastAsia" w:ascii="宋体" w:hAnsi="宋体" w:eastAsia="宋体" w:cs="宋体"/>
          <w:sz w:val="24"/>
          <w:szCs w:val="24"/>
        </w:rPr>
      </w:pPr>
      <w:r>
        <w:rPr>
          <w:rFonts w:hint="eastAsia" w:ascii="宋体" w:hAnsi="宋体" w:eastAsia="宋体" w:cs="宋体"/>
          <w:sz w:val="24"/>
          <w:szCs w:val="24"/>
        </w:rPr>
        <w:t>　8.1　施工控制网</w:t>
      </w:r>
    </w:p>
    <w:p>
      <w:pPr>
        <w:pStyle w:val="26"/>
        <w:ind w:firstLine="420"/>
        <w:rPr>
          <w:rFonts w:hint="eastAsia" w:ascii="宋体" w:hAnsi="宋体" w:eastAsia="宋体" w:cs="宋体"/>
          <w:sz w:val="24"/>
          <w:szCs w:val="24"/>
        </w:rPr>
      </w:pPr>
      <w:r>
        <w:rPr>
          <w:rFonts w:hint="eastAsia" w:ascii="宋体" w:hAnsi="宋体" w:eastAsia="宋体" w:cs="宋体"/>
          <w:sz w:val="24"/>
          <w:szCs w:val="24"/>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8.1.2承包人应负责管理施工控制网点。施工控制网点丢失或损坏的，承包人应及时修复。承包人应承担施工控制网点的管理与修复费用，并在工程竣工后将施工控制网点移交发包人。</w:t>
      </w:r>
      <w:bookmarkStart w:id="147" w:name="_Toc144974638"/>
      <w:bookmarkStart w:id="148" w:name="_Toc152045670"/>
      <w:bookmarkStart w:id="149" w:name="_Toc152042448"/>
      <w:bookmarkStart w:id="150" w:name="_Toc179632688"/>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8.2施工测量</w:t>
      </w:r>
      <w:bookmarkEnd w:id="147"/>
      <w:bookmarkEnd w:id="148"/>
      <w:bookmarkEnd w:id="149"/>
      <w:bookmarkEnd w:id="15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8.2.1承包人应负责施工过程中的全部施工测量放线工作，并配置合格的人员、仪器、设备和其他物品。</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8.2.2监理人可以指示承包人进行抽样复测，当复测中发现错误或出现超过合同约定的误差时，承包人应按监理人指示进行修正或补测，并承担相应的复测费用。</w:t>
      </w:r>
      <w:bookmarkStart w:id="151" w:name="_Toc144974639"/>
      <w:bookmarkStart w:id="152" w:name="_Toc179632689"/>
      <w:bookmarkStart w:id="153" w:name="_Toc152042449"/>
      <w:bookmarkStart w:id="154" w:name="_Toc152045671"/>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8.3基准资料错误的责任</w:t>
      </w:r>
      <w:bookmarkEnd w:id="151"/>
      <w:bookmarkEnd w:id="152"/>
      <w:bookmarkEnd w:id="153"/>
      <w:bookmarkEnd w:id="15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bookmarkStart w:id="155" w:name="_Toc144974640"/>
      <w:bookmarkStart w:id="156" w:name="_Toc152045672"/>
      <w:bookmarkStart w:id="157" w:name="_Toc152042450"/>
      <w:bookmarkStart w:id="158" w:name="_Toc179632690"/>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8.4监理人使用施工控制网</w:t>
      </w:r>
      <w:bookmarkEnd w:id="155"/>
      <w:bookmarkEnd w:id="156"/>
      <w:bookmarkEnd w:id="157"/>
      <w:bookmarkEnd w:id="158"/>
    </w:p>
    <w:p>
      <w:pPr>
        <w:pStyle w:val="26"/>
        <w:spacing w:line="400" w:lineRule="exact"/>
        <w:ind w:firstLine="480" w:firstLineChars="200"/>
        <w:rPr>
          <w:rFonts w:hint="eastAsia" w:ascii="宋体" w:hAnsi="宋体" w:eastAsia="宋体" w:cs="宋体"/>
          <w:dstrike/>
          <w:sz w:val="24"/>
          <w:szCs w:val="24"/>
        </w:rPr>
      </w:pPr>
      <w:r>
        <w:rPr>
          <w:rFonts w:hint="eastAsia" w:ascii="宋体" w:hAnsi="宋体" w:eastAsia="宋体" w:cs="宋体"/>
          <w:sz w:val="24"/>
          <w:szCs w:val="24"/>
        </w:rPr>
        <w:t>监理人需要使用施工控制网的，承包人应提供必要的协助，发包人不再为此支付费用。</w:t>
      </w:r>
    </w:p>
    <w:p>
      <w:pPr>
        <w:pStyle w:val="26"/>
        <w:rPr>
          <w:rFonts w:hint="eastAsia" w:ascii="宋体" w:hAnsi="宋体" w:eastAsia="宋体" w:cs="宋体"/>
          <w:sz w:val="24"/>
          <w:szCs w:val="24"/>
        </w:rPr>
      </w:pPr>
      <w:r>
        <w:rPr>
          <w:rFonts w:hint="eastAsia" w:ascii="宋体" w:hAnsi="宋体" w:eastAsia="宋体" w:cs="宋体"/>
          <w:sz w:val="24"/>
          <w:szCs w:val="24"/>
        </w:rPr>
        <w:t>　8.5　补充地质勘探</w:t>
      </w:r>
    </w:p>
    <w:p>
      <w:pPr>
        <w:pStyle w:val="26"/>
        <w:rPr>
          <w:rFonts w:hint="eastAsia" w:ascii="宋体" w:hAnsi="宋体" w:eastAsia="宋体" w:cs="宋体"/>
          <w:sz w:val="24"/>
          <w:szCs w:val="24"/>
        </w:rPr>
      </w:pPr>
      <w:r>
        <w:rPr>
          <w:rFonts w:hint="eastAsia" w:ascii="宋体" w:hAnsi="宋体" w:eastAsia="宋体" w:cs="宋体"/>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pStyle w:val="26"/>
        <w:rPr>
          <w:rFonts w:hint="eastAsia" w:ascii="宋体" w:hAnsi="宋体" w:eastAsia="宋体" w:cs="宋体"/>
          <w:b/>
          <w:sz w:val="24"/>
          <w:szCs w:val="24"/>
        </w:rPr>
      </w:pPr>
      <w:bookmarkStart w:id="159" w:name="第04章合同条款及格式0109"/>
      <w:bookmarkEnd w:id="159"/>
      <w:r>
        <w:rPr>
          <w:rFonts w:hint="eastAsia" w:ascii="宋体" w:hAnsi="宋体" w:eastAsia="宋体" w:cs="宋体"/>
          <w:b/>
          <w:sz w:val="24"/>
          <w:szCs w:val="24"/>
        </w:rPr>
        <w:t>9　施工安全、治安保卫和环境保护</w:t>
      </w:r>
    </w:p>
    <w:p>
      <w:pPr>
        <w:pStyle w:val="26"/>
        <w:rPr>
          <w:rFonts w:hint="eastAsia" w:ascii="宋体" w:hAnsi="宋体" w:eastAsia="宋体" w:cs="宋体"/>
          <w:sz w:val="24"/>
          <w:szCs w:val="24"/>
        </w:rPr>
      </w:pPr>
      <w:r>
        <w:rPr>
          <w:rFonts w:hint="eastAsia" w:ascii="宋体" w:hAnsi="宋体" w:eastAsia="宋体" w:cs="宋体"/>
          <w:sz w:val="24"/>
          <w:szCs w:val="24"/>
        </w:rPr>
        <w:t>　9.1　发包人的施工安全责任</w:t>
      </w:r>
    </w:p>
    <w:p>
      <w:pPr>
        <w:pStyle w:val="26"/>
        <w:ind w:firstLine="420"/>
        <w:rPr>
          <w:rFonts w:hint="eastAsia" w:ascii="宋体" w:hAnsi="宋体" w:eastAsia="宋体" w:cs="宋体"/>
          <w:sz w:val="24"/>
          <w:szCs w:val="24"/>
        </w:rPr>
      </w:pPr>
      <w:r>
        <w:rPr>
          <w:rFonts w:hint="eastAsia" w:ascii="宋体" w:hAnsi="宋体" w:eastAsia="宋体" w:cs="宋体"/>
          <w:sz w:val="24"/>
          <w:szCs w:val="24"/>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9.1.2发包人应对其现场机构雇佣的全部人员的工伤事故承担责任，但由于承包人原因造成发包人人员工伤的，应由承包人承担责任。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9.1.3发包人应负责赔偿以下各种情况造成的第三者人身伤亡和财产损失：</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（1）工程或工程的任何部分对土地的占用所造成的第三者财产损失；</w:t>
      </w:r>
    </w:p>
    <w:p>
      <w:pPr>
        <w:pStyle w:val="26"/>
        <w:ind w:firstLine="420"/>
        <w:rPr>
          <w:rFonts w:hint="eastAsia" w:ascii="宋体" w:hAnsi="宋体" w:eastAsia="宋体" w:cs="宋体"/>
          <w:sz w:val="24"/>
          <w:szCs w:val="24"/>
        </w:rPr>
      </w:pPr>
      <w:r>
        <w:rPr>
          <w:rFonts w:hint="eastAsia" w:ascii="宋体" w:hAnsi="宋体" w:eastAsia="宋体" w:cs="宋体"/>
          <w:sz w:val="24"/>
          <w:szCs w:val="24"/>
        </w:rPr>
        <w:t>（2）由于发包人原因在施工场地及其毗邻地带造成的第三者人身伤亡和财产损失。</w:t>
      </w:r>
    </w:p>
    <w:p>
      <w:pPr>
        <w:pStyle w:val="26"/>
        <w:rPr>
          <w:rFonts w:hint="eastAsia" w:ascii="宋体" w:hAnsi="宋体" w:eastAsia="宋体" w:cs="宋体"/>
          <w:sz w:val="24"/>
          <w:szCs w:val="24"/>
        </w:rPr>
      </w:pPr>
      <w:r>
        <w:rPr>
          <w:rFonts w:hint="eastAsia" w:ascii="宋体" w:hAnsi="宋体" w:eastAsia="宋体" w:cs="宋体"/>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26"/>
        <w:rPr>
          <w:rFonts w:hint="eastAsia" w:ascii="宋体" w:hAnsi="宋体" w:eastAsia="宋体" w:cs="宋体"/>
          <w:sz w:val="24"/>
          <w:szCs w:val="24"/>
        </w:rPr>
      </w:pPr>
      <w:r>
        <w:rPr>
          <w:rFonts w:hint="eastAsia" w:ascii="宋体" w:hAnsi="宋体" w:eastAsia="宋体" w:cs="宋体"/>
          <w:sz w:val="24"/>
          <w:szCs w:val="24"/>
        </w:rPr>
        <w:t>　　9.1.5　发包人按照已标价工程量清单所列金额和合同约定的计量支付规定，支付安全作业环境及安全施工措施所需费用。</w:t>
      </w:r>
    </w:p>
    <w:p>
      <w:pPr>
        <w:pStyle w:val="26"/>
        <w:rPr>
          <w:rFonts w:hint="eastAsia" w:ascii="宋体" w:hAnsi="宋体" w:eastAsia="宋体" w:cs="宋体"/>
          <w:sz w:val="24"/>
          <w:szCs w:val="24"/>
        </w:rPr>
      </w:pPr>
      <w:r>
        <w:rPr>
          <w:rFonts w:hint="eastAsia" w:ascii="宋体" w:hAnsi="宋体" w:eastAsia="宋体" w:cs="宋体"/>
          <w:sz w:val="24"/>
          <w:szCs w:val="24"/>
        </w:rPr>
        <w:t>　　9.1.6　发包人负责组织工程参建单位编制保证安全生产的措施方案。工程开工前，就落实保证安全生产的措施进行全面系统的布置，进一步明确承包人的安全生产责任。</w:t>
      </w:r>
    </w:p>
    <w:p>
      <w:pPr>
        <w:pStyle w:val="26"/>
        <w:rPr>
          <w:rFonts w:hint="eastAsia" w:ascii="宋体" w:hAnsi="宋体" w:eastAsia="宋体" w:cs="宋体"/>
          <w:sz w:val="24"/>
          <w:szCs w:val="24"/>
        </w:rPr>
      </w:pPr>
      <w:r>
        <w:rPr>
          <w:rFonts w:hint="eastAsia" w:ascii="宋体" w:hAnsi="宋体" w:eastAsia="宋体" w:cs="宋体"/>
          <w:sz w:val="24"/>
          <w:szCs w:val="24"/>
        </w:rPr>
        <w:t>　　9.1.7　发包人负责在拆除工程和爆破工程施工14天前向有关部门或机构报送相关备案资料。</w:t>
      </w:r>
    </w:p>
    <w:p>
      <w:pPr>
        <w:pStyle w:val="26"/>
        <w:rPr>
          <w:rFonts w:hint="eastAsia" w:ascii="宋体" w:hAnsi="宋体" w:eastAsia="宋体" w:cs="宋体"/>
          <w:sz w:val="24"/>
          <w:szCs w:val="24"/>
        </w:rPr>
      </w:pPr>
      <w:r>
        <w:rPr>
          <w:rFonts w:hint="eastAsia" w:ascii="宋体" w:hAnsi="宋体" w:eastAsia="宋体" w:cs="宋体"/>
          <w:sz w:val="24"/>
          <w:szCs w:val="24"/>
        </w:rPr>
        <w:t>　9.2　承包人的施工安全责任</w:t>
      </w:r>
    </w:p>
    <w:p>
      <w:pPr>
        <w:pStyle w:val="26"/>
        <w:ind w:firstLine="420"/>
        <w:rPr>
          <w:rFonts w:hint="eastAsia" w:ascii="宋体" w:hAnsi="宋体" w:eastAsia="宋体" w:cs="宋体"/>
          <w:sz w:val="24"/>
          <w:szCs w:val="24"/>
        </w:rPr>
      </w:pPr>
      <w:r>
        <w:rPr>
          <w:rFonts w:hint="eastAsia" w:ascii="宋体" w:hAnsi="宋体" w:eastAsia="宋体" w:cs="宋体"/>
          <w:sz w:val="24"/>
          <w:szCs w:val="24"/>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9.2.2承包人应加强施工作业安全管理，特别应加强易燃、易爆材料、火工器材、有毒与腐蚀性材料和其他危险品的管理，以及对爆破作业和地下工程施工等危险作业的管理。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9.2.3承包人应严格按照国家安全标准制定施工安全操作规程，配备必要的安全生产和劳动保护设施，加强对承包人人员的安全教育，并发放安全工作手册和劳动保护用具。</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9.2.4承包人应按监理人的指示制定应对灾害的紧急预案，报送监理人审批。承包人还应按预案做好安全检查，配置必要的救助物资和器材，切实保护好有关人员的人身和财产安全。</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9.2.5合同约定的安全作业环境及安全施工措施所需费用应遵守有关规定，并包括在相关工作的合同价格中。因采取合同未约定的安全作业环境及安全施工措施增加的费用，由监理人按第3.5款商定或确定。</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9.2.6承包人应对其履行合同所雇佣的全部人员，包括分包人人员的工伤事故承担责任，但由于发包人原因造成承包人人员工伤事故的，应由发包人承担责任。</w:t>
      </w:r>
    </w:p>
    <w:p>
      <w:pPr>
        <w:pStyle w:val="26"/>
        <w:ind w:firstLine="420"/>
        <w:rPr>
          <w:rFonts w:hint="eastAsia" w:ascii="宋体" w:hAnsi="宋体" w:eastAsia="宋体" w:cs="宋体"/>
          <w:sz w:val="24"/>
          <w:szCs w:val="24"/>
        </w:rPr>
      </w:pPr>
      <w:r>
        <w:rPr>
          <w:rFonts w:hint="eastAsia" w:ascii="宋体" w:hAnsi="宋体" w:eastAsia="宋体" w:cs="宋体"/>
          <w:sz w:val="24"/>
          <w:szCs w:val="24"/>
        </w:rPr>
        <w:t>9.2.7由于承包人原因在施工场地内及其毗邻地带造成的第三者人员伤亡和财产损失，由承包人负责赔偿。</w:t>
      </w:r>
    </w:p>
    <w:p>
      <w:pPr>
        <w:pStyle w:val="26"/>
        <w:rPr>
          <w:rFonts w:hint="eastAsia" w:ascii="宋体" w:hAnsi="宋体" w:eastAsia="宋体" w:cs="宋体"/>
          <w:sz w:val="24"/>
          <w:szCs w:val="24"/>
        </w:rPr>
      </w:pPr>
      <w:r>
        <w:rPr>
          <w:rFonts w:hint="eastAsia" w:ascii="宋体" w:hAnsi="宋体" w:eastAsia="宋体" w:cs="宋体"/>
          <w:sz w:val="24"/>
          <w:szCs w:val="24"/>
        </w:rPr>
        <w:t>　　9.2.8　承包人已标价工程量清单应包含工程安全作业环境及安全施工措施所需费用。</w:t>
      </w:r>
    </w:p>
    <w:p>
      <w:pPr>
        <w:pStyle w:val="26"/>
        <w:rPr>
          <w:rFonts w:hint="eastAsia" w:ascii="宋体" w:hAnsi="宋体" w:eastAsia="宋体" w:cs="宋体"/>
          <w:sz w:val="24"/>
          <w:szCs w:val="24"/>
        </w:rPr>
      </w:pPr>
      <w:r>
        <w:rPr>
          <w:rFonts w:hint="eastAsia" w:ascii="宋体" w:hAnsi="宋体" w:eastAsia="宋体" w:cs="宋体"/>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26"/>
        <w:rPr>
          <w:rFonts w:hint="eastAsia" w:ascii="宋体" w:hAnsi="宋体" w:eastAsia="宋体" w:cs="宋体"/>
          <w:sz w:val="24"/>
          <w:szCs w:val="24"/>
        </w:rPr>
      </w:pPr>
      <w:r>
        <w:rPr>
          <w:rFonts w:hint="eastAsia" w:ascii="宋体" w:hAnsi="宋体" w:eastAsia="宋体" w:cs="宋体"/>
          <w:sz w:val="24"/>
          <w:szCs w:val="24"/>
        </w:rPr>
        <w:t>　　9.2.10　承包人应设立安全生产管理机构，施工现场应有专职安全生产管理人员。</w:t>
      </w:r>
    </w:p>
    <w:p>
      <w:pPr>
        <w:pStyle w:val="26"/>
        <w:rPr>
          <w:rFonts w:hint="eastAsia" w:ascii="宋体" w:hAnsi="宋体" w:eastAsia="宋体" w:cs="宋体"/>
          <w:sz w:val="24"/>
          <w:szCs w:val="24"/>
        </w:rPr>
      </w:pPr>
      <w:r>
        <w:rPr>
          <w:rFonts w:hint="eastAsia" w:ascii="宋体" w:hAnsi="宋体" w:eastAsia="宋体" w:cs="宋体"/>
          <w:sz w:val="24"/>
          <w:szCs w:val="24"/>
        </w:rPr>
        <w:t>　　9.2.11　承包人应负责对特种作业人员进行专门的安全作业培训，并保证特种作业人员持证上岗。</w:t>
      </w:r>
    </w:p>
    <w:p>
      <w:pPr>
        <w:pStyle w:val="26"/>
        <w:rPr>
          <w:rFonts w:hint="eastAsia" w:ascii="宋体" w:hAnsi="宋体" w:eastAsia="宋体" w:cs="宋体"/>
          <w:sz w:val="24"/>
          <w:szCs w:val="24"/>
        </w:rPr>
      </w:pPr>
      <w:r>
        <w:rPr>
          <w:rFonts w:hint="eastAsia" w:ascii="宋体" w:hAnsi="宋体" w:eastAsia="宋体" w:cs="宋体"/>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26"/>
        <w:ind w:firstLine="420"/>
        <w:rPr>
          <w:rFonts w:hint="eastAsia" w:ascii="宋体" w:hAnsi="宋体" w:eastAsia="宋体" w:cs="宋体"/>
          <w:sz w:val="24"/>
          <w:szCs w:val="24"/>
        </w:rPr>
      </w:pPr>
      <w:r>
        <w:rPr>
          <w:rFonts w:hint="eastAsia" w:ascii="宋体" w:hAnsi="宋体" w:eastAsia="宋体" w:cs="宋体"/>
          <w:sz w:val="24"/>
          <w:szCs w:val="24"/>
        </w:rPr>
        <w:t>9.2.13　承包人在使用施工起重机械和整体提升脚手架、模板等自升式架设设施前，应组织有关单位进行验收。</w:t>
      </w:r>
      <w:bookmarkStart w:id="160" w:name="_Toc179632694"/>
      <w:bookmarkStart w:id="161" w:name="_Toc144974644"/>
      <w:bookmarkStart w:id="162" w:name="_Toc152042454"/>
      <w:bookmarkStart w:id="163" w:name="_Toc152045676"/>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9.3治安保卫</w:t>
      </w:r>
      <w:bookmarkEnd w:id="160"/>
      <w:bookmarkEnd w:id="161"/>
      <w:bookmarkEnd w:id="162"/>
      <w:bookmarkEnd w:id="16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9.3.1除合同另有约定外，发包人应与当地公安部门协商，在现场建立治安管理机构或联防组织，统一管理施工场地的治安保卫事项，履行合同工程的治安保卫职责。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9.3.2发包人和承包人除应协助现场治安管理机构或联防组织维护施工场地的社会治安外，还应做好包括生活区在内的各自管辖区的治安保卫工作。</w:t>
      </w:r>
    </w:p>
    <w:p>
      <w:pPr>
        <w:pStyle w:val="26"/>
        <w:ind w:firstLine="420"/>
        <w:rPr>
          <w:rFonts w:hint="eastAsia" w:ascii="宋体" w:hAnsi="宋体" w:eastAsia="宋体" w:cs="宋体"/>
          <w:sz w:val="24"/>
          <w:szCs w:val="24"/>
        </w:rPr>
      </w:pPr>
      <w:r>
        <w:rPr>
          <w:rFonts w:hint="eastAsia" w:ascii="宋体" w:hAnsi="宋体" w:eastAsia="宋体" w:cs="宋体"/>
          <w:sz w:val="24"/>
          <w:szCs w:val="24"/>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26"/>
        <w:ind w:firstLine="240" w:firstLineChars="100"/>
        <w:rPr>
          <w:rFonts w:hint="eastAsia" w:ascii="宋体" w:hAnsi="宋体" w:eastAsia="宋体" w:cs="宋体"/>
          <w:sz w:val="24"/>
          <w:szCs w:val="24"/>
        </w:rPr>
      </w:pPr>
      <w:bookmarkStart w:id="164" w:name="_Toc152045677"/>
      <w:bookmarkStart w:id="165" w:name="_Toc152042455"/>
      <w:bookmarkStart w:id="166" w:name="_Toc144974645"/>
      <w:bookmarkStart w:id="167" w:name="_Toc179632695"/>
      <w:r>
        <w:rPr>
          <w:rFonts w:hint="eastAsia" w:ascii="宋体" w:hAnsi="宋体" w:eastAsia="宋体" w:cs="宋体"/>
          <w:sz w:val="24"/>
          <w:szCs w:val="24"/>
        </w:rPr>
        <w:t>9.4环境保护</w:t>
      </w:r>
      <w:bookmarkEnd w:id="164"/>
      <w:bookmarkEnd w:id="165"/>
      <w:bookmarkEnd w:id="166"/>
      <w:bookmarkEnd w:id="16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9.4.1承包人在施工过程中，应遵守有关环境保护的法律，履行合同约定的环境保护义务，并对违反法律和合同约定义务所造成的环境破坏、人身伤害和财产损失负责。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9.4.2承包人应按合同约定的环保工作内容，编制施工环保措施计划，报送监理人审批。</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9.4.4承包人应按合同约定采取有效措施，对施工开挖的边坡及时进行支护,维护排水设施，并进行水土保护，避免因施工造成的地质灾害。</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9.4.5承包人应按国家饮用水管理标准定期对饮用水源进行监测，防止施工活动污染饮用水源。</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9.4.6承包人应按合同约定，加强对噪声、粉尘、废气、废水和废油的控制，努力降低噪声，控制粉尘和废气浓度，做好废水和废油的治理和排放。</w:t>
      </w:r>
    </w:p>
    <w:p>
      <w:pPr>
        <w:pStyle w:val="26"/>
        <w:rPr>
          <w:rFonts w:hint="eastAsia" w:ascii="宋体" w:hAnsi="宋体" w:eastAsia="宋体" w:cs="宋体"/>
          <w:sz w:val="24"/>
          <w:szCs w:val="24"/>
        </w:rPr>
      </w:pPr>
      <w:r>
        <w:rPr>
          <w:rFonts w:hint="eastAsia" w:ascii="宋体" w:hAnsi="宋体" w:eastAsia="宋体" w:cs="宋体"/>
          <w:sz w:val="24"/>
          <w:szCs w:val="24"/>
        </w:rPr>
        <w:t>　9.5　事故处理</w:t>
      </w:r>
    </w:p>
    <w:p>
      <w:pPr>
        <w:pStyle w:val="26"/>
        <w:rPr>
          <w:rFonts w:hint="eastAsia" w:ascii="宋体" w:hAnsi="宋体" w:eastAsia="宋体" w:cs="宋体"/>
          <w:sz w:val="24"/>
          <w:szCs w:val="24"/>
        </w:rPr>
      </w:pPr>
      <w:r>
        <w:rPr>
          <w:rFonts w:hint="eastAsia" w:ascii="宋体" w:hAnsi="宋体" w:eastAsia="宋体" w:cs="宋体"/>
          <w:sz w:val="24"/>
          <w:szCs w:val="24"/>
        </w:rPr>
        <w:t>　　9.5.1　发包人负责组织参建单位制定本工程的质量与安全事故应急预案，建立质量与安全事故应急处置指挥部。</w:t>
      </w:r>
    </w:p>
    <w:p>
      <w:pPr>
        <w:pStyle w:val="26"/>
        <w:rPr>
          <w:rFonts w:hint="eastAsia" w:ascii="宋体" w:hAnsi="宋体" w:eastAsia="宋体" w:cs="宋体"/>
          <w:sz w:val="24"/>
          <w:szCs w:val="24"/>
        </w:rPr>
      </w:pPr>
      <w:r>
        <w:rPr>
          <w:rFonts w:hint="eastAsia" w:ascii="宋体" w:hAnsi="宋体" w:eastAsia="宋体" w:cs="宋体"/>
          <w:sz w:val="24"/>
          <w:szCs w:val="24"/>
        </w:rPr>
        <w:t>　　9.5.2　承包人应对施工现场易发生重大事故的部位、环节进行监控，配备救援器材、设备，并定期组织演练。</w:t>
      </w:r>
    </w:p>
    <w:p>
      <w:pPr>
        <w:pStyle w:val="26"/>
        <w:rPr>
          <w:rFonts w:hint="eastAsia" w:ascii="宋体" w:hAnsi="宋体" w:eastAsia="宋体" w:cs="宋体"/>
          <w:sz w:val="24"/>
          <w:szCs w:val="24"/>
        </w:rPr>
      </w:pPr>
      <w:r>
        <w:rPr>
          <w:rFonts w:hint="eastAsia" w:ascii="宋体" w:hAnsi="宋体" w:eastAsia="宋体" w:cs="宋体"/>
          <w:sz w:val="24"/>
          <w:szCs w:val="24"/>
        </w:rPr>
        <w:t>　　9.5.3　工程开工前，承包人应根据本工程的特点制定施工现场施工质量与安全事故应急预案，并报发包人备案。</w:t>
      </w:r>
    </w:p>
    <w:p>
      <w:pPr>
        <w:pStyle w:val="26"/>
        <w:rPr>
          <w:rFonts w:hint="eastAsia" w:ascii="宋体" w:hAnsi="宋体" w:eastAsia="宋体" w:cs="宋体"/>
          <w:sz w:val="24"/>
          <w:szCs w:val="24"/>
        </w:rPr>
      </w:pPr>
      <w:r>
        <w:rPr>
          <w:rFonts w:hint="eastAsia" w:ascii="宋体" w:hAnsi="宋体" w:eastAsia="宋体" w:cs="宋体"/>
          <w:sz w:val="24"/>
          <w:szCs w:val="24"/>
        </w:rPr>
        <w:t>　　9.5.4　施工过程中发生事故时，发包人、承包人应立即启动应急预案。</w:t>
      </w:r>
    </w:p>
    <w:p>
      <w:pPr>
        <w:pStyle w:val="26"/>
        <w:rPr>
          <w:rFonts w:hint="eastAsia" w:ascii="宋体" w:hAnsi="宋体" w:eastAsia="宋体" w:cs="宋体"/>
          <w:sz w:val="24"/>
          <w:szCs w:val="24"/>
        </w:rPr>
      </w:pPr>
      <w:r>
        <w:rPr>
          <w:rFonts w:hint="eastAsia" w:ascii="宋体" w:hAnsi="宋体" w:eastAsia="宋体" w:cs="宋体"/>
          <w:sz w:val="24"/>
          <w:szCs w:val="24"/>
        </w:rPr>
        <w:t>　　9.5.5　事故调查处理由发包人按相关规定履行手续，承包人应配合。</w:t>
      </w:r>
    </w:p>
    <w:p>
      <w:pPr>
        <w:pStyle w:val="26"/>
        <w:rPr>
          <w:rFonts w:hint="eastAsia" w:ascii="宋体" w:hAnsi="宋体" w:eastAsia="宋体" w:cs="宋体"/>
          <w:sz w:val="24"/>
          <w:szCs w:val="24"/>
        </w:rPr>
      </w:pPr>
      <w:r>
        <w:rPr>
          <w:rFonts w:hint="eastAsia" w:ascii="宋体" w:hAnsi="宋体" w:eastAsia="宋体" w:cs="宋体"/>
          <w:sz w:val="24"/>
          <w:szCs w:val="24"/>
        </w:rPr>
        <w:t>　9.6　水土保持</w:t>
      </w:r>
    </w:p>
    <w:p>
      <w:pPr>
        <w:pStyle w:val="26"/>
        <w:rPr>
          <w:rFonts w:hint="eastAsia" w:ascii="宋体" w:hAnsi="宋体" w:eastAsia="宋体" w:cs="宋体"/>
          <w:sz w:val="24"/>
          <w:szCs w:val="24"/>
        </w:rPr>
      </w:pPr>
      <w:r>
        <w:rPr>
          <w:rFonts w:hint="eastAsia" w:ascii="宋体" w:hAnsi="宋体" w:eastAsia="宋体" w:cs="宋体"/>
          <w:sz w:val="24"/>
          <w:szCs w:val="24"/>
        </w:rPr>
        <w:t>　　9.6.1　发包人应及时向承包人提供水土保持方案。</w:t>
      </w:r>
    </w:p>
    <w:p>
      <w:pPr>
        <w:pStyle w:val="26"/>
        <w:rPr>
          <w:rFonts w:hint="eastAsia" w:ascii="宋体" w:hAnsi="宋体" w:eastAsia="宋体" w:cs="宋体"/>
          <w:sz w:val="24"/>
          <w:szCs w:val="24"/>
        </w:rPr>
      </w:pPr>
      <w:r>
        <w:rPr>
          <w:rFonts w:hint="eastAsia" w:ascii="宋体" w:hAnsi="宋体" w:eastAsia="宋体" w:cs="宋体"/>
          <w:sz w:val="24"/>
          <w:szCs w:val="24"/>
        </w:rPr>
        <w:t>　　9.6.2　承包人在施工过程中，应遵守有关水土保持的法律法规和规章，履行合同约定的水土保持义务，并对其违反法律和合同约定义务所造成的水土流失灾害、人身伤害和财产损失负责。</w:t>
      </w:r>
    </w:p>
    <w:p>
      <w:pPr>
        <w:pStyle w:val="26"/>
        <w:rPr>
          <w:rFonts w:hint="eastAsia" w:ascii="宋体" w:hAnsi="宋体" w:eastAsia="宋体" w:cs="宋体"/>
          <w:sz w:val="24"/>
          <w:szCs w:val="24"/>
        </w:rPr>
      </w:pPr>
      <w:r>
        <w:rPr>
          <w:rFonts w:hint="eastAsia" w:ascii="宋体" w:hAnsi="宋体" w:eastAsia="宋体" w:cs="宋体"/>
          <w:sz w:val="24"/>
          <w:szCs w:val="24"/>
        </w:rPr>
        <w:t>　　9.6.3　承包人的水土保持措施计划，应满足技术标准和要求(合同技术条款)约定的要求。</w:t>
      </w:r>
    </w:p>
    <w:p>
      <w:pPr>
        <w:pStyle w:val="26"/>
        <w:rPr>
          <w:rFonts w:hint="eastAsia" w:ascii="宋体" w:hAnsi="宋体" w:eastAsia="宋体" w:cs="宋体"/>
          <w:sz w:val="24"/>
          <w:szCs w:val="24"/>
        </w:rPr>
      </w:pPr>
      <w:r>
        <w:rPr>
          <w:rFonts w:hint="eastAsia" w:ascii="宋体" w:hAnsi="宋体" w:eastAsia="宋体" w:cs="宋体"/>
          <w:sz w:val="24"/>
          <w:szCs w:val="24"/>
        </w:rPr>
        <w:t>　9.7　文明工地</w:t>
      </w:r>
    </w:p>
    <w:p>
      <w:pPr>
        <w:pStyle w:val="26"/>
        <w:rPr>
          <w:rFonts w:hint="eastAsia" w:ascii="宋体" w:hAnsi="宋体" w:eastAsia="宋体" w:cs="宋体"/>
          <w:sz w:val="24"/>
          <w:szCs w:val="24"/>
        </w:rPr>
      </w:pPr>
      <w:r>
        <w:rPr>
          <w:rFonts w:hint="eastAsia" w:ascii="宋体" w:hAnsi="宋体" w:eastAsia="宋体" w:cs="宋体"/>
          <w:sz w:val="24"/>
          <w:szCs w:val="24"/>
        </w:rPr>
        <w:t>　　9.7.1　发包人应按专用合同条款的约定，负责建立创建文明建设工地的组织机构，制定创建文明建设工地的规划和办法。</w:t>
      </w:r>
    </w:p>
    <w:p>
      <w:pPr>
        <w:pStyle w:val="26"/>
        <w:rPr>
          <w:rFonts w:hint="eastAsia" w:ascii="宋体" w:hAnsi="宋体" w:eastAsia="宋体" w:cs="宋体"/>
          <w:sz w:val="24"/>
          <w:szCs w:val="24"/>
        </w:rPr>
      </w:pPr>
      <w:r>
        <w:rPr>
          <w:rFonts w:hint="eastAsia" w:ascii="宋体" w:hAnsi="宋体" w:eastAsia="宋体" w:cs="宋体"/>
          <w:sz w:val="24"/>
          <w:szCs w:val="24"/>
        </w:rPr>
        <w:t>　　9.7.2　承包人应按创建文明建设工地的规划和办法，履行职责，承担相应责任。所需费用应含在已标价工程量清单中。</w:t>
      </w:r>
    </w:p>
    <w:p>
      <w:pPr>
        <w:pStyle w:val="26"/>
        <w:rPr>
          <w:rFonts w:hint="eastAsia" w:ascii="宋体" w:hAnsi="宋体" w:eastAsia="宋体" w:cs="宋体"/>
          <w:sz w:val="24"/>
          <w:szCs w:val="24"/>
        </w:rPr>
      </w:pPr>
      <w:r>
        <w:rPr>
          <w:rFonts w:hint="eastAsia" w:ascii="宋体" w:hAnsi="宋体" w:eastAsia="宋体" w:cs="宋体"/>
          <w:sz w:val="24"/>
          <w:szCs w:val="24"/>
        </w:rPr>
        <w:t>　9.8　防汛度汛</w:t>
      </w:r>
    </w:p>
    <w:p>
      <w:pPr>
        <w:pStyle w:val="26"/>
        <w:rPr>
          <w:rFonts w:hint="eastAsia" w:ascii="宋体" w:hAnsi="宋体" w:eastAsia="宋体" w:cs="宋体"/>
          <w:sz w:val="24"/>
          <w:szCs w:val="24"/>
        </w:rPr>
      </w:pPr>
      <w:r>
        <w:rPr>
          <w:rFonts w:hint="eastAsia" w:ascii="宋体" w:hAnsi="宋体" w:eastAsia="宋体" w:cs="宋体"/>
          <w:sz w:val="24"/>
          <w:szCs w:val="24"/>
        </w:rPr>
        <w:t>　　9.8.1　发包人负责组织工程参建单位编制本工程的度汛方案和措施。</w:t>
      </w:r>
    </w:p>
    <w:p>
      <w:pPr>
        <w:pStyle w:val="26"/>
        <w:rPr>
          <w:rFonts w:hint="eastAsia" w:ascii="宋体" w:hAnsi="宋体" w:eastAsia="宋体" w:cs="宋体"/>
          <w:sz w:val="24"/>
          <w:szCs w:val="24"/>
        </w:rPr>
      </w:pPr>
      <w:r>
        <w:rPr>
          <w:rFonts w:hint="eastAsia" w:ascii="宋体" w:hAnsi="宋体" w:eastAsia="宋体" w:cs="宋体"/>
          <w:sz w:val="24"/>
          <w:szCs w:val="24"/>
        </w:rPr>
        <w:t>　　9.8.2　承包人应根据发包人编制的本工程度汛方案和措施，制定相应的度汛方案，报发包人批准后实施。</w:t>
      </w:r>
    </w:p>
    <w:p>
      <w:pPr>
        <w:pStyle w:val="26"/>
        <w:rPr>
          <w:rFonts w:hint="eastAsia" w:ascii="宋体" w:hAnsi="宋体" w:eastAsia="宋体" w:cs="宋体"/>
          <w:b/>
          <w:sz w:val="24"/>
          <w:szCs w:val="24"/>
        </w:rPr>
      </w:pPr>
      <w:bookmarkStart w:id="168" w:name="第04章合同条款及格式0110"/>
      <w:bookmarkEnd w:id="168"/>
      <w:r>
        <w:rPr>
          <w:rFonts w:hint="eastAsia" w:ascii="宋体" w:hAnsi="宋体" w:eastAsia="宋体" w:cs="宋体"/>
          <w:b/>
          <w:sz w:val="24"/>
          <w:szCs w:val="24"/>
        </w:rPr>
        <w:t>10　进度计划</w:t>
      </w:r>
    </w:p>
    <w:p>
      <w:pPr>
        <w:pStyle w:val="26"/>
        <w:rPr>
          <w:rFonts w:hint="eastAsia" w:ascii="宋体" w:hAnsi="宋体" w:eastAsia="宋体" w:cs="宋体"/>
          <w:sz w:val="24"/>
          <w:szCs w:val="24"/>
        </w:rPr>
      </w:pPr>
      <w:r>
        <w:rPr>
          <w:rFonts w:hint="eastAsia" w:ascii="宋体" w:hAnsi="宋体" w:eastAsia="宋体" w:cs="宋体"/>
          <w:sz w:val="24"/>
          <w:szCs w:val="24"/>
        </w:rPr>
        <w:t>　10.1　合同进度计划</w:t>
      </w:r>
    </w:p>
    <w:p>
      <w:pPr>
        <w:pStyle w:val="26"/>
        <w:rPr>
          <w:rFonts w:hint="eastAsia" w:ascii="宋体" w:hAnsi="宋体" w:eastAsia="宋体" w:cs="宋体"/>
          <w:sz w:val="24"/>
          <w:szCs w:val="24"/>
        </w:rPr>
      </w:pPr>
      <w:r>
        <w:rPr>
          <w:rFonts w:hint="eastAsia" w:ascii="宋体" w:hAnsi="宋体" w:eastAsia="宋体" w:cs="宋体"/>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26"/>
        <w:rPr>
          <w:rFonts w:hint="eastAsia" w:ascii="宋体" w:hAnsi="宋体" w:eastAsia="宋体" w:cs="宋体"/>
          <w:sz w:val="24"/>
          <w:szCs w:val="24"/>
        </w:rPr>
      </w:pPr>
      <w:r>
        <w:rPr>
          <w:rFonts w:hint="eastAsia" w:ascii="宋体" w:hAnsi="宋体" w:eastAsia="宋体" w:cs="宋体"/>
          <w:sz w:val="24"/>
          <w:szCs w:val="24"/>
        </w:rPr>
        <w:t>　10.2　合同进度计划的修订</w:t>
      </w:r>
    </w:p>
    <w:p>
      <w:pPr>
        <w:pStyle w:val="26"/>
        <w:rPr>
          <w:rFonts w:hint="eastAsia" w:ascii="宋体" w:hAnsi="宋体" w:eastAsia="宋体" w:cs="宋体"/>
          <w:sz w:val="24"/>
          <w:szCs w:val="24"/>
        </w:rPr>
      </w:pPr>
      <w:r>
        <w:rPr>
          <w:rFonts w:hint="eastAsia" w:ascii="宋体" w:hAnsi="宋体" w:eastAsia="宋体" w:cs="宋体"/>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pStyle w:val="26"/>
        <w:rPr>
          <w:rFonts w:hint="eastAsia" w:ascii="宋体" w:hAnsi="宋体" w:eastAsia="宋体" w:cs="宋体"/>
          <w:sz w:val="24"/>
          <w:szCs w:val="24"/>
        </w:rPr>
      </w:pPr>
      <w:r>
        <w:rPr>
          <w:rFonts w:hint="eastAsia" w:ascii="宋体" w:hAnsi="宋体" w:eastAsia="宋体" w:cs="宋体"/>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26"/>
        <w:rPr>
          <w:rFonts w:hint="eastAsia" w:ascii="宋体" w:hAnsi="宋体" w:eastAsia="宋体" w:cs="宋体"/>
          <w:sz w:val="24"/>
          <w:szCs w:val="24"/>
        </w:rPr>
      </w:pPr>
      <w:r>
        <w:rPr>
          <w:rFonts w:hint="eastAsia" w:ascii="宋体" w:hAnsi="宋体" w:eastAsia="宋体" w:cs="宋体"/>
          <w:sz w:val="24"/>
          <w:szCs w:val="24"/>
        </w:rPr>
        <w:t>　10.3　单位工程进度计划</w:t>
      </w:r>
    </w:p>
    <w:p>
      <w:pPr>
        <w:pStyle w:val="26"/>
        <w:rPr>
          <w:rFonts w:hint="eastAsia" w:ascii="宋体" w:hAnsi="宋体" w:eastAsia="宋体" w:cs="宋体"/>
          <w:sz w:val="24"/>
          <w:szCs w:val="24"/>
        </w:rPr>
      </w:pPr>
      <w:r>
        <w:rPr>
          <w:rFonts w:hint="eastAsia" w:ascii="宋体" w:hAnsi="宋体" w:eastAsia="宋体" w:cs="宋体"/>
          <w:sz w:val="24"/>
          <w:szCs w:val="24"/>
        </w:rPr>
        <w:t>　　监理人认为有必要时，承包人应按监理人指示的内容和期限，并根据合同进度计划的进度控制要求，编制单位工程进度计划，提交监理人审批。</w:t>
      </w:r>
    </w:p>
    <w:p>
      <w:pPr>
        <w:pStyle w:val="26"/>
        <w:rPr>
          <w:rFonts w:hint="eastAsia" w:ascii="宋体" w:hAnsi="宋体" w:eastAsia="宋体" w:cs="宋体"/>
          <w:sz w:val="24"/>
          <w:szCs w:val="24"/>
        </w:rPr>
      </w:pPr>
      <w:r>
        <w:rPr>
          <w:rFonts w:hint="eastAsia" w:ascii="宋体" w:hAnsi="宋体" w:eastAsia="宋体" w:cs="宋体"/>
          <w:sz w:val="24"/>
          <w:szCs w:val="24"/>
        </w:rPr>
        <w:t>　10.4　提交资金流估算表</w:t>
      </w:r>
    </w:p>
    <w:p>
      <w:pPr>
        <w:pStyle w:val="26"/>
        <w:rPr>
          <w:rFonts w:hint="eastAsia" w:ascii="宋体" w:hAnsi="宋体" w:eastAsia="宋体" w:cs="宋体"/>
          <w:sz w:val="24"/>
          <w:szCs w:val="24"/>
        </w:rPr>
      </w:pPr>
      <w:r>
        <w:rPr>
          <w:rFonts w:hint="eastAsia" w:ascii="宋体" w:hAnsi="宋体" w:eastAsia="宋体" w:cs="宋体"/>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26"/>
        <w:rPr>
          <w:rFonts w:hint="eastAsia" w:ascii="宋体" w:hAnsi="宋体" w:eastAsia="宋体" w:cs="宋体"/>
          <w:sz w:val="24"/>
          <w:szCs w:val="24"/>
        </w:rPr>
      </w:pPr>
    </w:p>
    <w:p>
      <w:pPr>
        <w:pStyle w:val="26"/>
        <w:jc w:val="center"/>
        <w:rPr>
          <w:rFonts w:hint="eastAsia" w:ascii="宋体" w:hAnsi="宋体" w:eastAsia="宋体" w:cs="宋体"/>
          <w:b/>
          <w:sz w:val="24"/>
          <w:szCs w:val="24"/>
        </w:rPr>
      </w:pPr>
      <w:r>
        <w:rPr>
          <w:rFonts w:hint="eastAsia" w:ascii="宋体" w:hAnsi="宋体" w:eastAsia="宋体" w:cs="宋体"/>
          <w:b/>
          <w:sz w:val="24"/>
          <w:szCs w:val="24"/>
        </w:rPr>
        <w:t>资金流估算表(参考格式)</w:t>
      </w:r>
    </w:p>
    <w:p>
      <w:pPr>
        <w:pStyle w:val="26"/>
        <w:jc w:val="right"/>
        <w:rPr>
          <w:rFonts w:hint="eastAsia" w:ascii="宋体" w:hAnsi="宋体" w:eastAsia="宋体" w:cs="宋体"/>
          <w:sz w:val="24"/>
          <w:szCs w:val="24"/>
        </w:rPr>
      </w:pPr>
      <w:r>
        <w:rPr>
          <w:rFonts w:hint="eastAsia" w:ascii="宋体" w:hAnsi="宋体" w:eastAsia="宋体" w:cs="宋体"/>
          <w:sz w:val="24"/>
          <w:szCs w:val="24"/>
        </w:rPr>
        <w:t>金额单位</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6"/>
        <w:gridCol w:w="991"/>
        <w:gridCol w:w="1276"/>
        <w:gridCol w:w="1443"/>
        <w:gridCol w:w="934"/>
        <w:gridCol w:w="934"/>
        <w:gridCol w:w="800"/>
        <w:gridCol w:w="85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年</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月</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工程</w:t>
            </w:r>
          </w:p>
          <w:p>
            <w:pPr>
              <w:pStyle w:val="26"/>
              <w:jc w:val="center"/>
              <w:rPr>
                <w:rFonts w:hint="eastAsia" w:ascii="宋体" w:hAnsi="宋体" w:eastAsia="宋体" w:cs="宋体"/>
                <w:sz w:val="24"/>
                <w:szCs w:val="24"/>
              </w:rPr>
            </w:pPr>
            <w:r>
              <w:rPr>
                <w:rFonts w:hint="eastAsia" w:ascii="宋体" w:hAnsi="宋体" w:eastAsia="宋体" w:cs="宋体"/>
                <w:sz w:val="24"/>
                <w:szCs w:val="24"/>
              </w:rPr>
              <w:t>预付款</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完成工作量付款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质量保证金扣留</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材料款扣除</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预付款扣还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其它</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应收款</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r>
              <w:rPr>
                <w:rFonts w:hint="eastAsia" w:ascii="宋体" w:hAnsi="宋体" w:eastAsia="宋体" w:cs="宋体"/>
                <w:sz w:val="24"/>
                <w:szCs w:val="24"/>
              </w:rPr>
              <w:t>累计</w:t>
            </w:r>
          </w:p>
          <w:p>
            <w:pPr>
              <w:pStyle w:val="26"/>
              <w:jc w:val="center"/>
              <w:rPr>
                <w:rFonts w:hint="eastAsia" w:ascii="宋体" w:hAnsi="宋体" w:eastAsia="宋体" w:cs="宋体"/>
                <w:sz w:val="24"/>
                <w:szCs w:val="24"/>
              </w:rPr>
            </w:pPr>
            <w:r>
              <w:rPr>
                <w:rFonts w:hint="eastAsia" w:ascii="宋体" w:hAnsi="宋体" w:eastAsia="宋体" w:cs="宋体"/>
                <w:sz w:val="24"/>
                <w:szCs w:val="24"/>
              </w:rPr>
              <w:t>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6"/>
              <w:jc w:val="center"/>
              <w:rPr>
                <w:rFonts w:hint="eastAsia" w:ascii="宋体" w:hAnsi="宋体" w:eastAsia="宋体" w:cs="宋体"/>
                <w:sz w:val="24"/>
                <w:szCs w:val="24"/>
              </w:rPr>
            </w:pPr>
          </w:p>
        </w:tc>
      </w:tr>
    </w:tbl>
    <w:p>
      <w:pPr>
        <w:pStyle w:val="26"/>
        <w:rPr>
          <w:rFonts w:hint="eastAsia" w:ascii="宋体" w:hAnsi="宋体" w:eastAsia="宋体" w:cs="宋体"/>
          <w:b/>
          <w:sz w:val="24"/>
          <w:szCs w:val="24"/>
        </w:rPr>
      </w:pPr>
      <w:bookmarkStart w:id="169" w:name="第04章合同条款及格式0111"/>
      <w:bookmarkEnd w:id="169"/>
      <w:r>
        <w:rPr>
          <w:rFonts w:hint="eastAsia" w:ascii="宋体" w:hAnsi="宋体" w:eastAsia="宋体" w:cs="宋体"/>
          <w:b/>
          <w:sz w:val="24"/>
          <w:szCs w:val="24"/>
        </w:rPr>
        <w:t>11　开工和竣工(完工)</w:t>
      </w:r>
    </w:p>
    <w:p>
      <w:pPr>
        <w:pStyle w:val="26"/>
        <w:rPr>
          <w:rFonts w:hint="eastAsia" w:ascii="宋体" w:hAnsi="宋体" w:eastAsia="宋体" w:cs="宋体"/>
          <w:sz w:val="24"/>
          <w:szCs w:val="24"/>
        </w:rPr>
      </w:pPr>
      <w:r>
        <w:rPr>
          <w:rFonts w:hint="eastAsia" w:ascii="宋体" w:hAnsi="宋体" w:eastAsia="宋体" w:cs="宋体"/>
          <w:sz w:val="24"/>
          <w:szCs w:val="24"/>
        </w:rPr>
        <w:t>　11.1　开工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11.1.1监理人应在开工日期7天前向承包人发出开工通知。监理人在发出开工通知前应获得发包人同意。工期自监理人发出的开工通知中载明的开工日期起计算。承包人应在开工日期后尽快施工。</w:t>
      </w:r>
    </w:p>
    <w:p>
      <w:pPr>
        <w:pStyle w:val="26"/>
        <w:spacing w:line="400" w:lineRule="exact"/>
        <w:ind w:firstLine="480" w:firstLineChars="200"/>
        <w:rPr>
          <w:rFonts w:hint="eastAsia" w:ascii="宋体" w:hAnsi="宋体" w:eastAsia="宋体" w:cs="宋体"/>
          <w:sz w:val="24"/>
          <w:szCs w:val="24"/>
          <w:shd w:val="pct10" w:color="auto" w:fill="FFFFFF"/>
        </w:rPr>
      </w:pPr>
      <w:r>
        <w:rPr>
          <w:rFonts w:hint="eastAsia" w:ascii="宋体" w:hAnsi="宋体" w:eastAsia="宋体" w:cs="宋体"/>
          <w:sz w:val="24"/>
          <w:szCs w:val="24"/>
        </w:rPr>
        <w:t>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26"/>
        <w:rPr>
          <w:rFonts w:hint="eastAsia" w:ascii="宋体" w:hAnsi="宋体" w:eastAsia="宋体" w:cs="宋体"/>
          <w:sz w:val="24"/>
          <w:szCs w:val="24"/>
        </w:rPr>
      </w:pPr>
      <w:r>
        <w:rPr>
          <w:rFonts w:hint="eastAsia" w:ascii="宋体" w:hAnsi="宋体" w:eastAsia="宋体" w:cs="宋体"/>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pPr>
        <w:pStyle w:val="26"/>
        <w:rPr>
          <w:rFonts w:hint="eastAsia" w:ascii="宋体" w:hAnsi="宋体" w:eastAsia="宋体" w:cs="宋体"/>
          <w:sz w:val="24"/>
          <w:szCs w:val="24"/>
        </w:rPr>
      </w:pPr>
      <w:r>
        <w:rPr>
          <w:rFonts w:hint="eastAsia" w:ascii="宋体" w:hAnsi="宋体" w:eastAsia="宋体" w:cs="宋体"/>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26"/>
        <w:rPr>
          <w:rFonts w:hint="eastAsia" w:ascii="宋体" w:hAnsi="宋体" w:eastAsia="宋体" w:cs="宋体"/>
          <w:sz w:val="24"/>
          <w:szCs w:val="24"/>
        </w:rPr>
      </w:pPr>
      <w:r>
        <w:rPr>
          <w:rFonts w:hint="eastAsia" w:ascii="宋体" w:hAnsi="宋体" w:eastAsia="宋体" w:cs="宋体"/>
          <w:color w:val="FF0000"/>
          <w:sz w:val="24"/>
          <w:szCs w:val="24"/>
        </w:rPr>
        <w:t>　</w:t>
      </w:r>
      <w:r>
        <w:rPr>
          <w:rFonts w:hint="eastAsia" w:ascii="宋体" w:hAnsi="宋体" w:eastAsia="宋体" w:cs="宋体"/>
          <w:sz w:val="24"/>
          <w:szCs w:val="24"/>
        </w:rPr>
        <w:t>11.2　竣工(完工)</w:t>
      </w:r>
    </w:p>
    <w:p>
      <w:pPr>
        <w:pStyle w:val="26"/>
        <w:ind w:firstLine="420"/>
        <w:rPr>
          <w:rFonts w:hint="eastAsia" w:ascii="宋体" w:hAnsi="宋体" w:eastAsia="宋体" w:cs="宋体"/>
          <w:sz w:val="24"/>
          <w:szCs w:val="24"/>
        </w:rPr>
      </w:pPr>
      <w:r>
        <w:rPr>
          <w:rFonts w:hint="eastAsia" w:ascii="宋体" w:hAnsi="宋体" w:eastAsia="宋体" w:cs="宋体"/>
          <w:sz w:val="24"/>
          <w:szCs w:val="24"/>
        </w:rPr>
        <w:t>承包人应在第1.1.4.3目约定的期限内完成合同工程。合同工程实际完工日期在合同工程完工证书中明确。</w:t>
      </w:r>
      <w:bookmarkStart w:id="170" w:name="_Toc179632703"/>
      <w:bookmarkStart w:id="171" w:name="_Toc144974653"/>
      <w:bookmarkStart w:id="172" w:name="_Toc152045685"/>
      <w:bookmarkStart w:id="173" w:name="_Toc152042463"/>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11.3发包人的工期延误</w:t>
      </w:r>
      <w:bookmarkEnd w:id="170"/>
      <w:bookmarkEnd w:id="171"/>
      <w:bookmarkEnd w:id="172"/>
      <w:bookmarkEnd w:id="17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在履行合同过程中，由于发包人的下列原因造成工期延误的，承包人有权要求发包人延长工期和（或）增加费用，并支付合理利润。需要修订合同进度计划的，按照第10.2款的约定办理。</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（1）增加合同工作内容；</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（3）发包人迟延提供材料、工程设备或变更交货地点的；</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（5）提供图纸延误；</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Style w:val="26"/>
        <w:ind w:firstLine="360" w:firstLineChars="150"/>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Style w:val="26"/>
        <w:rPr>
          <w:rFonts w:hint="eastAsia" w:ascii="宋体" w:hAnsi="宋体" w:eastAsia="宋体" w:cs="宋体"/>
          <w:sz w:val="24"/>
          <w:szCs w:val="24"/>
        </w:rPr>
      </w:pPr>
      <w:r>
        <w:rPr>
          <w:rFonts w:hint="eastAsia" w:ascii="宋体" w:hAnsi="宋体" w:eastAsia="宋体" w:cs="宋体"/>
          <w:sz w:val="24"/>
          <w:szCs w:val="24"/>
        </w:rPr>
        <w:t>　11.4　异常恶劣的气候条件</w:t>
      </w:r>
    </w:p>
    <w:p>
      <w:pPr>
        <w:pStyle w:val="26"/>
        <w:rPr>
          <w:rFonts w:hint="eastAsia" w:ascii="宋体" w:hAnsi="宋体" w:eastAsia="宋体" w:cs="宋体"/>
          <w:sz w:val="24"/>
          <w:szCs w:val="24"/>
        </w:rPr>
      </w:pPr>
      <w:r>
        <w:rPr>
          <w:rFonts w:hint="eastAsia" w:ascii="宋体" w:hAnsi="宋体" w:eastAsia="宋体" w:cs="宋体"/>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26"/>
        <w:rPr>
          <w:rFonts w:hint="eastAsia" w:ascii="宋体" w:hAnsi="宋体" w:eastAsia="宋体" w:cs="宋体"/>
          <w:sz w:val="24"/>
          <w:szCs w:val="24"/>
        </w:rPr>
      </w:pPr>
      <w:r>
        <w:rPr>
          <w:rFonts w:hint="eastAsia" w:ascii="宋体" w:hAnsi="宋体" w:eastAsia="宋体" w:cs="宋体"/>
          <w:sz w:val="24"/>
          <w:szCs w:val="24"/>
        </w:rPr>
        <w:t>　　11.4.2　异常恶劣气候条件造成的工期延误和工程损坏，应由发包人与承包人参照本合同通用合同条款第21.3款的约定协商处理。</w:t>
      </w:r>
    </w:p>
    <w:p>
      <w:pPr>
        <w:pStyle w:val="26"/>
        <w:ind w:firstLine="420"/>
        <w:rPr>
          <w:rFonts w:hint="eastAsia" w:ascii="宋体" w:hAnsi="宋体" w:eastAsia="宋体" w:cs="宋体"/>
          <w:sz w:val="24"/>
          <w:szCs w:val="24"/>
        </w:rPr>
      </w:pPr>
      <w:r>
        <w:rPr>
          <w:rFonts w:hint="eastAsia" w:ascii="宋体" w:hAnsi="宋体" w:eastAsia="宋体" w:cs="宋体"/>
          <w:sz w:val="24"/>
          <w:szCs w:val="24"/>
        </w:rPr>
        <w:t>11.4.3　本合同工程界定异常恶劣气候条件的范围在专用合同条款中约定。</w:t>
      </w:r>
      <w:bookmarkStart w:id="174" w:name="_Toc152042465"/>
      <w:bookmarkStart w:id="175" w:name="_Toc152045687"/>
      <w:bookmarkStart w:id="176" w:name="_Toc144974655"/>
      <w:bookmarkStart w:id="177" w:name="_Toc179632705"/>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11.5承包人的工期延误</w:t>
      </w:r>
      <w:bookmarkEnd w:id="174"/>
      <w:bookmarkEnd w:id="175"/>
      <w:bookmarkEnd w:id="176"/>
      <w:bookmarkEnd w:id="17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26"/>
        <w:rPr>
          <w:rFonts w:hint="eastAsia" w:ascii="宋体" w:hAnsi="宋体" w:eastAsia="宋体" w:cs="宋体"/>
          <w:sz w:val="24"/>
          <w:szCs w:val="24"/>
        </w:rPr>
      </w:pPr>
      <w:r>
        <w:rPr>
          <w:rFonts w:hint="eastAsia" w:ascii="宋体" w:hAnsi="宋体" w:eastAsia="宋体" w:cs="宋体"/>
          <w:sz w:val="24"/>
          <w:szCs w:val="24"/>
        </w:rPr>
        <w:t>　11.6　工期提前</w:t>
      </w:r>
    </w:p>
    <w:p>
      <w:pPr>
        <w:pStyle w:val="26"/>
        <w:rPr>
          <w:rFonts w:hint="eastAsia" w:ascii="宋体" w:hAnsi="宋体" w:eastAsia="宋体" w:cs="宋体"/>
          <w:sz w:val="24"/>
          <w:szCs w:val="24"/>
        </w:rPr>
      </w:pPr>
      <w:r>
        <w:rPr>
          <w:rFonts w:hint="eastAsia" w:ascii="宋体" w:hAnsi="宋体" w:eastAsia="宋体" w:cs="宋体"/>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26"/>
        <w:rPr>
          <w:rFonts w:hint="eastAsia" w:ascii="宋体" w:hAnsi="宋体" w:eastAsia="宋体" w:cs="宋体"/>
          <w:sz w:val="24"/>
          <w:szCs w:val="24"/>
        </w:rPr>
      </w:pPr>
      <w:r>
        <w:rPr>
          <w:rFonts w:hint="eastAsia" w:ascii="宋体" w:hAnsi="宋体" w:eastAsia="宋体" w:cs="宋体"/>
          <w:sz w:val="24"/>
          <w:szCs w:val="24"/>
        </w:rPr>
        <w:t>　　发包人要求提前完工的，双方协商一致后应签订提前完工协议，协议内容包括：</w:t>
      </w:r>
    </w:p>
    <w:p>
      <w:pPr>
        <w:pStyle w:val="26"/>
        <w:rPr>
          <w:rFonts w:hint="eastAsia" w:ascii="宋体" w:hAnsi="宋体" w:eastAsia="宋体" w:cs="宋体"/>
          <w:sz w:val="24"/>
          <w:szCs w:val="24"/>
        </w:rPr>
      </w:pPr>
      <w:r>
        <w:rPr>
          <w:rFonts w:hint="eastAsia" w:ascii="宋体" w:hAnsi="宋体" w:eastAsia="宋体" w:cs="宋体"/>
          <w:sz w:val="24"/>
          <w:szCs w:val="24"/>
        </w:rPr>
        <w:t>　　(1)提前的时间和修订后的进度计划；</w:t>
      </w:r>
    </w:p>
    <w:p>
      <w:pPr>
        <w:pStyle w:val="26"/>
        <w:rPr>
          <w:rFonts w:hint="eastAsia" w:ascii="宋体" w:hAnsi="宋体" w:eastAsia="宋体" w:cs="宋体"/>
          <w:sz w:val="24"/>
          <w:szCs w:val="24"/>
        </w:rPr>
      </w:pPr>
      <w:r>
        <w:rPr>
          <w:rFonts w:hint="eastAsia" w:ascii="宋体" w:hAnsi="宋体" w:eastAsia="宋体" w:cs="宋体"/>
          <w:sz w:val="24"/>
          <w:szCs w:val="24"/>
        </w:rPr>
        <w:t>　　(2)承包人的赶工措施；</w:t>
      </w:r>
    </w:p>
    <w:p>
      <w:pPr>
        <w:pStyle w:val="26"/>
        <w:rPr>
          <w:rFonts w:hint="eastAsia" w:ascii="宋体" w:hAnsi="宋体" w:eastAsia="宋体" w:cs="宋体"/>
          <w:sz w:val="24"/>
          <w:szCs w:val="24"/>
        </w:rPr>
      </w:pPr>
      <w:r>
        <w:rPr>
          <w:rFonts w:hint="eastAsia" w:ascii="宋体" w:hAnsi="宋体" w:eastAsia="宋体" w:cs="宋体"/>
          <w:sz w:val="24"/>
          <w:szCs w:val="24"/>
        </w:rPr>
        <w:t>　　(3)发包人为赶工提供的条件；</w:t>
      </w:r>
    </w:p>
    <w:p>
      <w:pPr>
        <w:pStyle w:val="26"/>
        <w:rPr>
          <w:rFonts w:hint="eastAsia" w:ascii="宋体" w:hAnsi="宋体" w:eastAsia="宋体" w:cs="宋体"/>
          <w:sz w:val="24"/>
          <w:szCs w:val="24"/>
        </w:rPr>
      </w:pPr>
      <w:r>
        <w:rPr>
          <w:rFonts w:hint="eastAsia" w:ascii="宋体" w:hAnsi="宋体" w:eastAsia="宋体" w:cs="宋体"/>
          <w:sz w:val="24"/>
          <w:szCs w:val="24"/>
        </w:rPr>
        <w:t>　　(4)赶工费用(包括利润和奖金)。</w:t>
      </w:r>
    </w:p>
    <w:p>
      <w:pPr>
        <w:pStyle w:val="26"/>
        <w:rPr>
          <w:rFonts w:hint="eastAsia" w:ascii="宋体" w:hAnsi="宋体" w:eastAsia="宋体" w:cs="宋体"/>
          <w:b/>
          <w:sz w:val="24"/>
          <w:szCs w:val="24"/>
        </w:rPr>
      </w:pPr>
      <w:bookmarkStart w:id="178" w:name="第04章合同条款及格式0112"/>
      <w:bookmarkEnd w:id="178"/>
      <w:r>
        <w:rPr>
          <w:rFonts w:hint="eastAsia" w:ascii="宋体" w:hAnsi="宋体" w:eastAsia="宋体" w:cs="宋体"/>
          <w:b/>
          <w:sz w:val="24"/>
          <w:szCs w:val="24"/>
        </w:rPr>
        <w:t>12　暂停施工</w:t>
      </w:r>
      <w:bookmarkStart w:id="179" w:name="_Toc179632708"/>
      <w:bookmarkStart w:id="180" w:name="_Toc144974659"/>
      <w:bookmarkStart w:id="181" w:name="_Toc152045690"/>
      <w:bookmarkStart w:id="182" w:name="_Toc152042468"/>
    </w:p>
    <w:p>
      <w:pPr>
        <w:pStyle w:val="26"/>
        <w:ind w:firstLine="240" w:firstLineChars="100"/>
        <w:rPr>
          <w:rFonts w:hint="eastAsia" w:ascii="宋体" w:hAnsi="宋体" w:eastAsia="宋体" w:cs="宋体"/>
          <w:b/>
          <w:sz w:val="24"/>
          <w:szCs w:val="24"/>
        </w:rPr>
      </w:pPr>
      <w:r>
        <w:rPr>
          <w:rFonts w:hint="eastAsia" w:ascii="宋体" w:hAnsi="宋体" w:eastAsia="宋体" w:cs="宋体"/>
          <w:sz w:val="24"/>
          <w:szCs w:val="24"/>
        </w:rPr>
        <w:t>12.1承包人暂停施工的责任</w:t>
      </w:r>
      <w:bookmarkEnd w:id="179"/>
      <w:bookmarkEnd w:id="180"/>
      <w:bookmarkEnd w:id="181"/>
      <w:bookmarkEnd w:id="182"/>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因下列暂停施工增加的费用和（或）工期延误由承包人承担：</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（1）承包人违约引起的暂停施工；</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（2）由于承包人原因为工程合理施工和安全保障所必需的暂停施工；</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（3）承包人擅自暂停施工；</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（4）承包人其他原因引起的暂停施工；</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（5）专用合同条款约定由承包人承担的其他暂停施工。</w:t>
      </w:r>
    </w:p>
    <w:p>
      <w:pPr>
        <w:pStyle w:val="26"/>
        <w:rPr>
          <w:rFonts w:hint="eastAsia" w:ascii="宋体" w:hAnsi="宋体" w:eastAsia="宋体" w:cs="宋体"/>
          <w:sz w:val="24"/>
          <w:szCs w:val="24"/>
        </w:rPr>
      </w:pPr>
      <w:r>
        <w:rPr>
          <w:rFonts w:hint="eastAsia" w:ascii="宋体" w:hAnsi="宋体" w:eastAsia="宋体" w:cs="宋体"/>
          <w:sz w:val="24"/>
          <w:szCs w:val="24"/>
        </w:rPr>
        <w:t>　12.2　发包人暂停施工的责任</w:t>
      </w:r>
    </w:p>
    <w:p>
      <w:pPr>
        <w:pStyle w:val="26"/>
        <w:rPr>
          <w:rFonts w:hint="eastAsia" w:ascii="宋体" w:hAnsi="宋体" w:eastAsia="宋体" w:cs="宋体"/>
          <w:sz w:val="24"/>
          <w:szCs w:val="24"/>
        </w:rPr>
      </w:pPr>
      <w:r>
        <w:rPr>
          <w:rFonts w:hint="eastAsia" w:ascii="宋体" w:hAnsi="宋体" w:eastAsia="宋体" w:cs="宋体"/>
          <w:sz w:val="24"/>
          <w:szCs w:val="24"/>
        </w:rPr>
        <w:t>　　由于发包人原因引起的暂停施工造成工期延误的，承包人有权要求发包人延长工期和(或)增加费用，并支付合理利润。</w:t>
      </w:r>
    </w:p>
    <w:p>
      <w:pPr>
        <w:pStyle w:val="26"/>
        <w:rPr>
          <w:rFonts w:hint="eastAsia" w:ascii="宋体" w:hAnsi="宋体" w:eastAsia="宋体" w:cs="宋体"/>
          <w:sz w:val="24"/>
          <w:szCs w:val="24"/>
        </w:rPr>
      </w:pPr>
      <w:r>
        <w:rPr>
          <w:rFonts w:hint="eastAsia" w:ascii="宋体" w:hAnsi="宋体" w:eastAsia="宋体" w:cs="宋体"/>
          <w:sz w:val="24"/>
          <w:szCs w:val="24"/>
        </w:rPr>
        <w:t>　　属于下列任何一种情况引起的暂停施工，均为发包人的责任：</w:t>
      </w:r>
    </w:p>
    <w:p>
      <w:pPr>
        <w:pStyle w:val="26"/>
        <w:rPr>
          <w:rFonts w:hint="eastAsia" w:ascii="宋体" w:hAnsi="宋体" w:eastAsia="宋体" w:cs="宋体"/>
          <w:sz w:val="24"/>
          <w:szCs w:val="24"/>
        </w:rPr>
      </w:pPr>
      <w:r>
        <w:rPr>
          <w:rFonts w:hint="eastAsia" w:ascii="宋体" w:hAnsi="宋体" w:eastAsia="宋体" w:cs="宋体"/>
          <w:sz w:val="24"/>
          <w:szCs w:val="24"/>
        </w:rPr>
        <w:t>　　(1)由于发包人违约引起的暂停施工；</w:t>
      </w:r>
    </w:p>
    <w:p>
      <w:pPr>
        <w:pStyle w:val="26"/>
        <w:rPr>
          <w:rFonts w:hint="eastAsia" w:ascii="宋体" w:hAnsi="宋体" w:eastAsia="宋体" w:cs="宋体"/>
          <w:sz w:val="24"/>
          <w:szCs w:val="24"/>
        </w:rPr>
      </w:pPr>
      <w:r>
        <w:rPr>
          <w:rFonts w:hint="eastAsia" w:ascii="宋体" w:hAnsi="宋体" w:eastAsia="宋体" w:cs="宋体"/>
          <w:sz w:val="24"/>
          <w:szCs w:val="24"/>
        </w:rPr>
        <w:t>　　(2)由于不可抗力的自然或社会因素引起的暂停施工；</w:t>
      </w:r>
    </w:p>
    <w:p>
      <w:pPr>
        <w:pStyle w:val="26"/>
        <w:ind w:firstLine="420"/>
        <w:rPr>
          <w:rFonts w:hint="eastAsia" w:ascii="宋体" w:hAnsi="宋体" w:eastAsia="宋体" w:cs="宋体"/>
          <w:sz w:val="24"/>
          <w:szCs w:val="24"/>
        </w:rPr>
      </w:pPr>
      <w:r>
        <w:rPr>
          <w:rFonts w:hint="eastAsia" w:ascii="宋体" w:hAnsi="宋体" w:eastAsia="宋体" w:cs="宋体"/>
          <w:sz w:val="24"/>
          <w:szCs w:val="24"/>
        </w:rPr>
        <w:t>(3)专用合同条款中约定的其它由于发包人原因引起的暂停施工。</w:t>
      </w:r>
      <w:bookmarkStart w:id="183" w:name="_Toc152042470"/>
      <w:bookmarkStart w:id="184" w:name="_Toc144974661"/>
      <w:bookmarkStart w:id="185" w:name="_Toc152045692"/>
      <w:bookmarkStart w:id="186" w:name="_Toc179632710"/>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12.3监理人暂停施工指示</w:t>
      </w:r>
      <w:bookmarkEnd w:id="183"/>
      <w:bookmarkEnd w:id="184"/>
      <w:bookmarkEnd w:id="185"/>
      <w:bookmarkEnd w:id="186"/>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12.3.1监理人认为有必要时，可向承包人作出暂停施工的指示，承包人应按监理人指示暂停施工。不论由于何种原因引起的暂停施工，暂停施工期间承包人应负责妥善保护工程并提供安全保障。</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bookmarkStart w:id="187" w:name="_Toc179632711"/>
      <w:bookmarkStart w:id="188" w:name="_Toc152042471"/>
      <w:bookmarkStart w:id="189" w:name="_Toc152045693"/>
      <w:bookmarkStart w:id="190" w:name="_Toc144974662"/>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12.4暂停施工后的复工</w:t>
      </w:r>
      <w:bookmarkEnd w:id="187"/>
      <w:bookmarkEnd w:id="188"/>
      <w:bookmarkEnd w:id="189"/>
      <w:bookmarkEnd w:id="19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12.4.2承包人无故拖延和拒绝复工的，由此增加的费用和工期延误由承包人承担；因发包人原因无法按时复工的，承包人有权要求发包人延长工期和（或）增加费用，并支付合理利润。</w:t>
      </w:r>
      <w:bookmarkStart w:id="191" w:name="_Toc144974663"/>
      <w:bookmarkStart w:id="192" w:name="_Toc152045694"/>
      <w:bookmarkStart w:id="193" w:name="_Toc179632712"/>
      <w:bookmarkStart w:id="194" w:name="_Toc152042472"/>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12.5暂停施工持续56天以上</w:t>
      </w:r>
      <w:bookmarkEnd w:id="191"/>
      <w:bookmarkEnd w:id="192"/>
      <w:bookmarkEnd w:id="193"/>
      <w:bookmarkEnd w:id="194"/>
    </w:p>
    <w:p>
      <w:pPr>
        <w:pStyle w:val="26"/>
        <w:spacing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12.5.2由于承包人责任引起的暂停施工，如承包人在收到监理人暂停施工指示后56天内不认真采取有效的复工措施，造成工期延误，可视为承包人违约，应按第22.1款的规定办理。</w:t>
      </w:r>
    </w:p>
    <w:p>
      <w:pPr>
        <w:pStyle w:val="26"/>
        <w:ind w:firstLine="420"/>
        <w:rPr>
          <w:rFonts w:hint="eastAsia" w:ascii="宋体" w:hAnsi="宋体" w:eastAsia="宋体" w:cs="宋体"/>
          <w:sz w:val="24"/>
          <w:szCs w:val="24"/>
        </w:rPr>
      </w:pPr>
    </w:p>
    <w:p>
      <w:pPr>
        <w:pStyle w:val="26"/>
        <w:rPr>
          <w:rFonts w:hint="eastAsia" w:ascii="宋体" w:hAnsi="宋体" w:eastAsia="宋体" w:cs="宋体"/>
          <w:b/>
          <w:sz w:val="24"/>
          <w:szCs w:val="24"/>
        </w:rPr>
      </w:pPr>
      <w:bookmarkStart w:id="195" w:name="第04章合同条款及格式0113"/>
      <w:bookmarkEnd w:id="195"/>
      <w:r>
        <w:rPr>
          <w:rFonts w:hint="eastAsia" w:ascii="宋体" w:hAnsi="宋体" w:eastAsia="宋体" w:cs="宋体"/>
          <w:b/>
          <w:sz w:val="24"/>
          <w:szCs w:val="24"/>
        </w:rPr>
        <w:t>13　工程质量</w:t>
      </w:r>
      <w:bookmarkStart w:id="196" w:name="_Toc179632714"/>
      <w:bookmarkStart w:id="197" w:name="_Toc144974665"/>
      <w:bookmarkStart w:id="198" w:name="_Toc152042474"/>
      <w:bookmarkStart w:id="199" w:name="_Toc152045696"/>
    </w:p>
    <w:p>
      <w:pPr>
        <w:pStyle w:val="26"/>
        <w:ind w:firstLine="240" w:firstLineChars="100"/>
        <w:rPr>
          <w:rFonts w:hint="eastAsia" w:ascii="宋体" w:hAnsi="宋体" w:eastAsia="宋体" w:cs="宋体"/>
          <w:b/>
          <w:sz w:val="24"/>
          <w:szCs w:val="24"/>
        </w:rPr>
      </w:pPr>
      <w:r>
        <w:rPr>
          <w:rFonts w:hint="eastAsia" w:ascii="宋体" w:hAnsi="宋体" w:eastAsia="宋体" w:cs="宋体"/>
          <w:sz w:val="24"/>
          <w:szCs w:val="24"/>
        </w:rPr>
        <w:t>13.1工程质量要求</w:t>
      </w:r>
      <w:bookmarkEnd w:id="196"/>
      <w:bookmarkEnd w:id="197"/>
      <w:bookmarkEnd w:id="198"/>
      <w:bookmarkEnd w:id="19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13.1.1工程质量验收按合同约定验收标准执行。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13.1.2因承包人原因造成工程质量达不到合同约定验收标准的，监理人有权要求承包人返工直至符合合同要求为止，由此造成的费用增加和（或）工期延误由承包人承担。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13.1.3因发包人原因造成工程质量达不到合同约定验收标准的，发包人应承担由于承包人返工造成的费用增加和（或）工期延误，并支付承包人合理利润。</w:t>
      </w:r>
    </w:p>
    <w:p>
      <w:pPr>
        <w:pStyle w:val="26"/>
        <w:rPr>
          <w:rFonts w:hint="eastAsia" w:ascii="宋体" w:hAnsi="宋体" w:eastAsia="宋体" w:cs="宋体"/>
          <w:sz w:val="24"/>
          <w:szCs w:val="24"/>
        </w:rPr>
      </w:pPr>
    </w:p>
    <w:p>
      <w:pPr>
        <w:pStyle w:val="26"/>
        <w:rPr>
          <w:rFonts w:hint="eastAsia" w:ascii="宋体" w:hAnsi="宋体" w:eastAsia="宋体" w:cs="宋体"/>
          <w:sz w:val="24"/>
          <w:szCs w:val="24"/>
        </w:rPr>
      </w:pPr>
      <w:r>
        <w:rPr>
          <w:rFonts w:hint="eastAsia" w:ascii="宋体" w:hAnsi="宋体" w:eastAsia="宋体" w:cs="宋体"/>
          <w:sz w:val="24"/>
          <w:szCs w:val="24"/>
        </w:rPr>
        <w:t>　13.2　承包人的质量管理</w:t>
      </w:r>
    </w:p>
    <w:p>
      <w:pPr>
        <w:pStyle w:val="26"/>
        <w:ind w:firstLine="420"/>
        <w:rPr>
          <w:rFonts w:hint="eastAsia" w:ascii="宋体" w:hAnsi="宋体" w:eastAsia="宋体" w:cs="宋体"/>
          <w:sz w:val="24"/>
          <w:szCs w:val="24"/>
        </w:rPr>
      </w:pPr>
      <w:r>
        <w:rPr>
          <w:rFonts w:hint="eastAsia" w:ascii="宋体" w:hAnsi="宋体" w:eastAsia="宋体" w:cs="宋体"/>
          <w:sz w:val="24"/>
          <w:szCs w:val="24"/>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13.2.2承包人应加强对施工人员的质量教育和技术培训，定期考核施工人员的劳动技能，严格执行规范和操作规程。</w:t>
      </w:r>
      <w:bookmarkStart w:id="200" w:name="_Toc152045698"/>
      <w:bookmarkStart w:id="201" w:name="_Toc144974667"/>
      <w:bookmarkStart w:id="202" w:name="_Toc179632716"/>
      <w:bookmarkStart w:id="203" w:name="_Toc152042476"/>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13.3承包人的质量检查</w:t>
      </w:r>
      <w:bookmarkEnd w:id="200"/>
      <w:bookmarkEnd w:id="201"/>
      <w:bookmarkEnd w:id="202"/>
      <w:bookmarkEnd w:id="20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承包人应按合同约定对材料、工程设备以及工程的所有部位及其施工工艺进行全过程的质量检查和检验，并作详细记录，编制工程质量报表，报送监理人审查。</w:t>
      </w:r>
      <w:bookmarkStart w:id="204" w:name="_Toc152045699"/>
      <w:bookmarkStart w:id="205" w:name="_Toc144974668"/>
      <w:bookmarkStart w:id="206" w:name="_Toc152042477"/>
      <w:bookmarkStart w:id="207" w:name="_Toc179632717"/>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13.4监理人的质量检查</w:t>
      </w:r>
      <w:bookmarkEnd w:id="204"/>
      <w:bookmarkEnd w:id="205"/>
      <w:bookmarkEnd w:id="206"/>
      <w:bookmarkEnd w:id="20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bookmarkStart w:id="208" w:name="_Toc152042478"/>
      <w:bookmarkStart w:id="209" w:name="_Toc152045700"/>
      <w:bookmarkStart w:id="210" w:name="_Toc144974669"/>
      <w:bookmarkStart w:id="211" w:name="_Toc179632718"/>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13.5工程隐蔽部位覆盖前的检查</w:t>
      </w:r>
      <w:bookmarkEnd w:id="208"/>
      <w:bookmarkEnd w:id="209"/>
      <w:bookmarkEnd w:id="210"/>
      <w:bookmarkEnd w:id="211"/>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13.5.1通知监理人检查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13.5.2监理人未到场检查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13.5.3监理人重新检查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13.5.4承包人私自覆盖</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承包人未通知监理人到场检查，私自将工程隐蔽部位覆盖的，监理人有权指示承包人钻孔探测或揭开检查，由此增加的费用和（或）工期延误由承包人承担。</w:t>
      </w:r>
      <w:bookmarkStart w:id="212" w:name="_Toc179632719"/>
      <w:bookmarkStart w:id="213" w:name="_Toc144974670"/>
      <w:bookmarkStart w:id="214" w:name="_Toc152045701"/>
      <w:bookmarkStart w:id="215" w:name="_Toc152042479"/>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13.6清除不合格工程</w:t>
      </w:r>
      <w:bookmarkEnd w:id="212"/>
      <w:bookmarkEnd w:id="213"/>
      <w:bookmarkEnd w:id="214"/>
      <w:bookmarkEnd w:id="21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13.6.2由于发包人提供的材料或工程设备不合格造成的工程不合格，需要承包人采取措施补救的，发包人应承担由此增加的费用和（或）工期延误，并支付承包人合理利润。</w:t>
      </w:r>
    </w:p>
    <w:p>
      <w:pPr>
        <w:pStyle w:val="26"/>
        <w:ind w:firstLine="420"/>
        <w:rPr>
          <w:rFonts w:hint="eastAsia" w:ascii="宋体" w:hAnsi="宋体" w:eastAsia="宋体" w:cs="宋体"/>
          <w:sz w:val="24"/>
          <w:szCs w:val="24"/>
        </w:rPr>
      </w:pPr>
    </w:p>
    <w:p>
      <w:pPr>
        <w:pStyle w:val="26"/>
        <w:rPr>
          <w:rFonts w:hint="eastAsia" w:ascii="宋体" w:hAnsi="宋体" w:eastAsia="宋体" w:cs="宋体"/>
          <w:sz w:val="24"/>
          <w:szCs w:val="24"/>
        </w:rPr>
      </w:pPr>
      <w:r>
        <w:rPr>
          <w:rFonts w:hint="eastAsia" w:ascii="宋体" w:hAnsi="宋体" w:eastAsia="宋体" w:cs="宋体"/>
          <w:sz w:val="24"/>
          <w:szCs w:val="24"/>
        </w:rPr>
        <w:t>　13.7　质量评定</w:t>
      </w:r>
    </w:p>
    <w:p>
      <w:pPr>
        <w:pStyle w:val="26"/>
        <w:rPr>
          <w:rFonts w:hint="eastAsia" w:ascii="宋体" w:hAnsi="宋体" w:eastAsia="宋体" w:cs="宋体"/>
          <w:sz w:val="24"/>
          <w:szCs w:val="24"/>
        </w:rPr>
      </w:pPr>
      <w:r>
        <w:rPr>
          <w:rFonts w:hint="eastAsia" w:ascii="宋体" w:hAnsi="宋体" w:eastAsia="宋体" w:cs="宋体"/>
          <w:sz w:val="24"/>
          <w:szCs w:val="24"/>
        </w:rPr>
        <w:t>　　13.7.1　发包人应组织承包人进行工程项目划分，并确定单位工程、主要分部工程、重要隐蔽单元工程和关键部位单元工程。</w:t>
      </w:r>
    </w:p>
    <w:p>
      <w:pPr>
        <w:pStyle w:val="26"/>
        <w:rPr>
          <w:rFonts w:hint="eastAsia" w:ascii="宋体" w:hAnsi="宋体" w:eastAsia="宋体" w:cs="宋体"/>
          <w:sz w:val="24"/>
          <w:szCs w:val="24"/>
        </w:rPr>
      </w:pPr>
      <w:r>
        <w:rPr>
          <w:rFonts w:hint="eastAsia" w:ascii="宋体" w:hAnsi="宋体" w:eastAsia="宋体" w:cs="宋体"/>
          <w:sz w:val="24"/>
          <w:szCs w:val="24"/>
        </w:rPr>
        <w:t>　　13.7.2　工程实施过程中，单位工程、主要分部工程、重要隐蔽单元工程和关键部位单元工程的项目划分需要调整时，承包人应报发包人确认。</w:t>
      </w:r>
    </w:p>
    <w:p>
      <w:pPr>
        <w:pStyle w:val="26"/>
        <w:rPr>
          <w:rFonts w:hint="eastAsia" w:ascii="宋体" w:hAnsi="宋体" w:eastAsia="宋体" w:cs="宋体"/>
          <w:sz w:val="24"/>
          <w:szCs w:val="24"/>
        </w:rPr>
      </w:pPr>
      <w:r>
        <w:rPr>
          <w:rFonts w:hint="eastAsia" w:ascii="宋体" w:hAnsi="宋体" w:eastAsia="宋体" w:cs="宋体"/>
          <w:sz w:val="24"/>
          <w:szCs w:val="24"/>
        </w:rPr>
        <w:t>　　13.7.3　承包人应在单元(工序)工程质量自评合格后，报监理人核定质量等级并签证认可。</w:t>
      </w:r>
    </w:p>
    <w:p>
      <w:pPr>
        <w:pStyle w:val="26"/>
        <w:rPr>
          <w:rFonts w:hint="eastAsia" w:ascii="宋体" w:hAnsi="宋体" w:eastAsia="宋体" w:cs="宋体"/>
          <w:sz w:val="24"/>
          <w:szCs w:val="24"/>
        </w:rPr>
      </w:pPr>
      <w:r>
        <w:rPr>
          <w:rFonts w:hint="eastAsia" w:ascii="宋体" w:hAnsi="宋体" w:eastAsia="宋体" w:cs="宋体"/>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pStyle w:val="26"/>
        <w:rPr>
          <w:rFonts w:hint="eastAsia" w:ascii="宋体" w:hAnsi="宋体" w:eastAsia="宋体" w:cs="宋体"/>
          <w:sz w:val="24"/>
          <w:szCs w:val="24"/>
        </w:rPr>
      </w:pPr>
      <w:r>
        <w:rPr>
          <w:rFonts w:hint="eastAsia" w:ascii="宋体" w:hAnsi="宋体" w:eastAsia="宋体" w:cs="宋体"/>
          <w:sz w:val="24"/>
          <w:szCs w:val="24"/>
        </w:rPr>
        <w:t>　　13.7.5　承包人应在分部工程质量自评合格后，报监理人复核和发包人认定。发包人负责按有关规定完成分部工程质量结论报工程质量监督机构核备(核定)手续。</w:t>
      </w:r>
    </w:p>
    <w:p>
      <w:pPr>
        <w:pStyle w:val="26"/>
        <w:rPr>
          <w:rFonts w:hint="eastAsia" w:ascii="宋体" w:hAnsi="宋体" w:eastAsia="宋体" w:cs="宋体"/>
          <w:sz w:val="24"/>
          <w:szCs w:val="24"/>
        </w:rPr>
      </w:pPr>
      <w:r>
        <w:rPr>
          <w:rFonts w:hint="eastAsia" w:ascii="宋体" w:hAnsi="宋体" w:eastAsia="宋体" w:cs="宋体"/>
          <w:sz w:val="24"/>
          <w:szCs w:val="24"/>
        </w:rPr>
        <w:t>　　13.7.6　承包人应在单位工程质量自评合格后，报监理人复核和发包人认定。发包人负责按有关规定完成单位工程质量结论报工程质量监督机构核定手续。</w:t>
      </w:r>
    </w:p>
    <w:p>
      <w:pPr>
        <w:pStyle w:val="26"/>
        <w:rPr>
          <w:rFonts w:hint="eastAsia" w:ascii="宋体" w:hAnsi="宋体" w:eastAsia="宋体" w:cs="宋体"/>
          <w:sz w:val="24"/>
          <w:szCs w:val="24"/>
        </w:rPr>
      </w:pPr>
      <w:r>
        <w:rPr>
          <w:rFonts w:hint="eastAsia" w:ascii="宋体" w:hAnsi="宋体" w:eastAsia="宋体" w:cs="宋体"/>
          <w:sz w:val="24"/>
          <w:szCs w:val="24"/>
        </w:rPr>
        <w:t>　　13.7.7　除专用合同条款另有约定外，工程质量等级分为合格和优良，应分别达到约定的标准。</w:t>
      </w:r>
    </w:p>
    <w:p>
      <w:pPr>
        <w:pStyle w:val="26"/>
        <w:rPr>
          <w:rFonts w:hint="eastAsia" w:ascii="宋体" w:hAnsi="宋体" w:eastAsia="宋体" w:cs="宋体"/>
          <w:sz w:val="24"/>
          <w:szCs w:val="24"/>
        </w:rPr>
      </w:pPr>
      <w:r>
        <w:rPr>
          <w:rFonts w:hint="eastAsia" w:ascii="宋体" w:hAnsi="宋体" w:eastAsia="宋体" w:cs="宋体"/>
          <w:sz w:val="24"/>
          <w:szCs w:val="24"/>
        </w:rPr>
        <w:t>　13.8　质量事故处理</w:t>
      </w:r>
    </w:p>
    <w:p>
      <w:pPr>
        <w:pStyle w:val="26"/>
        <w:rPr>
          <w:rFonts w:hint="eastAsia" w:ascii="宋体" w:hAnsi="宋体" w:eastAsia="宋体" w:cs="宋体"/>
          <w:sz w:val="24"/>
          <w:szCs w:val="24"/>
        </w:rPr>
      </w:pPr>
      <w:r>
        <w:rPr>
          <w:rFonts w:hint="eastAsia" w:ascii="宋体" w:hAnsi="宋体" w:eastAsia="宋体" w:cs="宋体"/>
          <w:sz w:val="24"/>
          <w:szCs w:val="24"/>
        </w:rPr>
        <w:t>　　13.8.1　发生质量事故时，承包人应及时向发包人和监理人报告。</w:t>
      </w:r>
    </w:p>
    <w:p>
      <w:pPr>
        <w:pStyle w:val="26"/>
        <w:rPr>
          <w:rFonts w:hint="eastAsia" w:ascii="宋体" w:hAnsi="宋体" w:eastAsia="宋体" w:cs="宋体"/>
          <w:sz w:val="24"/>
          <w:szCs w:val="24"/>
        </w:rPr>
      </w:pPr>
      <w:r>
        <w:rPr>
          <w:rFonts w:hint="eastAsia" w:ascii="宋体" w:hAnsi="宋体" w:eastAsia="宋体" w:cs="宋体"/>
          <w:sz w:val="24"/>
          <w:szCs w:val="24"/>
        </w:rPr>
        <w:t>　　13.8.2　质量事故调查处理由发包人按相关规定履行手续，承包人应配合。</w:t>
      </w:r>
    </w:p>
    <w:p>
      <w:pPr>
        <w:pStyle w:val="26"/>
        <w:rPr>
          <w:rFonts w:hint="eastAsia" w:ascii="宋体" w:hAnsi="宋体" w:eastAsia="宋体" w:cs="宋体"/>
          <w:sz w:val="24"/>
          <w:szCs w:val="24"/>
        </w:rPr>
      </w:pPr>
      <w:r>
        <w:rPr>
          <w:rFonts w:hint="eastAsia" w:ascii="宋体" w:hAnsi="宋体" w:eastAsia="宋体" w:cs="宋体"/>
          <w:sz w:val="24"/>
          <w:szCs w:val="24"/>
        </w:rPr>
        <w:t>　　13.8.3　承包人应对质量缺陷进行备案。发包人委托监理人对质量缺陷备案情况进行监督检查并履行相关手续。</w:t>
      </w:r>
    </w:p>
    <w:p>
      <w:pPr>
        <w:pStyle w:val="26"/>
        <w:rPr>
          <w:rFonts w:hint="eastAsia" w:ascii="宋体" w:hAnsi="宋体" w:eastAsia="宋体" w:cs="宋体"/>
          <w:sz w:val="24"/>
          <w:szCs w:val="24"/>
        </w:rPr>
      </w:pPr>
      <w:r>
        <w:rPr>
          <w:rFonts w:hint="eastAsia" w:ascii="宋体" w:hAnsi="宋体" w:eastAsia="宋体" w:cs="宋体"/>
          <w:sz w:val="24"/>
          <w:szCs w:val="24"/>
        </w:rPr>
        <w:t>　　13.8.4　除专用合同条款另有约定外，工程竣工验收时，发包人负责向竣工验收委员会汇报并提交历次质量缺陷处理的备案资料。</w:t>
      </w:r>
    </w:p>
    <w:p>
      <w:pPr>
        <w:pStyle w:val="26"/>
        <w:rPr>
          <w:rFonts w:hint="eastAsia" w:ascii="宋体" w:hAnsi="宋体" w:eastAsia="宋体" w:cs="宋体"/>
          <w:b/>
          <w:sz w:val="24"/>
          <w:szCs w:val="24"/>
        </w:rPr>
      </w:pPr>
      <w:bookmarkStart w:id="216" w:name="第04章合同条款及格式0114"/>
      <w:bookmarkEnd w:id="216"/>
      <w:r>
        <w:rPr>
          <w:rFonts w:hint="eastAsia" w:ascii="宋体" w:hAnsi="宋体" w:eastAsia="宋体" w:cs="宋体"/>
          <w:b/>
          <w:sz w:val="24"/>
          <w:szCs w:val="24"/>
        </w:rPr>
        <w:t>14　试验和检验</w:t>
      </w:r>
    </w:p>
    <w:p>
      <w:pPr>
        <w:pStyle w:val="26"/>
        <w:rPr>
          <w:rFonts w:hint="eastAsia" w:ascii="宋体" w:hAnsi="宋体" w:eastAsia="宋体" w:cs="宋体"/>
          <w:sz w:val="24"/>
          <w:szCs w:val="24"/>
        </w:rPr>
      </w:pPr>
      <w:r>
        <w:rPr>
          <w:rFonts w:hint="eastAsia" w:ascii="宋体" w:hAnsi="宋体" w:eastAsia="宋体" w:cs="宋体"/>
          <w:sz w:val="24"/>
          <w:szCs w:val="24"/>
        </w:rPr>
        <w:t>　14.1　材料、工程设备和工程的试验和检验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14.1.2监理人未按合同约定派员参加试验和检验的，除监理人另有指示外，承包人可自行试验和检验，并应立即将试验和检验结果报送监理人，监理人应签字确认。</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26"/>
        <w:rPr>
          <w:rFonts w:hint="eastAsia" w:ascii="宋体" w:hAnsi="宋体" w:eastAsia="宋体" w:cs="宋体"/>
          <w:sz w:val="24"/>
          <w:szCs w:val="24"/>
        </w:rPr>
      </w:pPr>
    </w:p>
    <w:p>
      <w:pPr>
        <w:pStyle w:val="26"/>
        <w:rPr>
          <w:rFonts w:hint="eastAsia" w:ascii="宋体" w:hAnsi="宋体" w:eastAsia="宋体" w:cs="宋体"/>
          <w:sz w:val="24"/>
          <w:szCs w:val="24"/>
        </w:rPr>
      </w:pPr>
      <w:r>
        <w:rPr>
          <w:rFonts w:hint="eastAsia" w:ascii="宋体" w:hAnsi="宋体" w:eastAsia="宋体" w:cs="宋体"/>
          <w:sz w:val="24"/>
          <w:szCs w:val="24"/>
        </w:rPr>
        <w:t>　　14.1.4　承包人应按相关规定和标准对水泥、钢材等原材料与中间产品质量进行检验，并报监理人复核。</w:t>
      </w:r>
    </w:p>
    <w:p>
      <w:pPr>
        <w:pStyle w:val="26"/>
        <w:rPr>
          <w:rFonts w:hint="eastAsia" w:ascii="宋体" w:hAnsi="宋体" w:eastAsia="宋体" w:cs="宋体"/>
          <w:sz w:val="24"/>
          <w:szCs w:val="24"/>
        </w:rPr>
      </w:pPr>
      <w:r>
        <w:rPr>
          <w:rFonts w:hint="eastAsia" w:ascii="宋体" w:hAnsi="宋体" w:eastAsia="宋体" w:cs="宋体"/>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26"/>
        <w:ind w:firstLine="420"/>
        <w:rPr>
          <w:rFonts w:hint="eastAsia" w:ascii="宋体" w:hAnsi="宋体" w:eastAsia="宋体" w:cs="宋体"/>
          <w:sz w:val="24"/>
          <w:szCs w:val="24"/>
        </w:rPr>
      </w:pPr>
      <w:r>
        <w:rPr>
          <w:rFonts w:hint="eastAsia" w:ascii="宋体" w:hAnsi="宋体" w:eastAsia="宋体" w:cs="宋体"/>
          <w:sz w:val="24"/>
          <w:szCs w:val="24"/>
        </w:rPr>
        <w:t>14.1.6　对专用合同条款约定的试块、试件及有关材料，监理人实行见证取样。见证取样资料由承包人制备，记录应真实齐全，监理人、承包人等参与见证取样人员均应在相关文件上签字。</w:t>
      </w:r>
      <w:bookmarkStart w:id="217" w:name="_Toc152042482"/>
      <w:bookmarkStart w:id="218" w:name="_Toc179632722"/>
      <w:bookmarkStart w:id="219" w:name="_Toc152045704"/>
      <w:bookmarkStart w:id="220" w:name="_Toc144974673"/>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14.2现场材料试验</w:t>
      </w:r>
      <w:bookmarkEnd w:id="217"/>
      <w:bookmarkEnd w:id="218"/>
      <w:bookmarkEnd w:id="219"/>
      <w:bookmarkEnd w:id="22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14.2.1承包人根据合同约定或监理人指示进行的现场材料试验，应由承包人提供试验场所、试验人员、试验设备器材以及其他必要的试验条件。</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14.2.2监理人在必要时可以使用承包人的试验场所、试验设备器材以及其他试验条件，进行以工程质量检查为目的的复核性材料试验，承包人应予以协助。</w:t>
      </w:r>
      <w:bookmarkStart w:id="221" w:name="_Toc179632723"/>
      <w:bookmarkStart w:id="222" w:name="_Toc152042483"/>
      <w:bookmarkStart w:id="223" w:name="_Toc152045705"/>
      <w:bookmarkStart w:id="224" w:name="_Toc144974674"/>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14.3现场工艺试验</w:t>
      </w:r>
      <w:bookmarkEnd w:id="221"/>
      <w:bookmarkEnd w:id="222"/>
      <w:bookmarkEnd w:id="223"/>
      <w:bookmarkEnd w:id="22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pStyle w:val="26"/>
        <w:ind w:firstLine="420"/>
        <w:rPr>
          <w:rFonts w:hint="eastAsia" w:ascii="宋体" w:hAnsi="宋体" w:eastAsia="宋体" w:cs="宋体"/>
          <w:sz w:val="24"/>
          <w:szCs w:val="24"/>
        </w:rPr>
      </w:pPr>
    </w:p>
    <w:p>
      <w:pPr>
        <w:pStyle w:val="26"/>
        <w:rPr>
          <w:rFonts w:hint="eastAsia" w:ascii="宋体" w:hAnsi="宋体" w:eastAsia="宋体" w:cs="宋体"/>
          <w:b/>
          <w:sz w:val="24"/>
          <w:szCs w:val="24"/>
        </w:rPr>
      </w:pPr>
      <w:bookmarkStart w:id="225" w:name="第04章合同条款及格式0115"/>
      <w:bookmarkEnd w:id="225"/>
      <w:r>
        <w:rPr>
          <w:rFonts w:hint="eastAsia" w:ascii="宋体" w:hAnsi="宋体" w:eastAsia="宋体" w:cs="宋体"/>
          <w:b/>
          <w:sz w:val="24"/>
          <w:szCs w:val="24"/>
        </w:rPr>
        <w:t>15　变更</w:t>
      </w:r>
      <w:bookmarkStart w:id="226" w:name="_Toc152042485"/>
      <w:bookmarkStart w:id="227" w:name="_Toc152045707"/>
      <w:bookmarkStart w:id="228" w:name="_Toc179632725"/>
      <w:bookmarkStart w:id="229" w:name="_Toc144974676"/>
    </w:p>
    <w:bookmarkEnd w:id="226"/>
    <w:bookmarkEnd w:id="227"/>
    <w:bookmarkEnd w:id="228"/>
    <w:bookmarkEnd w:id="229"/>
    <w:p>
      <w:pPr>
        <w:pStyle w:val="26"/>
        <w:ind w:firstLine="360" w:firstLineChars="150"/>
        <w:rPr>
          <w:rFonts w:hint="eastAsia" w:ascii="宋体" w:hAnsi="宋体" w:eastAsia="宋体" w:cs="宋体"/>
          <w:sz w:val="24"/>
          <w:szCs w:val="24"/>
        </w:rPr>
      </w:pPr>
      <w:r>
        <w:rPr>
          <w:rFonts w:hint="eastAsia" w:ascii="宋体" w:hAnsi="宋体" w:eastAsia="宋体" w:cs="宋体"/>
          <w:sz w:val="24"/>
          <w:szCs w:val="24"/>
        </w:rPr>
        <w:t>15.1　变更的范围和内容</w:t>
      </w:r>
    </w:p>
    <w:p>
      <w:pPr>
        <w:pStyle w:val="26"/>
        <w:rPr>
          <w:rFonts w:hint="eastAsia" w:ascii="宋体" w:hAnsi="宋体" w:eastAsia="宋体" w:cs="宋体"/>
          <w:sz w:val="24"/>
          <w:szCs w:val="24"/>
        </w:rPr>
      </w:pPr>
      <w:r>
        <w:rPr>
          <w:rFonts w:hint="eastAsia" w:ascii="宋体" w:hAnsi="宋体" w:eastAsia="宋体" w:cs="宋体"/>
          <w:sz w:val="24"/>
          <w:szCs w:val="24"/>
        </w:rPr>
        <w:t>　　在履行合同中发生以下情形之一，应按照本款规定进行变更。</w:t>
      </w:r>
    </w:p>
    <w:p>
      <w:pPr>
        <w:pStyle w:val="26"/>
        <w:rPr>
          <w:rFonts w:hint="eastAsia" w:ascii="宋体" w:hAnsi="宋体" w:eastAsia="宋体" w:cs="宋体"/>
          <w:sz w:val="24"/>
          <w:szCs w:val="24"/>
        </w:rPr>
      </w:pPr>
      <w:r>
        <w:rPr>
          <w:rFonts w:hint="eastAsia" w:ascii="宋体" w:hAnsi="宋体" w:eastAsia="宋体" w:cs="宋体"/>
          <w:sz w:val="24"/>
          <w:szCs w:val="24"/>
        </w:rPr>
        <w:t>　　(1)取消合同中任何一项工作，但被取消的工作不能转由发包人或其它人实施；</w:t>
      </w:r>
    </w:p>
    <w:p>
      <w:pPr>
        <w:pStyle w:val="26"/>
        <w:rPr>
          <w:rFonts w:hint="eastAsia" w:ascii="宋体" w:hAnsi="宋体" w:eastAsia="宋体" w:cs="宋体"/>
          <w:sz w:val="24"/>
          <w:szCs w:val="24"/>
        </w:rPr>
      </w:pPr>
      <w:r>
        <w:rPr>
          <w:rFonts w:hint="eastAsia" w:ascii="宋体" w:hAnsi="宋体" w:eastAsia="宋体" w:cs="宋体"/>
          <w:sz w:val="24"/>
          <w:szCs w:val="24"/>
        </w:rPr>
        <w:t>　　(2)改变合同中任何一项工作的质量或其它特性；</w:t>
      </w:r>
    </w:p>
    <w:p>
      <w:pPr>
        <w:pStyle w:val="26"/>
        <w:rPr>
          <w:rFonts w:hint="eastAsia" w:ascii="宋体" w:hAnsi="宋体" w:eastAsia="宋体" w:cs="宋体"/>
          <w:sz w:val="24"/>
          <w:szCs w:val="24"/>
        </w:rPr>
      </w:pPr>
      <w:r>
        <w:rPr>
          <w:rFonts w:hint="eastAsia" w:ascii="宋体" w:hAnsi="宋体" w:eastAsia="宋体" w:cs="宋体"/>
          <w:sz w:val="24"/>
          <w:szCs w:val="24"/>
        </w:rPr>
        <w:t>　　(3)改变合同工程的基线、标高、位置或尺寸；</w:t>
      </w:r>
    </w:p>
    <w:p>
      <w:pPr>
        <w:pStyle w:val="26"/>
        <w:rPr>
          <w:rFonts w:hint="eastAsia" w:ascii="宋体" w:hAnsi="宋体" w:eastAsia="宋体" w:cs="宋体"/>
          <w:sz w:val="24"/>
          <w:szCs w:val="24"/>
        </w:rPr>
      </w:pPr>
      <w:r>
        <w:rPr>
          <w:rFonts w:hint="eastAsia" w:ascii="宋体" w:hAnsi="宋体" w:eastAsia="宋体" w:cs="宋体"/>
          <w:sz w:val="24"/>
          <w:szCs w:val="24"/>
        </w:rPr>
        <w:t>　　(4)改变合同中任何一项工作的施工时间或改变已批准的施工工艺或顺序；</w:t>
      </w:r>
    </w:p>
    <w:p>
      <w:pPr>
        <w:pStyle w:val="26"/>
        <w:rPr>
          <w:rFonts w:hint="eastAsia" w:ascii="宋体" w:hAnsi="宋体" w:eastAsia="宋体" w:cs="宋体"/>
          <w:sz w:val="24"/>
          <w:szCs w:val="24"/>
        </w:rPr>
      </w:pPr>
      <w:r>
        <w:rPr>
          <w:rFonts w:hint="eastAsia" w:ascii="宋体" w:hAnsi="宋体" w:eastAsia="宋体" w:cs="宋体"/>
          <w:sz w:val="24"/>
          <w:szCs w:val="24"/>
        </w:rPr>
        <w:t>　　(5)为完成工程需要追加的额外工作；</w:t>
      </w:r>
    </w:p>
    <w:p>
      <w:pPr>
        <w:pStyle w:val="26"/>
        <w:rPr>
          <w:rFonts w:hint="eastAsia" w:ascii="宋体" w:hAnsi="宋体" w:eastAsia="宋体" w:cs="宋体"/>
          <w:sz w:val="24"/>
          <w:szCs w:val="24"/>
        </w:rPr>
      </w:pPr>
      <w:r>
        <w:rPr>
          <w:rFonts w:hint="eastAsia" w:ascii="宋体" w:hAnsi="宋体" w:eastAsia="宋体" w:cs="宋体"/>
          <w:sz w:val="24"/>
          <w:szCs w:val="24"/>
        </w:rPr>
        <w:t>　　(6)增加或减少专用合同条款中约定的关键项目工程量超过其工程总量的一定数量百分比。</w:t>
      </w:r>
    </w:p>
    <w:p>
      <w:pPr>
        <w:pStyle w:val="26"/>
        <w:ind w:firstLine="420"/>
        <w:rPr>
          <w:rFonts w:hint="eastAsia" w:ascii="宋体" w:hAnsi="宋体" w:eastAsia="宋体" w:cs="宋体"/>
          <w:sz w:val="24"/>
          <w:szCs w:val="24"/>
        </w:rPr>
      </w:pPr>
      <w:r>
        <w:rPr>
          <w:rFonts w:hint="eastAsia" w:ascii="宋体" w:hAnsi="宋体" w:eastAsia="宋体" w:cs="宋体"/>
          <w:sz w:val="24"/>
          <w:szCs w:val="24"/>
        </w:rPr>
        <w:t>上述第(1)～(6)目的变更内容引起工程施工组织和进度计划发生实质性变动和影响其原定的价格时，才予调整该项目的单价。第(6)目情形下单价调整方式在专用合同条款中约定。</w:t>
      </w:r>
      <w:bookmarkStart w:id="230" w:name="_Toc144974677"/>
      <w:bookmarkStart w:id="231" w:name="_Toc152045708"/>
      <w:bookmarkStart w:id="232" w:name="_Toc179632726"/>
      <w:bookmarkStart w:id="233" w:name="_Toc152042486"/>
    </w:p>
    <w:p>
      <w:pPr>
        <w:pStyle w:val="26"/>
        <w:ind w:firstLine="420"/>
        <w:rPr>
          <w:rFonts w:hint="eastAsia" w:ascii="宋体" w:hAnsi="宋体" w:eastAsia="宋体" w:cs="宋体"/>
          <w:sz w:val="24"/>
          <w:szCs w:val="24"/>
        </w:rPr>
      </w:pPr>
      <w:r>
        <w:rPr>
          <w:rFonts w:hint="eastAsia" w:ascii="宋体" w:hAnsi="宋体" w:eastAsia="宋体" w:cs="宋体"/>
          <w:sz w:val="24"/>
          <w:szCs w:val="24"/>
        </w:rPr>
        <w:t>15.2变更权</w:t>
      </w:r>
      <w:bookmarkEnd w:id="230"/>
      <w:bookmarkEnd w:id="231"/>
      <w:bookmarkEnd w:id="232"/>
      <w:bookmarkEnd w:id="23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在履行合同过程中，经发包人同意，监理人可按第15.3款约定的变更程序向承包人作出变更指示，承包人应遵照执行。没有监理人的变更指示，承包人不得擅自变更。</w:t>
      </w:r>
      <w:bookmarkStart w:id="234" w:name="_Toc152045709"/>
      <w:bookmarkStart w:id="235" w:name="_Toc144974678"/>
      <w:bookmarkStart w:id="236" w:name="_Toc152042487"/>
      <w:bookmarkStart w:id="237" w:name="_Toc17963272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15.3变更程序</w:t>
      </w:r>
      <w:bookmarkEnd w:id="234"/>
      <w:bookmarkEnd w:id="235"/>
      <w:bookmarkEnd w:id="236"/>
      <w:bookmarkEnd w:id="237"/>
    </w:p>
    <w:p>
      <w:pPr>
        <w:pStyle w:val="26"/>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15.3.1变更的提出</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（2）在合同履行过程中，发生第15.1款约定情形的，监理人应按照第15.3.3项约定向承包人发出变更指示。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（4）若承包人收到监理人的变更意向书后认为难以实施此项变更，应立即通知监理人，说明原因并附详细依据。监理人与承包人和发包人协商后确定撤销、改变或不改变原变更意向书。</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15.3.2变更估价</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（2）变更工作影响工期的，承包人应提出调整工期的具体细节。监理人认为有必要时，可要求承包人提交要求提前或延长工期的施工进度计划及相应施工措施等详细资料。</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（3）除专用合同条款对期限另有约定外，监理人收到承包人变更报价书后的14天内，根据第15.4款约定的估价原则，按照第3.5款商定或确定变更价格。</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15.3.3变更指示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（1）变更指示只能由监理人发出。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（2）变更指示应说明变更的目的、范围、变更内容以及变更的工程量及其进度和技术要求，并附有关图纸和文件。承包人收到变更指示后，应按变更指示进行变更工作。</w:t>
      </w:r>
      <w:bookmarkStart w:id="238" w:name="_Toc144974679"/>
      <w:bookmarkStart w:id="239" w:name="_Toc179632728"/>
      <w:bookmarkStart w:id="240" w:name="_Toc152042488"/>
      <w:bookmarkStart w:id="241" w:name="_Toc152045710"/>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15.4变更的估价原则</w:t>
      </w:r>
      <w:bookmarkEnd w:id="238"/>
      <w:bookmarkEnd w:id="239"/>
      <w:bookmarkEnd w:id="240"/>
      <w:bookmarkEnd w:id="24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15.4.1已标价工程量清单中有适用于变更工作的子目的，采用该子目的单价。</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15.4.2已标价工程量清单中无适用于变更工作的子目，但有类似子目的，可在合理范围内参照类似子目的单价，由监理人按第3.5款商定或确定变更工作的单价。</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15.4.3已标价工程量清单中无适用或类似子目的单价，可按照成本加利润的原则，由监理人按第3.5款商定或确定变更工作的单价。</w:t>
      </w:r>
      <w:bookmarkStart w:id="242" w:name="_Toc152045711"/>
      <w:bookmarkStart w:id="243" w:name="_Toc179632729"/>
      <w:bookmarkStart w:id="244" w:name="_Toc152042489"/>
      <w:bookmarkStart w:id="245" w:name="_Toc144974680"/>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15.5承包人的合理化建议</w:t>
      </w:r>
      <w:bookmarkEnd w:id="242"/>
      <w:bookmarkEnd w:id="243"/>
      <w:bookmarkEnd w:id="244"/>
      <w:bookmarkEnd w:id="24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15.5.2承包人提出的合理化建议降低了合同价格、缩短了工期或者提高了工程经济效益的，发包人可按国家有关规定在专用合同条款中约定给予奖励。</w:t>
      </w:r>
      <w:bookmarkStart w:id="246" w:name="_Toc152045712"/>
      <w:bookmarkStart w:id="247" w:name="_Toc179632730"/>
      <w:bookmarkStart w:id="248" w:name="_Toc152042490"/>
      <w:bookmarkStart w:id="249" w:name="_Toc144974681"/>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15.6暂列金额</w:t>
      </w:r>
      <w:bookmarkEnd w:id="246"/>
      <w:bookmarkEnd w:id="247"/>
      <w:bookmarkEnd w:id="248"/>
      <w:bookmarkEnd w:id="24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bookmarkStart w:id="250" w:name="_Toc152045713"/>
      <w:bookmarkStart w:id="251" w:name="_Toc144974682"/>
      <w:bookmarkStart w:id="252" w:name="_Toc152042491"/>
      <w:bookmarkStart w:id="253" w:name="_Toc179632731"/>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15.7计日工</w:t>
      </w:r>
      <w:bookmarkEnd w:id="250"/>
      <w:bookmarkEnd w:id="251"/>
      <w:bookmarkEnd w:id="252"/>
      <w:bookmarkEnd w:id="253"/>
    </w:p>
    <w:p>
      <w:pPr>
        <w:pStyle w:val="26"/>
        <w:spacing w:line="400" w:lineRule="exact"/>
        <w:ind w:firstLine="480" w:firstLineChars="200"/>
        <w:rPr>
          <w:rFonts w:hint="eastAsia" w:ascii="宋体" w:hAnsi="宋体" w:eastAsia="宋体" w:cs="宋体"/>
          <w:sz w:val="24"/>
          <w:szCs w:val="24"/>
          <w:shd w:val="pct10" w:color="auto" w:fill="FFFFFF"/>
        </w:rPr>
      </w:pPr>
      <w:r>
        <w:rPr>
          <w:rFonts w:hint="eastAsia" w:ascii="宋体" w:hAnsi="宋体" w:eastAsia="宋体" w:cs="宋体"/>
          <w:sz w:val="24"/>
          <w:szCs w:val="24"/>
        </w:rPr>
        <w:t>15.7.1发包人认为有必要时，由监理人通知承包人以计日工方式实施变更的零星工作。其价款按列入已标价工程量清单中的计日工计价子目及其单价进行计算。</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15.7.2采用计日工计价的任何一项变更工作，应从暂列金额中支付，承包人应在该项变更的实施过程中，每天提交以下报表和有关凭证报送监理人审批：</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（1）工作名称、内容和数量；</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15.7.3计日工由承包人汇总后，按第17.3.2项的约定列入进度付款申请单，由监理人复核并经发包人同意后列入进度付款。</w:t>
      </w:r>
    </w:p>
    <w:p>
      <w:pPr>
        <w:pStyle w:val="26"/>
        <w:rPr>
          <w:rFonts w:hint="eastAsia" w:ascii="宋体" w:hAnsi="宋体" w:eastAsia="宋体" w:cs="宋体"/>
          <w:sz w:val="24"/>
          <w:szCs w:val="24"/>
        </w:rPr>
      </w:pPr>
      <w:r>
        <w:rPr>
          <w:rFonts w:hint="eastAsia" w:ascii="宋体" w:hAnsi="宋体" w:eastAsia="宋体" w:cs="宋体"/>
          <w:sz w:val="24"/>
          <w:szCs w:val="24"/>
        </w:rPr>
        <w:t>　15.8　暂估价</w:t>
      </w:r>
    </w:p>
    <w:p>
      <w:pPr>
        <w:pStyle w:val="26"/>
        <w:ind w:firstLine="420"/>
        <w:rPr>
          <w:rFonts w:hint="eastAsia" w:ascii="宋体" w:hAnsi="宋体" w:eastAsia="宋体" w:cs="宋体"/>
          <w:sz w:val="24"/>
          <w:szCs w:val="24"/>
        </w:rPr>
      </w:pPr>
      <w:r>
        <w:rPr>
          <w:rFonts w:hint="eastAsia" w:ascii="宋体" w:hAnsi="宋体" w:eastAsia="宋体" w:cs="宋体"/>
          <w:sz w:val="24"/>
          <w:szCs w:val="24"/>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26"/>
        <w:ind w:firstLine="420"/>
        <w:rPr>
          <w:rFonts w:hint="eastAsia" w:ascii="宋体" w:hAnsi="宋体" w:eastAsia="宋体" w:cs="宋体"/>
          <w:sz w:val="24"/>
          <w:szCs w:val="24"/>
        </w:rPr>
      </w:pPr>
      <w:r>
        <w:rPr>
          <w:rFonts w:hint="eastAsia" w:ascii="宋体" w:hAnsi="宋体" w:eastAsia="宋体" w:cs="宋体"/>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26"/>
        <w:ind w:firstLine="420"/>
        <w:rPr>
          <w:rFonts w:hint="eastAsia" w:ascii="宋体" w:hAnsi="宋体" w:eastAsia="宋体" w:cs="宋体"/>
          <w:sz w:val="24"/>
          <w:szCs w:val="24"/>
        </w:rPr>
      </w:pPr>
    </w:p>
    <w:p>
      <w:pPr>
        <w:pStyle w:val="26"/>
        <w:rPr>
          <w:rFonts w:hint="eastAsia" w:ascii="宋体" w:hAnsi="宋体" w:eastAsia="宋体" w:cs="宋体"/>
          <w:b/>
          <w:sz w:val="24"/>
          <w:szCs w:val="24"/>
        </w:rPr>
      </w:pPr>
      <w:bookmarkStart w:id="254" w:name="第04章合同条款及格式0116"/>
      <w:bookmarkEnd w:id="254"/>
      <w:r>
        <w:rPr>
          <w:rFonts w:hint="eastAsia" w:ascii="宋体" w:hAnsi="宋体" w:eastAsia="宋体" w:cs="宋体"/>
          <w:b/>
          <w:sz w:val="24"/>
          <w:szCs w:val="24"/>
        </w:rPr>
        <w:t>16　价格调整</w:t>
      </w:r>
    </w:p>
    <w:p>
      <w:pPr>
        <w:pStyle w:val="26"/>
        <w:rPr>
          <w:rFonts w:hint="eastAsia" w:ascii="宋体" w:hAnsi="宋体" w:eastAsia="宋体" w:cs="宋体"/>
          <w:sz w:val="24"/>
          <w:szCs w:val="24"/>
        </w:rPr>
      </w:pPr>
      <w:r>
        <w:rPr>
          <w:rFonts w:hint="eastAsia" w:ascii="宋体" w:hAnsi="宋体" w:eastAsia="宋体" w:cs="宋体"/>
          <w:sz w:val="24"/>
          <w:szCs w:val="24"/>
        </w:rPr>
        <w:t>　　除专用合同条款另有约定外，因物价波动引起的价格调整按照本款约定处理。</w:t>
      </w:r>
    </w:p>
    <w:p>
      <w:pPr>
        <w:pStyle w:val="26"/>
        <w:rPr>
          <w:rFonts w:hint="eastAsia" w:ascii="宋体" w:hAnsi="宋体" w:eastAsia="宋体" w:cs="宋体"/>
          <w:sz w:val="24"/>
          <w:szCs w:val="24"/>
        </w:rPr>
      </w:pPr>
      <w:r>
        <w:rPr>
          <w:rFonts w:hint="eastAsia" w:ascii="宋体" w:hAnsi="宋体" w:eastAsia="宋体" w:cs="宋体"/>
          <w:sz w:val="24"/>
          <w:szCs w:val="24"/>
        </w:rPr>
        <w:t>　16.1　物价波动引起的价格调整</w:t>
      </w:r>
    </w:p>
    <w:p>
      <w:pPr>
        <w:pStyle w:val="26"/>
        <w:rPr>
          <w:rFonts w:hint="eastAsia" w:ascii="宋体" w:hAnsi="宋体" w:eastAsia="宋体" w:cs="宋体"/>
          <w:sz w:val="24"/>
          <w:szCs w:val="24"/>
        </w:rPr>
      </w:pPr>
      <w:r>
        <w:rPr>
          <w:rFonts w:hint="eastAsia" w:ascii="宋体" w:hAnsi="宋体" w:eastAsia="宋体" w:cs="宋体"/>
          <w:sz w:val="24"/>
          <w:szCs w:val="24"/>
        </w:rPr>
        <w:t>由于物价波动原因引起合同价格需要调整的，其价格调整方式在专用合同条款中约定。</w:t>
      </w:r>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16.1.1采用价格指数调整价格差额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16.1.1.1价格调整公式</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因人工、材料和设备等价格波动影响合同价格时，根据投标函附录中的价格指数和权重表约定的数据，按以下公式计算差额并调整合同价格。</w:t>
      </w:r>
    </w:p>
    <w:p>
      <w:pPr>
        <w:pStyle w:val="26"/>
        <w:autoSpaceDE w:val="0"/>
        <w:autoSpaceDN w:val="0"/>
        <w:adjustRightInd w:val="0"/>
        <w:spacing w:line="1200" w:lineRule="exact"/>
        <w:ind w:right="248" w:firstLine="955" w:firstLineChars="398"/>
        <w:rPr>
          <w:rFonts w:hint="eastAsia" w:ascii="宋体" w:hAnsi="宋体" w:eastAsia="宋体" w:cs="宋体"/>
          <w:sz w:val="24"/>
          <w:szCs w:val="24"/>
        </w:rPr>
      </w:pPr>
      <w:r>
        <w:rPr>
          <w:rFonts w:hint="eastAsia" w:ascii="宋体" w:hAnsi="宋体" w:eastAsia="宋体" w:cs="宋体"/>
          <w:position w:val="-34"/>
          <w:sz w:val="24"/>
          <w:szCs w:val="24"/>
        </w:rPr>
        <w:object>
          <v:shape id="_x0000_i1025" o:spt="75" type="#_x0000_t75" style="height:39.75pt;width:306pt;" o:ole="t" filled="f" o:preferrelative="t" stroked="f" coordsize="21600,21600">
            <v:path/>
            <v:fill on="f" focussize="0,0"/>
            <v:stroke on="f"/>
            <v:imagedata r:id="rId21" o:title=""/>
            <o:lock v:ext="edit" aspectratio="t"/>
            <w10:wrap type="none"/>
            <w10:anchorlock/>
          </v:shape>
          <o:OLEObject Type="Embed" ProgID="Equation.3" ShapeID="_x0000_i1025" DrawAspect="Content" ObjectID="_1468075725" r:id="rId20">
            <o:LockedField>false</o:LockedField>
          </o:OLEObject>
        </w:object>
      </w:r>
    </w:p>
    <w:p>
      <w:pPr>
        <w:pStyle w:val="26"/>
        <w:tabs>
          <w:tab w:val="left" w:pos="1260"/>
        </w:tabs>
        <w:spacing w:line="400" w:lineRule="exact"/>
        <w:ind w:firstLine="480" w:firstLineChars="200"/>
        <w:rPr>
          <w:rFonts w:hint="eastAsia" w:ascii="宋体" w:hAnsi="宋体" w:eastAsia="宋体" w:cs="宋体"/>
          <w:sz w:val="24"/>
          <w:szCs w:val="24"/>
          <w:lang w:eastAsia="zh-CN"/>
        </w:rPr>
      </w:pPr>
    </w:p>
    <w:p>
      <w:pPr>
        <w:pStyle w:val="26"/>
        <w:tabs>
          <w:tab w:val="left" w:pos="1260"/>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式中：△P--需调整的价格差额；</w:t>
      </w:r>
    </w:p>
    <w:p>
      <w:pPr>
        <w:pStyle w:val="26"/>
        <w:tabs>
          <w:tab w:val="left" w:pos="1260"/>
        </w:tabs>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P</w:t>
      </w:r>
      <w:r>
        <w:rPr>
          <w:rFonts w:hint="eastAsia" w:ascii="宋体" w:hAnsi="宋体" w:eastAsia="宋体" w:cs="宋体"/>
          <w:sz w:val="24"/>
          <w:szCs w:val="24"/>
          <w:vertAlign w:val="subscript"/>
        </w:rPr>
        <w:t>0</w:t>
      </w:r>
      <w:r>
        <w:rPr>
          <w:rFonts w:hint="eastAsia" w:ascii="宋体" w:hAnsi="宋体" w:eastAsia="宋体" w:cs="宋体"/>
          <w:sz w:val="24"/>
          <w:szCs w:val="24"/>
        </w:rPr>
        <w:t>--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26"/>
        <w:tabs>
          <w:tab w:val="left" w:pos="1260"/>
        </w:tabs>
        <w:spacing w:line="400" w:lineRule="exact"/>
        <w:rPr>
          <w:rFonts w:hint="eastAsia" w:ascii="宋体" w:hAnsi="宋体" w:eastAsia="宋体" w:cs="宋体"/>
          <w:sz w:val="24"/>
          <w:szCs w:val="24"/>
        </w:rPr>
      </w:pPr>
      <w:r>
        <w:rPr>
          <w:rFonts w:hint="eastAsia" w:ascii="宋体" w:hAnsi="宋体" w:eastAsia="宋体" w:cs="宋体"/>
          <w:sz w:val="24"/>
          <w:szCs w:val="24"/>
        </w:rPr>
        <w:tab/>
      </w:r>
      <w:bookmarkStart w:id="255" w:name="_Toc144974686"/>
      <w:bookmarkStart w:id="256" w:name="_Toc152042495"/>
      <w:r>
        <w:rPr>
          <w:rFonts w:hint="eastAsia" w:ascii="宋体" w:hAnsi="宋体" w:eastAsia="宋体" w:cs="宋体"/>
          <w:sz w:val="24"/>
          <w:szCs w:val="24"/>
        </w:rPr>
        <w:t>A--定值权重(即不调部分的权重)；</w:t>
      </w:r>
      <w:bookmarkEnd w:id="255"/>
      <w:bookmarkEnd w:id="256"/>
    </w:p>
    <w:p>
      <w:pPr>
        <w:pStyle w:val="26"/>
        <w:tabs>
          <w:tab w:val="left" w:pos="1260"/>
        </w:tabs>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B</w:t>
      </w:r>
      <w:r>
        <w:rPr>
          <w:rFonts w:hint="eastAsia" w:ascii="宋体" w:hAnsi="宋体" w:eastAsia="宋体" w:cs="宋体"/>
          <w:sz w:val="24"/>
          <w:szCs w:val="24"/>
          <w:vertAlign w:val="subscript"/>
        </w:rPr>
        <w:t>1</w:t>
      </w:r>
      <w:r>
        <w:rPr>
          <w:rFonts w:hint="eastAsia" w:ascii="宋体" w:hAnsi="宋体" w:eastAsia="宋体" w:cs="宋体"/>
          <w:sz w:val="24"/>
          <w:szCs w:val="24"/>
        </w:rPr>
        <w:t>;B</w:t>
      </w:r>
      <w:r>
        <w:rPr>
          <w:rFonts w:hint="eastAsia" w:ascii="宋体" w:hAnsi="宋体" w:eastAsia="宋体" w:cs="宋体"/>
          <w:sz w:val="24"/>
          <w:szCs w:val="24"/>
          <w:vertAlign w:val="subscript"/>
        </w:rPr>
        <w:t>2</w:t>
      </w:r>
      <w:r>
        <w:rPr>
          <w:rFonts w:hint="eastAsia" w:ascii="宋体" w:hAnsi="宋体" w:eastAsia="宋体" w:cs="宋体"/>
          <w:sz w:val="24"/>
          <w:szCs w:val="24"/>
        </w:rPr>
        <w:t>;B</w:t>
      </w:r>
      <w:r>
        <w:rPr>
          <w:rFonts w:hint="eastAsia" w:ascii="宋体" w:hAnsi="宋体" w:eastAsia="宋体" w:cs="宋体"/>
          <w:sz w:val="24"/>
          <w:szCs w:val="24"/>
          <w:vertAlign w:val="subscript"/>
        </w:rPr>
        <w:t>3</w:t>
      </w:r>
      <w:r>
        <w:rPr>
          <w:rFonts w:hint="eastAsia" w:ascii="宋体" w:hAnsi="宋体" w:eastAsia="宋体" w:cs="宋体"/>
          <w:sz w:val="24"/>
          <w:szCs w:val="24"/>
        </w:rPr>
        <w:t>·····B</w:t>
      </w:r>
      <w:r>
        <w:rPr>
          <w:rFonts w:hint="eastAsia" w:ascii="宋体" w:hAnsi="宋体" w:eastAsia="宋体" w:cs="宋体"/>
          <w:sz w:val="24"/>
          <w:szCs w:val="24"/>
          <w:vertAlign w:val="subscript"/>
        </w:rPr>
        <w:t>n</w:t>
      </w:r>
      <w:r>
        <w:rPr>
          <w:rFonts w:hint="eastAsia" w:ascii="宋体" w:hAnsi="宋体" w:eastAsia="宋体" w:cs="宋体"/>
          <w:sz w:val="24"/>
          <w:szCs w:val="24"/>
        </w:rPr>
        <w:t>--各可调因子的变值权重(即可调部分的权重)为各可调因子在投标函投标总报价中所占的比例；</w:t>
      </w:r>
    </w:p>
    <w:p>
      <w:pPr>
        <w:pStyle w:val="26"/>
        <w:tabs>
          <w:tab w:val="left" w:pos="1260"/>
        </w:tabs>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F</w:t>
      </w:r>
      <w:r>
        <w:rPr>
          <w:rFonts w:hint="eastAsia" w:ascii="宋体" w:hAnsi="宋体" w:eastAsia="宋体" w:cs="宋体"/>
          <w:sz w:val="24"/>
          <w:szCs w:val="24"/>
          <w:vertAlign w:val="subscript"/>
        </w:rPr>
        <w:t>t1</w:t>
      </w:r>
      <w:r>
        <w:rPr>
          <w:rFonts w:hint="eastAsia" w:ascii="宋体" w:hAnsi="宋体" w:eastAsia="宋体" w:cs="宋体"/>
          <w:sz w:val="24"/>
          <w:szCs w:val="24"/>
        </w:rPr>
        <w:t>;F</w:t>
      </w:r>
      <w:r>
        <w:rPr>
          <w:rFonts w:hint="eastAsia" w:ascii="宋体" w:hAnsi="宋体" w:eastAsia="宋体" w:cs="宋体"/>
          <w:sz w:val="24"/>
          <w:szCs w:val="24"/>
          <w:vertAlign w:val="subscript"/>
        </w:rPr>
        <w:t>t2</w:t>
      </w:r>
      <w:r>
        <w:rPr>
          <w:rFonts w:hint="eastAsia" w:ascii="宋体" w:hAnsi="宋体" w:eastAsia="宋体" w:cs="宋体"/>
          <w:sz w:val="24"/>
          <w:szCs w:val="24"/>
        </w:rPr>
        <w:t>;F</w:t>
      </w:r>
      <w:r>
        <w:rPr>
          <w:rFonts w:hint="eastAsia" w:ascii="宋体" w:hAnsi="宋体" w:eastAsia="宋体" w:cs="宋体"/>
          <w:sz w:val="24"/>
          <w:szCs w:val="24"/>
          <w:vertAlign w:val="subscript"/>
        </w:rPr>
        <w:t>t3</w:t>
      </w:r>
      <w:r>
        <w:rPr>
          <w:rFonts w:hint="eastAsia" w:ascii="宋体" w:hAnsi="宋体" w:eastAsia="宋体" w:cs="宋体"/>
          <w:sz w:val="24"/>
          <w:szCs w:val="24"/>
        </w:rPr>
        <w:t>·····F</w:t>
      </w:r>
      <w:r>
        <w:rPr>
          <w:rFonts w:hint="eastAsia" w:ascii="宋体" w:hAnsi="宋体" w:eastAsia="宋体" w:cs="宋体"/>
          <w:sz w:val="24"/>
          <w:szCs w:val="24"/>
          <w:vertAlign w:val="subscript"/>
        </w:rPr>
        <w:t>tn</w:t>
      </w:r>
      <w:r>
        <w:rPr>
          <w:rFonts w:hint="eastAsia" w:ascii="宋体" w:hAnsi="宋体" w:eastAsia="宋体" w:cs="宋体"/>
          <w:sz w:val="24"/>
          <w:szCs w:val="24"/>
        </w:rPr>
        <w:t>--各可调因子的现行价格指数，指第17.3.3项、第17.5.2项和第17.6.2项约定的付款证书相关周期最后一天的前42天的各可调因子的价格指数；</w:t>
      </w:r>
    </w:p>
    <w:p>
      <w:pPr>
        <w:pStyle w:val="26"/>
        <w:tabs>
          <w:tab w:val="left" w:pos="1260"/>
        </w:tabs>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F</w:t>
      </w:r>
      <w:r>
        <w:rPr>
          <w:rFonts w:hint="eastAsia" w:ascii="宋体" w:hAnsi="宋体" w:eastAsia="宋体" w:cs="宋体"/>
          <w:sz w:val="24"/>
          <w:szCs w:val="24"/>
          <w:vertAlign w:val="subscript"/>
        </w:rPr>
        <w:t>o1</w:t>
      </w:r>
      <w:r>
        <w:rPr>
          <w:rFonts w:hint="eastAsia" w:ascii="宋体" w:hAnsi="宋体" w:eastAsia="宋体" w:cs="宋体"/>
          <w:sz w:val="24"/>
          <w:szCs w:val="24"/>
        </w:rPr>
        <w:t>;F</w:t>
      </w:r>
      <w:r>
        <w:rPr>
          <w:rFonts w:hint="eastAsia" w:ascii="宋体" w:hAnsi="宋体" w:eastAsia="宋体" w:cs="宋体"/>
          <w:sz w:val="24"/>
          <w:szCs w:val="24"/>
          <w:vertAlign w:val="subscript"/>
        </w:rPr>
        <w:t>o2</w:t>
      </w:r>
      <w:r>
        <w:rPr>
          <w:rFonts w:hint="eastAsia" w:ascii="宋体" w:hAnsi="宋体" w:eastAsia="宋体" w:cs="宋体"/>
          <w:sz w:val="24"/>
          <w:szCs w:val="24"/>
        </w:rPr>
        <w:t>;F</w:t>
      </w:r>
      <w:r>
        <w:rPr>
          <w:rFonts w:hint="eastAsia" w:ascii="宋体" w:hAnsi="宋体" w:eastAsia="宋体" w:cs="宋体"/>
          <w:sz w:val="24"/>
          <w:szCs w:val="24"/>
          <w:vertAlign w:val="subscript"/>
        </w:rPr>
        <w:t>o3</w:t>
      </w:r>
      <w:r>
        <w:rPr>
          <w:rFonts w:hint="eastAsia" w:ascii="宋体" w:hAnsi="宋体" w:eastAsia="宋体" w:cs="宋体"/>
          <w:sz w:val="24"/>
          <w:szCs w:val="24"/>
        </w:rPr>
        <w:t>·····F</w:t>
      </w:r>
      <w:r>
        <w:rPr>
          <w:rFonts w:hint="eastAsia" w:ascii="宋体" w:hAnsi="宋体" w:eastAsia="宋体" w:cs="宋体"/>
          <w:sz w:val="24"/>
          <w:szCs w:val="24"/>
          <w:vertAlign w:val="subscript"/>
        </w:rPr>
        <w:t>on</w:t>
      </w:r>
      <w:r>
        <w:rPr>
          <w:rFonts w:hint="eastAsia" w:ascii="宋体" w:hAnsi="宋体" w:eastAsia="宋体" w:cs="宋体"/>
          <w:sz w:val="24"/>
          <w:szCs w:val="24"/>
        </w:rPr>
        <w:t>--各可调因子的基本价格指数，指基准日期的各可调因子的价格指数。</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16.1.1.2暂时确定调整差额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在计算调整差额时得不到现行价格指数的，可暂用上一次价格指数计算，并在以后的付款中再按实际价格指数进行调整。</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16.1.1.3权重的调整</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按第15.1款约定的变更导致原定合同中的权重不合理时，由监理人与承包人和发包人协商后进行调整。</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16.1.1.4承包人工期延误后的价格调整</w:t>
      </w:r>
    </w:p>
    <w:p>
      <w:pPr>
        <w:pStyle w:val="26"/>
        <w:rPr>
          <w:rFonts w:hint="eastAsia" w:ascii="宋体" w:hAnsi="宋体" w:eastAsia="宋体" w:cs="宋体"/>
          <w:sz w:val="24"/>
          <w:szCs w:val="24"/>
        </w:rPr>
      </w:pPr>
      <w:r>
        <w:rPr>
          <w:rFonts w:hint="eastAsia" w:ascii="宋体" w:hAnsi="宋体" w:eastAsia="宋体" w:cs="宋体"/>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pStyle w:val="26"/>
        <w:rPr>
          <w:rFonts w:hint="eastAsia" w:ascii="宋体" w:hAnsi="宋体" w:eastAsia="宋体" w:cs="宋体"/>
          <w:sz w:val="24"/>
          <w:szCs w:val="24"/>
        </w:rPr>
      </w:pPr>
      <w:r>
        <w:rPr>
          <w:rFonts w:hint="eastAsia" w:ascii="宋体" w:hAnsi="宋体" w:eastAsia="宋体" w:cs="宋体"/>
          <w:sz w:val="24"/>
          <w:szCs w:val="24"/>
        </w:rPr>
        <w:t>　　16.1.2　采用造价信息调整价格差额</w:t>
      </w:r>
    </w:p>
    <w:p>
      <w:pPr>
        <w:pStyle w:val="26"/>
        <w:rPr>
          <w:rFonts w:hint="eastAsia" w:ascii="宋体" w:hAnsi="宋体" w:eastAsia="宋体" w:cs="宋体"/>
          <w:sz w:val="24"/>
          <w:szCs w:val="24"/>
        </w:rPr>
      </w:pPr>
      <w:r>
        <w:rPr>
          <w:rFonts w:hint="eastAsia" w:ascii="宋体" w:hAnsi="宋体" w:eastAsia="宋体" w:cs="宋体"/>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26"/>
        <w:rPr>
          <w:rFonts w:hint="eastAsia" w:ascii="宋体" w:hAnsi="宋体" w:eastAsia="宋体" w:cs="宋体"/>
          <w:sz w:val="24"/>
          <w:szCs w:val="24"/>
        </w:rPr>
      </w:pPr>
      <w:r>
        <w:rPr>
          <w:rFonts w:hint="eastAsia" w:ascii="宋体" w:hAnsi="宋体" w:eastAsia="宋体" w:cs="宋体"/>
          <w:sz w:val="24"/>
          <w:szCs w:val="24"/>
        </w:rPr>
        <w:t>工程造价信息的来源以及价格调整的项目和系数在专用合同条款中约定。</w:t>
      </w:r>
      <w:bookmarkStart w:id="257" w:name="_Toc144974688"/>
      <w:bookmarkStart w:id="258" w:name="_Toc179632735"/>
      <w:bookmarkStart w:id="259" w:name="_Toc152042496"/>
      <w:bookmarkStart w:id="260" w:name="_Toc152045717"/>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16.2法律变化引起的价格调整</w:t>
      </w:r>
      <w:bookmarkEnd w:id="257"/>
      <w:bookmarkEnd w:id="258"/>
      <w:bookmarkEnd w:id="259"/>
      <w:bookmarkEnd w:id="260"/>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26"/>
        <w:rPr>
          <w:rFonts w:hint="eastAsia" w:ascii="宋体" w:hAnsi="宋体" w:eastAsia="宋体" w:cs="宋体"/>
          <w:b/>
          <w:sz w:val="24"/>
          <w:szCs w:val="24"/>
        </w:rPr>
      </w:pPr>
      <w:bookmarkStart w:id="261" w:name="第04章合同条款及格式0117"/>
      <w:bookmarkEnd w:id="261"/>
      <w:r>
        <w:rPr>
          <w:rFonts w:hint="eastAsia" w:ascii="宋体" w:hAnsi="宋体" w:eastAsia="宋体" w:cs="宋体"/>
          <w:b/>
          <w:sz w:val="24"/>
          <w:szCs w:val="24"/>
        </w:rPr>
        <w:t>17　计量与支付</w:t>
      </w:r>
    </w:p>
    <w:p>
      <w:pPr>
        <w:pStyle w:val="26"/>
        <w:rPr>
          <w:rFonts w:hint="eastAsia" w:ascii="宋体" w:hAnsi="宋体" w:eastAsia="宋体" w:cs="宋体"/>
          <w:sz w:val="24"/>
          <w:szCs w:val="24"/>
        </w:rPr>
      </w:pPr>
      <w:r>
        <w:rPr>
          <w:rFonts w:hint="eastAsia" w:ascii="宋体" w:hAnsi="宋体" w:eastAsia="宋体" w:cs="宋体"/>
          <w:sz w:val="24"/>
          <w:szCs w:val="24"/>
        </w:rPr>
        <w:t>　17.1　计量</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17.1.1计量单位</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计量采用国家法定的计量单位。</w:t>
      </w:r>
    </w:p>
    <w:p>
      <w:pPr>
        <w:pStyle w:val="26"/>
        <w:rPr>
          <w:rFonts w:hint="eastAsia" w:ascii="宋体" w:hAnsi="宋体" w:eastAsia="宋体" w:cs="宋体"/>
          <w:sz w:val="24"/>
          <w:szCs w:val="24"/>
        </w:rPr>
      </w:pPr>
      <w:r>
        <w:rPr>
          <w:rFonts w:hint="eastAsia" w:ascii="宋体" w:hAnsi="宋体" w:eastAsia="宋体" w:cs="宋体"/>
          <w:sz w:val="24"/>
          <w:szCs w:val="24"/>
        </w:rPr>
        <w:t>　　17.1.2　计量方法</w:t>
      </w:r>
    </w:p>
    <w:p>
      <w:pPr>
        <w:pStyle w:val="26"/>
        <w:ind w:firstLine="420"/>
        <w:rPr>
          <w:rFonts w:hint="eastAsia" w:ascii="宋体" w:hAnsi="宋体" w:eastAsia="宋体" w:cs="宋体"/>
          <w:sz w:val="24"/>
          <w:szCs w:val="24"/>
        </w:rPr>
      </w:pPr>
      <w:r>
        <w:rPr>
          <w:rFonts w:hint="eastAsia" w:ascii="宋体" w:hAnsi="宋体" w:eastAsia="宋体" w:cs="宋体"/>
          <w:sz w:val="24"/>
          <w:szCs w:val="24"/>
        </w:rPr>
        <w:t>结算工程量应按工程量清单中约定的方法计量。</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除专用合同条款另有约定外，单价子目已完成工程量按月计量，总价子目的计量周期按批准的支付分解报告确定。</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17.1.4单价子目的计量</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（1）已标价工程量清单中的单价子目工程量为估算工程量。结算工程量是承包人实际完成的，并按合同约定的计量方法进行计量的工程量。</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（2）承包人对已完成的工程进行计量，向监理人提交进度付款申请单、已完成工程量报表和有关计量资料。</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（4）监理人认为有必要时，可通知承包人共同进行联合测量、计量，承包人应遵照执行。</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26"/>
        <w:ind w:firstLine="420"/>
        <w:rPr>
          <w:rFonts w:hint="eastAsia" w:ascii="宋体" w:hAnsi="宋体" w:eastAsia="宋体" w:cs="宋体"/>
          <w:sz w:val="24"/>
          <w:szCs w:val="24"/>
        </w:rPr>
      </w:pPr>
      <w:r>
        <w:rPr>
          <w:rFonts w:hint="eastAsia" w:ascii="宋体" w:hAnsi="宋体" w:eastAsia="宋体" w:cs="宋体"/>
          <w:sz w:val="24"/>
          <w:szCs w:val="24"/>
        </w:rPr>
        <w:t>（6）监理人应在收到承包人提交的工程量报表后的7天内进行复核，监理人未在约定时间内复核的，承包人提交的工程量报表中的工程量视为承包人实际完成的工程量，据此计算工程价款。</w:t>
      </w:r>
    </w:p>
    <w:p>
      <w:pPr>
        <w:pStyle w:val="26"/>
        <w:rPr>
          <w:rFonts w:hint="eastAsia" w:ascii="宋体" w:hAnsi="宋体" w:eastAsia="宋体" w:cs="宋体"/>
          <w:sz w:val="24"/>
          <w:szCs w:val="24"/>
        </w:rPr>
      </w:pPr>
      <w:r>
        <w:rPr>
          <w:rFonts w:hint="eastAsia" w:ascii="宋体" w:hAnsi="宋体" w:eastAsia="宋体" w:cs="宋体"/>
          <w:sz w:val="24"/>
          <w:szCs w:val="24"/>
        </w:rPr>
        <w:t>　　17.1.5　总价子目的计量</w:t>
      </w:r>
    </w:p>
    <w:p>
      <w:pPr>
        <w:pStyle w:val="26"/>
        <w:rPr>
          <w:rFonts w:hint="eastAsia" w:ascii="宋体" w:hAnsi="宋体" w:eastAsia="宋体" w:cs="宋体"/>
          <w:sz w:val="24"/>
          <w:szCs w:val="24"/>
        </w:rPr>
      </w:pPr>
      <w:r>
        <w:rPr>
          <w:rFonts w:hint="eastAsia" w:ascii="宋体" w:hAnsi="宋体" w:eastAsia="宋体" w:cs="宋体"/>
          <w:sz w:val="24"/>
          <w:szCs w:val="24"/>
        </w:rPr>
        <w:t>　　总价子目的分解和计量按照下述约定进行。</w:t>
      </w:r>
    </w:p>
    <w:p>
      <w:pPr>
        <w:pStyle w:val="26"/>
        <w:rPr>
          <w:rFonts w:hint="eastAsia" w:ascii="宋体" w:hAnsi="宋体" w:eastAsia="宋体" w:cs="宋体"/>
          <w:sz w:val="24"/>
          <w:szCs w:val="24"/>
        </w:rPr>
      </w:pPr>
      <w:r>
        <w:rPr>
          <w:rFonts w:hint="eastAsia" w:ascii="宋体" w:hAnsi="宋体" w:eastAsia="宋体" w:cs="宋体"/>
          <w:sz w:val="24"/>
          <w:szCs w:val="24"/>
        </w:rPr>
        <w:t>　　(1)总价子目的计量和支付应以总价为基础，不因第16.1款中的因素而进行调整。承包人实际完成的工程量，是进行工程目标管理和控制进度支付的依据。</w:t>
      </w:r>
    </w:p>
    <w:p>
      <w:pPr>
        <w:pStyle w:val="26"/>
        <w:rPr>
          <w:rFonts w:hint="eastAsia" w:ascii="宋体" w:hAnsi="宋体" w:eastAsia="宋体" w:cs="宋体"/>
          <w:sz w:val="24"/>
          <w:szCs w:val="24"/>
        </w:rPr>
      </w:pPr>
      <w:r>
        <w:rPr>
          <w:rFonts w:hint="eastAsia" w:ascii="宋体" w:hAnsi="宋体" w:eastAsia="宋体" w:cs="宋体"/>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26"/>
        <w:rPr>
          <w:rFonts w:hint="eastAsia" w:ascii="宋体" w:hAnsi="宋体" w:eastAsia="宋体" w:cs="宋体"/>
          <w:sz w:val="24"/>
          <w:szCs w:val="24"/>
        </w:rPr>
      </w:pPr>
      <w:r>
        <w:rPr>
          <w:rFonts w:hint="eastAsia" w:ascii="宋体" w:hAnsi="宋体" w:eastAsia="宋体" w:cs="宋体"/>
          <w:sz w:val="24"/>
          <w:szCs w:val="24"/>
        </w:rPr>
        <w:t>　　(3)监理人对承包人提交的上述资料进行复核，以确定分阶段实际完成的工程量和工程形象目标。对其有异议的，可要求承包人按第8.2款约定进行共同复核和抽样复测。</w:t>
      </w:r>
    </w:p>
    <w:p>
      <w:pPr>
        <w:pStyle w:val="26"/>
        <w:rPr>
          <w:rFonts w:hint="eastAsia" w:ascii="宋体" w:hAnsi="宋体" w:eastAsia="宋体" w:cs="宋体"/>
          <w:sz w:val="24"/>
          <w:szCs w:val="24"/>
        </w:rPr>
      </w:pPr>
      <w:r>
        <w:rPr>
          <w:rFonts w:hint="eastAsia" w:ascii="宋体" w:hAnsi="宋体" w:eastAsia="宋体" w:cs="宋体"/>
          <w:sz w:val="24"/>
          <w:szCs w:val="24"/>
        </w:rPr>
        <w:t>　　(4)除按照第15条约定的变更外，总价子目的工程量是承包人用于结算的最终工程量。</w:t>
      </w:r>
    </w:p>
    <w:p>
      <w:pPr>
        <w:pStyle w:val="26"/>
        <w:rPr>
          <w:rFonts w:hint="eastAsia" w:ascii="宋体" w:hAnsi="宋体" w:eastAsia="宋体" w:cs="宋体"/>
          <w:sz w:val="24"/>
          <w:szCs w:val="24"/>
        </w:rPr>
      </w:pPr>
      <w:r>
        <w:rPr>
          <w:rFonts w:hint="eastAsia" w:ascii="宋体" w:hAnsi="宋体" w:eastAsia="宋体" w:cs="宋体"/>
          <w:sz w:val="24"/>
          <w:szCs w:val="24"/>
        </w:rPr>
        <w:t>　17.2　预付款</w:t>
      </w:r>
    </w:p>
    <w:p>
      <w:pPr>
        <w:pStyle w:val="26"/>
        <w:rPr>
          <w:rFonts w:hint="eastAsia" w:ascii="宋体" w:hAnsi="宋体" w:eastAsia="宋体" w:cs="宋体"/>
          <w:sz w:val="24"/>
          <w:szCs w:val="24"/>
        </w:rPr>
      </w:pPr>
      <w:r>
        <w:rPr>
          <w:rFonts w:hint="eastAsia" w:ascii="宋体" w:hAnsi="宋体" w:eastAsia="宋体" w:cs="宋体"/>
          <w:sz w:val="24"/>
          <w:szCs w:val="24"/>
        </w:rPr>
        <w:t>　　17.2.1　预付款</w:t>
      </w:r>
    </w:p>
    <w:p>
      <w:pPr>
        <w:pStyle w:val="26"/>
        <w:rPr>
          <w:rFonts w:hint="eastAsia" w:ascii="宋体" w:hAnsi="宋体" w:eastAsia="宋体" w:cs="宋体"/>
          <w:sz w:val="24"/>
          <w:szCs w:val="24"/>
        </w:rPr>
      </w:pPr>
      <w:r>
        <w:rPr>
          <w:rFonts w:hint="eastAsia" w:ascii="宋体" w:hAnsi="宋体" w:eastAsia="宋体" w:cs="宋体"/>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26"/>
        <w:rPr>
          <w:rFonts w:hint="eastAsia" w:ascii="宋体" w:hAnsi="宋体" w:eastAsia="宋体" w:cs="宋体"/>
          <w:sz w:val="24"/>
          <w:szCs w:val="24"/>
        </w:rPr>
      </w:pPr>
      <w:r>
        <w:rPr>
          <w:rFonts w:hint="eastAsia" w:ascii="宋体" w:hAnsi="宋体" w:eastAsia="宋体" w:cs="宋体"/>
          <w:sz w:val="24"/>
          <w:szCs w:val="24"/>
        </w:rPr>
        <w:t>　　17.2.2　预付款保函(担保)</w:t>
      </w:r>
    </w:p>
    <w:p>
      <w:pPr>
        <w:pStyle w:val="26"/>
        <w:rPr>
          <w:rFonts w:hint="eastAsia" w:ascii="宋体" w:hAnsi="宋体" w:eastAsia="宋体" w:cs="宋体"/>
          <w:sz w:val="24"/>
          <w:szCs w:val="24"/>
        </w:rPr>
      </w:pPr>
      <w:r>
        <w:rPr>
          <w:rFonts w:hint="eastAsia" w:ascii="宋体" w:hAnsi="宋体" w:eastAsia="宋体" w:cs="宋体"/>
          <w:sz w:val="24"/>
          <w:szCs w:val="24"/>
        </w:rPr>
        <w:t>　　(1)承包人应在收到第一次工程预付款的同时向发包人提交工程预付款担保，担保金额应与第一次工程预付款金额相同，工程预付款担保在第一次工程预付款被发包人扣回前一直有效。</w:t>
      </w:r>
    </w:p>
    <w:p>
      <w:pPr>
        <w:pStyle w:val="26"/>
        <w:rPr>
          <w:rFonts w:hint="eastAsia" w:ascii="宋体" w:hAnsi="宋体" w:eastAsia="宋体" w:cs="宋体"/>
          <w:sz w:val="24"/>
          <w:szCs w:val="24"/>
        </w:rPr>
      </w:pPr>
      <w:r>
        <w:rPr>
          <w:rFonts w:hint="eastAsia" w:ascii="宋体" w:hAnsi="宋体" w:eastAsia="宋体" w:cs="宋体"/>
          <w:sz w:val="24"/>
          <w:szCs w:val="24"/>
        </w:rPr>
        <w:t>　　(2)工程材料预付款的担保在专用合同条款中约定。</w:t>
      </w:r>
    </w:p>
    <w:p>
      <w:pPr>
        <w:pStyle w:val="26"/>
        <w:rPr>
          <w:rFonts w:hint="eastAsia" w:ascii="宋体" w:hAnsi="宋体" w:eastAsia="宋体" w:cs="宋体"/>
          <w:sz w:val="24"/>
          <w:szCs w:val="24"/>
        </w:rPr>
      </w:pPr>
      <w:r>
        <w:rPr>
          <w:rFonts w:hint="eastAsia" w:ascii="宋体" w:hAnsi="宋体" w:eastAsia="宋体" w:cs="宋体"/>
          <w:sz w:val="24"/>
          <w:szCs w:val="24"/>
        </w:rPr>
        <w:t>　　(3)预付款担保的担保金额可根据预付款扣回的金额相应递减。</w:t>
      </w:r>
    </w:p>
    <w:p>
      <w:pPr>
        <w:pStyle w:val="26"/>
        <w:rPr>
          <w:rFonts w:hint="eastAsia" w:ascii="宋体" w:hAnsi="宋体" w:eastAsia="宋体" w:cs="宋体"/>
          <w:sz w:val="24"/>
          <w:szCs w:val="24"/>
        </w:rPr>
      </w:pPr>
      <w:r>
        <w:rPr>
          <w:rFonts w:hint="eastAsia" w:ascii="宋体" w:hAnsi="宋体" w:eastAsia="宋体" w:cs="宋体"/>
          <w:sz w:val="24"/>
          <w:szCs w:val="24"/>
        </w:rPr>
        <w:t>　　17.2.3　预付款的扣回与还清</w:t>
      </w:r>
    </w:p>
    <w:p>
      <w:pPr>
        <w:pStyle w:val="26"/>
        <w:ind w:firstLine="420"/>
        <w:rPr>
          <w:rFonts w:hint="eastAsia" w:ascii="宋体" w:hAnsi="宋体" w:eastAsia="宋体" w:cs="宋体"/>
          <w:sz w:val="24"/>
          <w:szCs w:val="24"/>
        </w:rPr>
      </w:pPr>
      <w:r>
        <w:rPr>
          <w:rFonts w:hint="eastAsia" w:ascii="宋体" w:hAnsi="宋体" w:eastAsia="宋体" w:cs="宋体"/>
          <w:sz w:val="24"/>
          <w:szCs w:val="24"/>
        </w:rPr>
        <w:t>预付款在进度付款中扣回，扣回与还清办法在专用合同条款中约定。在颁发合同工程完工证书前，由于不可抗力或其它原因解除合同时，预付款尚未扣清的，尚未扣清的预付款余额应作为承包人的到期应付款。</w:t>
      </w:r>
      <w:bookmarkStart w:id="262" w:name="_Toc179632739"/>
      <w:bookmarkStart w:id="263" w:name="_Toc152042500"/>
      <w:bookmarkStart w:id="264" w:name="_Toc144974692"/>
      <w:bookmarkStart w:id="265" w:name="_Toc152045721"/>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17.3工程进度付款</w:t>
      </w:r>
      <w:bookmarkEnd w:id="262"/>
      <w:bookmarkEnd w:id="263"/>
      <w:bookmarkEnd w:id="264"/>
      <w:bookmarkEnd w:id="265"/>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17.3.1付款周期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付款周期同计量周期。</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17.3.2进度付款申请单</w:t>
      </w:r>
    </w:p>
    <w:p>
      <w:pPr>
        <w:pStyle w:val="26"/>
        <w:spacing w:line="400" w:lineRule="exact"/>
        <w:ind w:firstLine="480" w:firstLineChars="200"/>
        <w:rPr>
          <w:rFonts w:hint="eastAsia" w:ascii="宋体" w:hAnsi="宋体" w:eastAsia="宋体" w:cs="宋体"/>
          <w:dstrike/>
          <w:sz w:val="24"/>
          <w:szCs w:val="24"/>
        </w:rPr>
      </w:pPr>
      <w:r>
        <w:rPr>
          <w:rFonts w:hint="eastAsia" w:ascii="宋体" w:hAnsi="宋体" w:eastAsia="宋体" w:cs="宋体"/>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（1）截至本次付款周期末已实施工程的价款；</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（2）根据第15条应增加和扣减的变更金额；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（3）根据第23条应增加和扣减的索赔金额；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（4）根据第17.2款约定应支付的预付款和扣减的返还预付款；</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（5）根据第17.4.1项约定应扣减的质量保证金；</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17.3.3进度付款证书和支付时间</w:t>
      </w:r>
    </w:p>
    <w:p>
      <w:pPr>
        <w:pStyle w:val="26"/>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（2）发包人应在监理人收到进度付款申请单后的28天内，将进度应付款支付给承包人。发包人不按期支付的，按专用合同条款的约定支付逾期付款违约金。</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（3）监理人出具进度付款证书，不应视为监理人已同意、批准或接受了承包人完成的该部分工作。</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（4）进度付款涉及政府投资资金的，按照国库集中支付等国家相关规定和专用合同条款的约定办理。</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17.3.4工程进度付款的修正</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pStyle w:val="26"/>
        <w:rPr>
          <w:rFonts w:hint="eastAsia" w:ascii="宋体" w:hAnsi="宋体" w:eastAsia="宋体" w:cs="宋体"/>
          <w:sz w:val="24"/>
          <w:szCs w:val="24"/>
        </w:rPr>
      </w:pPr>
      <w:r>
        <w:rPr>
          <w:rFonts w:hint="eastAsia" w:ascii="宋体" w:hAnsi="宋体" w:eastAsia="宋体" w:cs="宋体"/>
          <w:sz w:val="24"/>
          <w:szCs w:val="24"/>
        </w:rPr>
        <w:t>　17.4　质量保证金</w:t>
      </w:r>
    </w:p>
    <w:p>
      <w:pPr>
        <w:pStyle w:val="26"/>
        <w:rPr>
          <w:rFonts w:hint="eastAsia" w:ascii="宋体" w:hAnsi="宋体" w:eastAsia="宋体" w:cs="宋体"/>
          <w:sz w:val="24"/>
          <w:szCs w:val="24"/>
        </w:rPr>
      </w:pPr>
      <w:r>
        <w:rPr>
          <w:rFonts w:hint="eastAsia" w:ascii="宋体" w:hAnsi="宋体" w:eastAsia="宋体" w:cs="宋体"/>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pStyle w:val="26"/>
        <w:ind w:firstLine="420"/>
        <w:rPr>
          <w:rFonts w:hint="eastAsia" w:ascii="宋体" w:hAnsi="宋体" w:eastAsia="宋体" w:cs="宋体"/>
          <w:sz w:val="24"/>
          <w:szCs w:val="24"/>
        </w:rPr>
      </w:pPr>
      <w:r>
        <w:rPr>
          <w:rFonts w:hint="eastAsia" w:ascii="宋体" w:hAnsi="宋体" w:eastAsia="宋体" w:cs="宋体"/>
          <w:sz w:val="24"/>
          <w:szCs w:val="24"/>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26"/>
        <w:ind w:firstLine="420"/>
        <w:rPr>
          <w:rFonts w:hint="eastAsia" w:ascii="宋体" w:hAnsi="宋体" w:eastAsia="宋体" w:cs="宋体"/>
          <w:sz w:val="24"/>
          <w:szCs w:val="24"/>
        </w:rPr>
      </w:pPr>
      <w:r>
        <w:rPr>
          <w:rFonts w:hint="eastAsia" w:ascii="宋体" w:hAnsi="宋体" w:eastAsia="宋体" w:cs="宋体"/>
          <w:sz w:val="24"/>
          <w:szCs w:val="24"/>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pPr>
        <w:pStyle w:val="26"/>
        <w:rPr>
          <w:rFonts w:hint="eastAsia" w:ascii="宋体" w:hAnsi="宋体" w:eastAsia="宋体" w:cs="宋体"/>
          <w:sz w:val="24"/>
          <w:szCs w:val="24"/>
        </w:rPr>
      </w:pPr>
      <w:r>
        <w:rPr>
          <w:rFonts w:hint="eastAsia" w:ascii="宋体" w:hAnsi="宋体" w:eastAsia="宋体" w:cs="宋体"/>
          <w:sz w:val="24"/>
          <w:szCs w:val="24"/>
        </w:rPr>
        <w:t>　17.5　竣工结算(完工结算)</w:t>
      </w:r>
    </w:p>
    <w:p>
      <w:pPr>
        <w:pStyle w:val="26"/>
        <w:rPr>
          <w:rFonts w:hint="eastAsia" w:ascii="宋体" w:hAnsi="宋体" w:eastAsia="宋体" w:cs="宋体"/>
          <w:sz w:val="24"/>
          <w:szCs w:val="24"/>
        </w:rPr>
      </w:pPr>
      <w:r>
        <w:rPr>
          <w:rFonts w:hint="eastAsia" w:ascii="宋体" w:hAnsi="宋体" w:eastAsia="宋体" w:cs="宋体"/>
          <w:sz w:val="24"/>
          <w:szCs w:val="24"/>
        </w:rPr>
        <w:t>　　17.5.1　竣工(完工)付款申请单</w:t>
      </w:r>
    </w:p>
    <w:p>
      <w:pPr>
        <w:pStyle w:val="26"/>
        <w:rPr>
          <w:rFonts w:hint="eastAsia" w:ascii="宋体" w:hAnsi="宋体" w:eastAsia="宋体" w:cs="宋体"/>
          <w:sz w:val="24"/>
          <w:szCs w:val="24"/>
        </w:rPr>
      </w:pPr>
      <w:r>
        <w:rPr>
          <w:rFonts w:hint="eastAsia" w:ascii="宋体" w:hAnsi="宋体" w:eastAsia="宋体" w:cs="宋体"/>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26"/>
        <w:rPr>
          <w:rFonts w:hint="eastAsia" w:ascii="宋体" w:hAnsi="宋体" w:eastAsia="宋体" w:cs="宋体"/>
          <w:sz w:val="24"/>
          <w:szCs w:val="24"/>
        </w:rPr>
      </w:pPr>
      <w:r>
        <w:rPr>
          <w:rFonts w:hint="eastAsia" w:ascii="宋体" w:hAnsi="宋体" w:eastAsia="宋体" w:cs="宋体"/>
          <w:sz w:val="24"/>
          <w:szCs w:val="24"/>
        </w:rPr>
        <w:t>　　(2)监理人对完工付款申请单有异议的，有权要求承包人进行修正和提供补充资料。经监理人和承包人协商后，由承包人向监理人提交修正后的完工付款申请单。</w:t>
      </w:r>
    </w:p>
    <w:p>
      <w:pPr>
        <w:pStyle w:val="26"/>
        <w:rPr>
          <w:rFonts w:hint="eastAsia" w:ascii="宋体" w:hAnsi="宋体" w:eastAsia="宋体" w:cs="宋体"/>
          <w:sz w:val="24"/>
          <w:szCs w:val="24"/>
        </w:rPr>
      </w:pPr>
      <w:r>
        <w:rPr>
          <w:rFonts w:hint="eastAsia" w:ascii="宋体" w:hAnsi="宋体" w:eastAsia="宋体" w:cs="宋体"/>
          <w:sz w:val="24"/>
          <w:szCs w:val="24"/>
        </w:rPr>
        <w:t>　　17.5.2　竣工(完工)付款证书及支付时间</w:t>
      </w:r>
    </w:p>
    <w:p>
      <w:pPr>
        <w:pStyle w:val="26"/>
        <w:rPr>
          <w:rFonts w:hint="eastAsia" w:ascii="宋体" w:hAnsi="宋体" w:eastAsia="宋体" w:cs="宋体"/>
          <w:sz w:val="24"/>
          <w:szCs w:val="24"/>
        </w:rPr>
      </w:pPr>
      <w:r>
        <w:rPr>
          <w:rFonts w:hint="eastAsia" w:ascii="宋体" w:hAnsi="宋体" w:eastAsia="宋体" w:cs="宋体"/>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26"/>
        <w:rPr>
          <w:rFonts w:hint="eastAsia" w:ascii="宋体" w:hAnsi="宋体" w:eastAsia="宋体" w:cs="宋体"/>
          <w:sz w:val="24"/>
          <w:szCs w:val="24"/>
        </w:rPr>
      </w:pPr>
      <w:r>
        <w:rPr>
          <w:rFonts w:hint="eastAsia" w:ascii="宋体" w:hAnsi="宋体" w:eastAsia="宋体" w:cs="宋体"/>
          <w:sz w:val="24"/>
          <w:szCs w:val="24"/>
        </w:rPr>
        <w:t>　　(2)发包人应在监理人出具完工付款证书后的14天内，将应支付款支付给承包人。发包人不按期支付的，按第17.3.3(2)目的约定，将逾期付款违约金支付给承包人。</w:t>
      </w:r>
    </w:p>
    <w:p>
      <w:pPr>
        <w:pStyle w:val="26"/>
        <w:rPr>
          <w:rFonts w:hint="eastAsia" w:ascii="宋体" w:hAnsi="宋体" w:eastAsia="宋体" w:cs="宋体"/>
          <w:sz w:val="24"/>
          <w:szCs w:val="24"/>
        </w:rPr>
      </w:pPr>
      <w:r>
        <w:rPr>
          <w:rFonts w:hint="eastAsia" w:ascii="宋体" w:hAnsi="宋体" w:eastAsia="宋体" w:cs="宋体"/>
          <w:sz w:val="24"/>
          <w:szCs w:val="24"/>
        </w:rPr>
        <w:t>　　(3)承包人对发包人签认的完工付款证书有异议的，发包人可出具完工付款申请单中承包人已同意部分的临时付款证书。存在争议的部分，按第24条的约定办理。</w:t>
      </w:r>
    </w:p>
    <w:p>
      <w:pPr>
        <w:pStyle w:val="26"/>
        <w:rPr>
          <w:rFonts w:hint="eastAsia" w:ascii="宋体" w:hAnsi="宋体" w:eastAsia="宋体" w:cs="宋体"/>
          <w:sz w:val="24"/>
          <w:szCs w:val="24"/>
        </w:rPr>
      </w:pPr>
      <w:r>
        <w:rPr>
          <w:rFonts w:hint="eastAsia" w:ascii="宋体" w:hAnsi="宋体" w:eastAsia="宋体" w:cs="宋体"/>
          <w:sz w:val="24"/>
          <w:szCs w:val="24"/>
        </w:rPr>
        <w:t>　　(4)完工付款涉及政府投资资金的，按第17.3.3(4)目的约定办理。</w:t>
      </w:r>
    </w:p>
    <w:p>
      <w:pPr>
        <w:pStyle w:val="26"/>
        <w:rPr>
          <w:rFonts w:hint="eastAsia" w:ascii="宋体" w:hAnsi="宋体" w:eastAsia="宋体" w:cs="宋体"/>
          <w:sz w:val="24"/>
          <w:szCs w:val="24"/>
        </w:rPr>
      </w:pPr>
      <w:r>
        <w:rPr>
          <w:rFonts w:hint="eastAsia" w:ascii="宋体" w:hAnsi="宋体" w:eastAsia="宋体" w:cs="宋体"/>
          <w:sz w:val="24"/>
          <w:szCs w:val="24"/>
        </w:rPr>
        <w:t>　17.6　最终结清</w:t>
      </w:r>
    </w:p>
    <w:p>
      <w:pPr>
        <w:pStyle w:val="26"/>
        <w:rPr>
          <w:rFonts w:hint="eastAsia" w:ascii="宋体" w:hAnsi="宋体" w:eastAsia="宋体" w:cs="宋体"/>
          <w:sz w:val="24"/>
          <w:szCs w:val="24"/>
        </w:rPr>
      </w:pPr>
      <w:r>
        <w:rPr>
          <w:rFonts w:hint="eastAsia" w:ascii="宋体" w:hAnsi="宋体" w:eastAsia="宋体" w:cs="宋体"/>
          <w:sz w:val="24"/>
          <w:szCs w:val="24"/>
        </w:rPr>
        <w:t>　　17.6.1　最终结清申请单</w:t>
      </w:r>
    </w:p>
    <w:p>
      <w:pPr>
        <w:pStyle w:val="26"/>
        <w:rPr>
          <w:rFonts w:hint="eastAsia" w:ascii="宋体" w:hAnsi="宋体" w:eastAsia="宋体" w:cs="宋体"/>
          <w:sz w:val="24"/>
          <w:szCs w:val="24"/>
        </w:rPr>
      </w:pPr>
      <w:r>
        <w:rPr>
          <w:rFonts w:hint="eastAsia" w:ascii="宋体" w:hAnsi="宋体" w:eastAsia="宋体" w:cs="宋体"/>
          <w:sz w:val="24"/>
          <w:szCs w:val="24"/>
        </w:rPr>
        <w:t>(1)工程质量保修责任终止证书签发后，承包人应按监理人批准的格式提交最终结清申请单。提交最终结清申请单的份数在专用合同条款中约定。</w:t>
      </w:r>
    </w:p>
    <w:p>
      <w:pPr>
        <w:pStyle w:val="26"/>
        <w:ind w:firstLine="420"/>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(2)发包人对最终结清申请单内容有异议的，有权要求承包人进行修正和提供补充资料，由承包人向监理人提交修正后的最终结清申请单。</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17.6.2最终结清证书和支付时间</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（2）发包人应在监理人出具最终结清证书后的14天内，将应支付款支付给承包人。发包人不按期支付的，按第17.3.3（2）目的约定，将逾期付款违约金支付给承包人。</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（3）承包人对发包人签认的最终结清证书有异议的，按第24条的约定办理。</w:t>
      </w:r>
    </w:p>
    <w:p>
      <w:pPr>
        <w:pStyle w:val="26"/>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（4）最终结清付款涉及政府投资资金的，按第17.3.3（４）目的约定办理。</w:t>
      </w:r>
    </w:p>
    <w:p>
      <w:pPr>
        <w:pStyle w:val="26"/>
        <w:rPr>
          <w:rFonts w:hint="eastAsia" w:ascii="宋体" w:hAnsi="宋体" w:eastAsia="宋体" w:cs="宋体"/>
          <w:sz w:val="24"/>
          <w:szCs w:val="24"/>
        </w:rPr>
      </w:pPr>
      <w:r>
        <w:rPr>
          <w:rFonts w:hint="eastAsia" w:ascii="宋体" w:hAnsi="宋体" w:eastAsia="宋体" w:cs="宋体"/>
          <w:sz w:val="24"/>
          <w:szCs w:val="24"/>
        </w:rPr>
        <w:t>　17.7　竣工财务决算</w:t>
      </w:r>
    </w:p>
    <w:p>
      <w:pPr>
        <w:pStyle w:val="26"/>
        <w:rPr>
          <w:rFonts w:hint="eastAsia" w:ascii="宋体" w:hAnsi="宋体" w:eastAsia="宋体" w:cs="宋体"/>
          <w:sz w:val="24"/>
          <w:szCs w:val="24"/>
        </w:rPr>
      </w:pPr>
      <w:r>
        <w:rPr>
          <w:rFonts w:hint="eastAsia" w:ascii="宋体" w:hAnsi="宋体" w:eastAsia="宋体" w:cs="宋体"/>
          <w:sz w:val="24"/>
          <w:szCs w:val="24"/>
        </w:rPr>
        <w:t>　　发包人负责编制本工程项目竣工财务决算，承包人应按专用合同条款的约定提供竣工财务决算编制所需的相关材料。</w:t>
      </w:r>
    </w:p>
    <w:p>
      <w:pPr>
        <w:pStyle w:val="26"/>
        <w:rPr>
          <w:rFonts w:hint="eastAsia" w:ascii="宋体" w:hAnsi="宋体" w:eastAsia="宋体" w:cs="宋体"/>
          <w:sz w:val="24"/>
          <w:szCs w:val="24"/>
        </w:rPr>
      </w:pPr>
      <w:r>
        <w:rPr>
          <w:rFonts w:hint="eastAsia" w:ascii="宋体" w:hAnsi="宋体" w:eastAsia="宋体" w:cs="宋体"/>
          <w:sz w:val="24"/>
          <w:szCs w:val="24"/>
        </w:rPr>
        <w:t>　17.8　竣工审计</w:t>
      </w:r>
    </w:p>
    <w:p>
      <w:pPr>
        <w:pStyle w:val="26"/>
        <w:rPr>
          <w:rFonts w:hint="eastAsia" w:ascii="宋体" w:hAnsi="宋体" w:eastAsia="宋体" w:cs="宋体"/>
          <w:sz w:val="24"/>
          <w:szCs w:val="24"/>
        </w:rPr>
      </w:pPr>
      <w:r>
        <w:rPr>
          <w:rFonts w:hint="eastAsia" w:ascii="宋体" w:hAnsi="宋体" w:eastAsia="宋体" w:cs="宋体"/>
          <w:sz w:val="24"/>
          <w:szCs w:val="24"/>
        </w:rPr>
        <w:t>　　发包人负责完成本工程竣工审计手续，承包人应完成相关配合工作。</w:t>
      </w:r>
    </w:p>
    <w:p>
      <w:pPr>
        <w:pStyle w:val="26"/>
        <w:rPr>
          <w:rFonts w:hint="eastAsia" w:ascii="宋体" w:hAnsi="宋体" w:eastAsia="宋体" w:cs="宋体"/>
          <w:b/>
          <w:sz w:val="24"/>
          <w:szCs w:val="24"/>
        </w:rPr>
      </w:pPr>
      <w:bookmarkStart w:id="266" w:name="第04章合同条款及格式0118"/>
      <w:bookmarkEnd w:id="266"/>
      <w:r>
        <w:rPr>
          <w:rFonts w:hint="eastAsia" w:ascii="宋体" w:hAnsi="宋体" w:eastAsia="宋体" w:cs="宋体"/>
          <w:b/>
          <w:sz w:val="24"/>
          <w:szCs w:val="24"/>
        </w:rPr>
        <w:t>18　竣工验收(验收)</w:t>
      </w:r>
    </w:p>
    <w:p>
      <w:pPr>
        <w:pStyle w:val="26"/>
        <w:rPr>
          <w:rFonts w:hint="eastAsia" w:ascii="宋体" w:hAnsi="宋体" w:eastAsia="宋体" w:cs="宋体"/>
          <w:sz w:val="24"/>
          <w:szCs w:val="24"/>
        </w:rPr>
      </w:pPr>
      <w:r>
        <w:rPr>
          <w:rFonts w:hint="eastAsia" w:ascii="宋体" w:hAnsi="宋体" w:eastAsia="宋体" w:cs="宋体"/>
          <w:sz w:val="24"/>
          <w:szCs w:val="24"/>
        </w:rPr>
        <w:t>　18.1　验收工作分类</w:t>
      </w:r>
    </w:p>
    <w:p>
      <w:pPr>
        <w:pStyle w:val="26"/>
        <w:ind w:firstLine="420"/>
        <w:rPr>
          <w:rFonts w:hint="eastAsia" w:ascii="宋体" w:hAnsi="宋体" w:eastAsia="宋体" w:cs="宋体"/>
          <w:sz w:val="24"/>
          <w:szCs w:val="24"/>
        </w:rPr>
      </w:pPr>
      <w:r>
        <w:rPr>
          <w:rFonts w:hint="eastAsia" w:ascii="宋体" w:hAnsi="宋体" w:eastAsia="宋体" w:cs="宋体"/>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18.1.1竣工验收指承包人完成了全部合同工作后，发包人按合同要求进行的验收。</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18.1.2国家验收是政府有关部门根据法律、规范、规程和政策要求，针对发包人全面组织实施的整个工程正式交付投运前的验收。</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18.1.3需要进行国家验收的，竣工验收是国家验收的一部分。竣工验收所采用的各项验收和评定标准应符合国家验收标准。发包人和承包人为竣工验收提供的各项竣工验收资料应符合国家验收的要求。</w:t>
      </w:r>
    </w:p>
    <w:p>
      <w:pPr>
        <w:pStyle w:val="26"/>
        <w:rPr>
          <w:rFonts w:hint="eastAsia" w:ascii="宋体" w:hAnsi="宋体" w:eastAsia="宋体" w:cs="宋体"/>
          <w:sz w:val="24"/>
          <w:szCs w:val="24"/>
        </w:rPr>
      </w:pPr>
      <w:r>
        <w:rPr>
          <w:rFonts w:hint="eastAsia" w:ascii="宋体" w:hAnsi="宋体" w:eastAsia="宋体" w:cs="宋体"/>
          <w:sz w:val="24"/>
          <w:szCs w:val="24"/>
        </w:rPr>
        <w:t>　18.2　分部工程验收</w:t>
      </w:r>
    </w:p>
    <w:p>
      <w:pPr>
        <w:pStyle w:val="26"/>
        <w:rPr>
          <w:rFonts w:hint="eastAsia" w:ascii="宋体" w:hAnsi="宋体" w:eastAsia="宋体" w:cs="宋体"/>
          <w:sz w:val="24"/>
          <w:szCs w:val="24"/>
        </w:rPr>
      </w:pPr>
      <w:r>
        <w:rPr>
          <w:rFonts w:hint="eastAsia" w:ascii="宋体" w:hAnsi="宋体" w:eastAsia="宋体" w:cs="宋体"/>
          <w:sz w:val="24"/>
          <w:szCs w:val="24"/>
        </w:rPr>
        <w:t>　　18.2.1　分部工程具备验收条件时，承包人应向发包人提交验收申请报告，发包人应在收到验收申请报告之日起10个工作日内决定是否同意进行验收。</w:t>
      </w:r>
    </w:p>
    <w:p>
      <w:pPr>
        <w:pStyle w:val="26"/>
        <w:rPr>
          <w:rFonts w:hint="eastAsia" w:ascii="宋体" w:hAnsi="宋体" w:eastAsia="宋体" w:cs="宋体"/>
          <w:sz w:val="24"/>
          <w:szCs w:val="24"/>
        </w:rPr>
      </w:pPr>
      <w:r>
        <w:rPr>
          <w:rFonts w:hint="eastAsia" w:ascii="宋体" w:hAnsi="宋体" w:eastAsia="宋体" w:cs="宋体"/>
          <w:sz w:val="24"/>
          <w:szCs w:val="24"/>
        </w:rPr>
        <w:t>　　18.2.2　除专用合同条款另有约定外，监理人主持分部工程验收，承包人应派符合条件的代表参加验收工作组。</w:t>
      </w:r>
    </w:p>
    <w:p>
      <w:pPr>
        <w:pStyle w:val="26"/>
        <w:rPr>
          <w:rFonts w:hint="eastAsia" w:ascii="宋体" w:hAnsi="宋体" w:eastAsia="宋体" w:cs="宋体"/>
          <w:sz w:val="24"/>
          <w:szCs w:val="24"/>
        </w:rPr>
      </w:pPr>
      <w:r>
        <w:rPr>
          <w:rFonts w:hint="eastAsia" w:ascii="宋体" w:hAnsi="宋体" w:eastAsia="宋体" w:cs="宋体"/>
          <w:sz w:val="24"/>
          <w:szCs w:val="24"/>
        </w:rPr>
        <w:t>　　18.2.3　分部工程验收通过后，发包人向承包人发送分部工程验收鉴定书。承包人应及时完成分部工程验收鉴定书载明应由承包人处理的遗留问题。</w:t>
      </w:r>
    </w:p>
    <w:p>
      <w:pPr>
        <w:pStyle w:val="26"/>
        <w:rPr>
          <w:rFonts w:hint="eastAsia" w:ascii="宋体" w:hAnsi="宋体" w:eastAsia="宋体" w:cs="宋体"/>
          <w:sz w:val="24"/>
          <w:szCs w:val="24"/>
        </w:rPr>
      </w:pPr>
      <w:r>
        <w:rPr>
          <w:rFonts w:hint="eastAsia" w:ascii="宋体" w:hAnsi="宋体" w:eastAsia="宋体" w:cs="宋体"/>
          <w:sz w:val="24"/>
          <w:szCs w:val="24"/>
        </w:rPr>
        <w:t>　18.3　单位工程验收</w:t>
      </w:r>
    </w:p>
    <w:p>
      <w:pPr>
        <w:pStyle w:val="26"/>
        <w:rPr>
          <w:rFonts w:hint="eastAsia" w:ascii="宋体" w:hAnsi="宋体" w:eastAsia="宋体" w:cs="宋体"/>
          <w:sz w:val="24"/>
          <w:szCs w:val="24"/>
        </w:rPr>
      </w:pPr>
      <w:r>
        <w:rPr>
          <w:rFonts w:hint="eastAsia" w:ascii="宋体" w:hAnsi="宋体" w:eastAsia="宋体" w:cs="宋体"/>
          <w:sz w:val="24"/>
          <w:szCs w:val="24"/>
        </w:rPr>
        <w:t>　　18.3.1　单位工程具备验收条件时，承包人应向发包人提交验收申请报告，发包人应在收到验收申请报告之日起10个工作日内决定是否同意进行验收。</w:t>
      </w:r>
    </w:p>
    <w:p>
      <w:pPr>
        <w:pStyle w:val="26"/>
        <w:rPr>
          <w:rFonts w:hint="eastAsia" w:ascii="宋体" w:hAnsi="宋体" w:eastAsia="宋体" w:cs="宋体"/>
          <w:sz w:val="24"/>
          <w:szCs w:val="24"/>
        </w:rPr>
      </w:pPr>
      <w:r>
        <w:rPr>
          <w:rFonts w:hint="eastAsia" w:ascii="宋体" w:hAnsi="宋体" w:eastAsia="宋体" w:cs="宋体"/>
          <w:sz w:val="24"/>
          <w:szCs w:val="24"/>
        </w:rPr>
        <w:t>　　18.3.2　发包人主持单位工程验收，承包人应派符合条件的代表参加验收工作组。</w:t>
      </w:r>
    </w:p>
    <w:p>
      <w:pPr>
        <w:pStyle w:val="26"/>
        <w:rPr>
          <w:rFonts w:hint="eastAsia" w:ascii="宋体" w:hAnsi="宋体" w:eastAsia="宋体" w:cs="宋体"/>
          <w:sz w:val="24"/>
          <w:szCs w:val="24"/>
        </w:rPr>
      </w:pPr>
      <w:r>
        <w:rPr>
          <w:rFonts w:hint="eastAsia" w:ascii="宋体" w:hAnsi="宋体" w:eastAsia="宋体" w:cs="宋体"/>
          <w:sz w:val="24"/>
          <w:szCs w:val="24"/>
        </w:rPr>
        <w:t>　　18.3.3　单位工程验收通过后，发包人向承包人发送单位工程验收鉴定书。承包人应及时完成单位工程验收鉴定书载明应由承包人处理的遗留问题。</w:t>
      </w:r>
    </w:p>
    <w:p>
      <w:pPr>
        <w:pStyle w:val="26"/>
        <w:ind w:firstLine="420"/>
        <w:rPr>
          <w:rFonts w:hint="eastAsia" w:ascii="宋体" w:hAnsi="宋体" w:eastAsia="宋体" w:cs="宋体"/>
          <w:sz w:val="24"/>
          <w:szCs w:val="24"/>
        </w:rPr>
      </w:pPr>
      <w:r>
        <w:rPr>
          <w:rFonts w:hint="eastAsia" w:ascii="宋体" w:hAnsi="宋体" w:eastAsia="宋体" w:cs="宋体"/>
          <w:sz w:val="24"/>
          <w:szCs w:val="24"/>
        </w:rPr>
        <w:t>18.3.4　需提前投入使用的单位工程在专用合同条款中明确。</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18.3.5除专用合同条款另有约定外，经验收合格工程的实际竣工日期，以提交竣工验收申请报告的日期为准，并在工程接收证书中写明。</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18.3.6发包人在收到承包人竣工验收申请报告56天后未进行验收的，视为验收合格，实际竣工日期以提交竣工验收申请报告的日期为准，但发包人由于不可抗力不能进行验收的除外。</w:t>
      </w:r>
    </w:p>
    <w:p>
      <w:pPr>
        <w:pStyle w:val="26"/>
        <w:rPr>
          <w:rFonts w:hint="eastAsia" w:ascii="宋体" w:hAnsi="宋体" w:eastAsia="宋体" w:cs="宋体"/>
          <w:sz w:val="24"/>
          <w:szCs w:val="24"/>
        </w:rPr>
      </w:pPr>
      <w:r>
        <w:rPr>
          <w:rFonts w:hint="eastAsia" w:ascii="宋体" w:hAnsi="宋体" w:eastAsia="宋体" w:cs="宋体"/>
          <w:sz w:val="24"/>
          <w:szCs w:val="24"/>
        </w:rPr>
        <w:t>　18.4　合同工程完工验收</w:t>
      </w:r>
    </w:p>
    <w:p>
      <w:pPr>
        <w:pStyle w:val="26"/>
        <w:rPr>
          <w:rFonts w:hint="eastAsia" w:ascii="宋体" w:hAnsi="宋体" w:eastAsia="宋体" w:cs="宋体"/>
          <w:sz w:val="24"/>
          <w:szCs w:val="24"/>
        </w:rPr>
      </w:pPr>
      <w:r>
        <w:rPr>
          <w:rFonts w:hint="eastAsia" w:ascii="宋体" w:hAnsi="宋体" w:eastAsia="宋体" w:cs="宋体"/>
          <w:sz w:val="24"/>
          <w:szCs w:val="24"/>
        </w:rPr>
        <w:t>　　18.4.1　合同工程具备验收条件时，承包人应向发包人提交验收申请报告，发包人应在收到验收申请报告之日起20个工作日内决定是否同意进行验收。</w:t>
      </w:r>
    </w:p>
    <w:p>
      <w:pPr>
        <w:pStyle w:val="26"/>
        <w:rPr>
          <w:rFonts w:hint="eastAsia" w:ascii="宋体" w:hAnsi="宋体" w:eastAsia="宋体" w:cs="宋体"/>
          <w:sz w:val="24"/>
          <w:szCs w:val="24"/>
        </w:rPr>
      </w:pPr>
      <w:r>
        <w:rPr>
          <w:rFonts w:hint="eastAsia" w:ascii="宋体" w:hAnsi="宋体" w:eastAsia="宋体" w:cs="宋体"/>
          <w:sz w:val="24"/>
          <w:szCs w:val="24"/>
        </w:rPr>
        <w:t>　　18.4.2　发包人主持合同工程完工验收，承包人应派代表参加验收工作组。</w:t>
      </w:r>
    </w:p>
    <w:p>
      <w:pPr>
        <w:pStyle w:val="26"/>
        <w:rPr>
          <w:rFonts w:hint="eastAsia" w:ascii="宋体" w:hAnsi="宋体" w:eastAsia="宋体" w:cs="宋体"/>
          <w:sz w:val="24"/>
          <w:szCs w:val="24"/>
        </w:rPr>
      </w:pPr>
      <w:r>
        <w:rPr>
          <w:rFonts w:hint="eastAsia" w:ascii="宋体" w:hAnsi="宋体" w:eastAsia="宋体" w:cs="宋体"/>
          <w:sz w:val="24"/>
          <w:szCs w:val="24"/>
        </w:rPr>
        <w:t>　　18.4.3　合同工程完工验收通过后，发包人向承包人发送合同工程完工验收鉴定书。承包人应及时完成合同工程完工验收鉴定书载明应由承包人处理的遗留问题。</w:t>
      </w:r>
    </w:p>
    <w:p>
      <w:pPr>
        <w:pStyle w:val="26"/>
        <w:rPr>
          <w:rFonts w:hint="eastAsia" w:ascii="宋体" w:hAnsi="宋体" w:eastAsia="宋体" w:cs="宋体"/>
          <w:sz w:val="24"/>
          <w:szCs w:val="24"/>
        </w:rPr>
      </w:pPr>
      <w:r>
        <w:rPr>
          <w:rFonts w:hint="eastAsia" w:ascii="宋体" w:hAnsi="宋体" w:eastAsia="宋体" w:cs="宋体"/>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pStyle w:val="26"/>
        <w:rPr>
          <w:rFonts w:hint="eastAsia" w:ascii="宋体" w:hAnsi="宋体" w:eastAsia="宋体" w:cs="宋体"/>
          <w:sz w:val="24"/>
          <w:szCs w:val="24"/>
        </w:rPr>
      </w:pPr>
      <w:r>
        <w:rPr>
          <w:rFonts w:hint="eastAsia" w:ascii="宋体" w:hAnsi="宋体" w:eastAsia="宋体" w:cs="宋体"/>
          <w:sz w:val="24"/>
          <w:szCs w:val="24"/>
        </w:rPr>
        <w:t>　18.5　阶段验收</w:t>
      </w:r>
    </w:p>
    <w:p>
      <w:pPr>
        <w:pStyle w:val="26"/>
        <w:rPr>
          <w:rFonts w:hint="eastAsia" w:ascii="宋体" w:hAnsi="宋体" w:eastAsia="宋体" w:cs="宋体"/>
          <w:sz w:val="24"/>
          <w:szCs w:val="24"/>
        </w:rPr>
      </w:pPr>
      <w:r>
        <w:rPr>
          <w:rFonts w:hint="eastAsia" w:ascii="宋体" w:hAnsi="宋体" w:eastAsia="宋体" w:cs="宋体"/>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pPr>
        <w:pStyle w:val="26"/>
        <w:rPr>
          <w:rFonts w:hint="eastAsia" w:ascii="宋体" w:hAnsi="宋体" w:eastAsia="宋体" w:cs="宋体"/>
          <w:sz w:val="24"/>
          <w:szCs w:val="24"/>
        </w:rPr>
      </w:pPr>
      <w:r>
        <w:rPr>
          <w:rFonts w:hint="eastAsia" w:ascii="宋体" w:hAnsi="宋体" w:eastAsia="宋体" w:cs="宋体"/>
          <w:sz w:val="24"/>
          <w:szCs w:val="24"/>
        </w:rPr>
        <w:t>　　18.5.2　承包人应及时完成阶段验收鉴定书载明应由承包人处理的遗留问题。</w:t>
      </w:r>
    </w:p>
    <w:p>
      <w:pPr>
        <w:pStyle w:val="26"/>
        <w:rPr>
          <w:rFonts w:hint="eastAsia" w:ascii="宋体" w:hAnsi="宋体" w:eastAsia="宋体" w:cs="宋体"/>
          <w:sz w:val="24"/>
          <w:szCs w:val="24"/>
        </w:rPr>
      </w:pPr>
      <w:r>
        <w:rPr>
          <w:rFonts w:hint="eastAsia" w:ascii="宋体" w:hAnsi="宋体" w:eastAsia="宋体" w:cs="宋体"/>
          <w:sz w:val="24"/>
          <w:szCs w:val="24"/>
        </w:rPr>
        <w:t>　18.6　专项验收</w:t>
      </w:r>
    </w:p>
    <w:p>
      <w:pPr>
        <w:pStyle w:val="26"/>
        <w:rPr>
          <w:rFonts w:hint="eastAsia" w:ascii="宋体" w:hAnsi="宋体" w:eastAsia="宋体" w:cs="宋体"/>
          <w:sz w:val="24"/>
          <w:szCs w:val="24"/>
        </w:rPr>
      </w:pPr>
      <w:r>
        <w:rPr>
          <w:rFonts w:hint="eastAsia" w:ascii="宋体" w:hAnsi="宋体" w:eastAsia="宋体" w:cs="宋体"/>
          <w:sz w:val="24"/>
          <w:szCs w:val="24"/>
        </w:rPr>
        <w:t>　　18.6.1　发包人负责提出专项验收申请报告。承包人应按专项验收的相关规定参加专项验收。专项验收的具体类别在专用合同条款中约定。</w:t>
      </w:r>
    </w:p>
    <w:p>
      <w:pPr>
        <w:pStyle w:val="26"/>
        <w:rPr>
          <w:rFonts w:hint="eastAsia" w:ascii="宋体" w:hAnsi="宋体" w:eastAsia="宋体" w:cs="宋体"/>
          <w:sz w:val="24"/>
          <w:szCs w:val="24"/>
        </w:rPr>
      </w:pPr>
      <w:r>
        <w:rPr>
          <w:rFonts w:hint="eastAsia" w:ascii="宋体" w:hAnsi="宋体" w:eastAsia="宋体" w:cs="宋体"/>
          <w:sz w:val="24"/>
          <w:szCs w:val="24"/>
        </w:rPr>
        <w:t>　　18.6.2　承包人应及时完成专项验收成果性文件载明应由承包人处理的遗留问题。</w:t>
      </w:r>
    </w:p>
    <w:p>
      <w:pPr>
        <w:pStyle w:val="26"/>
        <w:rPr>
          <w:rFonts w:hint="eastAsia" w:ascii="宋体" w:hAnsi="宋体" w:eastAsia="宋体" w:cs="宋体"/>
          <w:sz w:val="24"/>
          <w:szCs w:val="24"/>
        </w:rPr>
      </w:pPr>
      <w:r>
        <w:rPr>
          <w:rFonts w:hint="eastAsia" w:ascii="宋体" w:hAnsi="宋体" w:eastAsia="宋体" w:cs="宋体"/>
          <w:sz w:val="24"/>
          <w:szCs w:val="24"/>
        </w:rPr>
        <w:t>　18.7　竣工验收</w:t>
      </w:r>
    </w:p>
    <w:p>
      <w:pPr>
        <w:pStyle w:val="26"/>
        <w:rPr>
          <w:rFonts w:hint="eastAsia" w:ascii="宋体" w:hAnsi="宋体" w:eastAsia="宋体" w:cs="宋体"/>
          <w:sz w:val="24"/>
          <w:szCs w:val="24"/>
        </w:rPr>
      </w:pPr>
      <w:r>
        <w:rPr>
          <w:rFonts w:hint="eastAsia" w:ascii="宋体" w:hAnsi="宋体" w:eastAsia="宋体" w:cs="宋体"/>
          <w:sz w:val="24"/>
          <w:szCs w:val="24"/>
        </w:rPr>
        <w:t>　　18.7.1　申请竣工验收前，发包人组织竣工验收自查，承包人应派代表参加。</w:t>
      </w:r>
    </w:p>
    <w:p>
      <w:pPr>
        <w:pStyle w:val="26"/>
        <w:rPr>
          <w:rFonts w:hint="eastAsia" w:ascii="宋体" w:hAnsi="宋体" w:eastAsia="宋体" w:cs="宋体"/>
          <w:sz w:val="24"/>
          <w:szCs w:val="24"/>
        </w:rPr>
      </w:pPr>
      <w:r>
        <w:rPr>
          <w:rFonts w:hint="eastAsia" w:ascii="宋体" w:hAnsi="宋体" w:eastAsia="宋体" w:cs="宋体"/>
          <w:sz w:val="24"/>
          <w:szCs w:val="24"/>
        </w:rPr>
        <w:t>　　18.7.2　竣工验收分为竣工技术预验收和竣工验收两个阶段。发包人应通知承包人派代表参加技术预验收和竣工验收。</w:t>
      </w:r>
    </w:p>
    <w:p>
      <w:pPr>
        <w:pStyle w:val="26"/>
        <w:rPr>
          <w:rFonts w:hint="eastAsia" w:ascii="宋体" w:hAnsi="宋体" w:eastAsia="宋体" w:cs="宋体"/>
          <w:sz w:val="24"/>
          <w:szCs w:val="24"/>
        </w:rPr>
      </w:pPr>
      <w:r>
        <w:rPr>
          <w:rFonts w:hint="eastAsia" w:ascii="宋体" w:hAnsi="宋体" w:eastAsia="宋体" w:cs="宋体"/>
          <w:sz w:val="24"/>
          <w:szCs w:val="24"/>
        </w:rPr>
        <w:t>　　18.7.3　专用合同条款约定工程需要进行技术鉴定的，承包人应提交有关资料并完成配合工作。</w:t>
      </w:r>
    </w:p>
    <w:p>
      <w:pPr>
        <w:pStyle w:val="26"/>
        <w:rPr>
          <w:rFonts w:hint="eastAsia" w:ascii="宋体" w:hAnsi="宋体" w:eastAsia="宋体" w:cs="宋体"/>
          <w:sz w:val="24"/>
          <w:szCs w:val="24"/>
        </w:rPr>
      </w:pPr>
      <w:r>
        <w:rPr>
          <w:rFonts w:hint="eastAsia" w:ascii="宋体" w:hAnsi="宋体" w:eastAsia="宋体" w:cs="宋体"/>
          <w:sz w:val="24"/>
          <w:szCs w:val="24"/>
        </w:rPr>
        <w:t>　　18.7.4　竣工验收需要进行质量检测的，所需费用由发包人承担，但因承包人原因造成质量不合格的除外。</w:t>
      </w:r>
    </w:p>
    <w:p>
      <w:pPr>
        <w:pStyle w:val="26"/>
        <w:rPr>
          <w:rFonts w:hint="eastAsia" w:ascii="宋体" w:hAnsi="宋体" w:eastAsia="宋体" w:cs="宋体"/>
          <w:sz w:val="24"/>
          <w:szCs w:val="24"/>
        </w:rPr>
      </w:pPr>
      <w:r>
        <w:rPr>
          <w:rFonts w:hint="eastAsia" w:ascii="宋体" w:hAnsi="宋体" w:eastAsia="宋体" w:cs="宋体"/>
          <w:sz w:val="24"/>
          <w:szCs w:val="24"/>
        </w:rPr>
        <w:t>　　18.7.5　工程质量保修期满以及竣工验收遗留问题和尾工处理完成并通过验收后，发包人负责将处理情况和验收成果报送竣工验收主持单位，申请领取工程竣工证书，并发送承包人。</w:t>
      </w:r>
    </w:p>
    <w:p>
      <w:pPr>
        <w:pStyle w:val="26"/>
        <w:rPr>
          <w:rFonts w:hint="eastAsia" w:ascii="宋体" w:hAnsi="宋体" w:eastAsia="宋体" w:cs="宋体"/>
          <w:sz w:val="24"/>
          <w:szCs w:val="24"/>
        </w:rPr>
      </w:pPr>
      <w:r>
        <w:rPr>
          <w:rFonts w:hint="eastAsia" w:ascii="宋体" w:hAnsi="宋体" w:eastAsia="宋体" w:cs="宋体"/>
          <w:sz w:val="24"/>
          <w:szCs w:val="24"/>
        </w:rPr>
        <w:t>　18.8　施工期运行</w:t>
      </w:r>
    </w:p>
    <w:p>
      <w:pPr>
        <w:pStyle w:val="26"/>
        <w:rPr>
          <w:rFonts w:hint="eastAsia" w:ascii="宋体" w:hAnsi="宋体" w:eastAsia="宋体" w:cs="宋体"/>
          <w:sz w:val="24"/>
          <w:szCs w:val="24"/>
        </w:rPr>
      </w:pPr>
      <w:r>
        <w:rPr>
          <w:rFonts w:hint="eastAsia" w:ascii="宋体" w:hAnsi="宋体" w:eastAsia="宋体" w:cs="宋体"/>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pStyle w:val="26"/>
        <w:rPr>
          <w:rFonts w:hint="eastAsia" w:ascii="宋体" w:hAnsi="宋体" w:eastAsia="宋体" w:cs="宋体"/>
          <w:sz w:val="24"/>
          <w:szCs w:val="24"/>
        </w:rPr>
      </w:pPr>
      <w:r>
        <w:rPr>
          <w:rFonts w:hint="eastAsia" w:ascii="宋体" w:hAnsi="宋体" w:eastAsia="宋体" w:cs="宋体"/>
          <w:sz w:val="24"/>
          <w:szCs w:val="24"/>
        </w:rPr>
        <w:t>　　18.8.2　在施工期运行中发现工程或工程设备损坏或存在缺陷的，由承包人按第19.2款约定进行修复。</w:t>
      </w:r>
    </w:p>
    <w:p>
      <w:pPr>
        <w:pStyle w:val="26"/>
        <w:rPr>
          <w:rFonts w:hint="eastAsia" w:ascii="宋体" w:hAnsi="宋体" w:eastAsia="宋体" w:cs="宋体"/>
          <w:sz w:val="24"/>
          <w:szCs w:val="24"/>
        </w:rPr>
      </w:pPr>
      <w:r>
        <w:rPr>
          <w:rFonts w:hint="eastAsia" w:ascii="宋体" w:hAnsi="宋体" w:eastAsia="宋体" w:cs="宋体"/>
          <w:sz w:val="24"/>
          <w:szCs w:val="24"/>
        </w:rPr>
        <w:t>　18.9　试运行</w:t>
      </w:r>
    </w:p>
    <w:p>
      <w:pPr>
        <w:pStyle w:val="26"/>
        <w:rPr>
          <w:rFonts w:hint="eastAsia" w:ascii="宋体" w:hAnsi="宋体" w:eastAsia="宋体" w:cs="宋体"/>
          <w:sz w:val="24"/>
          <w:szCs w:val="24"/>
        </w:rPr>
      </w:pPr>
      <w:r>
        <w:rPr>
          <w:rFonts w:hint="eastAsia" w:ascii="宋体" w:hAnsi="宋体" w:eastAsia="宋体" w:cs="宋体"/>
          <w:sz w:val="24"/>
          <w:szCs w:val="24"/>
        </w:rPr>
        <w:t>　　18.9.1　除专用合同条款另有约定外，承包人应按规定进行工程及工程设备试运行，负责提供试运行所需的人员、器材和必要的条件，并承担全部试运行费用。</w:t>
      </w:r>
    </w:p>
    <w:p>
      <w:pPr>
        <w:pStyle w:val="26"/>
        <w:rPr>
          <w:rFonts w:hint="eastAsia" w:ascii="宋体" w:hAnsi="宋体" w:eastAsia="宋体" w:cs="宋体"/>
          <w:sz w:val="24"/>
          <w:szCs w:val="24"/>
        </w:rPr>
      </w:pPr>
      <w:r>
        <w:rPr>
          <w:rFonts w:hint="eastAsia" w:ascii="宋体" w:hAnsi="宋体" w:eastAsia="宋体" w:cs="宋体"/>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26"/>
        <w:rPr>
          <w:rFonts w:hint="eastAsia" w:ascii="宋体" w:hAnsi="宋体" w:eastAsia="宋体" w:cs="宋体"/>
          <w:sz w:val="24"/>
          <w:szCs w:val="24"/>
        </w:rPr>
      </w:pPr>
      <w:r>
        <w:rPr>
          <w:rFonts w:hint="eastAsia" w:ascii="宋体" w:hAnsi="宋体" w:eastAsia="宋体" w:cs="宋体"/>
          <w:sz w:val="24"/>
          <w:szCs w:val="24"/>
        </w:rPr>
        <w:t>　18.10　竣工(完工)清场</w:t>
      </w:r>
    </w:p>
    <w:p>
      <w:pPr>
        <w:pStyle w:val="26"/>
        <w:rPr>
          <w:rFonts w:hint="eastAsia" w:ascii="宋体" w:hAnsi="宋体" w:eastAsia="宋体" w:cs="宋体"/>
          <w:sz w:val="24"/>
          <w:szCs w:val="24"/>
        </w:rPr>
      </w:pPr>
      <w:r>
        <w:rPr>
          <w:rFonts w:hint="eastAsia" w:ascii="宋体" w:hAnsi="宋体" w:eastAsia="宋体" w:cs="宋体"/>
          <w:sz w:val="24"/>
          <w:szCs w:val="24"/>
        </w:rPr>
        <w:t>　　18.10.1　工程项目竣工(完工)清场的工作范围和内容在技术标准和要求(合同技术条款)中约定。</w:t>
      </w:r>
    </w:p>
    <w:p>
      <w:pPr>
        <w:pStyle w:val="26"/>
        <w:rPr>
          <w:rFonts w:hint="eastAsia" w:ascii="宋体" w:hAnsi="宋体" w:eastAsia="宋体" w:cs="宋体"/>
          <w:sz w:val="24"/>
          <w:szCs w:val="24"/>
        </w:rPr>
      </w:pPr>
      <w:r>
        <w:rPr>
          <w:rFonts w:hint="eastAsia" w:ascii="宋体" w:hAnsi="宋体" w:eastAsia="宋体" w:cs="宋体"/>
          <w:sz w:val="24"/>
          <w:szCs w:val="24"/>
        </w:rPr>
        <w:t>　　18.10.2　承包人未按监理人的要求恢复临时占地，或者场地清理未达到合同约定的，发包人有权委托其它人恢复或清理，所发生的金额从拟支付给承包人的款项中扣除。</w:t>
      </w:r>
    </w:p>
    <w:p>
      <w:pPr>
        <w:pStyle w:val="26"/>
        <w:rPr>
          <w:rFonts w:hint="eastAsia" w:ascii="宋体" w:hAnsi="宋体" w:eastAsia="宋体" w:cs="宋体"/>
          <w:sz w:val="24"/>
          <w:szCs w:val="24"/>
        </w:rPr>
      </w:pPr>
      <w:r>
        <w:rPr>
          <w:rFonts w:hint="eastAsia" w:ascii="宋体" w:hAnsi="宋体" w:eastAsia="宋体" w:cs="宋体"/>
          <w:sz w:val="24"/>
          <w:szCs w:val="24"/>
        </w:rPr>
        <w:t>　18.11　施工队伍的撤离</w:t>
      </w:r>
    </w:p>
    <w:p>
      <w:pPr>
        <w:pStyle w:val="26"/>
        <w:rPr>
          <w:rFonts w:hint="eastAsia" w:ascii="宋体" w:hAnsi="宋体" w:eastAsia="宋体" w:cs="宋体"/>
          <w:sz w:val="24"/>
          <w:szCs w:val="24"/>
        </w:rPr>
      </w:pPr>
      <w:r>
        <w:rPr>
          <w:rFonts w:hint="eastAsia" w:ascii="宋体" w:hAnsi="宋体" w:eastAsia="宋体" w:cs="宋体"/>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26"/>
        <w:rPr>
          <w:rFonts w:hint="eastAsia" w:ascii="宋体" w:hAnsi="宋体" w:eastAsia="宋体" w:cs="宋体"/>
          <w:b/>
          <w:sz w:val="24"/>
          <w:szCs w:val="24"/>
        </w:rPr>
      </w:pPr>
      <w:bookmarkStart w:id="267" w:name="第04章合同条款及格式0119"/>
      <w:bookmarkEnd w:id="267"/>
      <w:r>
        <w:rPr>
          <w:rFonts w:hint="eastAsia" w:ascii="宋体" w:hAnsi="宋体" w:eastAsia="宋体" w:cs="宋体"/>
          <w:b/>
          <w:sz w:val="24"/>
          <w:szCs w:val="24"/>
        </w:rPr>
        <w:t>19　缺陷责任与保修责任</w:t>
      </w:r>
    </w:p>
    <w:p>
      <w:pPr>
        <w:pStyle w:val="26"/>
        <w:rPr>
          <w:rFonts w:hint="eastAsia" w:ascii="宋体" w:hAnsi="宋体" w:eastAsia="宋体" w:cs="宋体"/>
          <w:sz w:val="24"/>
          <w:szCs w:val="24"/>
        </w:rPr>
      </w:pPr>
      <w:r>
        <w:rPr>
          <w:rFonts w:hint="eastAsia" w:ascii="宋体" w:hAnsi="宋体" w:eastAsia="宋体" w:cs="宋体"/>
          <w:sz w:val="24"/>
          <w:szCs w:val="24"/>
        </w:rPr>
        <w:t>　19.1　缺陷责任期(工程质量保修期)的起算时间</w:t>
      </w:r>
    </w:p>
    <w:p>
      <w:pPr>
        <w:pStyle w:val="26"/>
        <w:ind w:firstLine="420"/>
        <w:rPr>
          <w:rFonts w:hint="eastAsia" w:ascii="宋体" w:hAnsi="宋体" w:eastAsia="宋体" w:cs="宋体"/>
          <w:sz w:val="24"/>
          <w:szCs w:val="24"/>
        </w:rPr>
      </w:pPr>
      <w:r>
        <w:rPr>
          <w:rFonts w:hint="eastAsia" w:ascii="宋体" w:hAnsi="宋体" w:eastAsia="宋体" w:cs="宋体"/>
          <w:sz w:val="24"/>
          <w:szCs w:val="24"/>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bookmarkStart w:id="268" w:name="_Toc152042515"/>
      <w:bookmarkStart w:id="269" w:name="_Toc144974707"/>
      <w:bookmarkStart w:id="270" w:name="_Toc152045736"/>
      <w:bookmarkStart w:id="271" w:name="_Toc179632754"/>
    </w:p>
    <w:p>
      <w:pPr>
        <w:pStyle w:val="26"/>
        <w:ind w:firstLine="360" w:firstLineChars="150"/>
        <w:rPr>
          <w:rFonts w:hint="eastAsia" w:ascii="宋体" w:hAnsi="宋体" w:eastAsia="宋体" w:cs="宋体"/>
          <w:sz w:val="24"/>
          <w:szCs w:val="24"/>
        </w:rPr>
      </w:pPr>
      <w:r>
        <w:rPr>
          <w:rFonts w:hint="eastAsia" w:ascii="宋体" w:hAnsi="宋体" w:eastAsia="宋体" w:cs="宋体"/>
          <w:sz w:val="24"/>
          <w:szCs w:val="24"/>
        </w:rPr>
        <w:t>19.2缺陷责任</w:t>
      </w:r>
      <w:bookmarkEnd w:id="268"/>
      <w:bookmarkEnd w:id="269"/>
      <w:bookmarkEnd w:id="270"/>
      <w:bookmarkEnd w:id="27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19.2.1承包人应在缺陷责任期内对已交付使用的工程承担缺陷责任。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19.2.2缺陷责任期内，发包人对已接收使用的工程负责日常维护工作。发包人在使用过程中，发现已接收的工程存在新的缺陷或已修复的缺陷部位或部件又遭损坏的，承包人应负责修复，直至检验合格为止。</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19.2.4承包人不能在合理时间内修复缺陷的，发包人可自行修复或委托其他人修复，所需费用和利润的承担，按第19.2.3项约定办理。</w:t>
      </w:r>
      <w:bookmarkStart w:id="272" w:name="_Toc144974708"/>
      <w:bookmarkStart w:id="273" w:name="_Toc179632755"/>
      <w:bookmarkStart w:id="274" w:name="_Toc152042516"/>
      <w:bookmarkStart w:id="275" w:name="_Toc152045737"/>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19.3缺陷责任期的延长</w:t>
      </w:r>
      <w:bookmarkEnd w:id="272"/>
      <w:bookmarkEnd w:id="273"/>
      <w:bookmarkEnd w:id="274"/>
      <w:bookmarkEnd w:id="275"/>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由于承包人原因造成某项缺陷或损坏使某项工程或工程设备不能按原定目标使用而需要再次检查、检验和修复的，发包人有权要求承包人相应延长缺陷责任期，但缺陷责任期最长不超过2年。</w:t>
      </w:r>
      <w:bookmarkStart w:id="276" w:name="_Toc152045738"/>
      <w:bookmarkStart w:id="277" w:name="_Toc144974709"/>
      <w:bookmarkStart w:id="278" w:name="_Toc152042517"/>
      <w:bookmarkStart w:id="279" w:name="_Toc179632756"/>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19.4进一步试验和试运行</w:t>
      </w:r>
      <w:bookmarkEnd w:id="276"/>
      <w:bookmarkEnd w:id="277"/>
      <w:bookmarkEnd w:id="278"/>
      <w:bookmarkEnd w:id="27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任何一项缺陷或损坏修复后，经检查证明其影响了工程或工程设备的使用性能，承包人应重新进行合同约定的试验和试运行，试验和试运行的全部费用应由责任方承担。</w:t>
      </w:r>
      <w:bookmarkStart w:id="280" w:name="_Toc144974710"/>
      <w:bookmarkStart w:id="281" w:name="_Toc179632757"/>
      <w:bookmarkStart w:id="282" w:name="_Toc152042518"/>
      <w:bookmarkStart w:id="283" w:name="_Toc152045739"/>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19.5承包人的进入权</w:t>
      </w:r>
      <w:bookmarkEnd w:id="280"/>
      <w:bookmarkEnd w:id="281"/>
      <w:bookmarkEnd w:id="282"/>
      <w:bookmarkEnd w:id="28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缺陷责任期内承包人为缺陷修复工作需要，有权进入工程现场，但应遵守发包人的保安和保密规定。</w:t>
      </w:r>
    </w:p>
    <w:p>
      <w:pPr>
        <w:pStyle w:val="26"/>
        <w:rPr>
          <w:rFonts w:hint="eastAsia" w:ascii="宋体" w:hAnsi="宋体" w:eastAsia="宋体" w:cs="宋体"/>
          <w:sz w:val="24"/>
          <w:szCs w:val="24"/>
        </w:rPr>
      </w:pPr>
      <w:r>
        <w:rPr>
          <w:rFonts w:hint="eastAsia" w:ascii="宋体" w:hAnsi="宋体" w:eastAsia="宋体" w:cs="宋体"/>
          <w:sz w:val="24"/>
          <w:szCs w:val="24"/>
        </w:rPr>
        <w:t>　19.6　缺陷责任期终止证书(工程质量保修责任终止证书)</w:t>
      </w:r>
    </w:p>
    <w:p>
      <w:pPr>
        <w:pStyle w:val="26"/>
        <w:rPr>
          <w:rFonts w:hint="eastAsia" w:ascii="宋体" w:hAnsi="宋体" w:eastAsia="宋体" w:cs="宋体"/>
          <w:sz w:val="24"/>
          <w:szCs w:val="24"/>
        </w:rPr>
      </w:pPr>
      <w:r>
        <w:rPr>
          <w:rFonts w:hint="eastAsia" w:ascii="宋体" w:hAnsi="宋体" w:eastAsia="宋体" w:cs="宋体"/>
          <w:sz w:val="24"/>
          <w:szCs w:val="24"/>
        </w:rPr>
        <w:t>　　合同工程完工验收或投入使用验收后，发包人与承包人应办理工程交接手续，承包人应向发包人递交工程质量保修书。</w:t>
      </w:r>
    </w:p>
    <w:p>
      <w:pPr>
        <w:pStyle w:val="26"/>
        <w:ind w:firstLine="420"/>
        <w:rPr>
          <w:rFonts w:hint="eastAsia" w:ascii="宋体" w:hAnsi="宋体" w:eastAsia="宋体" w:cs="宋体"/>
          <w:sz w:val="24"/>
          <w:szCs w:val="24"/>
        </w:rPr>
      </w:pPr>
      <w:r>
        <w:rPr>
          <w:rFonts w:hint="eastAsia" w:ascii="宋体" w:hAnsi="宋体" w:eastAsia="宋体" w:cs="宋体"/>
          <w:sz w:val="24"/>
          <w:szCs w:val="24"/>
        </w:rPr>
        <w:t>缺陷责任期(工程质量保修期)满后30个工作日内，发包人应向承包人颁发工程质量保修责任终止证书，并退还剩余的质量保证金，但保修责任范围内的质量缺陷未处理完成的应除外。</w:t>
      </w:r>
    </w:p>
    <w:p>
      <w:pPr>
        <w:pStyle w:val="26"/>
        <w:ind w:firstLine="240" w:firstLineChars="100"/>
        <w:rPr>
          <w:rFonts w:hint="eastAsia" w:ascii="宋体" w:hAnsi="宋体" w:eastAsia="宋体" w:cs="宋体"/>
          <w:sz w:val="24"/>
          <w:szCs w:val="24"/>
        </w:rPr>
      </w:pPr>
      <w:bookmarkStart w:id="284" w:name="_Toc152042520"/>
      <w:bookmarkStart w:id="285" w:name="_Toc144974712"/>
      <w:bookmarkStart w:id="286" w:name="_Toc152045741"/>
      <w:bookmarkStart w:id="287" w:name="_Toc179632759"/>
      <w:r>
        <w:rPr>
          <w:rFonts w:hint="eastAsia" w:ascii="宋体" w:hAnsi="宋体" w:eastAsia="宋体" w:cs="宋体"/>
          <w:sz w:val="24"/>
          <w:szCs w:val="24"/>
        </w:rPr>
        <w:t>19.7保修责任</w:t>
      </w:r>
      <w:bookmarkEnd w:id="284"/>
      <w:bookmarkEnd w:id="285"/>
      <w:bookmarkEnd w:id="286"/>
      <w:bookmarkEnd w:id="28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26"/>
        <w:rPr>
          <w:rFonts w:hint="eastAsia" w:ascii="宋体" w:hAnsi="宋体" w:eastAsia="宋体" w:cs="宋体"/>
          <w:b/>
          <w:sz w:val="24"/>
          <w:szCs w:val="24"/>
        </w:rPr>
      </w:pPr>
      <w:bookmarkStart w:id="288" w:name="第04章合同条款及格式0120"/>
      <w:bookmarkEnd w:id="288"/>
      <w:r>
        <w:rPr>
          <w:rFonts w:hint="eastAsia" w:ascii="宋体" w:hAnsi="宋体" w:eastAsia="宋体" w:cs="宋体"/>
          <w:b/>
          <w:sz w:val="24"/>
          <w:szCs w:val="24"/>
        </w:rPr>
        <w:t>20　保险</w:t>
      </w:r>
    </w:p>
    <w:p>
      <w:pPr>
        <w:pStyle w:val="26"/>
        <w:ind w:firstLine="240" w:firstLineChars="100"/>
        <w:rPr>
          <w:rFonts w:hint="eastAsia" w:ascii="宋体" w:hAnsi="宋体" w:eastAsia="宋体" w:cs="宋体"/>
          <w:sz w:val="24"/>
          <w:szCs w:val="24"/>
        </w:rPr>
      </w:pPr>
      <w:bookmarkStart w:id="289" w:name="_Toc144974714"/>
      <w:bookmarkStart w:id="290" w:name="_Toc179632761"/>
      <w:bookmarkStart w:id="291" w:name="_Toc152045743"/>
      <w:bookmarkStart w:id="292" w:name="_Toc152042522"/>
      <w:r>
        <w:rPr>
          <w:rFonts w:hint="eastAsia" w:ascii="宋体" w:hAnsi="宋体" w:eastAsia="宋体" w:cs="宋体"/>
          <w:sz w:val="24"/>
          <w:szCs w:val="24"/>
        </w:rPr>
        <w:t>20.1工程保险</w:t>
      </w:r>
      <w:bookmarkEnd w:id="289"/>
      <w:bookmarkEnd w:id="290"/>
      <w:bookmarkEnd w:id="291"/>
      <w:bookmarkEnd w:id="292"/>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26"/>
        <w:ind w:firstLine="240" w:firstLineChars="100"/>
        <w:rPr>
          <w:rFonts w:hint="eastAsia" w:ascii="宋体" w:hAnsi="宋体" w:eastAsia="宋体" w:cs="宋体"/>
          <w:sz w:val="24"/>
          <w:szCs w:val="24"/>
        </w:rPr>
      </w:pPr>
      <w:bookmarkStart w:id="293" w:name="_Toc152045744"/>
      <w:bookmarkStart w:id="294" w:name="_Toc179632762"/>
      <w:bookmarkStart w:id="295" w:name="_Toc152042523"/>
      <w:bookmarkStart w:id="296" w:name="_Toc144974715"/>
      <w:r>
        <w:rPr>
          <w:rFonts w:hint="eastAsia" w:ascii="宋体" w:hAnsi="宋体" w:eastAsia="宋体" w:cs="宋体"/>
          <w:sz w:val="24"/>
          <w:szCs w:val="24"/>
        </w:rPr>
        <w:t>20.2人员工伤事故的保险</w:t>
      </w:r>
      <w:bookmarkEnd w:id="293"/>
      <w:bookmarkEnd w:id="294"/>
      <w:bookmarkEnd w:id="295"/>
      <w:bookmarkEnd w:id="296"/>
    </w:p>
    <w:p>
      <w:pPr>
        <w:pStyle w:val="26"/>
        <w:ind w:firstLine="600" w:firstLineChars="250"/>
        <w:rPr>
          <w:rFonts w:hint="eastAsia" w:ascii="宋体" w:hAnsi="宋体" w:eastAsia="宋体" w:cs="宋体"/>
          <w:sz w:val="24"/>
          <w:szCs w:val="24"/>
        </w:rPr>
      </w:pPr>
      <w:r>
        <w:rPr>
          <w:rFonts w:hint="eastAsia" w:ascii="宋体" w:hAnsi="宋体" w:eastAsia="宋体" w:cs="宋体"/>
          <w:sz w:val="24"/>
          <w:szCs w:val="24"/>
        </w:rPr>
        <w:t>20.2.1承包人员工伤事故的保险</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承包人应依照有关法律规定参加工伤保险，为其履行合同所雇佣的全部人员，缴纳工伤保险费，并要求其分包人也进行此项保险。</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20.2.2发包人员工伤事故的保险</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发包人应依照有关法律规定参加工伤保险，为其现场机构雇佣的全部人员，缴纳工伤保险费，并要求其监理人也进行此项保险。</w:t>
      </w:r>
    </w:p>
    <w:p>
      <w:pPr>
        <w:pStyle w:val="26"/>
        <w:ind w:firstLine="240" w:firstLineChars="100"/>
        <w:rPr>
          <w:rFonts w:hint="eastAsia" w:ascii="宋体" w:hAnsi="宋体" w:eastAsia="宋体" w:cs="宋体"/>
          <w:sz w:val="24"/>
          <w:szCs w:val="24"/>
        </w:rPr>
      </w:pPr>
      <w:bookmarkStart w:id="297" w:name="_Toc179632763"/>
      <w:bookmarkStart w:id="298" w:name="_Toc152045745"/>
      <w:bookmarkStart w:id="299" w:name="_Toc144974716"/>
      <w:bookmarkStart w:id="300" w:name="_Toc152042524"/>
      <w:r>
        <w:rPr>
          <w:rFonts w:hint="eastAsia" w:ascii="宋体" w:hAnsi="宋体" w:eastAsia="宋体" w:cs="宋体"/>
          <w:sz w:val="24"/>
          <w:szCs w:val="24"/>
        </w:rPr>
        <w:t>20.3人身意外伤害险</w:t>
      </w:r>
      <w:bookmarkEnd w:id="297"/>
      <w:bookmarkEnd w:id="298"/>
      <w:bookmarkEnd w:id="299"/>
      <w:bookmarkEnd w:id="300"/>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20.3.1发包人应在整个施工期间为其现场机构雇用的全部人员，投保人身意外伤害险，缴纳保险费，并要求其监理人也进行此项保险。</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20.3.2承包人应在整个施工期间为其现场机构雇用的全部人员，投保人身意外伤害险，缴纳保险费，并要求其分包人也进行此项保险。</w:t>
      </w:r>
    </w:p>
    <w:p>
      <w:pPr>
        <w:pStyle w:val="26"/>
        <w:ind w:firstLine="240" w:firstLineChars="100"/>
        <w:rPr>
          <w:rFonts w:hint="eastAsia" w:ascii="宋体" w:hAnsi="宋体" w:eastAsia="宋体" w:cs="宋体"/>
          <w:sz w:val="24"/>
          <w:szCs w:val="24"/>
        </w:rPr>
      </w:pPr>
      <w:bookmarkStart w:id="301" w:name="_Toc152042525"/>
      <w:bookmarkStart w:id="302" w:name="_Toc179632764"/>
      <w:bookmarkStart w:id="303" w:name="_Toc144974717"/>
      <w:bookmarkStart w:id="304" w:name="_Toc152045746"/>
      <w:r>
        <w:rPr>
          <w:rFonts w:hint="eastAsia" w:ascii="宋体" w:hAnsi="宋体" w:eastAsia="宋体" w:cs="宋体"/>
          <w:sz w:val="24"/>
          <w:szCs w:val="24"/>
        </w:rPr>
        <w:t>20.4第三者责任险</w:t>
      </w:r>
      <w:bookmarkEnd w:id="301"/>
      <w:bookmarkEnd w:id="302"/>
      <w:bookmarkEnd w:id="303"/>
      <w:bookmarkEnd w:id="304"/>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20.4.2在缺陷责任期终止证书颁发前，承包人应以承包人和发包人的共同名义，投保第20.4.1项约定的第三者责任险，其保险费率、保险金额等有关内容在专用合同条款中约定。</w:t>
      </w:r>
    </w:p>
    <w:p>
      <w:pPr>
        <w:pStyle w:val="26"/>
        <w:ind w:firstLine="240" w:firstLineChars="100"/>
        <w:rPr>
          <w:rFonts w:hint="eastAsia" w:ascii="宋体" w:hAnsi="宋体" w:eastAsia="宋体" w:cs="宋体"/>
          <w:sz w:val="24"/>
          <w:szCs w:val="24"/>
        </w:rPr>
      </w:pPr>
      <w:bookmarkStart w:id="305" w:name="_Toc179632765"/>
      <w:bookmarkStart w:id="306" w:name="_Toc144974718"/>
      <w:bookmarkStart w:id="307" w:name="_Toc152045747"/>
      <w:bookmarkStart w:id="308" w:name="_Toc152042526"/>
      <w:r>
        <w:rPr>
          <w:rFonts w:hint="eastAsia" w:ascii="宋体" w:hAnsi="宋体" w:eastAsia="宋体" w:cs="宋体"/>
          <w:sz w:val="24"/>
          <w:szCs w:val="24"/>
        </w:rPr>
        <w:t>20.5其他保险</w:t>
      </w:r>
      <w:bookmarkEnd w:id="305"/>
      <w:bookmarkEnd w:id="306"/>
      <w:bookmarkEnd w:id="307"/>
      <w:bookmarkEnd w:id="308"/>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除专用合同条款另有约定外，承包人应为其施工设备、进场的材料和工程设备等办理保险。</w:t>
      </w:r>
    </w:p>
    <w:p>
      <w:pPr>
        <w:pStyle w:val="26"/>
        <w:ind w:firstLine="240" w:firstLineChars="100"/>
        <w:rPr>
          <w:rFonts w:hint="eastAsia" w:ascii="宋体" w:hAnsi="宋体" w:eastAsia="宋体" w:cs="宋体"/>
          <w:sz w:val="24"/>
          <w:szCs w:val="24"/>
        </w:rPr>
      </w:pPr>
      <w:r>
        <w:rPr>
          <w:rFonts w:hint="eastAsia" w:ascii="宋体" w:hAnsi="宋体" w:eastAsia="宋体" w:cs="宋体"/>
          <w:sz w:val="24"/>
          <w:szCs w:val="24"/>
        </w:rPr>
        <w:t>20.6　对各项保险的一般要求</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20.6.1保险凭证</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承包人应在专用合同条款约定的期限内向发包人提交各项保险生效的证据和保险单副本，保险单必须与专用合同条款约定的条件保持一致。</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20.6.2保险合同条款的变动</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承包人需要变动保险合同条款时，应事先征得发包人同意，并通知监理人。保险人作出变动的，承包人应在收到保险人通知后立即</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通知发包人和监理人。</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20.6.3持续保险</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承包人应与保险人保持联系，使保险人能够随时了解工程实施中的变动，并确保按保险合同条款要求持续保险。</w:t>
      </w:r>
    </w:p>
    <w:p>
      <w:pPr>
        <w:pStyle w:val="26"/>
        <w:ind w:firstLine="420"/>
        <w:rPr>
          <w:rFonts w:hint="eastAsia" w:ascii="宋体" w:hAnsi="宋体" w:eastAsia="宋体" w:cs="宋体"/>
          <w:sz w:val="24"/>
          <w:szCs w:val="24"/>
        </w:rPr>
      </w:pPr>
      <w:r>
        <w:rPr>
          <w:rFonts w:hint="eastAsia" w:ascii="宋体" w:hAnsi="宋体" w:eastAsia="宋体" w:cs="宋体"/>
          <w:sz w:val="24"/>
          <w:szCs w:val="24"/>
        </w:rPr>
        <w:t>20.6.4　保险金不足以补偿损失时，应由承包人和发包人各自负责补偿的范围和金额在专用合同条款中约定。</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20.6.5未按约定投保的补救</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（1）由于负有投保义务的一方当事人未按合同约定办理保险，或未能使保险持续有效的，另一方当事人可代为办理，所需费用由对方当事人承担。</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（2）由于负有投保义务的一方当事人未按合同约定办理某项保险，导致受益人未能得到保险人的赔偿，原应从该项保险得到的保险金应由负有投保义务的一方当事人支付。</w:t>
      </w:r>
    </w:p>
    <w:p>
      <w:pPr>
        <w:pStyle w:val="26"/>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20.6.6报告义务</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当保险事故发生时，投保人应按照保险单规定的条件和期限及时向保险人报告。</w:t>
      </w:r>
    </w:p>
    <w:p>
      <w:pPr>
        <w:pStyle w:val="26"/>
        <w:rPr>
          <w:rFonts w:hint="eastAsia" w:ascii="宋体" w:hAnsi="宋体" w:eastAsia="宋体" w:cs="宋体"/>
          <w:sz w:val="24"/>
          <w:szCs w:val="24"/>
        </w:rPr>
      </w:pPr>
      <w:r>
        <w:rPr>
          <w:rFonts w:hint="eastAsia" w:ascii="宋体" w:hAnsi="宋体" w:eastAsia="宋体" w:cs="宋体"/>
          <w:sz w:val="24"/>
          <w:szCs w:val="24"/>
        </w:rPr>
        <w:t>　20.7　风险责任的转移</w:t>
      </w:r>
    </w:p>
    <w:p>
      <w:pPr>
        <w:pStyle w:val="26"/>
        <w:rPr>
          <w:rFonts w:hint="eastAsia" w:ascii="宋体" w:hAnsi="宋体" w:eastAsia="宋体" w:cs="宋体"/>
          <w:sz w:val="24"/>
          <w:szCs w:val="24"/>
        </w:rPr>
      </w:pPr>
      <w:r>
        <w:rPr>
          <w:rFonts w:hint="eastAsia" w:ascii="宋体" w:hAnsi="宋体" w:eastAsia="宋体" w:cs="宋体"/>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pPr>
        <w:pStyle w:val="26"/>
        <w:rPr>
          <w:rFonts w:hint="eastAsia" w:ascii="宋体" w:hAnsi="宋体" w:eastAsia="宋体" w:cs="宋体"/>
          <w:b/>
          <w:sz w:val="24"/>
          <w:szCs w:val="24"/>
        </w:rPr>
      </w:pPr>
      <w:bookmarkStart w:id="309" w:name="第04章合同条款及格式0121"/>
      <w:bookmarkEnd w:id="309"/>
      <w:r>
        <w:rPr>
          <w:rFonts w:hint="eastAsia" w:ascii="宋体" w:hAnsi="宋体" w:eastAsia="宋体" w:cs="宋体"/>
          <w:b/>
          <w:sz w:val="24"/>
          <w:szCs w:val="24"/>
        </w:rPr>
        <w:t>21　不可抗力</w:t>
      </w:r>
      <w:bookmarkStart w:id="310" w:name="_Toc179632768"/>
      <w:bookmarkStart w:id="311" w:name="_Toc152045750"/>
      <w:bookmarkStart w:id="312" w:name="_Toc144974721"/>
      <w:bookmarkStart w:id="313" w:name="_Toc152042529"/>
    </w:p>
    <w:p>
      <w:pPr>
        <w:pStyle w:val="26"/>
        <w:rPr>
          <w:rFonts w:hint="eastAsia" w:ascii="宋体" w:hAnsi="宋体" w:eastAsia="宋体" w:cs="宋体"/>
          <w:b/>
          <w:sz w:val="24"/>
          <w:szCs w:val="24"/>
        </w:rPr>
      </w:pPr>
      <w:r>
        <w:rPr>
          <w:rFonts w:hint="eastAsia" w:ascii="宋体" w:hAnsi="宋体" w:eastAsia="宋体" w:cs="宋体"/>
          <w:sz w:val="24"/>
          <w:szCs w:val="24"/>
        </w:rPr>
        <w:t>　21.1不可抗力的确认</w:t>
      </w:r>
      <w:bookmarkEnd w:id="310"/>
      <w:bookmarkEnd w:id="311"/>
      <w:bookmarkEnd w:id="312"/>
      <w:bookmarkEnd w:id="31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bookmarkStart w:id="314" w:name="_Toc144974722"/>
      <w:bookmarkStart w:id="315" w:name="_Toc179632769"/>
      <w:bookmarkStart w:id="316" w:name="_Toc152045751"/>
      <w:bookmarkStart w:id="317" w:name="_Toc152042530"/>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21.2不可抗力的通知</w:t>
      </w:r>
      <w:bookmarkEnd w:id="314"/>
      <w:bookmarkEnd w:id="315"/>
      <w:bookmarkEnd w:id="316"/>
      <w:bookmarkEnd w:id="31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21.2.1合同一方当事人遇到不可抗力事件，使其履行合同义务受到阻碍时，应立即通知合同另一方当事人和监理人，书面说明不可抗力和受阻碍的详细情况，并提供必要的证明。</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21.2.2如不可抗力持续发生，合同一方当事人应及时向合同另一方当事人和监理人提交中间报告，说明不可抗力和履行合同受阻的情况，并于不可抗力事件结束后28天内提交最终报告及有关资料。</w:t>
      </w:r>
      <w:bookmarkStart w:id="318" w:name="_Toc144974723"/>
      <w:bookmarkStart w:id="319" w:name="_Toc152042531"/>
      <w:bookmarkStart w:id="320" w:name="_Toc179632770"/>
      <w:bookmarkStart w:id="321" w:name="_Toc152045752"/>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21.3不可抗力后果及其处理</w:t>
      </w:r>
      <w:bookmarkEnd w:id="318"/>
      <w:bookmarkEnd w:id="319"/>
      <w:bookmarkEnd w:id="320"/>
      <w:bookmarkEnd w:id="32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21.3.1不可抗力造成损害的责任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21.3.2延迟履行期间发生的不可抗力</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合同一方当事人延迟履行，在延迟履行期间发生不可抗力的，不免除其责任。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21.3.3避免和减少不可抗力损失</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不可抗力发生后，发包人和承包人均应采取措施尽量避免和减少损失的扩大，任何一方没有采取有效措施导致损失扩大的，应对扩大的损失承担责任。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21.3.4因不可抗力解除合同</w:t>
      </w:r>
    </w:p>
    <w:p>
      <w:pPr>
        <w:pStyle w:val="26"/>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26"/>
        <w:rPr>
          <w:rFonts w:hint="eastAsia" w:ascii="宋体" w:hAnsi="宋体" w:eastAsia="宋体" w:cs="宋体"/>
          <w:b/>
          <w:sz w:val="24"/>
          <w:szCs w:val="24"/>
        </w:rPr>
      </w:pPr>
      <w:bookmarkStart w:id="322" w:name="第04章合同条款及格式0122"/>
      <w:bookmarkEnd w:id="322"/>
      <w:r>
        <w:rPr>
          <w:rFonts w:hint="eastAsia" w:ascii="宋体" w:hAnsi="宋体" w:eastAsia="宋体" w:cs="宋体"/>
          <w:b/>
          <w:sz w:val="24"/>
          <w:szCs w:val="24"/>
        </w:rPr>
        <w:t>22　违约</w:t>
      </w:r>
    </w:p>
    <w:p>
      <w:pPr>
        <w:pStyle w:val="26"/>
        <w:rPr>
          <w:rFonts w:hint="eastAsia" w:ascii="宋体" w:hAnsi="宋体" w:eastAsia="宋体" w:cs="宋体"/>
          <w:sz w:val="24"/>
          <w:szCs w:val="24"/>
        </w:rPr>
      </w:pPr>
      <w:r>
        <w:rPr>
          <w:rFonts w:hint="eastAsia" w:ascii="宋体" w:hAnsi="宋体" w:eastAsia="宋体" w:cs="宋体"/>
          <w:sz w:val="24"/>
          <w:szCs w:val="24"/>
        </w:rPr>
        <w:t>　22.1　承包人违约</w:t>
      </w:r>
    </w:p>
    <w:p>
      <w:pPr>
        <w:pStyle w:val="26"/>
        <w:rPr>
          <w:rFonts w:hint="eastAsia" w:ascii="宋体" w:hAnsi="宋体" w:eastAsia="宋体" w:cs="宋体"/>
          <w:sz w:val="24"/>
          <w:szCs w:val="24"/>
        </w:rPr>
      </w:pPr>
      <w:r>
        <w:rPr>
          <w:rFonts w:hint="eastAsia" w:ascii="宋体" w:hAnsi="宋体" w:eastAsia="宋体" w:cs="宋体"/>
          <w:sz w:val="24"/>
          <w:szCs w:val="24"/>
        </w:rPr>
        <w:t>　　22.1.1　承包人违约的情形</w:t>
      </w:r>
    </w:p>
    <w:p>
      <w:pPr>
        <w:pStyle w:val="26"/>
        <w:rPr>
          <w:rFonts w:hint="eastAsia" w:ascii="宋体" w:hAnsi="宋体" w:eastAsia="宋体" w:cs="宋体"/>
          <w:sz w:val="24"/>
          <w:szCs w:val="24"/>
        </w:rPr>
      </w:pPr>
      <w:r>
        <w:rPr>
          <w:rFonts w:hint="eastAsia" w:ascii="宋体" w:hAnsi="宋体" w:eastAsia="宋体" w:cs="宋体"/>
          <w:sz w:val="24"/>
          <w:szCs w:val="24"/>
        </w:rPr>
        <w:t>　　在履行合同过程中发生的下列情况属承包人违约：</w:t>
      </w:r>
    </w:p>
    <w:p>
      <w:pPr>
        <w:pStyle w:val="26"/>
        <w:rPr>
          <w:rFonts w:hint="eastAsia" w:ascii="宋体" w:hAnsi="宋体" w:eastAsia="宋体" w:cs="宋体"/>
          <w:sz w:val="24"/>
          <w:szCs w:val="24"/>
        </w:rPr>
      </w:pPr>
      <w:r>
        <w:rPr>
          <w:rFonts w:hint="eastAsia" w:ascii="宋体" w:hAnsi="宋体" w:eastAsia="宋体" w:cs="宋体"/>
          <w:sz w:val="24"/>
          <w:szCs w:val="24"/>
        </w:rPr>
        <w:t>　　(1)承包人违反第1.8款或第4.3款的约定，私自将合同的全部或部分权利转让给其他人，或私自将合同的全部或部分义务转移给其他人；</w:t>
      </w:r>
    </w:p>
    <w:p>
      <w:pPr>
        <w:pStyle w:val="26"/>
        <w:rPr>
          <w:rFonts w:hint="eastAsia" w:ascii="宋体" w:hAnsi="宋体" w:eastAsia="宋体" w:cs="宋体"/>
          <w:sz w:val="24"/>
          <w:szCs w:val="24"/>
        </w:rPr>
      </w:pPr>
      <w:r>
        <w:rPr>
          <w:rFonts w:hint="eastAsia" w:ascii="宋体" w:hAnsi="宋体" w:eastAsia="宋体" w:cs="宋体"/>
          <w:sz w:val="24"/>
          <w:szCs w:val="24"/>
        </w:rPr>
        <w:t>　　(2)承包人违反第5.3款或第6.4款的约定，未经监理人批准，私自将已按合同约定进入施工场地的施工设备、临时设施或材料撤离施工场地；</w:t>
      </w:r>
    </w:p>
    <w:p>
      <w:pPr>
        <w:pStyle w:val="26"/>
        <w:rPr>
          <w:rFonts w:hint="eastAsia" w:ascii="宋体" w:hAnsi="宋体" w:eastAsia="宋体" w:cs="宋体"/>
          <w:sz w:val="24"/>
          <w:szCs w:val="24"/>
        </w:rPr>
      </w:pPr>
      <w:r>
        <w:rPr>
          <w:rFonts w:hint="eastAsia" w:ascii="宋体" w:hAnsi="宋体" w:eastAsia="宋体" w:cs="宋体"/>
          <w:sz w:val="24"/>
          <w:szCs w:val="24"/>
        </w:rPr>
        <w:t>　　(3)承包人违反第5.4款的约定使用了不合格材料或工程设备，工程质量达不到标准要求，又拒绝清除不合格工程；</w:t>
      </w:r>
    </w:p>
    <w:p>
      <w:pPr>
        <w:pStyle w:val="26"/>
        <w:rPr>
          <w:rFonts w:hint="eastAsia" w:ascii="宋体" w:hAnsi="宋体" w:eastAsia="宋体" w:cs="宋体"/>
          <w:sz w:val="24"/>
          <w:szCs w:val="24"/>
        </w:rPr>
      </w:pPr>
      <w:r>
        <w:rPr>
          <w:rFonts w:hint="eastAsia" w:ascii="宋体" w:hAnsi="宋体" w:eastAsia="宋体" w:cs="宋体"/>
          <w:sz w:val="24"/>
          <w:szCs w:val="24"/>
        </w:rPr>
        <w:t>　　(4)承包人未能按合同进度计划及时完成合同约定的工作，已造成或预期造成工期延误；</w:t>
      </w:r>
    </w:p>
    <w:p>
      <w:pPr>
        <w:pStyle w:val="26"/>
        <w:rPr>
          <w:rFonts w:hint="eastAsia" w:ascii="宋体" w:hAnsi="宋体" w:eastAsia="宋体" w:cs="宋体"/>
          <w:sz w:val="24"/>
          <w:szCs w:val="24"/>
        </w:rPr>
      </w:pPr>
      <w:r>
        <w:rPr>
          <w:rFonts w:hint="eastAsia" w:ascii="宋体" w:hAnsi="宋体" w:eastAsia="宋体" w:cs="宋体"/>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pPr>
        <w:pStyle w:val="26"/>
        <w:rPr>
          <w:rFonts w:hint="eastAsia" w:ascii="宋体" w:hAnsi="宋体" w:eastAsia="宋体" w:cs="宋体"/>
          <w:sz w:val="24"/>
          <w:szCs w:val="24"/>
        </w:rPr>
      </w:pPr>
      <w:r>
        <w:rPr>
          <w:rFonts w:hint="eastAsia" w:ascii="宋体" w:hAnsi="宋体" w:eastAsia="宋体" w:cs="宋体"/>
          <w:sz w:val="24"/>
          <w:szCs w:val="24"/>
        </w:rPr>
        <w:t>　　(6)承包人无法继续履行或明确表示不履行或实质上已停止履行合同；</w:t>
      </w:r>
    </w:p>
    <w:p>
      <w:pPr>
        <w:pStyle w:val="26"/>
        <w:ind w:firstLine="420"/>
        <w:rPr>
          <w:rFonts w:hint="eastAsia" w:ascii="宋体" w:hAnsi="宋体" w:eastAsia="宋体" w:cs="宋体"/>
          <w:sz w:val="24"/>
          <w:szCs w:val="24"/>
        </w:rPr>
      </w:pPr>
      <w:r>
        <w:rPr>
          <w:rFonts w:hint="eastAsia" w:ascii="宋体" w:hAnsi="宋体" w:eastAsia="宋体" w:cs="宋体"/>
          <w:sz w:val="24"/>
          <w:szCs w:val="24"/>
        </w:rPr>
        <w:t>(7)承包人不按合同约定履行义务的其它情况。</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22.1.2对承包人违约的处理</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（1）承包人发生第22.1.1（6）目约定的违约情况时，发包人可通知承包人立即解除合同，并按有关法律处理。</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（2）承包人发生除第22.1.1（6）目约定以外的其他违约情况时，监理人可向承包人发出整改通知，要求其在指定的期限内改正。承包人应承担其违约所引起的费用增加和（或）工期延误。</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（3）经检查证明承包人已采取了有效措施纠正违约行为，具备复工条件的，可由监理人签发复工通知复工。</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22.1.3承包人违约解除合同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22.1.4合同解除后的估价、付款和结清</w:t>
      </w:r>
    </w:p>
    <w:p>
      <w:pPr>
        <w:pStyle w:val="26"/>
        <w:spacing w:line="400" w:lineRule="exact"/>
        <w:ind w:firstLine="820" w:firstLineChars="342"/>
        <w:rPr>
          <w:rFonts w:hint="eastAsia" w:ascii="宋体" w:hAnsi="宋体" w:eastAsia="宋体" w:cs="宋体"/>
          <w:sz w:val="24"/>
          <w:szCs w:val="24"/>
          <w:lang w:eastAsia="zh-CN"/>
        </w:rPr>
      </w:pPr>
      <w:r>
        <w:rPr>
          <w:rFonts w:hint="eastAsia" w:ascii="宋体" w:hAnsi="宋体" w:eastAsia="宋体" w:cs="宋体"/>
          <w:sz w:val="24"/>
          <w:szCs w:val="24"/>
        </w:rPr>
        <w:t>（1）合同解除后，监理人按第3.5款商定或确定承包人实际完成工作的价值，以及承包人已提供的材料、施工设备、工程设备和临时工程等的价值。</w:t>
      </w:r>
    </w:p>
    <w:p>
      <w:pPr>
        <w:pStyle w:val="26"/>
        <w:spacing w:line="400" w:lineRule="exact"/>
        <w:ind w:firstLine="820" w:firstLineChars="342"/>
        <w:rPr>
          <w:rFonts w:hint="eastAsia" w:ascii="宋体" w:hAnsi="宋体" w:eastAsia="宋体" w:cs="宋体"/>
          <w:sz w:val="24"/>
          <w:szCs w:val="24"/>
          <w:lang w:eastAsia="zh-CN"/>
        </w:rPr>
      </w:pPr>
      <w:r>
        <w:rPr>
          <w:rFonts w:hint="eastAsia" w:ascii="宋体" w:hAnsi="宋体" w:eastAsia="宋体" w:cs="宋体"/>
          <w:sz w:val="24"/>
          <w:szCs w:val="24"/>
        </w:rPr>
        <w:t>（2）合同解除后，发包人应暂停对承包人的一切付款，查清各项付款和已扣款金额，包括承包人应支付的违约金。</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（3）合同解除后，发包人应按第23.4款的约定向承包人索赔由于解除合同给发包人造成的损失。</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（4）合同双方确认上述往来款项后，出具最终结清付款证书，结清全部合同款项。</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（5）发包人和承包人未能就解除合同后的结清达成一致而形成争议的，按第24条的约定办理。</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22.1.5协议利益的转让</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因承包人违约解除合同的，发包人有权要求承包人将其为实施合同而签订的材料和设备的订货协议或任何服务协议利益转让给发包人，并在解除合同后的14天内，依法办理转让手续。</w:t>
      </w:r>
    </w:p>
    <w:p>
      <w:pPr>
        <w:pStyle w:val="26"/>
        <w:ind w:firstLine="480" w:firstLineChars="200"/>
        <w:rPr>
          <w:rFonts w:hint="eastAsia" w:ascii="宋体" w:hAnsi="宋体" w:eastAsia="宋体" w:cs="宋体"/>
          <w:sz w:val="24"/>
          <w:szCs w:val="24"/>
        </w:rPr>
      </w:pPr>
      <w:r>
        <w:rPr>
          <w:rFonts w:hint="eastAsia" w:ascii="宋体" w:hAnsi="宋体" w:eastAsia="宋体" w:cs="宋体"/>
          <w:sz w:val="24"/>
          <w:szCs w:val="24"/>
        </w:rPr>
        <w:t>22.1.6紧急情况下无能力或不愿进行抢救</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bookmarkStart w:id="323" w:name="_Toc179632773"/>
      <w:bookmarkStart w:id="324" w:name="_Toc144974726"/>
      <w:bookmarkStart w:id="325" w:name="_Toc152042534"/>
      <w:bookmarkStart w:id="326" w:name="_Toc152045755"/>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22.2发包人违约</w:t>
      </w:r>
      <w:bookmarkEnd w:id="323"/>
      <w:bookmarkEnd w:id="324"/>
      <w:bookmarkEnd w:id="325"/>
      <w:bookmarkEnd w:id="326"/>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22.2.1发包人违约的情形</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在履行合同过程中发生的下列情形，属发包人违约：</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（1）发包人未能按合同约定支付预付款或合同价款，或拖延、拒绝批准付款申请和支付凭证，导致付款延误的；</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（2）发包人原因造成停工的；</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（3）监理人无正当理由没有在约定期限内发出复工指示，导致承包人无法复工的；</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（4）发包人无法继续履行或明确表示不履行或实质上已停止履行合同的；</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（5）发包人不履行合同约定其他义务的。</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22.2.2承包人有权暂停施工</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26"/>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22.2.3发包人违约解除合同</w:t>
      </w:r>
    </w:p>
    <w:p>
      <w:pPr>
        <w:pStyle w:val="26"/>
        <w:spacing w:line="400" w:lineRule="exact"/>
        <w:ind w:firstLine="820" w:firstLineChars="342"/>
        <w:rPr>
          <w:rFonts w:hint="eastAsia" w:ascii="宋体" w:hAnsi="宋体" w:eastAsia="宋体" w:cs="宋体"/>
          <w:sz w:val="24"/>
          <w:szCs w:val="24"/>
          <w:lang w:eastAsia="zh-CN"/>
        </w:rPr>
      </w:pPr>
      <w:r>
        <w:rPr>
          <w:rFonts w:hint="eastAsia" w:ascii="宋体" w:hAnsi="宋体" w:eastAsia="宋体" w:cs="宋体"/>
          <w:sz w:val="24"/>
          <w:szCs w:val="24"/>
        </w:rPr>
        <w:t>（1）发生第22.2.1（4）目的违约情况时，承包人可书面通知发包人解除合同。</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（2）承包人按22.2.2项暂停施工28天后，发包人仍不纠正违约行为的，承包人可向发包人发出解除合同通知。但承包人的这一行动不免除发包人承担的违约责任，也不影响承包人根据合同约定享有的索赔权利。</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22.2.4解除合同后的付款</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因发包人违约解除合同的，发包人应在解除合同后28天内向承包人支付下列金额，承包人应在此期限内及时向发包人提交要求支付下列金额的有关资料和凭证：</w:t>
      </w:r>
    </w:p>
    <w:p>
      <w:pPr>
        <w:pStyle w:val="26"/>
        <w:spacing w:line="400" w:lineRule="exact"/>
        <w:ind w:firstLine="820" w:firstLineChars="342"/>
        <w:rPr>
          <w:rFonts w:hint="eastAsia" w:ascii="宋体" w:hAnsi="宋体" w:eastAsia="宋体" w:cs="宋体"/>
          <w:sz w:val="24"/>
          <w:szCs w:val="24"/>
        </w:rPr>
      </w:pP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（1）合同解除日以前所完成工作的价款；</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（2）承包人为该工程施工订购并已付款的材料、工程设备和其他物品的金额。发包人付还后，该材料、工程设备和其他物品归发包人所有；</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（3）承包人为完成工程所发生的，而发包人未支付的金额；</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（4）承包人撤离施工场地以及遣散承包人人员的金额；</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（5）由于解除合同应赔偿的承包人损失；</w:t>
      </w:r>
    </w:p>
    <w:p>
      <w:pPr>
        <w:pStyle w:val="26"/>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（6）按合同约定在合同解除日前应支付给承包人的其他金额。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发包人应按本项约定支付上述金额并退还质量保证金和履约担保，但有权要求承包人支付应偿还给发包人的各项金额。</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22.2.5解除合同后的承包人撤离</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bookmarkStart w:id="327" w:name="_Toc152045756"/>
      <w:bookmarkStart w:id="328" w:name="_Toc152042535"/>
      <w:bookmarkStart w:id="329" w:name="_Toc179632774"/>
    </w:p>
    <w:p>
      <w:pPr>
        <w:pStyle w:val="26"/>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22.3第三人造成的违约</w:t>
      </w:r>
      <w:bookmarkEnd w:id="327"/>
      <w:bookmarkEnd w:id="328"/>
      <w:bookmarkEnd w:id="329"/>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pPr>
        <w:pStyle w:val="26"/>
        <w:rPr>
          <w:rFonts w:hint="eastAsia" w:ascii="宋体" w:hAnsi="宋体" w:eastAsia="宋体" w:cs="宋体"/>
          <w:b/>
          <w:sz w:val="24"/>
          <w:szCs w:val="24"/>
        </w:rPr>
      </w:pPr>
      <w:bookmarkStart w:id="330" w:name="第04章合同条款及格式0123"/>
      <w:bookmarkEnd w:id="330"/>
      <w:r>
        <w:rPr>
          <w:rFonts w:hint="eastAsia" w:ascii="宋体" w:hAnsi="宋体" w:eastAsia="宋体" w:cs="宋体"/>
          <w:b/>
          <w:sz w:val="24"/>
          <w:szCs w:val="24"/>
        </w:rPr>
        <w:t>23　索赔</w:t>
      </w:r>
      <w:bookmarkStart w:id="331" w:name="_Toc152045758"/>
      <w:bookmarkStart w:id="332" w:name="_Toc152042537"/>
      <w:bookmarkStart w:id="333" w:name="_Toc144974728"/>
      <w:bookmarkStart w:id="334" w:name="_Toc179632776"/>
    </w:p>
    <w:p>
      <w:pPr>
        <w:pStyle w:val="26"/>
        <w:ind w:firstLine="240" w:firstLineChars="100"/>
        <w:rPr>
          <w:rFonts w:hint="eastAsia" w:ascii="宋体" w:hAnsi="宋体" w:eastAsia="宋体" w:cs="宋体"/>
          <w:b/>
          <w:sz w:val="24"/>
          <w:szCs w:val="24"/>
        </w:rPr>
      </w:pPr>
      <w:r>
        <w:rPr>
          <w:rFonts w:hint="eastAsia" w:ascii="宋体" w:hAnsi="宋体" w:eastAsia="宋体" w:cs="宋体"/>
          <w:sz w:val="24"/>
          <w:szCs w:val="24"/>
        </w:rPr>
        <w:t>23.1承包人索赔的提出</w:t>
      </w:r>
      <w:bookmarkEnd w:id="331"/>
      <w:bookmarkEnd w:id="332"/>
      <w:bookmarkEnd w:id="333"/>
      <w:bookmarkEnd w:id="334"/>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（2）承包人应在发出索赔意向通知书后28天内，向监理人正式递交索赔通知书。索赔通知书应详细说明索赔理由以及要求追加的付款金额和（或）延长的工期，并附必要的记录和证明材料；</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（3）索赔事件具有连续影响的，承包人应按合理时间间隔继续递交延续索赔通知，说明连续影响的实际情况和记录，列出累计的追加付款金额和（或）工期延长天数；</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（4）在索赔事件影响结束后的28天内，承包人应向监理人递交最终索赔通知书，说明最终要求索赔的追加付款金额和延长的工期，并附必要的记录和证明材料。</w:t>
      </w:r>
    </w:p>
    <w:p>
      <w:pPr>
        <w:pStyle w:val="26"/>
        <w:ind w:firstLine="240" w:firstLineChars="100"/>
        <w:rPr>
          <w:rFonts w:hint="eastAsia" w:ascii="宋体" w:hAnsi="宋体" w:eastAsia="宋体" w:cs="宋体"/>
          <w:sz w:val="24"/>
          <w:szCs w:val="24"/>
        </w:rPr>
      </w:pPr>
      <w:bookmarkStart w:id="335" w:name="_Toc152042538"/>
      <w:bookmarkStart w:id="336" w:name="_Toc144974729"/>
      <w:bookmarkStart w:id="337" w:name="_Toc152045759"/>
      <w:bookmarkStart w:id="338" w:name="_Toc179632777"/>
      <w:r>
        <w:rPr>
          <w:rFonts w:hint="eastAsia" w:ascii="宋体" w:hAnsi="宋体" w:eastAsia="宋体" w:cs="宋体"/>
          <w:sz w:val="24"/>
          <w:szCs w:val="24"/>
        </w:rPr>
        <w:t>23.2承包人索赔处理程序</w:t>
      </w:r>
      <w:bookmarkEnd w:id="335"/>
      <w:bookmarkEnd w:id="336"/>
      <w:bookmarkEnd w:id="337"/>
      <w:bookmarkEnd w:id="338"/>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（1）监理人收到承包人提交的索赔通知书后，应及时审查索赔通知书的内容、查验承包人的记录和证明材料，必要时监理人可要求承包人提交全部原始记录副本。</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（2）监理人应按第3.5款商定或确定追加的付款和（或）延长的工期，并在收到上述索赔通知书或有关索赔的进一步证明材料后的42天内，将索赔处理结果答复承包人。</w:t>
      </w:r>
    </w:p>
    <w:p>
      <w:pPr>
        <w:pStyle w:val="26"/>
        <w:spacing w:line="400" w:lineRule="exact"/>
        <w:ind w:firstLine="410" w:firstLineChars="171"/>
        <w:rPr>
          <w:rFonts w:hint="eastAsia" w:ascii="宋体" w:hAnsi="宋体" w:eastAsia="宋体" w:cs="宋体"/>
          <w:sz w:val="24"/>
          <w:szCs w:val="24"/>
        </w:rPr>
      </w:pPr>
      <w:r>
        <w:rPr>
          <w:rFonts w:hint="eastAsia" w:ascii="宋体" w:hAnsi="宋体" w:eastAsia="宋体" w:cs="宋体"/>
          <w:sz w:val="24"/>
          <w:szCs w:val="24"/>
        </w:rPr>
        <w:t>（3）承包人接受索赔处理结果的，发包人应在作出索赔处理结果答复后28天内完成赔付。承包人不接受索赔处理结果的，按第24条的约定办理。</w:t>
      </w:r>
    </w:p>
    <w:p>
      <w:pPr>
        <w:pStyle w:val="26"/>
        <w:rPr>
          <w:rFonts w:hint="eastAsia" w:ascii="宋体" w:hAnsi="宋体" w:eastAsia="宋体" w:cs="宋体"/>
          <w:sz w:val="24"/>
          <w:szCs w:val="24"/>
        </w:rPr>
      </w:pPr>
      <w:r>
        <w:rPr>
          <w:rFonts w:hint="eastAsia" w:ascii="宋体" w:hAnsi="宋体" w:eastAsia="宋体" w:cs="宋体"/>
          <w:sz w:val="24"/>
          <w:szCs w:val="24"/>
        </w:rPr>
        <w:t>　23.3　承包人提出索赔的期限</w:t>
      </w:r>
    </w:p>
    <w:p>
      <w:pPr>
        <w:pStyle w:val="26"/>
        <w:rPr>
          <w:rFonts w:hint="eastAsia" w:ascii="宋体" w:hAnsi="宋体" w:eastAsia="宋体" w:cs="宋体"/>
          <w:sz w:val="24"/>
          <w:szCs w:val="24"/>
        </w:rPr>
      </w:pPr>
      <w:r>
        <w:rPr>
          <w:rFonts w:hint="eastAsia" w:ascii="宋体" w:hAnsi="宋体" w:eastAsia="宋体" w:cs="宋体"/>
          <w:sz w:val="24"/>
          <w:szCs w:val="24"/>
        </w:rPr>
        <w:t>　　23.3.1　承包人按第17.5款的约定接受了完工付款证书后，应被认为已无权再提出在合同工程完工证书颁发前所发生的任何索赔。</w:t>
      </w:r>
    </w:p>
    <w:p>
      <w:pPr>
        <w:pStyle w:val="26"/>
        <w:rPr>
          <w:rFonts w:hint="eastAsia" w:ascii="宋体" w:hAnsi="宋体" w:eastAsia="宋体" w:cs="宋体"/>
          <w:sz w:val="24"/>
          <w:szCs w:val="24"/>
        </w:rPr>
      </w:pPr>
      <w:r>
        <w:rPr>
          <w:rFonts w:hint="eastAsia" w:ascii="宋体" w:hAnsi="宋体" w:eastAsia="宋体" w:cs="宋体"/>
          <w:sz w:val="24"/>
          <w:szCs w:val="24"/>
        </w:rPr>
        <w:t>　</w:t>
      </w:r>
    </w:p>
    <w:p>
      <w:pPr>
        <w:pStyle w:val="26"/>
        <w:rPr>
          <w:rFonts w:hint="eastAsia" w:ascii="宋体" w:hAnsi="宋体" w:eastAsia="宋体" w:cs="宋体"/>
          <w:sz w:val="24"/>
          <w:szCs w:val="24"/>
        </w:rPr>
      </w:pPr>
      <w:r>
        <w:rPr>
          <w:rFonts w:hint="eastAsia" w:ascii="宋体" w:hAnsi="宋体" w:eastAsia="宋体" w:cs="宋体"/>
          <w:sz w:val="24"/>
          <w:szCs w:val="24"/>
        </w:rPr>
        <w:t>　23.3.2　承包人按第17.6款的约定提交的最终结清申请单中，只限于提出合同工程完工证书颁发后发生的索赔。提出索赔的期限自接受最终结清证书时终止。</w:t>
      </w:r>
    </w:p>
    <w:p>
      <w:pPr>
        <w:pStyle w:val="26"/>
        <w:rPr>
          <w:rFonts w:hint="eastAsia" w:ascii="宋体" w:hAnsi="宋体" w:eastAsia="宋体" w:cs="宋体"/>
          <w:sz w:val="24"/>
          <w:szCs w:val="24"/>
        </w:rPr>
      </w:pPr>
      <w:r>
        <w:rPr>
          <w:rFonts w:hint="eastAsia" w:ascii="宋体" w:hAnsi="宋体" w:eastAsia="宋体" w:cs="宋体"/>
          <w:sz w:val="24"/>
          <w:szCs w:val="24"/>
        </w:rPr>
        <w:t>　23.4　发包人的索赔</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23.4.1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23.4.2监理人按第3.5款商定或确定发包人从承包人处得到赔付的金额和（或）缺陷责任期的延长期。承包人应付给发包人的金额可从拟支付给承包人的合同价款中扣除，或由承包人以其他方式支付给发包人。</w:t>
      </w:r>
    </w:p>
    <w:p>
      <w:pPr>
        <w:pStyle w:val="26"/>
        <w:rPr>
          <w:rFonts w:hint="eastAsia" w:ascii="宋体" w:hAnsi="宋体" w:eastAsia="宋体" w:cs="宋体"/>
          <w:sz w:val="24"/>
          <w:szCs w:val="24"/>
        </w:rPr>
      </w:pPr>
      <w:r>
        <w:rPr>
          <w:rFonts w:hint="eastAsia" w:ascii="宋体" w:hAnsi="宋体" w:eastAsia="宋体" w:cs="宋体"/>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26"/>
        <w:rPr>
          <w:rFonts w:hint="eastAsia" w:ascii="宋体" w:hAnsi="宋体" w:eastAsia="宋体" w:cs="宋体"/>
          <w:b/>
          <w:sz w:val="24"/>
          <w:szCs w:val="24"/>
        </w:rPr>
      </w:pPr>
      <w:bookmarkStart w:id="339" w:name="第04章合同条款及格式0124"/>
      <w:bookmarkEnd w:id="339"/>
      <w:r>
        <w:rPr>
          <w:rFonts w:hint="eastAsia" w:ascii="宋体" w:hAnsi="宋体" w:eastAsia="宋体" w:cs="宋体"/>
          <w:b/>
          <w:sz w:val="24"/>
          <w:szCs w:val="24"/>
        </w:rPr>
        <w:t>24　争议的解决</w:t>
      </w:r>
    </w:p>
    <w:p>
      <w:pPr>
        <w:pStyle w:val="26"/>
        <w:rPr>
          <w:rFonts w:hint="eastAsia" w:ascii="宋体" w:hAnsi="宋体" w:eastAsia="宋体" w:cs="宋体"/>
          <w:sz w:val="24"/>
          <w:szCs w:val="24"/>
        </w:rPr>
      </w:pPr>
      <w:bookmarkStart w:id="340" w:name="_Toc152042542"/>
      <w:bookmarkStart w:id="341" w:name="_Toc144974733"/>
      <w:bookmarkStart w:id="342" w:name="_Toc152045763"/>
      <w:bookmarkStart w:id="343" w:name="_Toc179632781"/>
      <w:r>
        <w:rPr>
          <w:rFonts w:hint="eastAsia" w:ascii="宋体" w:hAnsi="宋体" w:eastAsia="宋体" w:cs="宋体"/>
          <w:sz w:val="24"/>
          <w:szCs w:val="24"/>
        </w:rPr>
        <w:t>　24.1争议的解决方式</w:t>
      </w:r>
      <w:bookmarkEnd w:id="340"/>
      <w:bookmarkEnd w:id="341"/>
      <w:bookmarkEnd w:id="342"/>
      <w:bookmarkEnd w:id="343"/>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（1）向约定的仲裁委员会申请仲裁；</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26"/>
        <w:ind w:firstLine="240" w:firstLineChars="100"/>
        <w:rPr>
          <w:rFonts w:hint="eastAsia" w:ascii="宋体" w:hAnsi="宋体" w:eastAsia="宋体" w:cs="宋体"/>
          <w:sz w:val="24"/>
          <w:szCs w:val="24"/>
        </w:rPr>
      </w:pPr>
      <w:bookmarkStart w:id="344" w:name="_Toc152042543"/>
      <w:bookmarkStart w:id="345" w:name="_Toc152045764"/>
      <w:bookmarkStart w:id="346" w:name="_Toc144974734"/>
      <w:bookmarkStart w:id="347" w:name="_Toc179632782"/>
      <w:r>
        <w:rPr>
          <w:rFonts w:hint="eastAsia" w:ascii="宋体" w:hAnsi="宋体" w:eastAsia="宋体" w:cs="宋体"/>
          <w:sz w:val="24"/>
          <w:szCs w:val="24"/>
        </w:rPr>
        <w:t>24.2友好解决</w:t>
      </w:r>
      <w:bookmarkEnd w:id="344"/>
      <w:bookmarkEnd w:id="345"/>
      <w:bookmarkEnd w:id="346"/>
      <w:bookmarkEnd w:id="347"/>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26"/>
        <w:ind w:firstLine="240" w:firstLineChars="100"/>
        <w:rPr>
          <w:rFonts w:hint="eastAsia" w:ascii="宋体" w:hAnsi="宋体" w:eastAsia="宋体" w:cs="宋体"/>
          <w:sz w:val="24"/>
          <w:szCs w:val="24"/>
        </w:rPr>
      </w:pPr>
      <w:bookmarkStart w:id="348" w:name="_Toc152042544"/>
      <w:bookmarkStart w:id="349" w:name="_Toc179632783"/>
      <w:bookmarkStart w:id="350" w:name="_Toc152045765"/>
      <w:bookmarkStart w:id="351" w:name="_Toc144974735"/>
      <w:r>
        <w:rPr>
          <w:rFonts w:hint="eastAsia" w:ascii="宋体" w:hAnsi="宋体" w:eastAsia="宋体" w:cs="宋体"/>
          <w:sz w:val="24"/>
          <w:szCs w:val="24"/>
        </w:rPr>
        <w:t>24.3争议评审</w:t>
      </w:r>
      <w:bookmarkEnd w:id="348"/>
      <w:bookmarkEnd w:id="349"/>
      <w:bookmarkEnd w:id="350"/>
      <w:bookmarkEnd w:id="351"/>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24.3.1采用争议评审的，发包人和承包人应在开工日后的28天内或在争议发生后，协商成立争议评审组。争议评审组由有合同管理和工程实践经验的专家组成。</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24.3.2合同双方的争议，应首先由申请人向争议评审组提交一份详细的评审申请报告，并附必要的文件、图纸和证明材料，申请人还应将上述报告的副本同时提交给被申请人和监理人。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24.3.3被申请人在收到申请人评审申请报告副本后的28天内，向争议评审组提交一份答辩报告，并附证明材料。被申请人应将答辩报告的副本同时提交给申请人和监理人。</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24.3.4除专用合同条款另有约定外，争议评审组在收到合同双方报告后的14天内，邀请双方代表和有关人员举行调查会，向双方调查争议细节；必要时争议评审组可要求双方进一步提供补充材料。</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24.3.6发包人和承包人接受评审意见的，由监理人根据评审意见拟定执行协议，经争议双方签字后作为合同的补充文件，并遵照执行。</w:t>
      </w: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24.3.7发包人或承包人不接受评审意见，并要求提交仲裁或提起诉讼的，应在收到评审意见后</w:t>
      </w:r>
    </w:p>
    <w:p>
      <w:pPr>
        <w:pStyle w:val="26"/>
        <w:spacing w:line="400" w:lineRule="exact"/>
        <w:ind w:firstLine="480" w:firstLineChars="200"/>
        <w:rPr>
          <w:rFonts w:hint="eastAsia" w:ascii="宋体" w:hAnsi="宋体" w:eastAsia="宋体" w:cs="宋体"/>
          <w:sz w:val="24"/>
          <w:szCs w:val="24"/>
        </w:rPr>
      </w:pPr>
    </w:p>
    <w:p>
      <w:pPr>
        <w:pStyle w:val="26"/>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的14天内将仲裁或起诉意向书面通知另一方，并抄送监理人，但在仲裁或诉讼结束前应暂按总监理工程师的确定执行。</w:t>
      </w:r>
    </w:p>
    <w:p>
      <w:pPr>
        <w:pStyle w:val="26"/>
        <w:rPr>
          <w:rFonts w:hint="eastAsia" w:ascii="宋体" w:hAnsi="宋体" w:eastAsia="宋体" w:cs="宋体"/>
          <w:sz w:val="24"/>
          <w:szCs w:val="24"/>
        </w:rPr>
      </w:pPr>
      <w:r>
        <w:rPr>
          <w:rFonts w:hint="eastAsia" w:ascii="宋体" w:hAnsi="宋体" w:eastAsia="宋体" w:cs="宋体"/>
          <w:sz w:val="24"/>
          <w:szCs w:val="24"/>
        </w:rPr>
        <w:t>　24.4　仲裁</w:t>
      </w:r>
    </w:p>
    <w:p>
      <w:pPr>
        <w:pStyle w:val="26"/>
        <w:rPr>
          <w:rFonts w:hint="eastAsia" w:ascii="宋体" w:hAnsi="宋体" w:eastAsia="宋体" w:cs="宋体"/>
          <w:sz w:val="24"/>
          <w:szCs w:val="24"/>
        </w:rPr>
      </w:pPr>
      <w:r>
        <w:rPr>
          <w:rFonts w:hint="eastAsia" w:ascii="宋体" w:hAnsi="宋体" w:eastAsia="宋体" w:cs="宋体"/>
          <w:sz w:val="24"/>
          <w:szCs w:val="24"/>
        </w:rPr>
        <w:t>　　24.4.1　若合同双方商定直接向仲裁机构申请仲裁，应签订仲裁协议并约定仲裁机构。</w:t>
      </w:r>
    </w:p>
    <w:p>
      <w:pPr>
        <w:pStyle w:val="26"/>
        <w:rPr>
          <w:rFonts w:hint="eastAsia" w:ascii="宋体" w:hAnsi="宋体" w:eastAsia="宋体" w:cs="宋体"/>
          <w:sz w:val="24"/>
          <w:szCs w:val="24"/>
        </w:rPr>
      </w:pPr>
      <w:r>
        <w:rPr>
          <w:rFonts w:hint="eastAsia" w:ascii="宋体" w:hAnsi="宋体" w:eastAsia="宋体" w:cs="宋体"/>
          <w:sz w:val="24"/>
          <w:szCs w:val="24"/>
        </w:rPr>
        <w:t>　　24.4.2　若合同双方未能达成仲裁协议，则本合同的仲裁条款无效，任一方均有权向人民法院提起诉讼。</w:t>
      </w:r>
    </w:p>
    <w:p>
      <w:pPr>
        <w:pStyle w:val="27"/>
        <w:spacing w:before="120" w:after="120" w:line="400" w:lineRule="exact"/>
        <w:jc w:val="center"/>
        <w:rPr>
          <w:rFonts w:hint="eastAsia" w:ascii="宋体" w:hAnsi="宋体" w:eastAsia="宋体" w:cs="宋体"/>
          <w:sz w:val="24"/>
          <w:szCs w:val="24"/>
        </w:rPr>
      </w:pPr>
      <w:bookmarkStart w:id="352" w:name="_Toc26436438"/>
      <w:r>
        <w:rPr>
          <w:rFonts w:hint="eastAsia" w:ascii="宋体" w:hAnsi="宋体" w:eastAsia="宋体" w:cs="宋体"/>
          <w:sz w:val="24"/>
          <w:szCs w:val="24"/>
        </w:rPr>
        <w:t>第2节专用合同条款</w:t>
      </w:r>
      <w:bookmarkEnd w:id="352"/>
    </w:p>
    <w:p>
      <w:pPr>
        <w:pStyle w:val="28"/>
        <w:spacing w:line="400" w:lineRule="exact"/>
        <w:ind w:firstLine="420"/>
        <w:rPr>
          <w:rFonts w:hint="eastAsia" w:ascii="宋体" w:hAnsi="宋体" w:eastAsia="宋体" w:cs="宋体"/>
          <w:kern w:val="2"/>
          <w:sz w:val="24"/>
          <w:szCs w:val="24"/>
        </w:rPr>
      </w:pPr>
      <w:bookmarkStart w:id="353" w:name="第04章合同条款及格式02"/>
      <w:bookmarkEnd w:id="353"/>
      <w:r>
        <w:rPr>
          <w:rFonts w:hint="eastAsia" w:ascii="宋体" w:hAnsi="宋体" w:eastAsia="宋体" w:cs="宋体"/>
          <w:kern w:val="2"/>
          <w:sz w:val="24"/>
          <w:szCs w:val="24"/>
        </w:rPr>
        <w:t>专用合同条款中的各条款是补充和修改通用合同条款中条款号相同的条款或当需要时增加新的条款，两者应对照阅读。一旦出现矛盾或不一致时，则以专用合同条款为准，通用合同条款中未补充和修改的部分仍有效。</w:t>
      </w:r>
    </w:p>
    <w:p>
      <w:pPr>
        <w:pStyle w:val="28"/>
        <w:spacing w:line="360" w:lineRule="auto"/>
        <w:rPr>
          <w:rFonts w:hint="eastAsia" w:ascii="宋体" w:hAnsi="宋体" w:eastAsia="宋体" w:cs="宋体"/>
          <w:kern w:val="2"/>
          <w:sz w:val="24"/>
          <w:szCs w:val="24"/>
        </w:rPr>
      </w:pPr>
      <w:bookmarkStart w:id="354" w:name="_Toc222031029"/>
      <w:bookmarkStart w:id="355" w:name="_Toc229305387"/>
      <w:bookmarkStart w:id="356" w:name="_Toc222029527"/>
      <w:bookmarkStart w:id="357" w:name="_Toc222033878"/>
      <w:bookmarkStart w:id="358" w:name="_Toc222032696"/>
      <w:bookmarkStart w:id="359" w:name="_Toc221951111"/>
      <w:r>
        <w:rPr>
          <w:rFonts w:hint="eastAsia" w:ascii="宋体" w:hAnsi="宋体" w:eastAsia="宋体" w:cs="宋体"/>
          <w:kern w:val="2"/>
          <w:sz w:val="24"/>
          <w:szCs w:val="24"/>
        </w:rPr>
        <w:t>1一般约定</w:t>
      </w:r>
      <w:bookmarkEnd w:id="354"/>
      <w:bookmarkEnd w:id="355"/>
      <w:bookmarkEnd w:id="356"/>
      <w:bookmarkEnd w:id="357"/>
      <w:bookmarkEnd w:id="358"/>
      <w:bookmarkEnd w:id="359"/>
    </w:p>
    <w:p>
      <w:pPr>
        <w:pStyle w:val="28"/>
        <w:spacing w:line="360" w:lineRule="auto"/>
        <w:rPr>
          <w:rFonts w:hint="eastAsia" w:ascii="宋体" w:hAnsi="宋体" w:eastAsia="宋体" w:cs="宋体"/>
          <w:kern w:val="2"/>
          <w:sz w:val="24"/>
          <w:szCs w:val="24"/>
        </w:rPr>
      </w:pPr>
      <w:bookmarkStart w:id="360" w:name="_Toc221951112"/>
      <w:r>
        <w:rPr>
          <w:rFonts w:hint="eastAsia" w:ascii="宋体" w:hAnsi="宋体" w:eastAsia="宋体" w:cs="宋体"/>
          <w:kern w:val="2"/>
          <w:sz w:val="24"/>
          <w:szCs w:val="24"/>
        </w:rPr>
        <w:t>1.1词语定义</w:t>
      </w:r>
      <w:bookmarkEnd w:id="360"/>
    </w:p>
    <w:p>
      <w:pPr>
        <w:pStyle w:val="28"/>
        <w:spacing w:line="360" w:lineRule="auto"/>
        <w:rPr>
          <w:rFonts w:hint="eastAsia" w:ascii="宋体" w:hAnsi="宋体" w:eastAsia="宋体" w:cs="宋体"/>
          <w:kern w:val="2"/>
          <w:sz w:val="24"/>
          <w:szCs w:val="24"/>
        </w:rPr>
      </w:pPr>
      <w:bookmarkStart w:id="361" w:name="_Toc221951113"/>
      <w:bookmarkStart w:id="362" w:name="_Toc312760032"/>
      <w:r>
        <w:rPr>
          <w:rFonts w:hint="eastAsia" w:ascii="宋体" w:hAnsi="宋体" w:eastAsia="宋体" w:cs="宋体"/>
          <w:kern w:val="2"/>
          <w:sz w:val="24"/>
          <w:szCs w:val="24"/>
        </w:rPr>
        <w:t>1.1.2合同当事人和人员</w:t>
      </w:r>
      <w:bookmarkEnd w:id="361"/>
      <w:bookmarkEnd w:id="362"/>
    </w:p>
    <w:p>
      <w:pPr>
        <w:pStyle w:val="28"/>
        <w:spacing w:line="360" w:lineRule="auto"/>
        <w:rPr>
          <w:rFonts w:hint="default" w:ascii="宋体" w:hAnsi="宋体" w:eastAsia="宋体" w:cs="宋体"/>
          <w:kern w:val="2"/>
          <w:sz w:val="24"/>
          <w:szCs w:val="24"/>
          <w:u w:val="single"/>
          <w:lang w:val="en-US" w:eastAsia="zh-CN"/>
        </w:rPr>
      </w:pPr>
      <w:bookmarkStart w:id="363" w:name="_Toc221951114"/>
      <w:r>
        <w:rPr>
          <w:rFonts w:hint="eastAsia" w:ascii="宋体" w:hAnsi="宋体" w:eastAsia="宋体" w:cs="宋体"/>
          <w:kern w:val="2"/>
          <w:sz w:val="24"/>
          <w:szCs w:val="24"/>
        </w:rPr>
        <w:t>1.1.2.2发包人：</w:t>
      </w:r>
      <w:bookmarkEnd w:id="363"/>
      <w:bookmarkStart w:id="364" w:name="_Toc221951117"/>
      <w:r>
        <w:rPr>
          <w:rFonts w:hint="eastAsia" w:ascii="宋体" w:hAnsi="宋体" w:eastAsia="宋体" w:cs="宋体"/>
          <w:kern w:val="2"/>
          <w:sz w:val="24"/>
          <w:szCs w:val="24"/>
          <w:u w:val="single"/>
          <w:lang w:eastAsia="zh-CN"/>
        </w:rPr>
        <w:t>南京市溧水区</w:t>
      </w:r>
      <w:r>
        <w:rPr>
          <w:rFonts w:hint="eastAsia" w:ascii="宋体" w:hAnsi="宋体" w:cs="宋体"/>
          <w:kern w:val="2"/>
          <w:sz w:val="24"/>
          <w:szCs w:val="24"/>
          <w:u w:val="single"/>
          <w:lang w:val="en-US" w:eastAsia="zh-CN"/>
        </w:rPr>
        <w:t>人民政府石湫街道办事处</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1.1.2.6监理人：</w:t>
      </w:r>
      <w:bookmarkEnd w:id="364"/>
      <w:r>
        <w:rPr>
          <w:rFonts w:hint="eastAsia" w:ascii="宋体" w:hAnsi="宋体" w:eastAsia="宋体" w:cs="宋体"/>
          <w:kern w:val="2"/>
          <w:sz w:val="24"/>
          <w:szCs w:val="24"/>
        </w:rPr>
        <w:t>另行确定。</w:t>
      </w:r>
    </w:p>
    <w:p>
      <w:pPr>
        <w:pStyle w:val="28"/>
        <w:spacing w:line="360" w:lineRule="auto"/>
        <w:rPr>
          <w:rFonts w:hint="eastAsia" w:ascii="宋体" w:hAnsi="宋体" w:eastAsia="宋体" w:cs="宋体"/>
          <w:kern w:val="2"/>
          <w:sz w:val="24"/>
          <w:szCs w:val="24"/>
        </w:rPr>
      </w:pPr>
      <w:bookmarkStart w:id="365" w:name="_Toc221951125"/>
      <w:r>
        <w:rPr>
          <w:rFonts w:hint="eastAsia" w:ascii="宋体" w:hAnsi="宋体" w:eastAsia="宋体" w:cs="宋体"/>
          <w:kern w:val="2"/>
          <w:sz w:val="24"/>
          <w:szCs w:val="24"/>
        </w:rPr>
        <w:t>1.1.4日期</w:t>
      </w:r>
      <w:bookmarkEnd w:id="365"/>
    </w:p>
    <w:p>
      <w:pPr>
        <w:pStyle w:val="29"/>
        <w:spacing w:line="380" w:lineRule="exact"/>
        <w:rPr>
          <w:rFonts w:hint="eastAsia" w:ascii="宋体" w:hAnsi="宋体" w:eastAsia="宋体" w:cs="宋体"/>
          <w:kern w:val="2"/>
          <w:sz w:val="24"/>
          <w:szCs w:val="24"/>
        </w:rPr>
      </w:pPr>
      <w:bookmarkStart w:id="366" w:name="_Toc221951126"/>
      <w:r>
        <w:rPr>
          <w:rFonts w:hint="eastAsia" w:ascii="宋体" w:hAnsi="宋体" w:eastAsia="宋体" w:cs="宋体"/>
          <w:kern w:val="2"/>
          <w:sz w:val="24"/>
          <w:szCs w:val="24"/>
        </w:rPr>
        <w:t>1.1.4.5缺陷责任期（工程质量保修期）：</w:t>
      </w:r>
      <w:r>
        <w:rPr>
          <w:rFonts w:hint="eastAsia" w:ascii="宋体" w:hAnsi="宋体" w:cs="宋体"/>
          <w:kern w:val="2"/>
          <w:sz w:val="24"/>
          <w:szCs w:val="24"/>
          <w:lang w:val="en-US" w:eastAsia="zh-CN"/>
        </w:rPr>
        <w:t>2</w:t>
      </w:r>
      <w:r>
        <w:rPr>
          <w:rFonts w:hint="eastAsia" w:ascii="宋体" w:hAnsi="宋体" w:eastAsia="宋体" w:cs="宋体"/>
          <w:kern w:val="2"/>
          <w:sz w:val="24"/>
          <w:szCs w:val="24"/>
        </w:rPr>
        <w:t>年，工程质保期应按水工建筑物及工程设备保修范围与期限执行。</w:t>
      </w:r>
      <w:bookmarkEnd w:id="366"/>
    </w:p>
    <w:p>
      <w:pPr>
        <w:pStyle w:val="28"/>
        <w:spacing w:line="360" w:lineRule="auto"/>
        <w:rPr>
          <w:rFonts w:hint="eastAsia" w:ascii="宋体" w:hAnsi="宋体" w:eastAsia="宋体" w:cs="宋体"/>
          <w:kern w:val="2"/>
          <w:sz w:val="24"/>
          <w:szCs w:val="24"/>
        </w:rPr>
      </w:pPr>
      <w:bookmarkStart w:id="367" w:name="_Toc221951127"/>
      <w:r>
        <w:rPr>
          <w:rFonts w:hint="eastAsia" w:ascii="宋体" w:hAnsi="宋体" w:eastAsia="宋体" w:cs="宋体"/>
          <w:kern w:val="2"/>
          <w:sz w:val="24"/>
          <w:szCs w:val="24"/>
        </w:rPr>
        <w:t>1.4合同文件的优先顺序</w:t>
      </w:r>
      <w:bookmarkEnd w:id="367"/>
    </w:p>
    <w:p>
      <w:pPr>
        <w:pStyle w:val="28"/>
        <w:spacing w:line="360" w:lineRule="auto"/>
        <w:rPr>
          <w:rFonts w:hint="eastAsia" w:ascii="宋体" w:hAnsi="宋体" w:eastAsia="宋体" w:cs="宋体"/>
          <w:kern w:val="2"/>
          <w:sz w:val="24"/>
          <w:szCs w:val="24"/>
        </w:rPr>
      </w:pPr>
      <w:bookmarkStart w:id="368" w:name="_Toc221951128"/>
      <w:r>
        <w:rPr>
          <w:rFonts w:hint="eastAsia" w:ascii="宋体" w:hAnsi="宋体" w:eastAsia="宋体" w:cs="宋体"/>
          <w:kern w:val="2"/>
          <w:sz w:val="24"/>
          <w:szCs w:val="24"/>
        </w:rPr>
        <w:t>进入合同的各项文件及其优先顺序</w:t>
      </w:r>
      <w:bookmarkEnd w:id="368"/>
      <w:r>
        <w:rPr>
          <w:rFonts w:hint="eastAsia" w:ascii="宋体" w:hAnsi="宋体" w:eastAsia="宋体" w:cs="宋体"/>
          <w:kern w:val="2"/>
          <w:sz w:val="24"/>
          <w:szCs w:val="24"/>
        </w:rPr>
        <w:t>是：</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（1）协议书（包括合同谈判、补充协议书）；</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（2）招标文件；</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（3）投标文件；</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（4）中标通知书；</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（5）投标函及投标函附录；</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（6）招标文件、澄清问题、澄清问题的复函、补充通知等相关资料；</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（7）专用合同条款；</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（8）通用合同条款；</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（9）技术标准和要求；</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（10）图纸；</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（11）已标价的工程量清单；</w:t>
      </w:r>
    </w:p>
    <w:p>
      <w:pPr>
        <w:pStyle w:val="28"/>
        <w:spacing w:line="480" w:lineRule="exact"/>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（12）投标辅助材料；</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（13）经双方确认进入合同的其它文件。</w:t>
      </w:r>
    </w:p>
    <w:p>
      <w:pPr>
        <w:pStyle w:val="28"/>
        <w:spacing w:line="360" w:lineRule="auto"/>
        <w:rPr>
          <w:rFonts w:hint="eastAsia" w:ascii="宋体" w:hAnsi="宋体" w:eastAsia="宋体" w:cs="宋体"/>
          <w:kern w:val="2"/>
          <w:sz w:val="24"/>
          <w:szCs w:val="24"/>
        </w:rPr>
      </w:pPr>
      <w:bookmarkStart w:id="369" w:name="_Toc222031030"/>
      <w:bookmarkStart w:id="370" w:name="_Toc222033879"/>
      <w:bookmarkStart w:id="371" w:name="_Toc222029528"/>
      <w:bookmarkStart w:id="372" w:name="_Toc222032697"/>
      <w:bookmarkStart w:id="373" w:name="_Toc229305388"/>
      <w:bookmarkStart w:id="374" w:name="_Toc221951131"/>
      <w:r>
        <w:rPr>
          <w:rFonts w:hint="eastAsia" w:ascii="宋体" w:hAnsi="宋体" w:eastAsia="宋体" w:cs="宋体"/>
          <w:kern w:val="2"/>
          <w:sz w:val="24"/>
          <w:szCs w:val="24"/>
        </w:rPr>
        <w:t>2发包人义务</w:t>
      </w:r>
      <w:bookmarkEnd w:id="369"/>
      <w:bookmarkEnd w:id="370"/>
      <w:bookmarkEnd w:id="371"/>
      <w:bookmarkEnd w:id="372"/>
      <w:bookmarkEnd w:id="373"/>
      <w:bookmarkEnd w:id="374"/>
    </w:p>
    <w:p>
      <w:pPr>
        <w:pStyle w:val="28"/>
        <w:spacing w:line="360" w:lineRule="auto"/>
        <w:rPr>
          <w:rFonts w:hint="eastAsia" w:ascii="宋体" w:hAnsi="宋体" w:eastAsia="宋体" w:cs="宋体"/>
          <w:kern w:val="2"/>
          <w:sz w:val="24"/>
          <w:szCs w:val="24"/>
        </w:rPr>
      </w:pPr>
      <w:bookmarkStart w:id="375" w:name="_Toc221951132"/>
      <w:r>
        <w:rPr>
          <w:rFonts w:hint="eastAsia" w:ascii="宋体" w:hAnsi="宋体" w:eastAsia="宋体" w:cs="宋体"/>
          <w:kern w:val="2"/>
          <w:sz w:val="24"/>
          <w:szCs w:val="24"/>
        </w:rPr>
        <w:t>2.3提供施工场地</w:t>
      </w:r>
      <w:bookmarkEnd w:id="375"/>
    </w:p>
    <w:p>
      <w:pPr>
        <w:pStyle w:val="28"/>
        <w:spacing w:line="360" w:lineRule="auto"/>
        <w:rPr>
          <w:rFonts w:hint="eastAsia" w:ascii="宋体" w:hAnsi="宋体" w:eastAsia="宋体" w:cs="宋体"/>
          <w:kern w:val="2"/>
          <w:sz w:val="24"/>
          <w:szCs w:val="24"/>
        </w:rPr>
      </w:pPr>
      <w:bookmarkStart w:id="376" w:name="_Toc221951133"/>
      <w:r>
        <w:rPr>
          <w:rFonts w:hint="eastAsia" w:ascii="宋体" w:hAnsi="宋体" w:eastAsia="宋体" w:cs="宋体"/>
          <w:kern w:val="2"/>
          <w:sz w:val="24"/>
          <w:szCs w:val="24"/>
        </w:rPr>
        <w:t>2.3.2</w:t>
      </w:r>
      <w:bookmarkEnd w:id="376"/>
      <w:r>
        <w:rPr>
          <w:rFonts w:hint="eastAsia" w:ascii="宋体" w:hAnsi="宋体" w:eastAsia="宋体" w:cs="宋体"/>
          <w:kern w:val="2"/>
          <w:sz w:val="24"/>
          <w:szCs w:val="24"/>
        </w:rPr>
        <w:t>承包人施工所用的办公、生产、生活等临时设施的占地等，承包人应根据招投标文件的要求和现场考察情况自行解决。并在接到中标通知书后的7天内，向发包人提交2份临时占用地的详细计划表。包括占用位置、数量和需用时间，并根据施工先后顺序办理临时用地借用手续。发包人帮助协调使用，费用由承包人承担。</w:t>
      </w:r>
    </w:p>
    <w:p>
      <w:pPr>
        <w:pStyle w:val="28"/>
        <w:spacing w:line="360" w:lineRule="auto"/>
        <w:rPr>
          <w:rFonts w:hint="eastAsia" w:ascii="宋体" w:hAnsi="宋体" w:eastAsia="宋体" w:cs="宋体"/>
          <w:kern w:val="2"/>
          <w:sz w:val="24"/>
          <w:szCs w:val="24"/>
        </w:rPr>
      </w:pPr>
      <w:bookmarkStart w:id="377" w:name="_Toc221951140"/>
      <w:bookmarkStart w:id="378" w:name="_Toc222033880"/>
      <w:bookmarkStart w:id="379" w:name="_Toc222031031"/>
      <w:bookmarkStart w:id="380" w:name="_Toc229305389"/>
      <w:bookmarkStart w:id="381" w:name="_Toc222032698"/>
      <w:bookmarkStart w:id="382" w:name="_Toc222029529"/>
      <w:r>
        <w:rPr>
          <w:rFonts w:hint="eastAsia" w:ascii="宋体" w:hAnsi="宋体" w:eastAsia="宋体" w:cs="宋体"/>
          <w:kern w:val="2"/>
          <w:sz w:val="24"/>
          <w:szCs w:val="24"/>
        </w:rPr>
        <w:t>3监理人</w:t>
      </w:r>
      <w:bookmarkEnd w:id="377"/>
      <w:bookmarkEnd w:id="378"/>
      <w:bookmarkEnd w:id="379"/>
      <w:bookmarkEnd w:id="380"/>
      <w:bookmarkEnd w:id="381"/>
      <w:bookmarkEnd w:id="382"/>
    </w:p>
    <w:p>
      <w:pPr>
        <w:pStyle w:val="28"/>
        <w:spacing w:line="360" w:lineRule="auto"/>
        <w:rPr>
          <w:rFonts w:hint="eastAsia" w:ascii="宋体" w:hAnsi="宋体" w:eastAsia="宋体" w:cs="宋体"/>
          <w:kern w:val="2"/>
          <w:sz w:val="24"/>
          <w:szCs w:val="24"/>
        </w:rPr>
      </w:pPr>
      <w:bookmarkStart w:id="383" w:name="_Toc221951141"/>
      <w:r>
        <w:rPr>
          <w:rFonts w:hint="eastAsia" w:ascii="宋体" w:hAnsi="宋体" w:eastAsia="宋体" w:cs="宋体"/>
          <w:kern w:val="2"/>
          <w:sz w:val="24"/>
          <w:szCs w:val="24"/>
        </w:rPr>
        <w:t>3.1监理人的职责和权力</w:t>
      </w:r>
      <w:bookmarkEnd w:id="383"/>
    </w:p>
    <w:p>
      <w:pPr>
        <w:pStyle w:val="28"/>
        <w:spacing w:line="360" w:lineRule="auto"/>
        <w:rPr>
          <w:rFonts w:hint="eastAsia" w:ascii="宋体" w:hAnsi="宋体" w:eastAsia="宋体" w:cs="宋体"/>
          <w:kern w:val="2"/>
          <w:sz w:val="24"/>
          <w:szCs w:val="24"/>
        </w:rPr>
      </w:pPr>
      <w:bookmarkStart w:id="384" w:name="_Toc221951142"/>
      <w:r>
        <w:rPr>
          <w:rFonts w:hint="eastAsia" w:ascii="宋体" w:hAnsi="宋体" w:eastAsia="宋体" w:cs="宋体"/>
          <w:kern w:val="2"/>
          <w:sz w:val="24"/>
          <w:szCs w:val="24"/>
        </w:rPr>
        <w:t>3.1.1</w:t>
      </w:r>
      <w:bookmarkEnd w:id="384"/>
      <w:r>
        <w:rPr>
          <w:rFonts w:hint="eastAsia" w:ascii="宋体" w:hAnsi="宋体" w:eastAsia="宋体" w:cs="宋体"/>
          <w:kern w:val="2"/>
          <w:sz w:val="24"/>
          <w:szCs w:val="24"/>
        </w:rPr>
        <w:t>　</w:t>
      </w:r>
      <w:bookmarkStart w:id="385" w:name="_Toc221951143"/>
      <w:r>
        <w:rPr>
          <w:rFonts w:hint="eastAsia" w:ascii="宋体" w:hAnsi="宋体" w:eastAsia="宋体" w:cs="宋体"/>
          <w:kern w:val="2"/>
          <w:sz w:val="24"/>
          <w:szCs w:val="24"/>
        </w:rPr>
        <w:t>监理人须根据发包人事先批准的权力范围行使权力，发包人批准的权力范围：</w:t>
      </w:r>
      <w:bookmarkEnd w:id="385"/>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（1）按第4.3条约定，批准工程的分包；</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（2）按第11.3条约定，确定延长完工期限；</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（3）按第15.6条约定，批准暂列金额的使用；</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（4）按第12.3、12.4条约定，批准暂停施工和暂停施工后的复工；</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kern w:val="2"/>
          <w:sz w:val="24"/>
          <w:szCs w:val="24"/>
        </w:rPr>
        <w:t>（5）按第15.3.2条约定，批准变更估价；</w:t>
      </w:r>
    </w:p>
    <w:p>
      <w:pPr>
        <w:pStyle w:val="28"/>
        <w:spacing w:line="360" w:lineRule="auto"/>
        <w:rPr>
          <w:rFonts w:hint="eastAsia" w:ascii="宋体" w:hAnsi="宋体" w:eastAsia="宋体" w:cs="宋体"/>
          <w:kern w:val="2"/>
          <w:sz w:val="24"/>
          <w:szCs w:val="24"/>
        </w:rPr>
      </w:pPr>
      <w:r>
        <w:rPr>
          <w:rFonts w:hint="eastAsia" w:ascii="宋体" w:hAnsi="宋体" w:eastAsia="宋体" w:cs="宋体"/>
          <w:color w:val="000000"/>
          <w:kern w:val="2"/>
          <w:sz w:val="24"/>
          <w:szCs w:val="24"/>
        </w:rPr>
        <w:t>（</w:t>
      </w:r>
      <w:r>
        <w:rPr>
          <w:rFonts w:hint="eastAsia" w:ascii="宋体" w:hAnsi="宋体" w:eastAsia="宋体" w:cs="宋体"/>
          <w:kern w:val="2"/>
          <w:sz w:val="24"/>
          <w:szCs w:val="24"/>
        </w:rPr>
        <w:t>6）影响工期、质量、合同单价等其他重大决定。</w:t>
      </w:r>
    </w:p>
    <w:p>
      <w:pPr>
        <w:pStyle w:val="28"/>
        <w:spacing w:line="360" w:lineRule="auto"/>
        <w:rPr>
          <w:rFonts w:hint="eastAsia" w:ascii="宋体" w:hAnsi="宋体" w:eastAsia="宋体" w:cs="宋体"/>
          <w:kern w:val="2"/>
          <w:sz w:val="24"/>
          <w:szCs w:val="24"/>
          <w:lang w:eastAsia="zh-CN"/>
        </w:rPr>
      </w:pPr>
      <w:r>
        <w:rPr>
          <w:rFonts w:hint="eastAsia" w:ascii="宋体" w:hAnsi="宋体" w:eastAsia="宋体" w:cs="宋体"/>
          <w:kern w:val="2"/>
          <w:sz w:val="24"/>
          <w:szCs w:val="24"/>
        </w:rPr>
        <w:t>凡是涉及到上述事件，承包人必须接到监理人签发的由发包人签署或盖章的书面材料后才能实施，否则由此引起的一切责任由承包人负责，但当监理人认为出现了危及生命、工程及毗邻财产等安全的紧急事件时，在不免除合同规定的承包人责任的情况下，监理人可以指示承包人实施为消除或减少这种危险所必须进行的工作，即使没有发包人的事先批准，承包人也应立即遵照执行。</w:t>
      </w:r>
    </w:p>
    <w:p>
      <w:pPr>
        <w:pStyle w:val="28"/>
        <w:spacing w:line="360" w:lineRule="auto"/>
        <w:rPr>
          <w:rFonts w:hint="eastAsia" w:ascii="宋体" w:hAnsi="宋体" w:eastAsia="宋体" w:cs="宋体"/>
          <w:kern w:val="2"/>
          <w:sz w:val="24"/>
          <w:szCs w:val="24"/>
        </w:rPr>
      </w:pPr>
      <w:bookmarkStart w:id="386" w:name="_Toc222032699"/>
      <w:bookmarkStart w:id="387" w:name="_Toc221951150"/>
      <w:bookmarkStart w:id="388" w:name="_Toc222029530"/>
      <w:bookmarkStart w:id="389" w:name="_Toc222033881"/>
      <w:bookmarkStart w:id="390" w:name="_Toc222031032"/>
      <w:bookmarkStart w:id="391" w:name="_Toc229305390"/>
      <w:r>
        <w:rPr>
          <w:rFonts w:hint="eastAsia" w:ascii="宋体" w:hAnsi="宋体" w:eastAsia="宋体" w:cs="宋体"/>
          <w:kern w:val="2"/>
          <w:sz w:val="24"/>
          <w:szCs w:val="24"/>
        </w:rPr>
        <w:t>4承包人</w:t>
      </w:r>
      <w:bookmarkEnd w:id="386"/>
      <w:bookmarkEnd w:id="387"/>
      <w:bookmarkEnd w:id="388"/>
      <w:bookmarkEnd w:id="389"/>
      <w:bookmarkEnd w:id="390"/>
      <w:bookmarkEnd w:id="391"/>
    </w:p>
    <w:p>
      <w:pPr>
        <w:pStyle w:val="28"/>
        <w:spacing w:line="360" w:lineRule="auto"/>
        <w:rPr>
          <w:rFonts w:hint="eastAsia" w:ascii="宋体" w:hAnsi="宋体" w:eastAsia="宋体" w:cs="宋体"/>
          <w:kern w:val="2"/>
          <w:sz w:val="24"/>
          <w:szCs w:val="24"/>
        </w:rPr>
      </w:pPr>
      <w:bookmarkStart w:id="392" w:name="_Toc221951151"/>
      <w:r>
        <w:rPr>
          <w:rFonts w:hint="eastAsia" w:ascii="宋体" w:hAnsi="宋体" w:eastAsia="宋体" w:cs="宋体"/>
          <w:kern w:val="2"/>
          <w:sz w:val="24"/>
          <w:szCs w:val="24"/>
        </w:rPr>
        <w:t>4.1承包人的一般义务</w:t>
      </w:r>
      <w:bookmarkEnd w:id="392"/>
    </w:p>
    <w:p>
      <w:pPr>
        <w:pStyle w:val="28"/>
        <w:spacing w:line="360" w:lineRule="auto"/>
        <w:rPr>
          <w:rFonts w:hint="eastAsia" w:ascii="宋体" w:hAnsi="宋体" w:eastAsia="宋体" w:cs="宋体"/>
          <w:kern w:val="2"/>
          <w:sz w:val="24"/>
          <w:szCs w:val="24"/>
        </w:rPr>
      </w:pPr>
      <w:bookmarkStart w:id="393" w:name="_Toc221951152"/>
      <w:r>
        <w:rPr>
          <w:rFonts w:hint="eastAsia" w:ascii="宋体" w:hAnsi="宋体" w:eastAsia="宋体" w:cs="宋体"/>
          <w:kern w:val="2"/>
          <w:sz w:val="24"/>
          <w:szCs w:val="24"/>
        </w:rPr>
        <w:t>4.1.10其他义务</w:t>
      </w:r>
      <w:bookmarkEnd w:id="393"/>
    </w:p>
    <w:p>
      <w:pPr>
        <w:pStyle w:val="28"/>
        <w:spacing w:line="360" w:lineRule="auto"/>
        <w:ind w:firstLine="42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（1）承包人应根据有关法律的规定，为其所有的非本地雇员向当地公安机关申请临时居住许可证，并承担相应费用。</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（2）现场施工配合与协调</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本合同承包人有义务提供与其它分包人施工配合与协调，包括（但不限于）以下内容：</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（a）工作面的安全；</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（b）施工进度的协调；</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（c）及时提供或移交工作面；</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（d）保证工程相邻界面附近的结构质量；</w:t>
      </w:r>
    </w:p>
    <w:p>
      <w:pPr>
        <w:pStyle w:val="28"/>
        <w:spacing w:line="360" w:lineRule="auto"/>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（e）为其它承包人或分包人提供用水、用电、交通道路、交叉工作面的作业场地、施工机械设备使用等（所有费用按实决算，费用由使用方承担）；</w:t>
      </w:r>
    </w:p>
    <w:p>
      <w:pPr>
        <w:pStyle w:val="28"/>
        <w:spacing w:line="360" w:lineRule="auto"/>
        <w:ind w:firstLine="435"/>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（f）施工范围内青苗补偿等产生相关费用由承包人承担，发包人只负责与当地相关部门协调。</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（3）承包人必须在工程所在地设专用账户。</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（4）施工期间用电由承包方自行负责解决。</w:t>
      </w:r>
    </w:p>
    <w:p>
      <w:pPr>
        <w:pStyle w:val="30"/>
        <w:spacing w:line="360" w:lineRule="auto"/>
        <w:ind w:right="248"/>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（5）施工期间由于场外交通引起的一切费用由承包方解决。</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4.2履约担保</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条款修改为：承包人应在合同签订前将履约保证金足额汇入招标人指定账户，发包人应在合同工程完工证书颁发后28天内把履约担保退还给承包人</w:t>
      </w:r>
      <w:r>
        <w:rPr>
          <w:rFonts w:hint="eastAsia" w:ascii="宋体" w:hAnsi="宋体" w:eastAsia="宋体" w:cs="宋体"/>
          <w:kern w:val="2"/>
          <w:sz w:val="24"/>
          <w:szCs w:val="24"/>
        </w:rPr>
        <w:t>，不计利息</w:t>
      </w:r>
      <w:r>
        <w:rPr>
          <w:rFonts w:hint="eastAsia" w:ascii="宋体" w:hAnsi="宋体" w:eastAsia="宋体" w:cs="宋体"/>
          <w:color w:val="000000"/>
          <w:kern w:val="2"/>
          <w:sz w:val="24"/>
          <w:szCs w:val="24"/>
        </w:rPr>
        <w:t>。</w:t>
      </w:r>
    </w:p>
    <w:p>
      <w:pPr>
        <w:pStyle w:val="28"/>
        <w:spacing w:line="360" w:lineRule="auto"/>
        <w:rPr>
          <w:rFonts w:hint="eastAsia" w:ascii="宋体" w:hAnsi="宋体" w:eastAsia="宋体" w:cs="宋体"/>
          <w:kern w:val="2"/>
          <w:sz w:val="24"/>
          <w:szCs w:val="24"/>
        </w:rPr>
      </w:pPr>
      <w:bookmarkStart w:id="394" w:name="_Toc221951153"/>
      <w:r>
        <w:rPr>
          <w:rFonts w:hint="eastAsia" w:ascii="宋体" w:hAnsi="宋体" w:eastAsia="宋体" w:cs="宋体"/>
          <w:kern w:val="2"/>
          <w:sz w:val="24"/>
          <w:szCs w:val="24"/>
        </w:rPr>
        <w:t>4.3分包</w:t>
      </w:r>
      <w:bookmarkEnd w:id="394"/>
    </w:p>
    <w:p>
      <w:pPr>
        <w:pStyle w:val="28"/>
        <w:spacing w:line="360" w:lineRule="auto"/>
        <w:ind w:firstLine="420"/>
        <w:jc w:val="left"/>
        <w:textAlignment w:val="center"/>
        <w:rPr>
          <w:rFonts w:hint="eastAsia" w:ascii="宋体" w:hAnsi="宋体" w:eastAsia="宋体" w:cs="宋体"/>
          <w:kern w:val="2"/>
          <w:sz w:val="24"/>
          <w:szCs w:val="24"/>
        </w:rPr>
      </w:pPr>
      <w:bookmarkStart w:id="395" w:name="_Toc221951154"/>
      <w:r>
        <w:rPr>
          <w:rFonts w:hint="eastAsia" w:ascii="宋体" w:hAnsi="宋体" w:eastAsia="宋体" w:cs="宋体"/>
          <w:bCs/>
          <w:kern w:val="2"/>
          <w:sz w:val="24"/>
          <w:szCs w:val="24"/>
        </w:rPr>
        <w:t>4.3.2</w:t>
      </w:r>
      <w:r>
        <w:rPr>
          <w:rFonts w:hint="eastAsia" w:ascii="宋体" w:hAnsi="宋体" w:eastAsia="宋体" w:cs="宋体"/>
          <w:kern w:val="2"/>
          <w:sz w:val="24"/>
          <w:szCs w:val="24"/>
        </w:rPr>
        <w:t>本招标项目不允许分包</w:t>
      </w:r>
      <w:bookmarkEnd w:id="395"/>
      <w:r>
        <w:rPr>
          <w:rFonts w:hint="eastAsia" w:ascii="宋体" w:hAnsi="宋体" w:eastAsia="宋体" w:cs="宋体"/>
          <w:kern w:val="2"/>
          <w:sz w:val="24"/>
          <w:szCs w:val="24"/>
        </w:rPr>
        <w:t>。</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4.4项目经理</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项目经理应常驻工地，每月驻工地天数不得少于22天。如需暂离工地，须提前并将离开工地期间的代理人书面报业主批准，施工高峰期原则上项目经理不得离开工地。如发生下列情况之一，扣除1000元/天。</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（1）项目经理每月驻工地天数少于22天的；</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（2）项目经理未经业主批准，擅自离开工地的；</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（3）项目经理离开工地期间无人代理的；</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（4）项目经理选定的代理人，业主认为不合适，未得到业主批准。</w:t>
      </w:r>
    </w:p>
    <w:p>
      <w:pPr>
        <w:pStyle w:val="28"/>
        <w:spacing w:line="360" w:lineRule="auto"/>
        <w:ind w:firstLine="4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项目经理每月驻工地天数少于10天的，业主有权解除合同。</w:t>
      </w:r>
    </w:p>
    <w:p>
      <w:pPr>
        <w:pStyle w:val="28"/>
        <w:spacing w:line="360" w:lineRule="auto"/>
        <w:rPr>
          <w:rFonts w:hint="eastAsia" w:ascii="宋体" w:hAnsi="宋体" w:eastAsia="宋体" w:cs="宋体"/>
          <w:kern w:val="2"/>
          <w:sz w:val="24"/>
          <w:szCs w:val="24"/>
        </w:rPr>
      </w:pPr>
      <w:bookmarkStart w:id="396" w:name="_Toc222031033"/>
      <w:bookmarkStart w:id="397" w:name="_Toc221951160"/>
      <w:bookmarkStart w:id="398" w:name="_Toc222029531"/>
      <w:bookmarkStart w:id="399" w:name="_Toc229305391"/>
      <w:bookmarkStart w:id="400" w:name="_Toc222032700"/>
      <w:bookmarkStart w:id="401" w:name="_Toc222033882"/>
      <w:r>
        <w:rPr>
          <w:rFonts w:hint="eastAsia" w:ascii="宋体" w:hAnsi="宋体" w:eastAsia="宋体" w:cs="宋体"/>
          <w:kern w:val="2"/>
          <w:sz w:val="24"/>
          <w:szCs w:val="24"/>
        </w:rPr>
        <w:t>5材料和工程设备</w:t>
      </w:r>
      <w:bookmarkEnd w:id="396"/>
      <w:bookmarkEnd w:id="397"/>
      <w:bookmarkEnd w:id="398"/>
      <w:bookmarkEnd w:id="399"/>
      <w:bookmarkEnd w:id="400"/>
      <w:bookmarkEnd w:id="401"/>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5.1承包人提供的材料和工程设备</w:t>
      </w:r>
    </w:p>
    <w:p>
      <w:pPr>
        <w:pStyle w:val="28"/>
        <w:spacing w:line="360" w:lineRule="auto"/>
        <w:ind w:right="248"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承包人提供的所有机电设备应标明厂家的名称，应上报监理人经发包人批准后方可采购。</w:t>
      </w:r>
    </w:p>
    <w:p>
      <w:pPr>
        <w:pStyle w:val="28"/>
        <w:spacing w:line="360" w:lineRule="auto"/>
        <w:rPr>
          <w:rFonts w:hint="eastAsia" w:ascii="宋体" w:hAnsi="宋体" w:eastAsia="宋体" w:cs="宋体"/>
          <w:kern w:val="2"/>
          <w:sz w:val="24"/>
          <w:szCs w:val="24"/>
        </w:rPr>
      </w:pPr>
      <w:bookmarkStart w:id="402" w:name="_Toc221951163"/>
      <w:r>
        <w:rPr>
          <w:rFonts w:hint="eastAsia" w:ascii="宋体" w:hAnsi="宋体" w:eastAsia="宋体" w:cs="宋体"/>
          <w:kern w:val="2"/>
          <w:sz w:val="24"/>
          <w:szCs w:val="24"/>
        </w:rPr>
        <w:t>5.2发包人提供的材料和工程设备</w:t>
      </w:r>
      <w:bookmarkEnd w:id="402"/>
    </w:p>
    <w:p>
      <w:pPr>
        <w:pStyle w:val="28"/>
        <w:spacing w:line="360" w:lineRule="auto"/>
        <w:ind w:right="248"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发包人不向承包人提供材料和工程设备。</w:t>
      </w:r>
    </w:p>
    <w:p>
      <w:pPr>
        <w:pStyle w:val="28"/>
        <w:spacing w:line="360" w:lineRule="auto"/>
        <w:rPr>
          <w:rFonts w:hint="eastAsia" w:ascii="宋体" w:hAnsi="宋体" w:eastAsia="宋体" w:cs="宋体"/>
          <w:kern w:val="2"/>
          <w:sz w:val="24"/>
          <w:szCs w:val="24"/>
        </w:rPr>
      </w:pPr>
      <w:bookmarkStart w:id="403" w:name="_Toc222032701"/>
      <w:bookmarkStart w:id="404" w:name="_Toc222033883"/>
      <w:bookmarkStart w:id="405" w:name="_Toc221951166"/>
      <w:bookmarkStart w:id="406" w:name="_Toc229305392"/>
      <w:bookmarkStart w:id="407" w:name="_Toc222031034"/>
      <w:bookmarkStart w:id="408" w:name="_Toc222029532"/>
      <w:r>
        <w:rPr>
          <w:rFonts w:hint="eastAsia" w:ascii="宋体" w:hAnsi="宋体" w:eastAsia="宋体" w:cs="宋体"/>
          <w:kern w:val="2"/>
          <w:sz w:val="24"/>
          <w:szCs w:val="24"/>
        </w:rPr>
        <w:t>6施工设备和临时设施</w:t>
      </w:r>
      <w:bookmarkEnd w:id="403"/>
      <w:bookmarkEnd w:id="404"/>
      <w:bookmarkEnd w:id="405"/>
      <w:bookmarkEnd w:id="406"/>
      <w:bookmarkEnd w:id="407"/>
      <w:bookmarkEnd w:id="408"/>
    </w:p>
    <w:p>
      <w:pPr>
        <w:pStyle w:val="28"/>
        <w:spacing w:line="360" w:lineRule="auto"/>
        <w:rPr>
          <w:rFonts w:hint="eastAsia" w:ascii="宋体" w:hAnsi="宋体" w:eastAsia="宋体" w:cs="宋体"/>
          <w:kern w:val="2"/>
          <w:sz w:val="24"/>
          <w:szCs w:val="24"/>
        </w:rPr>
      </w:pPr>
      <w:bookmarkStart w:id="409" w:name="_Toc221951167"/>
      <w:r>
        <w:rPr>
          <w:rFonts w:hint="eastAsia" w:ascii="宋体" w:hAnsi="宋体" w:eastAsia="宋体" w:cs="宋体"/>
          <w:kern w:val="2"/>
          <w:sz w:val="24"/>
          <w:szCs w:val="24"/>
        </w:rPr>
        <w:t>6.1发包人提供的施工设备和临时设施</w:t>
      </w:r>
      <w:bookmarkEnd w:id="409"/>
    </w:p>
    <w:p>
      <w:pPr>
        <w:pStyle w:val="28"/>
        <w:spacing w:line="360" w:lineRule="auto"/>
        <w:ind w:right="248" w:firstLine="424"/>
        <w:rPr>
          <w:rFonts w:hint="eastAsia" w:ascii="宋体" w:hAnsi="宋体" w:eastAsia="宋体" w:cs="宋体"/>
          <w:kern w:val="2"/>
          <w:sz w:val="24"/>
          <w:szCs w:val="24"/>
        </w:rPr>
      </w:pPr>
      <w:bookmarkStart w:id="410" w:name="_Toc221951169"/>
      <w:r>
        <w:rPr>
          <w:rFonts w:hint="eastAsia" w:ascii="宋体" w:hAnsi="宋体" w:eastAsia="宋体" w:cs="宋体"/>
          <w:kern w:val="2"/>
          <w:sz w:val="24"/>
          <w:szCs w:val="24"/>
        </w:rPr>
        <w:t>发包人不向承包人提供施工设备和临时设施。</w:t>
      </w:r>
      <w:bookmarkEnd w:id="410"/>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7交通运输</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7.1场内外施工道路</w:t>
      </w:r>
    </w:p>
    <w:p>
      <w:pPr>
        <w:pStyle w:val="28"/>
        <w:spacing w:line="360" w:lineRule="auto"/>
        <w:ind w:firstLine="420"/>
        <w:rPr>
          <w:rFonts w:hint="eastAsia" w:ascii="宋体" w:hAnsi="宋体" w:eastAsia="宋体" w:cs="宋体"/>
          <w:kern w:val="2"/>
          <w:sz w:val="24"/>
          <w:szCs w:val="24"/>
          <w:lang w:eastAsia="zh-CN"/>
        </w:rPr>
      </w:pPr>
      <w:r>
        <w:rPr>
          <w:rFonts w:hint="eastAsia" w:ascii="宋体" w:hAnsi="宋体" w:eastAsia="宋体" w:cs="宋体"/>
          <w:kern w:val="2"/>
          <w:sz w:val="24"/>
          <w:szCs w:val="24"/>
        </w:rPr>
        <w:t>（1）承包人应负责修建、维修、养护和管理其施工所需的全部临时道路和交通设施，并保证社会车辆的通行，一切费用均含在投标报价中。</w:t>
      </w:r>
    </w:p>
    <w:p>
      <w:pPr>
        <w:pStyle w:val="28"/>
        <w:spacing w:line="360" w:lineRule="auto"/>
        <w:ind w:firstLine="420"/>
        <w:rPr>
          <w:rFonts w:hint="eastAsia" w:ascii="宋体" w:hAnsi="宋体" w:eastAsia="宋体" w:cs="宋体"/>
          <w:kern w:val="2"/>
          <w:sz w:val="24"/>
          <w:szCs w:val="24"/>
        </w:rPr>
      </w:pP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（2）承包人修建的临时道路和交通设施，应免费提供给发包人和监理人及本工程的其他承包人使用。</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（3）场外交通因施工需要发生的一切调解费用均由承包人负责。</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8测量放线</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8.1施工控制网</w:t>
      </w:r>
    </w:p>
    <w:p>
      <w:pPr>
        <w:pStyle w:val="28"/>
        <w:spacing w:line="360" w:lineRule="auto"/>
        <w:ind w:right="248" w:firstLine="480"/>
        <w:rPr>
          <w:rFonts w:hint="eastAsia" w:ascii="宋体" w:hAnsi="宋体" w:eastAsia="宋体" w:cs="宋体"/>
          <w:color w:val="000000"/>
          <w:kern w:val="2"/>
          <w:sz w:val="24"/>
          <w:szCs w:val="24"/>
        </w:rPr>
      </w:pPr>
      <w:r>
        <w:rPr>
          <w:rFonts w:hint="eastAsia" w:ascii="宋体" w:hAnsi="宋体" w:eastAsia="宋体" w:cs="宋体"/>
          <w:kern w:val="2"/>
          <w:sz w:val="24"/>
          <w:szCs w:val="24"/>
        </w:rPr>
        <w:t>8.1.1施工控制网的约定：</w:t>
      </w:r>
      <w:r>
        <w:rPr>
          <w:rFonts w:hint="eastAsia" w:ascii="宋体" w:hAnsi="宋体" w:eastAsia="宋体" w:cs="宋体"/>
          <w:color w:val="000000"/>
          <w:kern w:val="2"/>
          <w:sz w:val="24"/>
          <w:szCs w:val="24"/>
        </w:rPr>
        <w:t>发包人应委托监理人在承包人进点后的3天内，向承包人提供测量基准点、基准线和水准点及其书面资料；承包人应在接到监理人提供的上述资料后14天内，根据上述基准点（线）以及国家测绘标准和本工程精度要求，测设用于工程施工的控制网，并将施工控制网资料提交监理人审批。</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8.2施工测量</w:t>
      </w:r>
    </w:p>
    <w:p>
      <w:pPr>
        <w:pStyle w:val="28"/>
        <w:spacing w:line="360" w:lineRule="auto"/>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8.2.3当承包人对监理人提供的基本测量资料（原始基准点、基准线和参考标高）及有关图纸有异议时，应在监理人提供以上资料以后的7天内以书面通知监理人；</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8.2.4承包人应进行所有计算、测绘和拟建建筑物精确定位所需的定位放样，并将拟采用的工程放样方法和将达到的放样精度提交监理人审查；</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8.2.5承包人只应将测量作业委托给受过训练、有经验、有足够资格和技能的人员，以保证顺利完成交给他们的测量任务。他们必须向监理人提交监理人要求的有关测量资料。为完成测量任务，承包人应该选用足够数量的、可靠的、精密的及经过有资质的部门精确校正的由监理人批准的仪器设备；</w:t>
      </w:r>
    </w:p>
    <w:p>
      <w:pPr>
        <w:pStyle w:val="28"/>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8.2.6所有测量和放样的有关数据应报监理人审查，如果需要，承包人应该在任何时候协助监理人对工地设施定位放样工作进行校核。为此目的，承包人应该保持所有标志干净，观测视线清晰。监理人进行的任何校核测量不应减轻承包人对建筑物测量的位置及尺寸精度负有的全部责任；</w:t>
      </w:r>
    </w:p>
    <w:p>
      <w:pPr>
        <w:pStyle w:val="28"/>
        <w:spacing w:line="360" w:lineRule="auto"/>
        <w:rPr>
          <w:rFonts w:hint="eastAsia" w:ascii="宋体" w:hAnsi="宋体" w:eastAsia="宋体" w:cs="宋体"/>
          <w:kern w:val="2"/>
          <w:sz w:val="24"/>
          <w:szCs w:val="24"/>
        </w:rPr>
      </w:pPr>
      <w:r>
        <w:rPr>
          <w:rFonts w:hint="eastAsia" w:ascii="宋体" w:hAnsi="宋体" w:eastAsia="宋体" w:cs="宋体"/>
          <w:color w:val="000000"/>
          <w:kern w:val="2"/>
          <w:sz w:val="24"/>
          <w:szCs w:val="24"/>
        </w:rPr>
        <w:t>8.2.7若现有地形资料不能满足工程的测量精度时，承包人应以其自己的费用进行地形补测。</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9施工安全、治安保卫和环境保护</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9.2承包人的施工安全责任</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9.2.2承包人应加强施工作业安全管理，特别应加强易燃、易爆材料、火工器材、有毒与腐蚀性材料和其他危险品的管理，以及对爆破作业和地下工程施工等危险作业的管理。</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9.2.3承包人应严格按照国家安全标准制定施工安全操作规程，配备必要的安全生产和劳动保护设施，加强对承包人人员的安全教育，并发放安全工作手册和劳动保护用具。</w:t>
      </w:r>
    </w:p>
    <w:p>
      <w:pPr>
        <w:pStyle w:val="28"/>
        <w:spacing w:line="360" w:lineRule="auto"/>
        <w:ind w:firstLine="420"/>
        <w:rPr>
          <w:rFonts w:hint="eastAsia" w:ascii="宋体" w:hAnsi="宋体" w:eastAsia="宋体" w:cs="宋体"/>
          <w:kern w:val="2"/>
          <w:sz w:val="24"/>
          <w:szCs w:val="24"/>
        </w:rPr>
      </w:pP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9.2.4承包人应按监理人的指示制定应对灾害的紧急预案，报送监理人审批。承包人还应按预案做好安全检查，配置必要的救助物资和器材，切实保护好有关人员的人身和财产安全。</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9.2.5合同约定的安全作业环境及安全施工措施所需费用应遵守有关规定，并包括在相关工作的合同价格中。因采取合同未约定的安全作业环境及安全施工措施增加的费用，由监理人按第3.5款商定或确定。</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9.2.6承包人已标价工程量清单应包含工程安全作业环境及安全施工措施所需费用。</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9.2.8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9.2.9承包人应设立安全生产管理机构，施工现场应有专职安全生产管理人员。</w:t>
      </w:r>
    </w:p>
    <w:p>
      <w:pPr>
        <w:pStyle w:val="28"/>
        <w:spacing w:line="360" w:lineRule="auto"/>
        <w:ind w:firstLine="420"/>
        <w:rPr>
          <w:rFonts w:hint="eastAsia" w:ascii="宋体" w:hAnsi="宋体" w:eastAsia="宋体" w:cs="宋体"/>
          <w:kern w:val="2"/>
          <w:sz w:val="24"/>
          <w:szCs w:val="24"/>
        </w:rPr>
      </w:pPr>
      <w:r>
        <w:rPr>
          <w:rFonts w:hint="eastAsia" w:ascii="宋体" w:hAnsi="宋体" w:eastAsia="宋体" w:cs="宋体"/>
          <w:kern w:val="2"/>
          <w:sz w:val="24"/>
          <w:szCs w:val="24"/>
        </w:rPr>
        <w:t>9.2.10承包人应负责对特种作业人员进行专门的安全作业培训，并保证特种作业人员持证上岗。</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9.4环境保护</w:t>
      </w:r>
    </w:p>
    <w:p>
      <w:pPr>
        <w:pStyle w:val="28"/>
        <w:spacing w:line="360" w:lineRule="auto"/>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9.4.6承包人应设专人负责环保工作，加强对施工期污水、废水处理及施工区域的自然环境、水土保持的力度，应随时尽最大努力清除废渣、污油、油性杂物或其他可能造成污染的物质，混凝土生产或灌浆作业中的冲洗水应在处理池中澄清或采用其他方法以防止水泥浆流入河中，保证水质不因本合同工程施工受到任何不良影响；若因承包人原因造成水体污染，引起的纠纷和由此影响施工的合同责任均由承包人承担。</w:t>
      </w:r>
    </w:p>
    <w:p>
      <w:pPr>
        <w:pStyle w:val="28"/>
        <w:spacing w:line="360" w:lineRule="auto"/>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9.4.7承包人不得向河内倾到弃土、材料和废弃物，不得缩小施工以外的河床断面。</w:t>
      </w:r>
    </w:p>
    <w:p>
      <w:pPr>
        <w:pStyle w:val="28"/>
        <w:spacing w:line="360" w:lineRule="auto"/>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9.4.8承包人必须定期在工程月报中反映环保工作内容。</w:t>
      </w:r>
    </w:p>
    <w:p>
      <w:pPr>
        <w:pStyle w:val="28"/>
        <w:spacing w:line="360" w:lineRule="auto"/>
        <w:ind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9.4.9承包人为满足环保要求采取措施所引起的费用应包含在已标价工程量清单中。</w:t>
      </w:r>
    </w:p>
    <w:p>
      <w:pPr>
        <w:pStyle w:val="28"/>
        <w:spacing w:line="360" w:lineRule="auto"/>
        <w:ind w:right="248" w:firstLine="42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9.4.10承包人应注意施工期间，噪音和灯光对居民的影响。在与居民发生冲突时，应服从监理的调解。</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10文明施工</w:t>
      </w:r>
    </w:p>
    <w:p>
      <w:pPr>
        <w:pStyle w:val="28"/>
        <w:spacing w:line="360" w:lineRule="auto"/>
        <w:ind w:firstLine="405"/>
        <w:rPr>
          <w:rFonts w:hint="eastAsia" w:ascii="宋体" w:hAnsi="宋体" w:eastAsia="宋体" w:cs="宋体"/>
          <w:kern w:val="2"/>
          <w:sz w:val="24"/>
          <w:szCs w:val="24"/>
        </w:rPr>
      </w:pPr>
      <w:r>
        <w:rPr>
          <w:rFonts w:hint="eastAsia" w:ascii="宋体" w:hAnsi="宋体" w:eastAsia="宋体" w:cs="宋体"/>
          <w:kern w:val="2"/>
          <w:sz w:val="24"/>
          <w:szCs w:val="24"/>
        </w:rPr>
        <w:t>本工程不要求创建文明工地。</w:t>
      </w:r>
    </w:p>
    <w:p>
      <w:pPr>
        <w:pStyle w:val="31"/>
        <w:spacing w:line="480" w:lineRule="exact"/>
        <w:rPr>
          <w:rFonts w:hint="eastAsia" w:ascii="宋体" w:hAnsi="宋体" w:eastAsia="宋体" w:cs="宋体"/>
          <w:kern w:val="2"/>
          <w:sz w:val="24"/>
          <w:szCs w:val="24"/>
        </w:rPr>
      </w:pPr>
      <w:r>
        <w:rPr>
          <w:rFonts w:hint="eastAsia" w:ascii="宋体" w:hAnsi="宋体" w:eastAsia="宋体" w:cs="宋体"/>
          <w:kern w:val="2"/>
          <w:sz w:val="24"/>
          <w:szCs w:val="24"/>
        </w:rPr>
        <w:t>11进度计划</w:t>
      </w:r>
    </w:p>
    <w:p>
      <w:pPr>
        <w:pStyle w:val="28"/>
        <w:rPr>
          <w:rFonts w:hint="eastAsia" w:ascii="宋体" w:hAnsi="宋体" w:eastAsia="宋体" w:cs="宋体"/>
          <w:kern w:val="2"/>
          <w:sz w:val="24"/>
          <w:szCs w:val="24"/>
        </w:rPr>
      </w:pPr>
      <w:bookmarkStart w:id="411" w:name="_Toc312760033"/>
      <w:r>
        <w:rPr>
          <w:rFonts w:hint="eastAsia" w:ascii="宋体" w:hAnsi="宋体" w:eastAsia="宋体" w:cs="宋体"/>
          <w:kern w:val="2"/>
          <w:sz w:val="24"/>
          <w:szCs w:val="24"/>
        </w:rPr>
        <w:t>11.1合同进度计划</w:t>
      </w:r>
      <w:bookmarkEnd w:id="411"/>
    </w:p>
    <w:p>
      <w:pPr>
        <w:pStyle w:val="28"/>
        <w:numPr>
          <w:ilvl w:val="0"/>
          <w:numId w:val="28"/>
        </w:numPr>
        <w:spacing w:line="480" w:lineRule="exact"/>
        <w:ind w:firstLine="480"/>
        <w:rPr>
          <w:rFonts w:hint="eastAsia" w:ascii="宋体" w:hAnsi="宋体" w:eastAsia="宋体" w:cs="宋体"/>
          <w:kern w:val="2"/>
          <w:sz w:val="24"/>
          <w:szCs w:val="24"/>
        </w:rPr>
      </w:pPr>
      <w:r>
        <w:rPr>
          <w:rFonts w:hint="eastAsia" w:ascii="宋体" w:hAnsi="宋体" w:eastAsia="宋体" w:cs="宋体"/>
          <w:kern w:val="2"/>
          <w:sz w:val="24"/>
          <w:szCs w:val="24"/>
        </w:rPr>
        <w:t>在合同协议书签署以后的7天内，承包人应提交给监理人详细的施工总布置图和完整详细的施工进度计划，以上资料均为一式四份，以供监理人批准，该进度计划应用网络分析法和横道图法编制。网络图还应包括设备和材料的制造、采购、供应等相应的活动以及供货日期。承包人同时要求提供的施工总布置图应表明主要工地设施布置位置，如：生产办公用房、仓库设施、骨料储存场、混凝土拌和厂、临时施工道路、防洪需要的临时防护工程、供风、供电与供水系统等，同时</w:t>
      </w:r>
    </w:p>
    <w:p>
      <w:pPr>
        <w:pStyle w:val="28"/>
        <w:numPr>
          <w:ilvl w:val="0"/>
          <w:numId w:val="0"/>
        </w:numPr>
        <w:spacing w:line="480" w:lineRule="exact"/>
        <w:rPr>
          <w:rFonts w:hint="eastAsia" w:ascii="宋体" w:hAnsi="宋体" w:eastAsia="宋体" w:cs="宋体"/>
          <w:kern w:val="2"/>
          <w:sz w:val="24"/>
          <w:szCs w:val="24"/>
        </w:rPr>
      </w:pPr>
    </w:p>
    <w:p>
      <w:pPr>
        <w:pStyle w:val="28"/>
        <w:numPr>
          <w:ilvl w:val="0"/>
          <w:numId w:val="0"/>
        </w:numPr>
        <w:spacing w:line="480" w:lineRule="exact"/>
        <w:rPr>
          <w:rFonts w:hint="eastAsia" w:ascii="宋体" w:hAnsi="宋体" w:eastAsia="宋体" w:cs="宋体"/>
          <w:kern w:val="2"/>
          <w:sz w:val="24"/>
          <w:szCs w:val="24"/>
        </w:rPr>
      </w:pPr>
      <w:r>
        <w:rPr>
          <w:rFonts w:hint="eastAsia" w:ascii="宋体" w:hAnsi="宋体" w:eastAsia="宋体" w:cs="宋体"/>
          <w:kern w:val="2"/>
          <w:sz w:val="24"/>
          <w:szCs w:val="24"/>
        </w:rPr>
        <w:t>应附有这些设施和建筑物的有关说明。</w:t>
      </w:r>
    </w:p>
    <w:p>
      <w:pPr>
        <w:pStyle w:val="28"/>
        <w:spacing w:line="400" w:lineRule="exact"/>
        <w:ind w:firstLine="48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（2）承包人应同时提供本合同范围内主要建筑物的施工方法和采用的施工机械设备的有关说明。</w:t>
      </w:r>
    </w:p>
    <w:p>
      <w:pPr>
        <w:pStyle w:val="28"/>
        <w:spacing w:line="400" w:lineRule="exact"/>
        <w:ind w:firstLine="48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（3）承包人提交的进度计划一经批准，就成为工程正式且详细的进度计划。提交该施工进度计划并经监理人批准是业主向承包人进行第一个月支付的先决条件。</w:t>
      </w:r>
    </w:p>
    <w:p>
      <w:pPr>
        <w:pStyle w:val="28"/>
        <w:rPr>
          <w:rFonts w:hint="eastAsia" w:ascii="宋体" w:hAnsi="宋体" w:eastAsia="宋体" w:cs="宋体"/>
          <w:kern w:val="2"/>
          <w:sz w:val="24"/>
          <w:szCs w:val="24"/>
        </w:rPr>
      </w:pPr>
      <w:bookmarkStart w:id="412" w:name="_Toc312760034"/>
      <w:r>
        <w:rPr>
          <w:rFonts w:hint="eastAsia" w:ascii="宋体" w:hAnsi="宋体" w:eastAsia="宋体" w:cs="宋体"/>
          <w:kern w:val="2"/>
          <w:sz w:val="24"/>
          <w:szCs w:val="24"/>
        </w:rPr>
        <w:t>11.2合同进度计划的修订</w:t>
      </w:r>
      <w:bookmarkEnd w:id="412"/>
    </w:p>
    <w:p>
      <w:pPr>
        <w:pStyle w:val="28"/>
        <w:spacing w:line="480" w:lineRule="exact"/>
        <w:ind w:firstLine="48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根据工程的实际进度，承包人应及时修改总进度计划、劳务计划表和说明，修改后的施工进度计划、劳务计划和实施计划的说明都应充分履行合同条款有关开工、竣工时间的规定。如果修改后的施工计划不能在规定的时期内完成工程或其部分工程，则在任何情况下对该计划的批准将不意味同意延长规定的工期，也不能免除承包人对工期延误的责任，也不妨碍发包人行使终止合同的权力。</w:t>
      </w:r>
    </w:p>
    <w:p>
      <w:pPr>
        <w:pStyle w:val="28"/>
        <w:spacing w:line="480" w:lineRule="exact"/>
        <w:ind w:firstLine="48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承包人认为有必要对施工进度计划中工作的日期、持续时间或施工顺序方面作任何修改，都应在证明此修改必要的情况出现后14天内提交给监理人批准。建议的修改应反映在修改施工进度计划上，并附上最新的劳务计划表和说明。</w:t>
      </w:r>
    </w:p>
    <w:p>
      <w:pPr>
        <w:pStyle w:val="28"/>
        <w:spacing w:line="480" w:lineRule="exact"/>
        <w:ind w:firstLine="48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（3）工程的施工应按最新的施工进度计划进行。除紧急情况之外，如果事先没有得到发包人的同意，不符合施工进度计划的工程任何部分的施工都将成为监理人暂停该部分施工的充分理由。</w:t>
      </w:r>
    </w:p>
    <w:p>
      <w:pPr>
        <w:pStyle w:val="28"/>
        <w:spacing w:line="480" w:lineRule="exact"/>
        <w:ind w:firstLine="48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（4）在工程实施期间，承包人应按批准的格式每月向监理人提交施工月报（一式四份），该施工月报至少应记载以下内容：</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（a）承包人设备在现场安装和施工的情况；</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（b）承包人设备和永久工程设备的到货情况以及到货计划；</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（c）承包人主要施工设备的运行与使用情况；</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（d）合同期对于水泥、砂石料、钢筋、钢材、柴油的货源地、运输方式及需求计划；</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（e）现场施工（包括设备安装）的实际完成工程量进展情况；</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（f）现场施工的形象进度；</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（g）记述对施工进度产生不利影响的情况，以及为减轻这种不利状况并重新达到预期进度所采取的措施；</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（h）记载承包人拟要求进行的合同解释、工程技术措施等事项；</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（i）施工现场各类雇员的数量和以后三个月的人员数；</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（j）意外事件，如质量缺陷、人身事故及停工记录；</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（k）现场的水文气象记录；</w:t>
      </w:r>
    </w:p>
    <w:p>
      <w:pPr>
        <w:pStyle w:val="28"/>
        <w:spacing w:line="480" w:lineRule="exact"/>
        <w:ind w:firstLine="36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（l）工程质量统计情况汇总表。</w:t>
      </w:r>
    </w:p>
    <w:p>
      <w:pPr>
        <w:pStyle w:val="28"/>
        <w:spacing w:line="400" w:lineRule="exact"/>
        <w:ind w:firstLine="482"/>
        <w:rPr>
          <w:rFonts w:hint="eastAsia" w:ascii="宋体" w:hAnsi="宋体" w:eastAsia="宋体" w:cs="宋体"/>
          <w:color w:val="000000"/>
          <w:kern w:val="2"/>
          <w:sz w:val="24"/>
          <w:szCs w:val="24"/>
        </w:rPr>
      </w:pPr>
    </w:p>
    <w:p>
      <w:pPr>
        <w:pStyle w:val="28"/>
        <w:spacing w:line="400" w:lineRule="exact"/>
        <w:ind w:firstLine="482"/>
        <w:rPr>
          <w:rFonts w:hint="eastAsia" w:ascii="宋体" w:hAnsi="宋体" w:eastAsia="宋体" w:cs="宋体"/>
          <w:b/>
          <w:kern w:val="2"/>
          <w:sz w:val="24"/>
          <w:szCs w:val="24"/>
        </w:rPr>
      </w:pPr>
      <w:r>
        <w:rPr>
          <w:rFonts w:hint="eastAsia" w:ascii="宋体" w:hAnsi="宋体" w:eastAsia="宋体" w:cs="宋体"/>
          <w:color w:val="000000"/>
          <w:kern w:val="2"/>
          <w:sz w:val="24"/>
          <w:szCs w:val="24"/>
        </w:rPr>
        <w:t>该月进度报告至少应附有能充分显示工程施工面貌和施工进度的照片。承包人应在下月3日以前将该月进度报告提交给监理人。</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12开工和竣工（完工）</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12.1开工和竣工时间</w:t>
      </w:r>
    </w:p>
    <w:p>
      <w:pPr>
        <w:pStyle w:val="28"/>
        <w:spacing w:line="360" w:lineRule="auto"/>
        <w:rPr>
          <w:rFonts w:hint="eastAsia" w:ascii="宋体" w:hAnsi="宋体" w:eastAsia="宋体" w:cs="宋体"/>
          <w:kern w:val="2"/>
          <w:sz w:val="24"/>
          <w:szCs w:val="24"/>
          <w:highlight w:val="magenta"/>
        </w:rPr>
      </w:pPr>
      <w:bookmarkStart w:id="413" w:name="_Toc221951198"/>
      <w:r>
        <w:rPr>
          <w:rFonts w:hint="eastAsia" w:ascii="宋体" w:hAnsi="宋体" w:eastAsia="宋体" w:cs="宋体"/>
          <w:kern w:val="2"/>
          <w:sz w:val="24"/>
          <w:szCs w:val="24"/>
        </w:rPr>
        <w:t>计划开工日期：年月日；计划完工日期：年月日；</w:t>
      </w:r>
    </w:p>
    <w:p>
      <w:pPr>
        <w:pStyle w:val="28"/>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12.2承包人工期延误</w:t>
      </w:r>
      <w:bookmarkEnd w:id="413"/>
    </w:p>
    <w:p>
      <w:pPr>
        <w:pStyle w:val="28"/>
        <w:spacing w:line="360" w:lineRule="auto"/>
        <w:rPr>
          <w:rFonts w:hint="eastAsia" w:ascii="宋体" w:hAnsi="宋体" w:eastAsia="宋体" w:cs="宋体"/>
          <w:kern w:val="2"/>
          <w:sz w:val="24"/>
          <w:szCs w:val="24"/>
        </w:rPr>
      </w:pPr>
      <w:bookmarkStart w:id="414" w:name="_Toc221951205"/>
      <w:r>
        <w:rPr>
          <w:rFonts w:hint="eastAsia" w:ascii="宋体" w:hAnsi="宋体" w:eastAsia="宋体" w:cs="宋体"/>
          <w:kern w:val="2"/>
          <w:sz w:val="24"/>
          <w:szCs w:val="24"/>
        </w:rPr>
        <w:t>（1）由于承包人原因，每延误一天，扣除2000元，限额为不超过合同总价的10%。</w:t>
      </w:r>
      <w:bookmarkEnd w:id="414"/>
    </w:p>
    <w:p>
      <w:pPr>
        <w:pStyle w:val="28"/>
        <w:rPr>
          <w:rFonts w:hint="eastAsia" w:ascii="宋体" w:hAnsi="宋体" w:eastAsia="宋体" w:cs="宋体"/>
          <w:kern w:val="2"/>
          <w:sz w:val="24"/>
          <w:szCs w:val="24"/>
        </w:rPr>
      </w:pPr>
      <w:r>
        <w:rPr>
          <w:rFonts w:hint="eastAsia" w:ascii="宋体" w:hAnsi="宋体" w:eastAsia="宋体" w:cs="宋体"/>
          <w:kern w:val="2"/>
          <w:sz w:val="24"/>
          <w:szCs w:val="24"/>
        </w:rPr>
        <w:t>13工程质量</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13.2承包人的质量管理</w:t>
      </w:r>
    </w:p>
    <w:p>
      <w:pPr>
        <w:pStyle w:val="28"/>
        <w:spacing w:line="360" w:lineRule="auto"/>
        <w:ind w:firstLine="359"/>
        <w:rPr>
          <w:rFonts w:hint="eastAsia" w:ascii="宋体" w:hAnsi="宋体" w:eastAsia="宋体" w:cs="宋体"/>
          <w:kern w:val="2"/>
          <w:sz w:val="24"/>
          <w:szCs w:val="24"/>
        </w:rPr>
      </w:pPr>
      <w:r>
        <w:rPr>
          <w:rFonts w:hint="eastAsia" w:ascii="宋体" w:hAnsi="宋体" w:eastAsia="宋体" w:cs="宋体"/>
          <w:color w:val="000000"/>
          <w:kern w:val="2"/>
          <w:sz w:val="24"/>
          <w:szCs w:val="24"/>
        </w:rPr>
        <w:t>13.2.1承包人应在接到开工通知后的21天内，提交一份内容包括质量检查机构的组织和岗位责任及质检人员的组成、质量检查程序和实施细则等的工程质量保证措施报告，报送监理人审批。</w:t>
      </w:r>
      <w:r>
        <w:rPr>
          <w:rFonts w:hint="eastAsia" w:ascii="宋体" w:hAnsi="宋体" w:eastAsia="宋体" w:cs="宋体"/>
          <w:kern w:val="2"/>
          <w:sz w:val="24"/>
          <w:szCs w:val="24"/>
        </w:rPr>
        <w:t>承包人应按照投标文件承诺的质量要求严格落实质量保证措施，若最终质量达不到投标文件承诺的质量要求，则由此引起的所有后果（工期延误和费用）均由承包人承担。</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14试验和检验</w:t>
      </w:r>
    </w:p>
    <w:p>
      <w:pPr>
        <w:pStyle w:val="28"/>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14.1材料、工程设备和工程的试验和检验</w:t>
      </w:r>
    </w:p>
    <w:p>
      <w:pPr>
        <w:pStyle w:val="28"/>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14.1.6本工程实行见证取样的试块、试件及有关材料：</w:t>
      </w:r>
    </w:p>
    <w:p>
      <w:pPr>
        <w:pStyle w:val="28"/>
        <w:spacing w:line="360" w:lineRule="auto"/>
        <w:rPr>
          <w:rFonts w:hint="eastAsia" w:ascii="宋体" w:hAnsi="宋体" w:eastAsia="宋体" w:cs="宋体"/>
          <w:kern w:val="2"/>
          <w:sz w:val="24"/>
          <w:szCs w:val="24"/>
          <w:lang w:eastAsia="zh-CN"/>
        </w:rPr>
      </w:pPr>
      <w:r>
        <w:rPr>
          <w:rFonts w:hint="eastAsia" w:ascii="宋体" w:hAnsi="宋体" w:eastAsia="宋体" w:cs="宋体"/>
          <w:kern w:val="2"/>
          <w:sz w:val="24"/>
          <w:szCs w:val="24"/>
        </w:rPr>
        <w:t>相关设施需施工单位、建设单位、监理单位厂家考察后方可采购。</w:t>
      </w:r>
    </w:p>
    <w:p>
      <w:pPr>
        <w:pStyle w:val="28"/>
        <w:rPr>
          <w:rFonts w:hint="eastAsia" w:ascii="宋体" w:hAnsi="宋体" w:eastAsia="宋体" w:cs="宋体"/>
          <w:kern w:val="2"/>
          <w:sz w:val="24"/>
          <w:szCs w:val="24"/>
        </w:rPr>
      </w:pPr>
      <w:bookmarkStart w:id="415" w:name="_Toc222033890"/>
      <w:bookmarkStart w:id="416" w:name="_Toc229305396"/>
      <w:bookmarkStart w:id="417" w:name="_Toc222029539"/>
      <w:bookmarkStart w:id="418" w:name="_Toc222031041"/>
      <w:bookmarkStart w:id="419" w:name="_Toc221951213"/>
      <w:bookmarkStart w:id="420" w:name="_Toc222032708"/>
      <w:r>
        <w:rPr>
          <w:rFonts w:hint="eastAsia" w:ascii="宋体" w:hAnsi="宋体" w:eastAsia="宋体" w:cs="宋体"/>
          <w:kern w:val="2"/>
          <w:sz w:val="24"/>
          <w:szCs w:val="24"/>
        </w:rPr>
        <w:t>15变更</w:t>
      </w:r>
      <w:bookmarkEnd w:id="415"/>
      <w:bookmarkEnd w:id="416"/>
      <w:bookmarkEnd w:id="417"/>
      <w:bookmarkEnd w:id="418"/>
      <w:bookmarkEnd w:id="419"/>
      <w:bookmarkEnd w:id="420"/>
    </w:p>
    <w:p>
      <w:pPr>
        <w:pStyle w:val="28"/>
        <w:rPr>
          <w:rFonts w:hint="eastAsia" w:ascii="宋体" w:hAnsi="宋体" w:eastAsia="宋体" w:cs="宋体"/>
          <w:kern w:val="2"/>
          <w:sz w:val="24"/>
          <w:szCs w:val="24"/>
        </w:rPr>
      </w:pPr>
      <w:bookmarkStart w:id="421" w:name="_Toc221951218"/>
      <w:r>
        <w:rPr>
          <w:rFonts w:hint="eastAsia" w:ascii="宋体" w:hAnsi="宋体" w:eastAsia="宋体" w:cs="宋体"/>
          <w:kern w:val="2"/>
          <w:sz w:val="24"/>
          <w:szCs w:val="24"/>
        </w:rPr>
        <w:t>15.4变更的估价原则</w:t>
      </w:r>
    </w:p>
    <w:p>
      <w:pPr>
        <w:pStyle w:val="28"/>
        <w:spacing w:line="400" w:lineRule="exact"/>
        <w:ind w:firstLine="570"/>
        <w:rPr>
          <w:rFonts w:hint="eastAsia" w:ascii="宋体" w:hAnsi="宋体" w:eastAsia="宋体" w:cs="宋体"/>
          <w:kern w:val="2"/>
          <w:sz w:val="24"/>
          <w:szCs w:val="24"/>
        </w:rPr>
      </w:pPr>
      <w:r>
        <w:rPr>
          <w:rFonts w:hint="eastAsia" w:ascii="宋体" w:hAnsi="宋体" w:eastAsia="宋体" w:cs="宋体"/>
          <w:color w:val="000000"/>
          <w:kern w:val="2"/>
          <w:sz w:val="24"/>
          <w:szCs w:val="24"/>
        </w:rPr>
        <w:t>15.4.1新增项目单价按投标报价时的人工费、材料费、机械费及相关费率调整。</w:t>
      </w:r>
    </w:p>
    <w:p>
      <w:pPr>
        <w:pStyle w:val="28"/>
        <w:spacing w:line="400" w:lineRule="exact"/>
        <w:ind w:firstLine="570"/>
        <w:rPr>
          <w:rFonts w:hint="eastAsia" w:ascii="宋体" w:hAnsi="宋体" w:eastAsia="宋体" w:cs="宋体"/>
          <w:color w:val="000000"/>
          <w:kern w:val="2"/>
          <w:sz w:val="24"/>
          <w:szCs w:val="24"/>
        </w:rPr>
      </w:pPr>
      <w:r>
        <w:rPr>
          <w:rFonts w:hint="eastAsia" w:ascii="宋体" w:hAnsi="宋体" w:eastAsia="宋体" w:cs="宋体"/>
          <w:kern w:val="2"/>
          <w:sz w:val="24"/>
          <w:szCs w:val="24"/>
        </w:rPr>
        <w:t>15.4.2</w:t>
      </w:r>
      <w:r>
        <w:rPr>
          <w:rFonts w:hint="eastAsia" w:ascii="宋体" w:hAnsi="宋体" w:eastAsia="宋体" w:cs="宋体"/>
          <w:color w:val="000000"/>
          <w:kern w:val="2"/>
          <w:sz w:val="24"/>
          <w:szCs w:val="24"/>
        </w:rPr>
        <w:t>合同内单项工程量变更超过15%，或该单项工程费超过工程总投资的1%的，增加部分的工程量的综合单价在让利的原则下，由承包人提出，经发包人确认后，作为结算的依据（总价合同部分除外）。</w:t>
      </w:r>
    </w:p>
    <w:bookmarkEnd w:id="421"/>
    <w:p>
      <w:pPr>
        <w:pStyle w:val="28"/>
        <w:rPr>
          <w:rFonts w:hint="eastAsia" w:ascii="宋体" w:hAnsi="宋体" w:eastAsia="宋体" w:cs="宋体"/>
          <w:kern w:val="2"/>
          <w:sz w:val="24"/>
          <w:szCs w:val="24"/>
        </w:rPr>
      </w:pPr>
      <w:bookmarkStart w:id="422" w:name="_Toc229305397"/>
      <w:r>
        <w:rPr>
          <w:rFonts w:hint="eastAsia" w:ascii="宋体" w:hAnsi="宋体" w:eastAsia="宋体" w:cs="宋体"/>
          <w:kern w:val="2"/>
          <w:sz w:val="24"/>
          <w:szCs w:val="24"/>
        </w:rPr>
        <w:t>16价格调整</w:t>
      </w:r>
      <w:bookmarkEnd w:id="422"/>
    </w:p>
    <w:p>
      <w:pPr>
        <w:pStyle w:val="28"/>
        <w:rPr>
          <w:rFonts w:hint="eastAsia" w:ascii="宋体" w:hAnsi="宋体" w:eastAsia="宋体" w:cs="宋体"/>
          <w:kern w:val="2"/>
          <w:sz w:val="24"/>
          <w:szCs w:val="24"/>
        </w:rPr>
      </w:pPr>
      <w:r>
        <w:rPr>
          <w:rFonts w:hint="eastAsia" w:ascii="宋体" w:hAnsi="宋体" w:eastAsia="宋体" w:cs="宋体"/>
          <w:kern w:val="2"/>
          <w:sz w:val="24"/>
          <w:szCs w:val="24"/>
        </w:rPr>
        <w:t>16.1物价波动引起的价格调整</w:t>
      </w:r>
    </w:p>
    <w:p>
      <w:pPr>
        <w:pStyle w:val="28"/>
        <w:spacing w:line="480" w:lineRule="exact"/>
        <w:ind w:firstLine="570"/>
        <w:rPr>
          <w:rFonts w:hint="eastAsia" w:ascii="宋体" w:hAnsi="宋体" w:eastAsia="宋体" w:cs="宋体"/>
          <w:kern w:val="2"/>
          <w:sz w:val="24"/>
          <w:szCs w:val="24"/>
        </w:rPr>
      </w:pPr>
      <w:r>
        <w:rPr>
          <w:rFonts w:hint="eastAsia" w:ascii="宋体" w:hAnsi="宋体" w:eastAsia="宋体" w:cs="宋体"/>
          <w:color w:val="000000"/>
          <w:kern w:val="2"/>
          <w:sz w:val="24"/>
          <w:szCs w:val="24"/>
        </w:rPr>
        <w:t>在本合同执行期间对劳务、承包人设备、设施、材料和工程的其它投入因素的涨落（变更项目同样不进行调整）不进行价格调整，不考虑由于物价波动而导致的合同价的变动。</w:t>
      </w:r>
    </w:p>
    <w:p>
      <w:pPr>
        <w:pStyle w:val="28"/>
        <w:rPr>
          <w:rFonts w:hint="eastAsia" w:ascii="宋体" w:hAnsi="宋体" w:eastAsia="宋体" w:cs="宋体"/>
          <w:kern w:val="2"/>
          <w:sz w:val="24"/>
          <w:szCs w:val="24"/>
        </w:rPr>
      </w:pPr>
      <w:bookmarkStart w:id="423" w:name="_Toc222032709"/>
      <w:bookmarkStart w:id="424" w:name="_Toc222033891"/>
      <w:bookmarkStart w:id="425" w:name="_Toc222031042"/>
      <w:bookmarkStart w:id="426" w:name="_Toc222029540"/>
      <w:bookmarkStart w:id="427" w:name="_Toc229305398"/>
      <w:bookmarkStart w:id="428" w:name="_Toc221951223"/>
      <w:r>
        <w:rPr>
          <w:rFonts w:hint="eastAsia" w:ascii="宋体" w:hAnsi="宋体" w:eastAsia="宋体" w:cs="宋体"/>
          <w:kern w:val="2"/>
          <w:sz w:val="24"/>
          <w:szCs w:val="24"/>
        </w:rPr>
        <w:t>17计量与支付</w:t>
      </w:r>
      <w:bookmarkEnd w:id="423"/>
      <w:bookmarkEnd w:id="424"/>
      <w:bookmarkEnd w:id="425"/>
      <w:bookmarkEnd w:id="426"/>
      <w:bookmarkEnd w:id="427"/>
      <w:bookmarkEnd w:id="428"/>
    </w:p>
    <w:p>
      <w:pPr>
        <w:pStyle w:val="28"/>
        <w:rPr>
          <w:rFonts w:hint="eastAsia" w:ascii="宋体" w:hAnsi="宋体" w:eastAsia="宋体" w:cs="宋体"/>
          <w:kern w:val="2"/>
          <w:sz w:val="24"/>
          <w:szCs w:val="24"/>
        </w:rPr>
      </w:pPr>
      <w:bookmarkStart w:id="429" w:name="_Toc221951224"/>
      <w:r>
        <w:rPr>
          <w:rFonts w:hint="eastAsia" w:ascii="宋体" w:hAnsi="宋体" w:eastAsia="宋体" w:cs="宋体"/>
          <w:kern w:val="2"/>
          <w:sz w:val="24"/>
          <w:szCs w:val="24"/>
        </w:rPr>
        <w:t>17.2预付款</w:t>
      </w:r>
      <w:bookmarkEnd w:id="429"/>
    </w:p>
    <w:p>
      <w:pPr>
        <w:pStyle w:val="28"/>
        <w:spacing w:line="360" w:lineRule="auto"/>
        <w:ind w:right="248" w:firstLine="480"/>
        <w:rPr>
          <w:rFonts w:hint="eastAsia" w:ascii="宋体" w:hAnsi="宋体" w:eastAsia="宋体" w:cs="宋体"/>
          <w:kern w:val="2"/>
          <w:sz w:val="24"/>
          <w:szCs w:val="24"/>
        </w:rPr>
      </w:pPr>
      <w:bookmarkStart w:id="430" w:name="_Toc221951226"/>
      <w:r>
        <w:rPr>
          <w:rFonts w:hint="eastAsia" w:ascii="宋体" w:hAnsi="宋体" w:eastAsia="宋体" w:cs="宋体"/>
          <w:kern w:val="2"/>
          <w:sz w:val="24"/>
          <w:szCs w:val="24"/>
        </w:rPr>
        <w:t>17.2.1预付款</w:t>
      </w:r>
      <w:bookmarkEnd w:id="430"/>
    </w:p>
    <w:p>
      <w:pPr>
        <w:pStyle w:val="28"/>
        <w:spacing w:line="360" w:lineRule="auto"/>
        <w:ind w:right="248" w:firstLine="480"/>
        <w:rPr>
          <w:rFonts w:hint="eastAsia" w:ascii="宋体" w:hAnsi="宋体" w:eastAsia="宋体" w:cs="宋体"/>
          <w:kern w:val="2"/>
          <w:sz w:val="24"/>
          <w:szCs w:val="24"/>
        </w:rPr>
      </w:pPr>
      <w:r>
        <w:rPr>
          <w:rFonts w:hint="eastAsia" w:ascii="宋体" w:hAnsi="宋体" w:eastAsia="宋体" w:cs="宋体"/>
          <w:kern w:val="2"/>
          <w:sz w:val="24"/>
          <w:szCs w:val="24"/>
        </w:rPr>
        <w:t>预付款支付比例或金额：本工程不设预付款</w:t>
      </w:r>
    </w:p>
    <w:p>
      <w:pPr>
        <w:pStyle w:val="28"/>
        <w:rPr>
          <w:rFonts w:hint="eastAsia" w:ascii="宋体" w:hAnsi="宋体" w:eastAsia="宋体" w:cs="宋体"/>
          <w:color w:val="0000FF"/>
          <w:kern w:val="2"/>
          <w:sz w:val="24"/>
          <w:szCs w:val="24"/>
        </w:rPr>
      </w:pPr>
      <w:r>
        <w:rPr>
          <w:rFonts w:hint="eastAsia" w:ascii="宋体" w:hAnsi="宋体" w:eastAsia="宋体" w:cs="宋体"/>
          <w:color w:val="0000FF"/>
          <w:kern w:val="2"/>
          <w:sz w:val="24"/>
          <w:szCs w:val="24"/>
        </w:rPr>
        <w:t>17.3进度款</w:t>
      </w:r>
      <w:bookmarkStart w:id="431" w:name="_Toc221951260"/>
    </w:p>
    <w:p>
      <w:pPr>
        <w:pStyle w:val="24"/>
        <w:numPr>
          <w:ilvl w:val="0"/>
          <w:numId w:val="0"/>
        </w:numPr>
        <w:tabs>
          <w:tab w:val="left" w:pos="1260"/>
        </w:tabs>
        <w:spacing w:before="82" w:after="0" w:line="240" w:lineRule="auto"/>
        <w:ind w:right="0" w:rightChars="0" w:firstLine="444" w:firstLineChars="200"/>
        <w:jc w:val="left"/>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（1）完成工程量的50%，付已完合格工程量核产的70%；</w:t>
      </w:r>
    </w:p>
    <w:p>
      <w:pPr>
        <w:pStyle w:val="24"/>
        <w:numPr>
          <w:ilvl w:val="0"/>
          <w:numId w:val="0"/>
        </w:numPr>
        <w:tabs>
          <w:tab w:val="left" w:pos="1260"/>
        </w:tabs>
        <w:spacing w:before="82" w:after="0" w:line="240" w:lineRule="auto"/>
        <w:ind w:right="0" w:rightChars="0" w:firstLine="444" w:firstLineChars="200"/>
        <w:jc w:val="left"/>
        <w:rPr>
          <w:rFonts w:hint="default"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（2）完工验收合格后，付至合同价款的40%；</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160" w:after="0" w:line="360" w:lineRule="auto"/>
        <w:ind w:right="0" w:rightChars="0" w:firstLine="444"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（3）工程竣工验收合格并经工程审计结束后付至审定价的70%。</w:t>
      </w:r>
    </w:p>
    <w:p>
      <w:pPr>
        <w:pStyle w:val="24"/>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0" w:after="0" w:line="360" w:lineRule="auto"/>
        <w:ind w:right="0" w:rightChars="0" w:firstLine="444" w:firstLineChars="200"/>
        <w:jc w:val="left"/>
        <w:textAlignment w:val="auto"/>
        <w:rPr>
          <w:rFonts w:hint="eastAsia" w:ascii="宋体" w:hAnsi="宋体" w:eastAsia="宋体" w:cs="宋体"/>
          <w:spacing w:val="-9"/>
          <w:sz w:val="24"/>
          <w:szCs w:val="24"/>
          <w:u w:val="none" w:color="auto"/>
          <w:lang w:val="en-US" w:eastAsia="zh-CN" w:bidi="ar-SA"/>
        </w:rPr>
      </w:pPr>
      <w:r>
        <w:rPr>
          <w:rFonts w:hint="eastAsia" w:ascii="宋体" w:hAnsi="宋体" w:eastAsia="宋体" w:cs="宋体"/>
          <w:spacing w:val="-9"/>
          <w:sz w:val="24"/>
          <w:szCs w:val="24"/>
          <w:u w:val="none" w:color="auto"/>
          <w:lang w:val="en-US" w:eastAsia="zh-CN" w:bidi="ar-SA"/>
        </w:rPr>
        <w:t>（4）剩余30%分两年付清（含质量保修金，无息支付）。</w:t>
      </w:r>
    </w:p>
    <w:p>
      <w:pPr>
        <w:pStyle w:val="28"/>
        <w:spacing w:line="360" w:lineRule="auto"/>
        <w:ind w:right="248"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所有工程付款必须经监理工程师签发证书并经业主现场代表确认后，发包人才予以支付。</w:t>
      </w:r>
    </w:p>
    <w:p>
      <w:pPr>
        <w:pStyle w:val="28"/>
        <w:spacing w:line="360" w:lineRule="auto"/>
        <w:ind w:right="248" w:firstLine="480"/>
        <w:rPr>
          <w:rFonts w:hint="eastAsia" w:ascii="宋体" w:hAnsi="宋体" w:eastAsia="宋体" w:cs="宋体"/>
          <w:kern w:val="2"/>
          <w:sz w:val="24"/>
          <w:szCs w:val="24"/>
          <w:lang w:eastAsia="zh-CN"/>
        </w:rPr>
      </w:pPr>
      <w:r>
        <w:rPr>
          <w:rFonts w:hint="eastAsia" w:ascii="宋体" w:hAnsi="宋体" w:eastAsia="宋体" w:cs="宋体"/>
          <w:kern w:val="2"/>
          <w:sz w:val="24"/>
          <w:szCs w:val="24"/>
        </w:rPr>
        <w:t>发包人支付给承包人的工程进度款，承包人只能用于本工程有关的劳力、材料、机械等费用，不得移作它用。发包人有权对承包人工程款的使用进行监督，如工程进度款用于支付与本工程无关的费用，发包人将立即停止付款</w:t>
      </w:r>
    </w:p>
    <w:p>
      <w:pPr>
        <w:pStyle w:val="28"/>
        <w:spacing w:line="360" w:lineRule="auto"/>
        <w:ind w:right="248" w:firstLine="480"/>
        <w:rPr>
          <w:rFonts w:hint="eastAsia" w:ascii="宋体" w:hAnsi="宋体" w:eastAsia="宋体" w:cs="宋体"/>
          <w:kern w:val="2"/>
          <w:sz w:val="24"/>
          <w:szCs w:val="24"/>
        </w:rPr>
      </w:pPr>
      <w:r>
        <w:rPr>
          <w:rFonts w:hint="eastAsia" w:ascii="宋体" w:hAnsi="宋体" w:eastAsia="宋体" w:cs="宋体"/>
          <w:kern w:val="2"/>
          <w:sz w:val="24"/>
          <w:szCs w:val="24"/>
        </w:rPr>
        <w:t>本合同签订后如双方就工程款支付达成补充约定，相关补充约定构成本合同的组成部分。</w:t>
      </w:r>
    </w:p>
    <w:p>
      <w:pPr>
        <w:pStyle w:val="28"/>
        <w:spacing w:line="360" w:lineRule="auto"/>
        <w:ind w:right="248"/>
        <w:rPr>
          <w:rFonts w:hint="eastAsia" w:ascii="宋体" w:hAnsi="宋体" w:eastAsia="宋体" w:cs="宋体"/>
          <w:kern w:val="2"/>
          <w:sz w:val="24"/>
          <w:szCs w:val="24"/>
          <w:lang w:eastAsia="zh-CN"/>
        </w:rPr>
      </w:pPr>
      <w:r>
        <w:rPr>
          <w:rFonts w:hint="eastAsia" w:ascii="宋体" w:hAnsi="宋体" w:eastAsia="宋体" w:cs="宋体"/>
          <w:kern w:val="2"/>
          <w:sz w:val="24"/>
          <w:szCs w:val="24"/>
        </w:rPr>
        <w:t>17.4质量保证金</w:t>
      </w:r>
      <w:bookmarkEnd w:id="431"/>
      <w:bookmarkStart w:id="432" w:name="_Toc221951265"/>
      <w:r>
        <w:rPr>
          <w:rFonts w:hint="eastAsia" w:ascii="宋体" w:hAnsi="宋体" w:eastAsia="宋体" w:cs="宋体"/>
          <w:kern w:val="2"/>
          <w:sz w:val="24"/>
          <w:szCs w:val="24"/>
        </w:rPr>
        <w:t>：</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17.4.1缺陷责任期自19.1条规定起算时间满</w:t>
      </w:r>
      <w:r>
        <w:rPr>
          <w:rFonts w:hint="eastAsia" w:ascii="宋体" w:hAnsi="宋体" w:cs="宋体"/>
          <w:kern w:val="2"/>
          <w:sz w:val="24"/>
          <w:szCs w:val="24"/>
          <w:lang w:val="en-US" w:eastAsia="zh-CN"/>
        </w:rPr>
        <w:t>二</w:t>
      </w:r>
      <w:r>
        <w:rPr>
          <w:rFonts w:hint="eastAsia" w:ascii="宋体" w:hAnsi="宋体" w:eastAsia="宋体" w:cs="宋体"/>
          <w:kern w:val="2"/>
          <w:sz w:val="24"/>
          <w:szCs w:val="24"/>
        </w:rPr>
        <w:t>年后，发包人将在30个工作日内会同承包人按照合同约定的内容核实承包人是否完成保修责任。如无异议，发包人应当在核实后将质量保证金一次性支付给承包人。</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17.5竣工（完工）结算</w:t>
      </w:r>
      <w:bookmarkEnd w:id="432"/>
    </w:p>
    <w:p>
      <w:pPr>
        <w:pStyle w:val="28"/>
        <w:spacing w:line="360" w:lineRule="auto"/>
        <w:ind w:right="248" w:firstLine="480"/>
        <w:rPr>
          <w:rFonts w:hint="eastAsia" w:ascii="宋体" w:hAnsi="宋体" w:eastAsia="宋体" w:cs="宋体"/>
          <w:kern w:val="2"/>
          <w:sz w:val="24"/>
          <w:szCs w:val="24"/>
        </w:rPr>
      </w:pPr>
      <w:bookmarkStart w:id="433" w:name="_Toc221951266"/>
      <w:r>
        <w:rPr>
          <w:rFonts w:hint="eastAsia" w:ascii="宋体" w:hAnsi="宋体" w:eastAsia="宋体" w:cs="宋体"/>
          <w:kern w:val="2"/>
          <w:sz w:val="24"/>
          <w:szCs w:val="24"/>
        </w:rPr>
        <w:t>17.5.1竣工（完工）付款申请单</w:t>
      </w:r>
      <w:bookmarkEnd w:id="433"/>
    </w:p>
    <w:p>
      <w:pPr>
        <w:pStyle w:val="28"/>
        <w:numPr>
          <w:ilvl w:val="0"/>
          <w:numId w:val="29"/>
        </w:numPr>
        <w:spacing w:line="360" w:lineRule="auto"/>
        <w:ind w:right="248" w:firstLine="480"/>
        <w:rPr>
          <w:rFonts w:hint="eastAsia" w:ascii="宋体" w:hAnsi="宋体" w:eastAsia="宋体" w:cs="宋体"/>
          <w:kern w:val="2"/>
          <w:sz w:val="24"/>
          <w:szCs w:val="24"/>
        </w:rPr>
      </w:pPr>
      <w:bookmarkStart w:id="434" w:name="_Toc221951267"/>
      <w:r>
        <w:rPr>
          <w:rFonts w:hint="eastAsia" w:ascii="宋体" w:hAnsi="宋体" w:eastAsia="宋体" w:cs="宋体"/>
          <w:kern w:val="2"/>
          <w:sz w:val="24"/>
          <w:szCs w:val="24"/>
        </w:rPr>
        <w:t>承包人应提交竣工付款申请单一式四份。</w:t>
      </w:r>
      <w:bookmarkEnd w:id="434"/>
    </w:p>
    <w:p>
      <w:pPr>
        <w:pStyle w:val="28"/>
        <w:numPr>
          <w:ilvl w:val="0"/>
          <w:numId w:val="29"/>
        </w:numPr>
        <w:spacing w:line="360" w:lineRule="auto"/>
        <w:ind w:right="248" w:firstLine="480"/>
        <w:rPr>
          <w:rFonts w:hint="eastAsia" w:ascii="宋体" w:hAnsi="宋体" w:eastAsia="宋体" w:cs="宋体"/>
          <w:kern w:val="2"/>
          <w:sz w:val="24"/>
          <w:szCs w:val="24"/>
        </w:rPr>
      </w:pPr>
      <w:r>
        <w:rPr>
          <w:rFonts w:hint="eastAsia" w:ascii="宋体" w:hAnsi="宋体" w:eastAsia="宋体" w:cs="宋体"/>
          <w:kern w:val="2"/>
          <w:sz w:val="24"/>
          <w:szCs w:val="24"/>
        </w:rPr>
        <w:t>在合同履行及竣工结算时按现行营改增调整后的规定执行。</w:t>
      </w:r>
    </w:p>
    <w:p>
      <w:pPr>
        <w:pStyle w:val="28"/>
        <w:rPr>
          <w:rFonts w:hint="eastAsia" w:ascii="宋体" w:hAnsi="宋体" w:eastAsia="宋体" w:cs="宋体"/>
          <w:kern w:val="2"/>
          <w:sz w:val="24"/>
          <w:szCs w:val="24"/>
        </w:rPr>
      </w:pPr>
      <w:bookmarkStart w:id="435" w:name="_Toc221951268"/>
      <w:r>
        <w:rPr>
          <w:rFonts w:hint="eastAsia" w:ascii="宋体" w:hAnsi="宋体" w:eastAsia="宋体" w:cs="宋体"/>
          <w:kern w:val="2"/>
          <w:sz w:val="24"/>
          <w:szCs w:val="24"/>
        </w:rPr>
        <w:t>17.6最终结清</w:t>
      </w:r>
      <w:bookmarkEnd w:id="435"/>
    </w:p>
    <w:p>
      <w:pPr>
        <w:pStyle w:val="28"/>
        <w:rPr>
          <w:rFonts w:hint="eastAsia" w:ascii="宋体" w:hAnsi="宋体" w:eastAsia="宋体" w:cs="宋体"/>
          <w:kern w:val="2"/>
          <w:sz w:val="24"/>
          <w:szCs w:val="24"/>
        </w:rPr>
      </w:pPr>
      <w:bookmarkStart w:id="436" w:name="_Toc221951269"/>
      <w:bookmarkStart w:id="437" w:name="_Toc312760035"/>
      <w:r>
        <w:rPr>
          <w:rFonts w:hint="eastAsia" w:ascii="宋体" w:hAnsi="宋体" w:eastAsia="宋体" w:cs="宋体"/>
          <w:kern w:val="2"/>
          <w:sz w:val="24"/>
          <w:szCs w:val="24"/>
        </w:rPr>
        <w:t>17.61最终结清申请单</w:t>
      </w:r>
      <w:bookmarkEnd w:id="436"/>
      <w:bookmarkEnd w:id="437"/>
    </w:p>
    <w:p>
      <w:pPr>
        <w:pStyle w:val="28"/>
        <w:spacing w:line="360" w:lineRule="auto"/>
        <w:ind w:right="248" w:firstLine="480"/>
        <w:rPr>
          <w:rFonts w:hint="eastAsia" w:ascii="宋体" w:hAnsi="宋体" w:eastAsia="宋体" w:cs="宋体"/>
          <w:kern w:val="2"/>
          <w:sz w:val="24"/>
          <w:szCs w:val="24"/>
        </w:rPr>
      </w:pPr>
      <w:bookmarkStart w:id="438" w:name="_Toc221951270"/>
      <w:r>
        <w:rPr>
          <w:rFonts w:hint="eastAsia" w:ascii="宋体" w:hAnsi="宋体" w:eastAsia="宋体" w:cs="宋体"/>
          <w:kern w:val="2"/>
          <w:sz w:val="24"/>
          <w:szCs w:val="24"/>
        </w:rPr>
        <w:t>（1）承包人应提交最终结清申请单一式四份。</w:t>
      </w:r>
      <w:bookmarkEnd w:id="438"/>
    </w:p>
    <w:p>
      <w:pPr>
        <w:pStyle w:val="28"/>
        <w:rPr>
          <w:rFonts w:hint="eastAsia" w:ascii="宋体" w:hAnsi="宋体" w:eastAsia="宋体" w:cs="宋体"/>
          <w:kern w:val="2"/>
          <w:sz w:val="24"/>
          <w:szCs w:val="24"/>
        </w:rPr>
      </w:pPr>
      <w:bookmarkStart w:id="439" w:name="_Toc221951271"/>
      <w:bookmarkStart w:id="440" w:name="_Toc229305399"/>
      <w:bookmarkStart w:id="441" w:name="_Toc222033892"/>
      <w:bookmarkStart w:id="442" w:name="_Toc222031043"/>
      <w:bookmarkStart w:id="443" w:name="_Toc222032710"/>
      <w:bookmarkStart w:id="444" w:name="_Toc222029541"/>
      <w:r>
        <w:rPr>
          <w:rFonts w:hint="eastAsia" w:ascii="宋体" w:hAnsi="宋体" w:eastAsia="宋体" w:cs="宋体"/>
          <w:kern w:val="2"/>
          <w:sz w:val="24"/>
          <w:szCs w:val="24"/>
        </w:rPr>
        <w:t>18竣工验收</w:t>
      </w:r>
      <w:bookmarkEnd w:id="439"/>
      <w:bookmarkEnd w:id="440"/>
      <w:bookmarkEnd w:id="441"/>
      <w:bookmarkEnd w:id="442"/>
      <w:bookmarkEnd w:id="443"/>
      <w:bookmarkEnd w:id="444"/>
      <w:r>
        <w:rPr>
          <w:rFonts w:hint="eastAsia" w:ascii="宋体" w:hAnsi="宋体" w:eastAsia="宋体" w:cs="宋体"/>
          <w:kern w:val="2"/>
          <w:sz w:val="24"/>
          <w:szCs w:val="24"/>
        </w:rPr>
        <w:t>（验收）</w:t>
      </w:r>
    </w:p>
    <w:p>
      <w:pPr>
        <w:pStyle w:val="28"/>
        <w:rPr>
          <w:rFonts w:hint="eastAsia" w:ascii="宋体" w:hAnsi="宋体" w:eastAsia="宋体" w:cs="宋体"/>
          <w:kern w:val="2"/>
          <w:sz w:val="24"/>
          <w:szCs w:val="24"/>
        </w:rPr>
      </w:pPr>
      <w:bookmarkStart w:id="445" w:name="_Toc221951272"/>
      <w:r>
        <w:rPr>
          <w:rFonts w:hint="eastAsia" w:ascii="宋体" w:hAnsi="宋体" w:eastAsia="宋体" w:cs="宋体"/>
          <w:kern w:val="2"/>
          <w:sz w:val="24"/>
          <w:szCs w:val="24"/>
        </w:rPr>
        <w:t>18.1</w:t>
      </w:r>
      <w:bookmarkEnd w:id="445"/>
      <w:r>
        <w:rPr>
          <w:rFonts w:hint="eastAsia" w:ascii="宋体" w:hAnsi="宋体" w:eastAsia="宋体" w:cs="宋体"/>
          <w:kern w:val="2"/>
          <w:sz w:val="24"/>
          <w:szCs w:val="24"/>
        </w:rPr>
        <w:t>验收工作分类</w:t>
      </w:r>
    </w:p>
    <w:p>
      <w:pPr>
        <w:pStyle w:val="28"/>
        <w:spacing w:line="360" w:lineRule="auto"/>
        <w:ind w:right="248" w:firstLine="480"/>
        <w:rPr>
          <w:rFonts w:hint="eastAsia" w:ascii="宋体" w:hAnsi="宋体" w:eastAsia="宋体" w:cs="宋体"/>
          <w:kern w:val="2"/>
          <w:sz w:val="24"/>
          <w:szCs w:val="24"/>
        </w:rPr>
      </w:pPr>
      <w:bookmarkStart w:id="446" w:name="_Toc221951274"/>
      <w:r>
        <w:rPr>
          <w:rFonts w:hint="eastAsia" w:ascii="宋体" w:hAnsi="宋体" w:eastAsia="宋体" w:cs="宋体"/>
          <w:kern w:val="2"/>
          <w:sz w:val="24"/>
          <w:szCs w:val="24"/>
        </w:rPr>
        <w:t>本合同法人验收包括：分部工程验收、单位工程验收、合同工程完工验收；政府验收包括：竣工验收。验收条件和程序符合《水利水电建设工程验收规程》（SL223-2008）。</w:t>
      </w:r>
    </w:p>
    <w:bookmarkEnd w:id="446"/>
    <w:p>
      <w:pPr>
        <w:pStyle w:val="28"/>
        <w:rPr>
          <w:rFonts w:hint="eastAsia" w:ascii="宋体" w:hAnsi="宋体" w:eastAsia="宋体" w:cs="宋体"/>
          <w:kern w:val="2"/>
          <w:sz w:val="24"/>
          <w:szCs w:val="24"/>
        </w:rPr>
      </w:pPr>
      <w:r>
        <w:rPr>
          <w:rFonts w:hint="eastAsia" w:ascii="宋体" w:hAnsi="宋体" w:eastAsia="宋体" w:cs="宋体"/>
          <w:kern w:val="2"/>
          <w:sz w:val="24"/>
          <w:szCs w:val="24"/>
        </w:rPr>
        <w:t>18.8施工期运行</w:t>
      </w:r>
    </w:p>
    <w:p>
      <w:pPr>
        <w:pStyle w:val="28"/>
        <w:spacing w:line="360" w:lineRule="auto"/>
        <w:ind w:right="248" w:firstLine="420"/>
        <w:rPr>
          <w:rFonts w:hint="eastAsia" w:ascii="宋体" w:hAnsi="宋体" w:eastAsia="宋体" w:cs="宋体"/>
          <w:kern w:val="2"/>
          <w:sz w:val="24"/>
          <w:szCs w:val="24"/>
        </w:rPr>
      </w:pPr>
      <w:r>
        <w:rPr>
          <w:rFonts w:hint="eastAsia" w:ascii="宋体" w:hAnsi="宋体" w:eastAsia="宋体" w:cs="宋体"/>
          <w:kern w:val="2"/>
          <w:sz w:val="24"/>
          <w:szCs w:val="24"/>
        </w:rPr>
        <w:t>18.8.1需要在施工期运行的单位工程或工程设备：。</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18.9　试运行</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18.9.1　试运行的组织：　　；费用承担：　　。</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19　缺陷责任与保修责任</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kern w:val="2"/>
          <w:sz w:val="24"/>
          <w:szCs w:val="24"/>
        </w:rPr>
        <w:t>19.1　缺陷责任期(工程质量保修期)的起算时间</w:t>
      </w:r>
    </w:p>
    <w:p>
      <w:pPr>
        <w:pStyle w:val="28"/>
        <w:spacing w:line="360" w:lineRule="auto"/>
        <w:ind w:right="248" w:firstLine="315"/>
        <w:rPr>
          <w:rFonts w:hint="eastAsia"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本工程缺陷责任期(工程质量保修期)计算如下：从工程通过合同工程完工验收后开始计算。</w:t>
      </w:r>
    </w:p>
    <w:p>
      <w:pPr>
        <w:pStyle w:val="28"/>
        <w:rPr>
          <w:rFonts w:hint="eastAsia" w:ascii="宋体" w:hAnsi="宋体" w:eastAsia="宋体" w:cs="宋体"/>
          <w:kern w:val="2"/>
          <w:sz w:val="24"/>
          <w:szCs w:val="24"/>
        </w:rPr>
      </w:pPr>
      <w:bookmarkStart w:id="447" w:name="_Toc222033893"/>
      <w:bookmarkStart w:id="448" w:name="_Toc221951299"/>
      <w:bookmarkStart w:id="449" w:name="_Toc229305400"/>
      <w:bookmarkStart w:id="450" w:name="_Toc222032711"/>
      <w:bookmarkStart w:id="451" w:name="_Toc222031044"/>
      <w:bookmarkStart w:id="452" w:name="_Toc222029542"/>
      <w:r>
        <w:rPr>
          <w:rFonts w:hint="eastAsia" w:ascii="宋体" w:hAnsi="宋体" w:eastAsia="宋体" w:cs="宋体"/>
          <w:kern w:val="2"/>
          <w:sz w:val="24"/>
          <w:szCs w:val="24"/>
        </w:rPr>
        <w:t>20保险</w:t>
      </w:r>
      <w:bookmarkEnd w:id="447"/>
      <w:bookmarkEnd w:id="448"/>
      <w:bookmarkEnd w:id="449"/>
      <w:bookmarkEnd w:id="450"/>
      <w:bookmarkEnd w:id="451"/>
      <w:bookmarkEnd w:id="452"/>
    </w:p>
    <w:p>
      <w:pPr>
        <w:pStyle w:val="28"/>
        <w:rPr>
          <w:rFonts w:hint="eastAsia" w:ascii="宋体" w:hAnsi="宋体" w:eastAsia="宋体" w:cs="宋体"/>
          <w:kern w:val="2"/>
          <w:sz w:val="24"/>
          <w:szCs w:val="24"/>
        </w:rPr>
      </w:pPr>
      <w:bookmarkStart w:id="453" w:name="_Toc221951321"/>
      <w:r>
        <w:rPr>
          <w:rFonts w:hint="eastAsia" w:ascii="宋体" w:hAnsi="宋体" w:eastAsia="宋体" w:cs="宋体"/>
          <w:kern w:val="2"/>
          <w:sz w:val="24"/>
          <w:szCs w:val="24"/>
        </w:rPr>
        <w:t>20.1工程保险</w:t>
      </w:r>
      <w:bookmarkEnd w:id="453"/>
    </w:p>
    <w:p>
      <w:pPr>
        <w:pStyle w:val="28"/>
        <w:spacing w:line="480" w:lineRule="exact"/>
        <w:ind w:firstLine="359"/>
        <w:rPr>
          <w:rFonts w:hint="eastAsia" w:ascii="宋体" w:hAnsi="宋体" w:eastAsia="宋体" w:cs="宋体"/>
          <w:color w:val="000000"/>
          <w:kern w:val="2"/>
          <w:sz w:val="24"/>
          <w:szCs w:val="24"/>
        </w:rPr>
      </w:pPr>
      <w:bookmarkStart w:id="454" w:name="_Toc221951323"/>
      <w:r>
        <w:rPr>
          <w:rFonts w:hint="eastAsia" w:ascii="宋体" w:hAnsi="宋体" w:eastAsia="宋体" w:cs="宋体"/>
          <w:color w:val="000000"/>
          <w:kern w:val="2"/>
          <w:sz w:val="24"/>
          <w:szCs w:val="24"/>
        </w:rPr>
        <w:t>20.1承包人应以发包人和承包人的共同名义投保工程险，投保的工程项目包括合同范围内的主体工程等，投保内容、保险金额、保险费时率、保险期限等在签订协议书时由双方协商确定。</w:t>
      </w:r>
    </w:p>
    <w:p>
      <w:pPr>
        <w:pStyle w:val="28"/>
        <w:spacing w:line="360" w:lineRule="auto"/>
        <w:ind w:right="248"/>
        <w:rPr>
          <w:rFonts w:hint="eastAsia" w:ascii="宋体" w:hAnsi="宋体" w:eastAsia="宋体" w:cs="宋体"/>
          <w:kern w:val="2"/>
          <w:sz w:val="24"/>
          <w:szCs w:val="24"/>
        </w:rPr>
      </w:pPr>
      <w:r>
        <w:rPr>
          <w:rFonts w:hint="eastAsia" w:ascii="宋体" w:hAnsi="宋体" w:eastAsia="宋体" w:cs="宋体"/>
          <w:color w:val="000000"/>
          <w:kern w:val="2"/>
          <w:sz w:val="24"/>
          <w:szCs w:val="24"/>
        </w:rPr>
        <w:t>承包人应充分估计主要施工设备可能发生的重大事故或因自然灾害造成施工设备的损失和损坏对工程的影响，为避免承担由此造成的损失，承包人可投保施工设备险，投保项目及其保险金额由承包人根据其配置的施工机械设备状况自行确定，其保险费用应计入施工设备的运行费内，发包人不另行支付。</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20.3人身意外伤害险</w:t>
      </w:r>
    </w:p>
    <w:p>
      <w:pPr>
        <w:pStyle w:val="28"/>
        <w:spacing w:line="480" w:lineRule="exact"/>
        <w:ind w:firstLine="480"/>
        <w:rPr>
          <w:rFonts w:hint="eastAsia" w:ascii="宋体" w:hAnsi="宋体" w:eastAsia="宋体" w:cs="宋体"/>
          <w:kern w:val="2"/>
          <w:sz w:val="24"/>
          <w:szCs w:val="24"/>
        </w:rPr>
      </w:pPr>
      <w:r>
        <w:rPr>
          <w:rFonts w:hint="eastAsia" w:ascii="宋体" w:hAnsi="宋体" w:eastAsia="宋体" w:cs="宋体"/>
          <w:kern w:val="2"/>
          <w:sz w:val="24"/>
          <w:szCs w:val="24"/>
        </w:rPr>
        <w:t>20.3.2</w:t>
      </w:r>
      <w:r>
        <w:rPr>
          <w:rFonts w:hint="eastAsia" w:ascii="宋体" w:hAnsi="宋体" w:eastAsia="宋体" w:cs="宋体"/>
          <w:color w:val="000000"/>
          <w:kern w:val="2"/>
          <w:sz w:val="24"/>
          <w:szCs w:val="24"/>
        </w:rPr>
        <w:t>承包人投保的人身意外的伤害险的费用应摊入各项目的人工费内，发包人不另行单独支付。</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20.4第三者责任险</w:t>
      </w:r>
      <w:bookmarkEnd w:id="454"/>
    </w:p>
    <w:p>
      <w:pPr>
        <w:pStyle w:val="28"/>
        <w:spacing w:line="360" w:lineRule="auto"/>
        <w:ind w:right="248" w:firstLine="480"/>
        <w:rPr>
          <w:rFonts w:hint="eastAsia" w:ascii="宋体" w:hAnsi="宋体" w:eastAsia="宋体" w:cs="宋体"/>
          <w:kern w:val="2"/>
          <w:sz w:val="24"/>
          <w:szCs w:val="24"/>
        </w:rPr>
      </w:pPr>
      <w:bookmarkStart w:id="455" w:name="_Toc221951325"/>
      <w:r>
        <w:rPr>
          <w:rFonts w:hint="eastAsia" w:ascii="宋体" w:hAnsi="宋体" w:eastAsia="宋体" w:cs="宋体"/>
          <w:kern w:val="2"/>
          <w:sz w:val="24"/>
          <w:szCs w:val="24"/>
        </w:rPr>
        <w:t>20.4.2</w:t>
      </w:r>
      <w:r>
        <w:rPr>
          <w:rFonts w:hint="eastAsia" w:ascii="宋体" w:hAnsi="宋体" w:eastAsia="宋体" w:cs="宋体"/>
          <w:color w:val="000000"/>
          <w:kern w:val="2"/>
          <w:sz w:val="24"/>
          <w:szCs w:val="24"/>
        </w:rPr>
        <w:t>承包人应以发包人和承包人的共同名义投保国家强行规定的一切相关工程保险，费用由承包人支出，该费用含在投标报价中，不单列．并将保险凭证单据交发包人确认审核．</w:t>
      </w:r>
    </w:p>
    <w:p>
      <w:pPr>
        <w:pStyle w:val="28"/>
        <w:rPr>
          <w:rFonts w:hint="eastAsia" w:ascii="宋体" w:hAnsi="宋体" w:eastAsia="宋体" w:cs="宋体"/>
          <w:kern w:val="2"/>
          <w:sz w:val="24"/>
          <w:szCs w:val="24"/>
        </w:rPr>
      </w:pPr>
      <w:r>
        <w:rPr>
          <w:rFonts w:hint="eastAsia" w:ascii="宋体" w:hAnsi="宋体" w:eastAsia="宋体" w:cs="宋体"/>
          <w:kern w:val="2"/>
          <w:sz w:val="24"/>
          <w:szCs w:val="24"/>
        </w:rPr>
        <w:t>21对不可抗力的确认</w:t>
      </w:r>
    </w:p>
    <w:p>
      <w:pPr>
        <w:pStyle w:val="28"/>
        <w:spacing w:line="360" w:lineRule="auto"/>
        <w:ind w:right="248"/>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1、地震，6级以上，震中在工程所在地100KM范围内；</w:t>
      </w:r>
    </w:p>
    <w:p>
      <w:pPr>
        <w:pStyle w:val="28"/>
        <w:spacing w:line="360" w:lineRule="auto"/>
        <w:ind w:right="248"/>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2、瘟疫，以当地卫生防疫部门发布的公开报告为准；</w:t>
      </w:r>
    </w:p>
    <w:p>
      <w:pPr>
        <w:pStyle w:val="28"/>
        <w:spacing w:line="360" w:lineRule="auto"/>
        <w:ind w:right="248"/>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3、骚乱，发生30人以上的群体阻工事件。</w:t>
      </w:r>
    </w:p>
    <w:bookmarkEnd w:id="455"/>
    <w:p>
      <w:pPr>
        <w:pStyle w:val="28"/>
        <w:rPr>
          <w:rFonts w:hint="eastAsia" w:ascii="宋体" w:hAnsi="宋体" w:eastAsia="宋体" w:cs="宋体"/>
          <w:kern w:val="2"/>
          <w:sz w:val="24"/>
          <w:szCs w:val="24"/>
        </w:rPr>
      </w:pPr>
      <w:bookmarkStart w:id="456" w:name="_Toc221951334"/>
      <w:bookmarkStart w:id="457" w:name="_Toc222032712"/>
      <w:bookmarkStart w:id="458" w:name="_Toc222033894"/>
      <w:bookmarkStart w:id="459" w:name="_Toc222031045"/>
      <w:bookmarkStart w:id="460" w:name="_Toc222029543"/>
      <w:bookmarkStart w:id="461" w:name="_Toc229305401"/>
      <w:r>
        <w:rPr>
          <w:rFonts w:hint="eastAsia" w:ascii="宋体" w:hAnsi="宋体" w:eastAsia="宋体" w:cs="宋体"/>
          <w:kern w:val="2"/>
          <w:sz w:val="24"/>
          <w:szCs w:val="24"/>
        </w:rPr>
        <w:t>24争议的解决</w:t>
      </w:r>
      <w:bookmarkEnd w:id="456"/>
      <w:bookmarkEnd w:id="457"/>
      <w:bookmarkEnd w:id="458"/>
      <w:bookmarkEnd w:id="459"/>
      <w:bookmarkEnd w:id="460"/>
      <w:bookmarkEnd w:id="461"/>
    </w:p>
    <w:p>
      <w:pPr>
        <w:pStyle w:val="28"/>
        <w:rPr>
          <w:rFonts w:hint="eastAsia" w:ascii="宋体" w:hAnsi="宋体" w:eastAsia="宋体" w:cs="宋体"/>
          <w:kern w:val="2"/>
          <w:sz w:val="24"/>
          <w:szCs w:val="24"/>
        </w:rPr>
      </w:pPr>
      <w:bookmarkStart w:id="462" w:name="_Toc221951335"/>
      <w:r>
        <w:rPr>
          <w:rFonts w:hint="eastAsia" w:ascii="宋体" w:hAnsi="宋体" w:eastAsia="宋体" w:cs="宋体"/>
          <w:kern w:val="2"/>
          <w:sz w:val="24"/>
          <w:szCs w:val="24"/>
        </w:rPr>
        <w:t>24.1争议的解决方式</w:t>
      </w:r>
    </w:p>
    <w:p>
      <w:pPr>
        <w:rPr>
          <w:rFonts w:hint="eastAsia" w:ascii="宋体" w:hAnsi="宋体" w:eastAsia="宋体" w:cs="宋体"/>
          <w:kern w:val="2"/>
          <w:sz w:val="24"/>
          <w:szCs w:val="24"/>
        </w:rPr>
      </w:pPr>
      <w:r>
        <w:rPr>
          <w:rFonts w:hint="eastAsia" w:ascii="宋体" w:hAnsi="宋体" w:eastAsia="宋体" w:cs="宋体"/>
          <w:kern w:val="2"/>
          <w:sz w:val="24"/>
          <w:szCs w:val="24"/>
        </w:rPr>
        <w:t>合同当事人友好协商解决不成、不愿提请争议评审或不接受争议评审组意见的，约定的合同争议解决方式：提起诉讼。</w:t>
      </w:r>
      <w:bookmarkEnd w:id="462"/>
      <w:r>
        <w:rPr>
          <w:rFonts w:hint="eastAsia" w:ascii="宋体" w:hAnsi="宋体" w:eastAsia="宋体" w:cs="宋体"/>
          <w:kern w:val="2"/>
          <w:sz w:val="24"/>
          <w:szCs w:val="24"/>
        </w:rPr>
        <w:t>　</w:t>
      </w:r>
    </w:p>
    <w:p>
      <w:pPr>
        <w:pStyle w:val="27"/>
        <w:spacing w:before="120" w:after="120" w:line="400" w:lineRule="exact"/>
        <w:jc w:val="both"/>
        <w:rPr>
          <w:rFonts w:hint="eastAsia" w:ascii="宋体" w:hAnsi="宋体" w:eastAsia="宋体" w:cs="宋体"/>
          <w:sz w:val="24"/>
          <w:szCs w:val="24"/>
        </w:rPr>
      </w:pPr>
      <w:r>
        <w:rPr>
          <w:rFonts w:hint="eastAsia" w:ascii="宋体" w:hAnsi="宋体" w:eastAsia="宋体" w:cs="宋体"/>
          <w:kern w:val="2"/>
          <w:sz w:val="24"/>
          <w:szCs w:val="24"/>
        </w:rPr>
        <w:t>　　　</w:t>
      </w:r>
      <w:bookmarkStart w:id="463" w:name="_Toc507599248"/>
      <w:bookmarkStart w:id="464" w:name="_Toc26436439"/>
      <w:bookmarkStart w:id="465" w:name="_Toc508279433"/>
      <w:r>
        <w:rPr>
          <w:rFonts w:hint="eastAsia" w:ascii="宋体" w:hAnsi="宋体" w:eastAsia="宋体" w:cs="宋体"/>
          <w:sz w:val="24"/>
          <w:szCs w:val="24"/>
        </w:rPr>
        <w:t>第3节合同附件格式</w:t>
      </w:r>
      <w:bookmarkEnd w:id="463"/>
      <w:bookmarkEnd w:id="464"/>
      <w:bookmarkEnd w:id="465"/>
    </w:p>
    <w:p>
      <w:pPr>
        <w:pStyle w:val="28"/>
        <w:spacing w:line="400" w:lineRule="exact"/>
        <w:rPr>
          <w:rFonts w:hint="eastAsia" w:ascii="宋体" w:hAnsi="宋体" w:eastAsia="宋体" w:cs="宋体"/>
          <w:kern w:val="2"/>
          <w:sz w:val="24"/>
          <w:szCs w:val="24"/>
        </w:rPr>
      </w:pPr>
      <w:bookmarkStart w:id="466" w:name="_Toc168475884"/>
      <w:bookmarkStart w:id="467" w:name="_Toc144974827"/>
      <w:bookmarkStart w:id="468" w:name="_Toc168476287"/>
      <w:r>
        <w:rPr>
          <w:rFonts w:hint="eastAsia" w:ascii="宋体" w:hAnsi="宋体" w:eastAsia="宋体" w:cs="宋体"/>
          <w:kern w:val="2"/>
          <w:sz w:val="24"/>
          <w:szCs w:val="24"/>
        </w:rPr>
        <w:t>附件一：</w:t>
      </w:r>
      <w:bookmarkEnd w:id="466"/>
      <w:bookmarkEnd w:id="467"/>
      <w:bookmarkEnd w:id="468"/>
    </w:p>
    <w:p>
      <w:pPr>
        <w:pStyle w:val="28"/>
        <w:spacing w:line="400" w:lineRule="exact"/>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rPr>
        <w:t>合同协议书</w:t>
      </w:r>
    </w:p>
    <w:p>
      <w:pPr>
        <w:pStyle w:val="28"/>
        <w:spacing w:line="400" w:lineRule="exact"/>
        <w:ind w:firstLine="600" w:firstLineChars="250"/>
        <w:rPr>
          <w:rFonts w:hint="eastAsia" w:ascii="宋体" w:hAnsi="宋体" w:eastAsia="宋体" w:cs="宋体"/>
          <w:kern w:val="2"/>
          <w:sz w:val="24"/>
          <w:szCs w:val="24"/>
        </w:rPr>
      </w:pPr>
      <w:r>
        <w:rPr>
          <w:rFonts w:hint="eastAsia" w:ascii="宋体" w:hAnsi="宋体" w:eastAsia="宋体" w:cs="宋体"/>
          <w:kern w:val="2"/>
          <w:sz w:val="24"/>
          <w:szCs w:val="24"/>
        </w:rPr>
        <w:t>（发包人名称，以下简称“发包人”）为实施（项目名称），已接受（承包人名称，以下简称“承包人”）对该项目标段的施标。发包人和承包人共同达成如下协议。</w:t>
      </w:r>
    </w:p>
    <w:p>
      <w:pPr>
        <w:pStyle w:val="28"/>
        <w:spacing w:line="400" w:lineRule="exact"/>
        <w:rPr>
          <w:rFonts w:hint="eastAsia" w:ascii="宋体" w:hAnsi="宋体" w:eastAsia="宋体" w:cs="宋体"/>
          <w:kern w:val="2"/>
          <w:sz w:val="24"/>
          <w:szCs w:val="24"/>
        </w:rPr>
      </w:pPr>
      <w:bookmarkStart w:id="469" w:name="_Toc168476288"/>
      <w:bookmarkStart w:id="470" w:name="_Toc168475885"/>
      <w:bookmarkStart w:id="471" w:name="_Toc144974828"/>
      <w:bookmarkStart w:id="472" w:name="_Toc312760037"/>
      <w:r>
        <w:rPr>
          <w:rFonts w:hint="eastAsia" w:ascii="宋体" w:hAnsi="宋体" w:eastAsia="宋体" w:cs="宋体"/>
          <w:kern w:val="2"/>
          <w:sz w:val="24"/>
          <w:szCs w:val="24"/>
        </w:rPr>
        <w:t>1.本协议书与下列文件一起构成合同文件：</w:t>
      </w:r>
      <w:bookmarkEnd w:id="469"/>
      <w:bookmarkEnd w:id="470"/>
      <w:bookmarkEnd w:id="471"/>
      <w:bookmarkEnd w:id="472"/>
    </w:p>
    <w:p>
      <w:pPr>
        <w:pStyle w:val="28"/>
        <w:spacing w:line="400" w:lineRule="exact"/>
        <w:rPr>
          <w:rFonts w:hint="eastAsia" w:ascii="宋体" w:hAnsi="宋体" w:eastAsia="宋体" w:cs="宋体"/>
          <w:color w:val="000000"/>
          <w:kern w:val="2"/>
          <w:sz w:val="24"/>
          <w:szCs w:val="24"/>
        </w:rPr>
      </w:pPr>
      <w:bookmarkStart w:id="473" w:name="_Toc168475886"/>
      <w:bookmarkStart w:id="474" w:name="_Toc144974829"/>
      <w:bookmarkStart w:id="475" w:name="_Toc168476289"/>
      <w:bookmarkStart w:id="476" w:name="_Toc312760038"/>
      <w:r>
        <w:rPr>
          <w:rFonts w:hint="eastAsia" w:ascii="宋体" w:hAnsi="宋体" w:eastAsia="宋体" w:cs="宋体"/>
          <w:color w:val="000000"/>
          <w:kern w:val="2"/>
          <w:sz w:val="24"/>
          <w:szCs w:val="24"/>
        </w:rPr>
        <w:t>（1）协议书（包括合同谈判、补充协议书）；</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（2）中标通知书；</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（3）投标函及投标函附录；</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（4）招标文件、澄清问题、澄清问题的复函、补充通知等相关资料；</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（5）专用合同条款；</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（6）通用合同条款；</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（7）技术标准和要求；</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（8）图纸；</w:t>
      </w:r>
    </w:p>
    <w:p>
      <w:pPr>
        <w:pStyle w:val="28"/>
        <w:spacing w:line="4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（9）已标价的工程量清单；</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（10）投标辅助材料；</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（11）经双方确认进入合同的其它文件。</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2.上述文件互相补充和解释，如有不明确或不一致之处，以合同约定次序在先者为准。</w:t>
      </w:r>
      <w:bookmarkEnd w:id="473"/>
      <w:bookmarkEnd w:id="474"/>
      <w:bookmarkEnd w:id="475"/>
      <w:bookmarkEnd w:id="476"/>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3.签约合同价：人民币（大写）元（¥）。</w:t>
      </w:r>
    </w:p>
    <w:p>
      <w:pPr>
        <w:pStyle w:val="28"/>
        <w:spacing w:line="400" w:lineRule="exact"/>
        <w:ind w:firstLine="420"/>
        <w:rPr>
          <w:rFonts w:hint="eastAsia" w:ascii="宋体" w:hAnsi="宋体" w:eastAsia="宋体" w:cs="宋体"/>
          <w:kern w:val="2"/>
          <w:sz w:val="24"/>
          <w:szCs w:val="24"/>
          <w:u w:val="single"/>
        </w:rPr>
      </w:pPr>
      <w:r>
        <w:rPr>
          <w:rFonts w:hint="eastAsia" w:ascii="宋体" w:hAnsi="宋体" w:eastAsia="宋体" w:cs="宋体"/>
          <w:kern w:val="2"/>
          <w:sz w:val="24"/>
          <w:szCs w:val="24"/>
        </w:rPr>
        <w:t>4.承包人项目经理：。</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5.工程质量符合标准。</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6.承包人承诺按合同约定承担工程的实施、完成及缺陷修复。</w:t>
      </w:r>
    </w:p>
    <w:p>
      <w:pPr>
        <w:pStyle w:val="28"/>
        <w:spacing w:line="400" w:lineRule="exact"/>
        <w:ind w:firstLine="420"/>
        <w:rPr>
          <w:rFonts w:hint="eastAsia" w:ascii="宋体" w:hAnsi="宋体" w:eastAsia="宋体" w:cs="宋体"/>
          <w:kern w:val="2"/>
          <w:sz w:val="24"/>
          <w:szCs w:val="24"/>
        </w:rPr>
      </w:pP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7.发包人承诺按合同约定的条件、时间和方式向承包人支付合同价款。</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8.承包人承诺执行监理人开工通知，计划工期为天。</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9.本协议书一式份，合同双方各执一份。</w:t>
      </w:r>
    </w:p>
    <w:p>
      <w:pPr>
        <w:pStyle w:val="28"/>
        <w:spacing w:line="400" w:lineRule="exact"/>
        <w:ind w:firstLine="420"/>
        <w:rPr>
          <w:rFonts w:hint="eastAsia" w:ascii="宋体" w:hAnsi="宋体" w:eastAsia="宋体" w:cs="宋体"/>
          <w:kern w:val="2"/>
          <w:sz w:val="24"/>
          <w:szCs w:val="24"/>
        </w:rPr>
      </w:pPr>
      <w:bookmarkStart w:id="477" w:name="_Toc168475887"/>
      <w:bookmarkStart w:id="478" w:name="_Toc312760039"/>
      <w:bookmarkStart w:id="479" w:name="_Toc168476290"/>
      <w:bookmarkStart w:id="480" w:name="_Toc144974830"/>
      <w:r>
        <w:rPr>
          <w:rFonts w:hint="eastAsia" w:ascii="宋体" w:hAnsi="宋体" w:eastAsia="宋体" w:cs="宋体"/>
          <w:kern w:val="2"/>
          <w:sz w:val="24"/>
          <w:szCs w:val="24"/>
        </w:rPr>
        <w:t>10.合同未尽事宜，双方另行签订补充协议。补充协议是合同的组成部分。</w:t>
      </w:r>
      <w:bookmarkEnd w:id="477"/>
      <w:bookmarkEnd w:id="478"/>
      <w:bookmarkEnd w:id="479"/>
      <w:bookmarkEnd w:id="480"/>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发包人：（盖单位章）承包人：（盖单位章）</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法定代表人或其委托代理人：（签字）法定代表人或其委托代理人：（签字）</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年月日</w:t>
      </w: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rPr>
        <w:t>年月日</w:t>
      </w:r>
    </w:p>
    <w:p>
      <w:pPr>
        <w:pStyle w:val="28"/>
        <w:spacing w:line="400" w:lineRule="exact"/>
        <w:rPr>
          <w:rFonts w:hint="eastAsia" w:ascii="宋体" w:hAnsi="宋体" w:eastAsia="宋体" w:cs="宋体"/>
          <w:kern w:val="2"/>
          <w:sz w:val="24"/>
          <w:szCs w:val="24"/>
        </w:rPr>
      </w:pPr>
      <w:bookmarkStart w:id="481" w:name="_Toc168475888"/>
      <w:bookmarkStart w:id="482" w:name="_Toc144974831"/>
      <w:bookmarkStart w:id="483" w:name="_Toc168476291"/>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附件二：</w:t>
      </w:r>
      <w:bookmarkEnd w:id="481"/>
      <w:bookmarkEnd w:id="482"/>
      <w:bookmarkEnd w:id="483"/>
    </w:p>
    <w:p>
      <w:pPr>
        <w:pStyle w:val="28"/>
        <w:spacing w:line="400" w:lineRule="exact"/>
        <w:rPr>
          <w:rFonts w:hint="eastAsia" w:ascii="宋体" w:hAnsi="宋体" w:eastAsia="宋体" w:cs="宋体"/>
          <w:color w:val="FF0000"/>
          <w:kern w:val="2"/>
          <w:sz w:val="24"/>
          <w:szCs w:val="24"/>
        </w:rPr>
      </w:pPr>
    </w:p>
    <w:p>
      <w:pPr>
        <w:pStyle w:val="28"/>
        <w:spacing w:line="400" w:lineRule="exact"/>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rPr>
        <w:t>履约担保</w:t>
      </w: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（发包人名称）：</w:t>
      </w:r>
    </w:p>
    <w:p>
      <w:pPr>
        <w:pStyle w:val="28"/>
        <w:spacing w:line="400" w:lineRule="exact"/>
        <w:rPr>
          <w:rFonts w:hint="eastAsia" w:ascii="宋体" w:hAnsi="宋体" w:eastAsia="宋体" w:cs="宋体"/>
          <w:kern w:val="2"/>
          <w:sz w:val="24"/>
          <w:szCs w:val="24"/>
        </w:rPr>
      </w:pPr>
    </w:p>
    <w:p>
      <w:pPr>
        <w:pStyle w:val="28"/>
        <w:spacing w:line="400" w:lineRule="exact"/>
        <w:ind w:firstLine="525"/>
        <w:rPr>
          <w:rFonts w:hint="eastAsia" w:ascii="宋体" w:hAnsi="宋体" w:eastAsia="宋体" w:cs="宋体"/>
          <w:kern w:val="2"/>
          <w:sz w:val="24"/>
          <w:szCs w:val="24"/>
        </w:rPr>
      </w:pPr>
      <w:r>
        <w:rPr>
          <w:rFonts w:hint="eastAsia" w:ascii="宋体" w:hAnsi="宋体" w:eastAsia="宋体" w:cs="宋体"/>
          <w:kern w:val="2"/>
          <w:sz w:val="24"/>
          <w:szCs w:val="24"/>
        </w:rPr>
        <w:t>鉴于</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（发包人名称，以下简称“发包人”）接受</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（承包人名称，以下称“承包人”）于</w:t>
      </w:r>
      <w:r>
        <w:rPr>
          <w:rFonts w:hint="eastAsia" w:ascii="宋体" w:hAnsi="宋体" w:eastAsia="宋体" w:cs="宋体"/>
          <w:kern w:val="2"/>
          <w:sz w:val="24"/>
          <w:szCs w:val="24"/>
          <w:u w:val="single"/>
        </w:rPr>
        <w:tab/>
      </w:r>
      <w:r>
        <w:rPr>
          <w:rFonts w:hint="eastAsia" w:ascii="宋体" w:hAnsi="宋体" w:eastAsia="宋体" w:cs="宋体"/>
          <w:kern w:val="2"/>
          <w:sz w:val="24"/>
          <w:szCs w:val="24"/>
        </w:rPr>
        <w:t>年</w:t>
      </w:r>
      <w:r>
        <w:rPr>
          <w:rFonts w:hint="eastAsia" w:ascii="宋体" w:hAnsi="宋体" w:eastAsia="宋体" w:cs="宋体"/>
          <w:kern w:val="2"/>
          <w:sz w:val="24"/>
          <w:szCs w:val="24"/>
          <w:u w:val="single"/>
        </w:rPr>
        <w:tab/>
      </w:r>
      <w:r>
        <w:rPr>
          <w:rFonts w:hint="eastAsia" w:ascii="宋体" w:hAnsi="宋体" w:eastAsia="宋体" w:cs="宋体"/>
          <w:kern w:val="2"/>
          <w:sz w:val="24"/>
          <w:szCs w:val="24"/>
        </w:rPr>
        <w:t>月</w:t>
      </w:r>
      <w:r>
        <w:rPr>
          <w:rFonts w:hint="eastAsia" w:ascii="宋体" w:hAnsi="宋体" w:eastAsia="宋体" w:cs="宋体"/>
          <w:kern w:val="2"/>
          <w:sz w:val="24"/>
          <w:szCs w:val="24"/>
          <w:u w:val="single"/>
        </w:rPr>
        <w:tab/>
      </w:r>
      <w:r>
        <w:rPr>
          <w:rFonts w:hint="eastAsia" w:ascii="宋体" w:hAnsi="宋体" w:eastAsia="宋体" w:cs="宋体"/>
          <w:kern w:val="2"/>
          <w:sz w:val="24"/>
          <w:szCs w:val="24"/>
        </w:rPr>
        <w:t>日递交的</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（项目名称）（标段名称）的投标文件。我方愿意无条件地、不可撤销地就承包人履行与你方订立的合同，向你方提供担保。</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1.担保金额人民币（大写）</w:t>
      </w:r>
      <w:r>
        <w:rPr>
          <w:rFonts w:hint="eastAsia" w:ascii="宋体" w:hAnsi="宋体" w:eastAsia="宋体" w:cs="宋体"/>
          <w:kern w:val="2"/>
          <w:sz w:val="24"/>
          <w:szCs w:val="24"/>
          <w:u w:val="single"/>
        </w:rPr>
        <w:tab/>
      </w:r>
      <w:r>
        <w:rPr>
          <w:rFonts w:hint="eastAsia" w:ascii="宋体" w:hAnsi="宋体" w:eastAsia="宋体" w:cs="宋体"/>
          <w:kern w:val="2"/>
          <w:sz w:val="24"/>
          <w:szCs w:val="24"/>
        </w:rPr>
        <w:t>元（¥</w:t>
      </w:r>
      <w:r>
        <w:rPr>
          <w:rFonts w:hint="eastAsia" w:ascii="宋体" w:hAnsi="宋体" w:eastAsia="宋体" w:cs="宋体"/>
          <w:kern w:val="2"/>
          <w:sz w:val="24"/>
          <w:szCs w:val="24"/>
          <w:u w:val="single"/>
        </w:rPr>
        <w:tab/>
      </w:r>
      <w:r>
        <w:rPr>
          <w:rFonts w:hint="eastAsia" w:ascii="宋体" w:hAnsi="宋体" w:eastAsia="宋体" w:cs="宋体"/>
          <w:kern w:val="2"/>
          <w:sz w:val="24"/>
          <w:szCs w:val="24"/>
        </w:rPr>
        <w:t>）。</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2.担保有效期自发包人与承包人签订的合同生效之日起至发包人签发工程完工证书之日止。</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3.在本担保有效期内，因承包人违反合同约定的义务给你方造成经济损失时，我方在收到你方以书面形式提出的在担保金额内的赔偿要求后，无条件地在７天内予以支付。</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4.发包人和承包人按《通用合同条款》第15条变更合同时，我方承担本担保规定的义务不变。</w:t>
      </w:r>
    </w:p>
    <w:p>
      <w:pPr>
        <w:pStyle w:val="28"/>
        <w:spacing w:line="400" w:lineRule="exact"/>
        <w:rPr>
          <w:rFonts w:hint="eastAsia" w:ascii="宋体" w:hAnsi="宋体" w:eastAsia="宋体" w:cs="宋体"/>
          <w:kern w:val="2"/>
          <w:sz w:val="24"/>
          <w:szCs w:val="24"/>
        </w:rPr>
      </w:pPr>
    </w:p>
    <w:p>
      <w:pPr>
        <w:pStyle w:val="28"/>
        <w:spacing w:line="40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担保人：（盖单位章）</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法定代表人或委托代理人：（签字）</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邮政编码：</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电话：</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传真：</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年月日</w:t>
      </w:r>
    </w:p>
    <w:p>
      <w:pPr>
        <w:pStyle w:val="28"/>
        <w:spacing w:line="40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注：委托代理人应附授权委托书。</w:t>
      </w:r>
      <w:bookmarkStart w:id="484" w:name="_Toc168476292"/>
      <w:bookmarkStart w:id="485" w:name="_Toc168475889"/>
      <w:bookmarkStart w:id="486" w:name="_Toc144974833"/>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附件三：</w:t>
      </w:r>
      <w:bookmarkEnd w:id="484"/>
      <w:bookmarkEnd w:id="485"/>
      <w:bookmarkEnd w:id="486"/>
    </w:p>
    <w:p>
      <w:pPr>
        <w:pStyle w:val="28"/>
        <w:spacing w:line="400" w:lineRule="exact"/>
        <w:rPr>
          <w:rFonts w:hint="eastAsia" w:ascii="宋体" w:hAnsi="宋体" w:eastAsia="宋体" w:cs="宋体"/>
          <w:kern w:val="2"/>
          <w:sz w:val="24"/>
          <w:szCs w:val="24"/>
        </w:rPr>
      </w:pPr>
    </w:p>
    <w:p>
      <w:pPr>
        <w:pStyle w:val="28"/>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预付款担保函</w:t>
      </w: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（发包人名称）：</w:t>
      </w:r>
    </w:p>
    <w:p>
      <w:pPr>
        <w:pStyle w:val="28"/>
        <w:spacing w:line="400" w:lineRule="exact"/>
        <w:rPr>
          <w:rFonts w:hint="eastAsia" w:ascii="宋体" w:hAnsi="宋体" w:eastAsia="宋体" w:cs="宋体"/>
          <w:kern w:val="2"/>
          <w:sz w:val="24"/>
          <w:szCs w:val="24"/>
        </w:rPr>
      </w:pP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根据</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（承包人名称，以下称“承包人”）与</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（发包人名称，以下简称“发包人”）于</w:t>
      </w:r>
      <w:r>
        <w:rPr>
          <w:rFonts w:hint="eastAsia" w:ascii="宋体" w:hAnsi="宋体" w:eastAsia="宋体" w:cs="宋体"/>
          <w:kern w:val="2"/>
          <w:sz w:val="24"/>
          <w:szCs w:val="24"/>
          <w:u w:val="single"/>
        </w:rPr>
        <w:tab/>
      </w:r>
      <w:r>
        <w:rPr>
          <w:rFonts w:hint="eastAsia" w:ascii="宋体" w:hAnsi="宋体" w:eastAsia="宋体" w:cs="宋体"/>
          <w:kern w:val="2"/>
          <w:sz w:val="24"/>
          <w:szCs w:val="24"/>
        </w:rPr>
        <w:t>年</w:t>
      </w:r>
      <w:r>
        <w:rPr>
          <w:rFonts w:hint="eastAsia" w:ascii="宋体" w:hAnsi="宋体" w:eastAsia="宋体" w:cs="宋体"/>
          <w:kern w:val="2"/>
          <w:sz w:val="24"/>
          <w:szCs w:val="24"/>
          <w:u w:val="single"/>
        </w:rPr>
        <w:tab/>
      </w:r>
      <w:r>
        <w:rPr>
          <w:rFonts w:hint="eastAsia" w:ascii="宋体" w:hAnsi="宋体" w:eastAsia="宋体" w:cs="宋体"/>
          <w:kern w:val="2"/>
          <w:sz w:val="24"/>
          <w:szCs w:val="24"/>
        </w:rPr>
        <w:t>月</w:t>
      </w:r>
      <w:r>
        <w:rPr>
          <w:rFonts w:hint="eastAsia" w:ascii="宋体" w:hAnsi="宋体" w:eastAsia="宋体" w:cs="宋体"/>
          <w:kern w:val="2"/>
          <w:sz w:val="24"/>
          <w:szCs w:val="24"/>
          <w:u w:val="single"/>
        </w:rPr>
        <w:tab/>
      </w:r>
      <w:r>
        <w:rPr>
          <w:rFonts w:hint="eastAsia" w:ascii="宋体" w:hAnsi="宋体" w:eastAsia="宋体" w:cs="宋体"/>
          <w:kern w:val="2"/>
          <w:sz w:val="24"/>
          <w:szCs w:val="24"/>
        </w:rPr>
        <w:t>日签订的</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（项目名称）</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（标段名称）合同协议书，承包人按约定的金额向发包人提交一份预付款担保，即有权得到发包人支付相等金额的预付款。我方愿意就你方提供给承包人的预付款提供担保。</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1.担保金额人民币（大写）</w:t>
      </w:r>
      <w:r>
        <w:rPr>
          <w:rFonts w:hint="eastAsia" w:ascii="宋体" w:hAnsi="宋体" w:eastAsia="宋体" w:cs="宋体"/>
          <w:kern w:val="2"/>
          <w:sz w:val="24"/>
          <w:szCs w:val="24"/>
          <w:u w:val="single"/>
        </w:rPr>
        <w:tab/>
      </w:r>
      <w:r>
        <w:rPr>
          <w:rFonts w:hint="eastAsia" w:ascii="宋体" w:hAnsi="宋体" w:eastAsia="宋体" w:cs="宋体"/>
          <w:kern w:val="2"/>
          <w:sz w:val="24"/>
          <w:szCs w:val="24"/>
        </w:rPr>
        <w:t>元（¥</w:t>
      </w:r>
      <w:r>
        <w:rPr>
          <w:rFonts w:hint="eastAsia" w:ascii="宋体" w:hAnsi="宋体" w:eastAsia="宋体" w:cs="宋体"/>
          <w:kern w:val="2"/>
          <w:sz w:val="24"/>
          <w:szCs w:val="24"/>
          <w:u w:val="single"/>
        </w:rPr>
        <w:tab/>
      </w:r>
      <w:r>
        <w:rPr>
          <w:rFonts w:hint="eastAsia" w:ascii="宋体" w:hAnsi="宋体" w:eastAsia="宋体" w:cs="宋体"/>
          <w:kern w:val="2"/>
          <w:sz w:val="24"/>
          <w:szCs w:val="24"/>
        </w:rPr>
        <w:t>）。</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2.担保有效期自预付款支付给承包人起生效，至发包人签发的进度付款证书说明已完全扣清止。</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3.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pStyle w:val="28"/>
        <w:spacing w:line="400" w:lineRule="exact"/>
        <w:ind w:firstLine="420"/>
        <w:rPr>
          <w:rFonts w:hint="eastAsia" w:ascii="宋体" w:hAnsi="宋体" w:eastAsia="宋体" w:cs="宋体"/>
          <w:kern w:val="2"/>
          <w:sz w:val="24"/>
          <w:szCs w:val="24"/>
        </w:rPr>
      </w:pPr>
      <w:r>
        <w:rPr>
          <w:rFonts w:hint="eastAsia" w:ascii="宋体" w:hAnsi="宋体" w:eastAsia="宋体" w:cs="宋体"/>
          <w:kern w:val="2"/>
          <w:sz w:val="24"/>
          <w:szCs w:val="24"/>
        </w:rPr>
        <w:t>4.发包人和承包人按《通用合同条款》第15条变更合同时，我方承担本担保规定的义务不变。</w:t>
      </w: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担保人：（盖单位章）</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法定代表人或委托代理人：（签字）</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邮政编码：</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电话：</w:t>
      </w: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传真：</w:t>
      </w:r>
    </w:p>
    <w:p>
      <w:pPr>
        <w:pStyle w:val="28"/>
        <w:spacing w:line="400" w:lineRule="exact"/>
        <w:ind w:firstLine="4819"/>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年月日</w:t>
      </w:r>
    </w:p>
    <w:p>
      <w:pPr>
        <w:pStyle w:val="28"/>
        <w:spacing w:line="400" w:lineRule="exact"/>
        <w:rPr>
          <w:rFonts w:hint="eastAsia" w:ascii="宋体" w:hAnsi="宋体" w:eastAsia="宋体" w:cs="宋体"/>
          <w:kern w:val="2"/>
          <w:sz w:val="24"/>
          <w:szCs w:val="24"/>
        </w:rPr>
      </w:pPr>
    </w:p>
    <w:p>
      <w:pPr>
        <w:pStyle w:val="28"/>
        <w:spacing w:line="400" w:lineRule="exact"/>
        <w:jc w:val="left"/>
        <w:rPr>
          <w:rFonts w:hint="eastAsia" w:ascii="宋体" w:hAnsi="宋体" w:eastAsia="宋体" w:cs="宋体"/>
          <w:kern w:val="2"/>
          <w:sz w:val="24"/>
          <w:szCs w:val="24"/>
        </w:rPr>
      </w:pPr>
      <w:r>
        <w:rPr>
          <w:rFonts w:hint="eastAsia" w:ascii="宋体" w:hAnsi="宋体" w:eastAsia="宋体" w:cs="宋体"/>
          <w:kern w:val="2"/>
          <w:sz w:val="24"/>
          <w:szCs w:val="24"/>
        </w:rPr>
        <w:t>注：委托代理人应附授权委托书。</w:t>
      </w: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rPr>
      </w:pPr>
    </w:p>
    <w:p>
      <w:pPr>
        <w:pStyle w:val="28"/>
        <w:spacing w:line="400" w:lineRule="exact"/>
        <w:rPr>
          <w:rFonts w:hint="eastAsia" w:ascii="宋体" w:hAnsi="宋体" w:eastAsia="宋体" w:cs="宋体"/>
          <w:kern w:val="2"/>
          <w:sz w:val="24"/>
          <w:szCs w:val="24"/>
          <w:lang w:eastAsia="zh-CN"/>
        </w:rPr>
      </w:pPr>
      <w:r>
        <w:rPr>
          <w:rFonts w:hint="eastAsia" w:ascii="宋体" w:hAnsi="宋体" w:eastAsia="宋体" w:cs="宋体"/>
          <w:kern w:val="2"/>
          <w:sz w:val="24"/>
          <w:szCs w:val="24"/>
        </w:rPr>
        <w:t>附件四：</w:t>
      </w:r>
    </w:p>
    <w:p>
      <w:pPr>
        <w:pStyle w:val="33"/>
        <w:shd w:val="clear" w:color="auto" w:fill="FFFFFF"/>
        <w:spacing w:before="150" w:beforeAutospacing="0" w:after="150" w:afterAutospacing="0" w:line="400" w:lineRule="exact"/>
        <w:ind w:firstLine="360"/>
        <w:jc w:val="center"/>
        <w:rPr>
          <w:rFonts w:hint="eastAsia" w:ascii="宋体" w:hAnsi="宋体" w:eastAsia="宋体" w:cs="宋体"/>
          <w:color w:val="000000"/>
          <w:sz w:val="24"/>
          <w:szCs w:val="24"/>
        </w:rPr>
      </w:pPr>
      <w:r>
        <w:rPr>
          <w:rStyle w:val="34"/>
          <w:rFonts w:hint="eastAsia" w:ascii="宋体" w:hAnsi="宋体" w:eastAsia="宋体" w:cs="宋体"/>
          <w:color w:val="000000"/>
          <w:sz w:val="24"/>
          <w:szCs w:val="24"/>
        </w:rPr>
        <w:t>南京市水利工程建设廉政合同（一）</w:t>
      </w:r>
    </w:p>
    <w:p>
      <w:pPr>
        <w:pStyle w:val="35"/>
        <w:shd w:val="clear" w:color="auto" w:fill="FFFFFF"/>
        <w:spacing w:before="150" w:beforeAutospacing="0" w:after="150" w:afterAutospacing="0" w:line="400" w:lineRule="exact"/>
        <w:ind w:firstLine="360"/>
        <w:jc w:val="center"/>
        <w:rPr>
          <w:rFonts w:hint="eastAsia" w:ascii="宋体" w:hAnsi="宋体" w:eastAsia="宋体" w:cs="宋体"/>
          <w:color w:val="000000"/>
          <w:sz w:val="24"/>
          <w:szCs w:val="24"/>
        </w:rPr>
      </w:pPr>
    </w:p>
    <w:p>
      <w:pPr>
        <w:pStyle w:val="36"/>
        <w:shd w:val="clear" w:color="auto" w:fill="FFFFFF"/>
        <w:spacing w:before="150" w:beforeAutospacing="0" w:after="150" w:afterAutospacing="0" w:line="400" w:lineRule="exact"/>
        <w:rPr>
          <w:rFonts w:hint="eastAsia" w:ascii="宋体" w:hAnsi="宋体" w:eastAsia="宋体" w:cs="宋体"/>
          <w:color w:val="000000"/>
          <w:sz w:val="24"/>
          <w:szCs w:val="24"/>
        </w:rPr>
      </w:pPr>
      <w:r>
        <w:rPr>
          <w:rStyle w:val="37"/>
          <w:rFonts w:hint="eastAsia" w:ascii="宋体" w:hAnsi="宋体" w:eastAsia="宋体" w:cs="宋体"/>
          <w:color w:val="000000"/>
          <w:sz w:val="24"/>
          <w:szCs w:val="24"/>
        </w:rPr>
        <w:t>甲方：（建设单位）</w:t>
      </w:r>
    </w:p>
    <w:p>
      <w:pPr>
        <w:pStyle w:val="36"/>
        <w:shd w:val="clear" w:color="auto" w:fill="FFFFFF"/>
        <w:spacing w:before="150" w:beforeAutospacing="0" w:after="150" w:afterAutospacing="0" w:line="400" w:lineRule="exact"/>
        <w:rPr>
          <w:rFonts w:hint="eastAsia" w:ascii="宋体" w:hAnsi="宋体" w:eastAsia="宋体" w:cs="宋体"/>
          <w:color w:val="000000"/>
          <w:sz w:val="24"/>
          <w:szCs w:val="24"/>
        </w:rPr>
      </w:pPr>
      <w:r>
        <w:rPr>
          <w:rStyle w:val="37"/>
          <w:rFonts w:hint="eastAsia" w:ascii="宋体" w:hAnsi="宋体" w:eastAsia="宋体" w:cs="宋体"/>
          <w:color w:val="000000"/>
          <w:sz w:val="24"/>
          <w:szCs w:val="24"/>
        </w:rPr>
        <w:t>乙方：（施工单位）</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为贯彻落实党中央、国务院《关于实行党风廉政建设责任制的规定》，进一步加强重点水利工程建设中的党风廉政建设，保证</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工程建设优质、高效、有序地进行，南京市</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建设处（以下简称“甲方”），与承担</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工程合同段的施工单位             （以下简称“乙方”），经双方协商一致，自愿签订以下廉政合同。</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第一条：甲乙双方的权利和义务</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（一）严格遵守党和国家有关法律法规及党风廉政建设各项规定。</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（二）严格执行</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（施工合同）各项规定，自觉按合同办事。</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（三）双方的业务活动坚持公开、公正、公平、诚信的原则（除法律认定的商业秘密和合同文件另有规定之外），严禁损害国家和集体利益，违反工程建设管理规章制度。</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（四）建立健全党风廉政建设各项制度，开展党风廉政建设宣传教育，设立廉政告示牌，公布举报电话，加强对本方工作人员的监督检查。</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（五）发现对方在业务活动中有违反廉政规定和本合同约定的行为时，有及时提醒和督促对方纠正的权利和义务，并严肃查处本方工作人员的违纪行为。</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（六）发现对方在业务活动中有违反廉政规定和本合同约定的行为时，有权向对方主管部门或有关机关检举揭发。</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第二条：甲方在廉政建设方面的义务</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（一）甲方工作人员不得指定需购物资设备的销售单位或部门。不得利用职权之便安排配偶、子女及有利害关系的人从事与本工程有关的材料设备供应、工程分包、劳务等经济活动。</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（二）甲方及其工作人员不准索要或接受乙方的礼金，有价证券、支付凭证、贵重物品（价值高于人民币200元）等财物。</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（三）甲方及其工作人员不准在乙方报销应由甲方或个人支付的费用。</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（四）甲方工作人员不准参加乙方提供的宴请、娱乐活动，如工作需要参加的工作餐，标准不得高于每人50元；不准要求乙方提供交通工具、通讯工具、办公用品等。</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（五）甲方及其工作人员不准要求或者接受乙方为其住房装修、婚丧嫁娶、配偶、子女、亲友出国（境）旅游提供方便。</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（六）甲方及其工作人员不准要求乙方为其配偶、子女及有利害关系的人员安排工作或劳务。</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（七）甲方应根据工程建设进度，及时足额支付工程款，不得超进度拨付工程款；不得无正当理由拖延支付工程款，损害乙方利益，影响工程质量、进度和安全。</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（八）工程设计变更必须认真履行有关程序和审批手续，不得利用变更设计损害国家或单位利益。</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第三条：乙方在廉政建设方面义务</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（一）乙方不准以任何形式向甲方及其工作人员馈赠礼金、礼品、有价证券、支付凭证、贵重物品等财物。</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（二）乙方不准以任何名义为甲方及其工作人员报销应由甲方或个人支付的费用。</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（三）乙方不准以任何理由邀请甲方工作人员参加对承建的施工项目有影响的宴请、及娱乐活动；不准为其提供通讯工具、交通工具、办公用品等。</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（四）乙方不准为甲方工作人员住房装修、婚丧嫁娶、配偶、子女、亲友出国（境）旅游提供方便；不准为甲方工作人员的配偶、子女及有利害关系的人员安排工作或劳务。</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（五）乙方不准违反规定将承建的施工项目分包或非法转包。</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（六）乙方及其工作人员不准与该工程的第三方单位串通，违反工程计量、资金支付、质量验评、工程审计、竣工验收等有关规定和程序，影响工程质量、进度、安全和投资。</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（七）乙方应根据工程进度和工程款支付进度，及时足额兑付农民工工资等劳务人员报酬，不拖欠农民工工资，并建立有效的农民工工资支付制度，加强对农民工工资支付工作的管理。</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（八）工程设计变更必须认真履行有关程序和审批手续，不得利用变更设计损害国家或单位利益。</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第四条：违约责任</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（一）甲方若违反本《廉政合同》有关规定行为的，涉嫌违规违纪人员由甲方主管部门依据有关规定查处，涉嫌违法人员移交司法部门处理。</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（二）乙方若违法乱纪反本《廉政合同》有关规定的行为，按照南京市工程建设管理有关规定处理。</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第五条：督查单位</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双方约定：自愿接受南京市水利局纪检组和区（县）纪委对合同执行情况的监督检查，接受提出本合同规定范围内的裁定意见。</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第六条：检查方式</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本合同的履约情况由督查单位主持，甲乙双方共同派员参加，检查方式为座谈、问卷调查、查看资料、第三方审计（检测）或由各方约定的其他方式等。检查时间、次数、方式、检查结论和执行违约责任等由双方协商确定，如无法达成一致的，由督查单位依据事实裁定。</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第七条：其他条款</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lang w:eastAsia="zh-CN"/>
        </w:rPr>
      </w:pPr>
      <w:r>
        <w:rPr>
          <w:rStyle w:val="37"/>
          <w:rFonts w:hint="eastAsia" w:ascii="宋体" w:hAnsi="宋体" w:eastAsia="宋体" w:cs="宋体"/>
          <w:color w:val="000000"/>
          <w:sz w:val="24"/>
          <w:szCs w:val="24"/>
        </w:rPr>
        <w:t>（一）</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（二）</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         </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（三）</w:t>
      </w:r>
      <w:r>
        <w:rPr>
          <w:rStyle w:val="39"/>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u w:val="single"/>
        </w:rPr>
        <w:t>                 </w:t>
      </w:r>
      <w:r>
        <w:rPr>
          <w:rStyle w:val="37"/>
          <w:rFonts w:hint="eastAsia" w:ascii="宋体" w:hAnsi="宋体" w:eastAsia="宋体" w:cs="宋体"/>
          <w:color w:val="000000"/>
          <w:sz w:val="24"/>
          <w:szCs w:val="24"/>
        </w:rPr>
        <w:t>         </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第八条：本合同有效期为工程开工之日起至该合同段工程项目竣工验收后止。</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第九条：本合同一式三份，甲、乙双方各执一份，送交督查部门一份。</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甲方单位：（盖章）</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法定代表人（或受权代理人）签字：</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单位地址：</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联系电话：</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日   期：   年   月   日</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乙方单位：（盖章）</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法定代表人（或受权代理人）签字：</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单位地址：</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sz w:val="24"/>
          <w:szCs w:val="24"/>
        </w:rPr>
      </w:pPr>
      <w:r>
        <w:rPr>
          <w:rStyle w:val="37"/>
          <w:rFonts w:hint="eastAsia" w:ascii="宋体" w:hAnsi="宋体" w:eastAsia="宋体" w:cs="宋体"/>
          <w:color w:val="000000"/>
          <w:sz w:val="24"/>
          <w:szCs w:val="24"/>
        </w:rPr>
        <w:t>联系电话：</w:t>
      </w:r>
    </w:p>
    <w:p>
      <w:pPr>
        <w:pStyle w:val="38"/>
        <w:shd w:val="clear" w:color="auto" w:fill="FFFFFF"/>
        <w:spacing w:before="150" w:beforeAutospacing="0" w:after="150" w:afterAutospacing="0" w:line="400" w:lineRule="exact"/>
        <w:ind w:firstLine="720"/>
        <w:rPr>
          <w:rFonts w:hint="eastAsia" w:ascii="宋体" w:hAnsi="宋体" w:eastAsia="宋体" w:cs="宋体"/>
          <w:color w:val="000000"/>
          <w:kern w:val="2"/>
          <w:sz w:val="24"/>
          <w:szCs w:val="24"/>
        </w:rPr>
      </w:pPr>
      <w:r>
        <w:rPr>
          <w:rStyle w:val="37"/>
          <w:rFonts w:hint="eastAsia" w:ascii="宋体" w:hAnsi="宋体" w:eastAsia="宋体" w:cs="宋体"/>
          <w:color w:val="000000"/>
          <w:sz w:val="24"/>
          <w:szCs w:val="24"/>
        </w:rPr>
        <w:t>日   期：   年  月  日</w:t>
      </w:r>
    </w:p>
    <w:p>
      <w:pPr>
        <w:pStyle w:val="40"/>
        <w:spacing w:line="400" w:lineRule="exact"/>
        <w:ind w:right="640"/>
        <w:rPr>
          <w:rFonts w:hint="eastAsia" w:ascii="宋体" w:hAnsi="宋体" w:eastAsia="宋体" w:cs="宋体"/>
          <w:b w:val="0"/>
          <w:bCs w:val="0"/>
          <w:kern w:val="2"/>
          <w:sz w:val="24"/>
          <w:szCs w:val="24"/>
        </w:rPr>
      </w:pPr>
      <w:bookmarkStart w:id="487" w:name="_Toc501029827"/>
      <w:bookmarkStart w:id="488" w:name="_Toc524708890"/>
      <w:bookmarkStart w:id="489" w:name="_Toc507601339"/>
      <w:bookmarkStart w:id="490" w:name="_Toc26436440"/>
      <w:bookmarkStart w:id="491" w:name="_Toc21353289"/>
      <w:bookmarkStart w:id="492" w:name="_Toc530561172"/>
      <w:bookmarkStart w:id="493" w:name="_Toc503189785"/>
      <w:r>
        <w:rPr>
          <w:rFonts w:hint="eastAsia" w:ascii="宋体" w:hAnsi="宋体" w:eastAsia="宋体" w:cs="宋体"/>
          <w:b w:val="0"/>
          <w:bCs w:val="0"/>
          <w:kern w:val="2"/>
          <w:sz w:val="24"/>
          <w:szCs w:val="24"/>
        </w:rPr>
        <w:t>附件五：</w:t>
      </w:r>
      <w:bookmarkEnd w:id="487"/>
      <w:bookmarkEnd w:id="488"/>
      <w:bookmarkEnd w:id="489"/>
      <w:bookmarkEnd w:id="490"/>
      <w:bookmarkEnd w:id="491"/>
      <w:bookmarkEnd w:id="492"/>
      <w:bookmarkEnd w:id="493"/>
    </w:p>
    <w:p>
      <w:pPr>
        <w:pStyle w:val="40"/>
        <w:spacing w:line="400" w:lineRule="exact"/>
        <w:ind w:right="640"/>
        <w:jc w:val="center"/>
        <w:rPr>
          <w:rFonts w:hint="eastAsia" w:ascii="宋体" w:hAnsi="宋体" w:eastAsia="宋体" w:cs="宋体"/>
          <w:b w:val="0"/>
          <w:bCs w:val="0"/>
          <w:kern w:val="2"/>
          <w:sz w:val="24"/>
          <w:szCs w:val="24"/>
        </w:rPr>
      </w:pPr>
      <w:bookmarkStart w:id="494" w:name="_Toc21353290"/>
      <w:bookmarkStart w:id="495" w:name="_Toc501029828"/>
      <w:bookmarkStart w:id="496" w:name="_Toc530561173"/>
      <w:bookmarkStart w:id="497" w:name="_Toc26436441"/>
      <w:bookmarkStart w:id="498" w:name="_Toc507601340"/>
      <w:bookmarkStart w:id="499" w:name="_Toc524708891"/>
      <w:bookmarkStart w:id="500" w:name="_Toc503189786"/>
      <w:r>
        <w:rPr>
          <w:rFonts w:hint="eastAsia" w:ascii="宋体" w:hAnsi="宋体" w:eastAsia="宋体" w:cs="宋体"/>
          <w:b w:val="0"/>
          <w:bCs w:val="0"/>
          <w:kern w:val="2"/>
          <w:sz w:val="24"/>
          <w:szCs w:val="24"/>
        </w:rPr>
        <w:t>安全生产合同</w:t>
      </w:r>
      <w:bookmarkEnd w:id="494"/>
      <w:bookmarkEnd w:id="495"/>
      <w:bookmarkEnd w:id="496"/>
      <w:bookmarkEnd w:id="497"/>
      <w:bookmarkEnd w:id="498"/>
      <w:bookmarkEnd w:id="499"/>
      <w:bookmarkEnd w:id="500"/>
    </w:p>
    <w:p>
      <w:pPr>
        <w:pStyle w:val="41"/>
        <w:spacing w:line="40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rPr>
        <w:t>(建设单位与施工单位)</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甲方：(以下简称“甲方”)</w:t>
      </w:r>
    </w:p>
    <w:p>
      <w:pPr>
        <w:pStyle w:val="41"/>
        <w:spacing w:line="400" w:lineRule="exact"/>
        <w:rPr>
          <w:rFonts w:hint="eastAsia" w:ascii="宋体" w:hAnsi="宋体" w:eastAsia="宋体" w:cs="宋体"/>
          <w:kern w:val="2"/>
          <w:sz w:val="24"/>
          <w:szCs w:val="24"/>
          <w:u w:val="single"/>
        </w:rPr>
      </w:pPr>
      <w:r>
        <w:rPr>
          <w:rFonts w:hint="eastAsia" w:ascii="宋体" w:hAnsi="宋体" w:eastAsia="宋体" w:cs="宋体"/>
          <w:kern w:val="2"/>
          <w:sz w:val="24"/>
          <w:szCs w:val="24"/>
        </w:rPr>
        <w:t>乙方：(以下简称“乙方”)</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为在施工合同的实施过程中创造安全、高效的施工环境，切实搞好本项目的安全管理工作，特此签订安全生产合同。具体如下：</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一、甲方职责</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1.严格遵守国家有关安全生产的法律法规，认真执行工程承包合同中的有关安全要求。</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2.按照“安全第一、预防为主”和坚持“管生产必需管安全”的原则进行安全生产管理，做到生产与安全工作同时计划、布置、检查、总结和评比。</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3.定期召开安全生产协调会，及时传达中央及地方有关安全生产的精神。</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4.组织对乙方施工现场安全生产检查，建立安全生产责任制网络、汇总重要危险源、监督乙方及时处理发现的各种安全隐患。</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二、乙方职责</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1.严格遵守国家有关安全生产的法律法规、有关安全生产的规定，认真执行工程承包合同中的有关安全要求，接受甲方和监理工程师对安全生产工作的指导。</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3.建立健全安全生产责任制网络。从派往项目实施的项目经理到生产：卜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_合同约定，配备安全员(其中专职安全员每标段不少于1人)，专职负责所有员工的安全和治安保卫工作及预防事故的发生。安全机构人员，有权按有关规定发布指令，并采取保护性措施防止事故发生。</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4.乙方在任何时侯都应采取各种合理的预防措施，防止其人员发生任何违法、违禁、暴力、违规或妨碍治安的行为。</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pPr>
        <w:pStyle w:val="41"/>
        <w:spacing w:line="4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6.加强施工中交通运输安全管理，各种运输机械等需划定运输路线行驶。</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7.对于易燃易爆的材料除应专门有效封闭、妥善保管之外，还应配备有足够的消防设施，所有施上人员都应熟悉消防设备的性能和使用方法。</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8.操作人员上岗，必须按规定穿戴防护用品。施工负责人和安全检查员应随时检查劳动防护用品的穿戴情况，不按规定穿戴防护用品的人员不得上岗。</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9.所有施工机具、设备和劳动保护用品应具备有效的安检合格证明，并经安全员签字同意后方可使用，施工期间应定期检查，保证其处于完好状态；不合格的机具、设备和劳动保护用品严禁使用。</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10.施工现场必须具有相关的安全标志牌。</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11.建立主要危险源备案制度，要明确潜在隐患、防范措施和落实责任人。</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12.乙方必须按照本工稗项目特点，组织制定本工程实施中的生产安全事故应急救援预案；如果发生安全事故，应按照《国务院关于特大安全事故行政责任追究的规定》以及其它有关规定，及时上报有关部门，并坚持“二不放过”的原则，严肃处理相关责任人。</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三、违约责任</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如因甲方或乙方违约造成安全事故，将报请有关部门依法追究责任。</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本合同一式二份，由双方法定代表人或其授权的代理人签署和加盖公章后生效，全部工程竣工验收后失效。</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甲方：乙方：</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法定代表人(或授权代理人)：法定代表人(或授权代理人)：</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地址：</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电话：</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电话：</w:t>
      </w:r>
    </w:p>
    <w:p>
      <w:pPr>
        <w:pStyle w:val="41"/>
        <w:spacing w:line="400" w:lineRule="exact"/>
        <w:rPr>
          <w:rFonts w:hint="eastAsia" w:ascii="宋体" w:hAnsi="宋体" w:eastAsia="宋体" w:cs="宋体"/>
          <w:kern w:val="2"/>
          <w:sz w:val="24"/>
          <w:szCs w:val="24"/>
        </w:rPr>
      </w:pPr>
      <w:r>
        <w:rPr>
          <w:rFonts w:hint="eastAsia" w:ascii="宋体" w:hAnsi="宋体" w:eastAsia="宋体" w:cs="宋体"/>
          <w:kern w:val="2"/>
          <w:sz w:val="24"/>
          <w:szCs w:val="24"/>
        </w:rPr>
        <w:t>日期：</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日期：</w:t>
      </w:r>
    </w:p>
    <w:p>
      <w:pPr>
        <w:pStyle w:val="41"/>
        <w:outlineLvl w:val="1"/>
        <w:rPr>
          <w:rFonts w:hint="eastAsia" w:ascii="宋体" w:hAnsi="宋体" w:eastAsia="宋体" w:cs="宋体"/>
          <w:b/>
          <w:kern w:val="2"/>
          <w:sz w:val="24"/>
          <w:szCs w:val="24"/>
        </w:rPr>
      </w:pPr>
      <w:bookmarkStart w:id="501" w:name="_Toc501029829"/>
      <w:bookmarkStart w:id="502" w:name="_Toc507601341"/>
      <w:bookmarkStart w:id="503" w:name="_Toc530561174"/>
      <w:bookmarkStart w:id="504" w:name="_Toc21353291"/>
      <w:bookmarkStart w:id="505" w:name="_Toc503189787"/>
      <w:bookmarkStart w:id="506" w:name="_Toc524708892"/>
      <w:bookmarkStart w:id="507" w:name="_Toc316661257"/>
    </w:p>
    <w:p>
      <w:pPr>
        <w:pStyle w:val="41"/>
        <w:outlineLvl w:val="1"/>
        <w:rPr>
          <w:rFonts w:hint="eastAsia" w:ascii="宋体" w:hAnsi="宋体" w:eastAsia="宋体" w:cs="宋体"/>
          <w:kern w:val="2"/>
          <w:sz w:val="24"/>
          <w:szCs w:val="24"/>
        </w:rPr>
      </w:pPr>
      <w:bookmarkStart w:id="508" w:name="_Toc26436442"/>
      <w:r>
        <w:rPr>
          <w:rFonts w:hint="eastAsia" w:ascii="宋体" w:hAnsi="宋体" w:eastAsia="宋体" w:cs="宋体"/>
          <w:kern w:val="2"/>
          <w:sz w:val="24"/>
          <w:szCs w:val="24"/>
        </w:rPr>
        <w:t>附件六：</w:t>
      </w:r>
      <w:bookmarkEnd w:id="501"/>
      <w:bookmarkEnd w:id="502"/>
      <w:bookmarkEnd w:id="503"/>
      <w:bookmarkEnd w:id="504"/>
      <w:bookmarkEnd w:id="505"/>
      <w:bookmarkEnd w:id="506"/>
      <w:bookmarkEnd w:id="508"/>
    </w:p>
    <w:p>
      <w:pPr>
        <w:pStyle w:val="40"/>
        <w:spacing w:line="360" w:lineRule="auto"/>
        <w:ind w:right="640"/>
        <w:jc w:val="center"/>
        <w:rPr>
          <w:rFonts w:hint="eastAsia" w:ascii="宋体" w:hAnsi="宋体" w:eastAsia="宋体" w:cs="宋体"/>
          <w:b w:val="0"/>
          <w:bCs w:val="0"/>
          <w:kern w:val="2"/>
          <w:sz w:val="24"/>
          <w:szCs w:val="24"/>
        </w:rPr>
      </w:pPr>
      <w:bookmarkStart w:id="509" w:name="_Toc530561175"/>
      <w:bookmarkStart w:id="510" w:name="_Toc507601342"/>
      <w:bookmarkStart w:id="511" w:name="_Toc501029830"/>
      <w:bookmarkStart w:id="512" w:name="_Toc524708893"/>
      <w:bookmarkStart w:id="513" w:name="_Toc21353292"/>
      <w:bookmarkStart w:id="514" w:name="_Toc26436443"/>
      <w:bookmarkStart w:id="515" w:name="_Toc503189788"/>
      <w:r>
        <w:rPr>
          <w:rFonts w:hint="eastAsia" w:ascii="宋体" w:hAnsi="宋体" w:eastAsia="宋体" w:cs="宋体"/>
          <w:b w:val="0"/>
          <w:bCs w:val="0"/>
          <w:kern w:val="2"/>
          <w:sz w:val="24"/>
          <w:szCs w:val="24"/>
        </w:rPr>
        <w:t>关于不拖欠农民工工资的承诺(格式)</w:t>
      </w:r>
      <w:bookmarkEnd w:id="507"/>
      <w:bookmarkEnd w:id="509"/>
      <w:bookmarkEnd w:id="510"/>
      <w:bookmarkEnd w:id="511"/>
      <w:bookmarkEnd w:id="512"/>
      <w:bookmarkEnd w:id="513"/>
      <w:bookmarkEnd w:id="514"/>
      <w:bookmarkEnd w:id="515"/>
    </w:p>
    <w:p>
      <w:pPr>
        <w:pStyle w:val="41"/>
        <w:rPr>
          <w:rFonts w:hint="eastAsia" w:ascii="宋体" w:hAnsi="宋体" w:eastAsia="宋体" w:cs="宋体"/>
          <w:kern w:val="2"/>
          <w:sz w:val="24"/>
          <w:szCs w:val="24"/>
        </w:rPr>
      </w:pPr>
    </w:p>
    <w:p>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致：</w:t>
      </w:r>
      <w:r>
        <w:rPr>
          <w:rFonts w:hint="eastAsia" w:ascii="宋体" w:hAnsi="宋体" w:eastAsia="宋体" w:cs="宋体"/>
          <w:kern w:val="2"/>
          <w:sz w:val="24"/>
          <w:szCs w:val="24"/>
          <w:u w:val="single"/>
        </w:rPr>
        <w:t>招标人</w:t>
      </w:r>
    </w:p>
    <w:p>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我方将对(合同编号：)进行投标。我方承诺：若我方中标，我方将保障农民工的权益，不拖欠农民工工资，并将合同价款的2％作为不拖欠农民工工资的保证金，工程通过单位工程验收后并无拖欠农民工工资的予以退还。如违反承诺，我方同意你方直接从保证金中支付。</w:t>
      </w:r>
    </w:p>
    <w:p>
      <w:pPr>
        <w:pStyle w:val="41"/>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投标人：(盖单位章)</w:t>
      </w:r>
    </w:p>
    <w:p>
      <w:pPr>
        <w:pStyle w:val="41"/>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rPr>
      </w:pPr>
    </w:p>
    <w:p>
      <w:pPr>
        <w:pStyle w:val="41"/>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法定代表人(或委托代理人)：</w:t>
      </w:r>
    </w:p>
    <w:p>
      <w:pPr>
        <w:pStyle w:val="41"/>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2"/>
          <w:sz w:val="24"/>
          <w:szCs w:val="24"/>
        </w:rPr>
      </w:pPr>
    </w:p>
    <w:p>
      <w:pPr>
        <w:pStyle w:val="41"/>
        <w:keepNext w:val="0"/>
        <w:keepLines w:val="0"/>
        <w:pageBreakBefore w:val="0"/>
        <w:widowControl w:val="0"/>
        <w:kinsoku/>
        <w:wordWrap/>
        <w:overflowPunct/>
        <w:topLinePunct w:val="0"/>
        <w:autoSpaceDE/>
        <w:autoSpaceDN/>
        <w:bidi w:val="0"/>
        <w:adjustRightInd/>
        <w:snapToGrid/>
        <w:spacing w:line="360" w:lineRule="auto"/>
        <w:ind w:right="48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日期：</w:t>
      </w:r>
    </w:p>
    <w:p>
      <w:pPr>
        <w:rPr>
          <w:sz w:val="8"/>
        </w:rPr>
      </w:pPr>
      <w:r>
        <w:rPr>
          <w:sz w:val="8"/>
        </w:rPr>
        <w:br w:type="page"/>
      </w:r>
    </w:p>
    <w:p>
      <w:pPr>
        <w:pStyle w:val="9"/>
        <w:keepNext w:val="0"/>
        <w:keepLines w:val="0"/>
        <w:pageBreakBefore w:val="0"/>
        <w:widowControl w:val="0"/>
        <w:kinsoku/>
        <w:wordWrap/>
        <w:overflowPunct/>
        <w:topLinePunct w:val="0"/>
        <w:autoSpaceDE w:val="0"/>
        <w:autoSpaceDN w:val="0"/>
        <w:bidi w:val="0"/>
        <w:adjustRightInd/>
        <w:snapToGrid/>
        <w:spacing w:before="8" w:line="360" w:lineRule="auto"/>
        <w:jc w:val="left"/>
        <w:textAlignment w:val="auto"/>
        <w:rPr>
          <w:sz w:val="8"/>
        </w:rPr>
      </w:pPr>
    </w:p>
    <w:p>
      <w:pPr>
        <w:rPr>
          <w:rFonts w:hint="eastAsia" w:ascii="仿宋" w:hAnsi="仿宋" w:eastAsia="仿宋" w:cs="仿宋"/>
          <w:highlight w:val="red"/>
        </w:rPr>
      </w:pPr>
    </w:p>
    <w:bookmarkEnd w:id="6"/>
    <w:p>
      <w:pPr>
        <w:pStyle w:val="9"/>
        <w:spacing w:before="5"/>
        <w:rPr>
          <w:rFonts w:hint="eastAsia" w:ascii="仿宋" w:hAnsi="仿宋" w:eastAsia="仿宋" w:cs="仿宋"/>
          <w:sz w:val="18"/>
          <w:u w:val="none"/>
        </w:rPr>
      </w:pPr>
    </w:p>
    <w:p>
      <w:pPr>
        <w:spacing w:before="37"/>
        <w:ind w:left="0" w:right="879" w:firstLine="0"/>
        <w:jc w:val="center"/>
        <w:rPr>
          <w:rFonts w:hint="eastAsia" w:ascii="宋体" w:hAnsi="宋体" w:eastAsia="宋体" w:cs="宋体"/>
          <w:b/>
          <w:sz w:val="44"/>
        </w:rPr>
      </w:pPr>
      <w:r>
        <w:rPr>
          <w:rFonts w:hint="eastAsia" w:ascii="宋体" w:hAnsi="宋体" w:eastAsia="宋体" w:cs="宋体"/>
          <w:b/>
          <w:sz w:val="44"/>
        </w:rPr>
        <w:t>第六</w:t>
      </w:r>
      <w:r>
        <w:rPr>
          <w:rFonts w:hint="eastAsia" w:ascii="宋体" w:hAnsi="宋体" w:eastAsia="宋体" w:cs="宋体"/>
          <w:b/>
          <w:spacing w:val="-11"/>
          <w:sz w:val="44"/>
        </w:rPr>
        <w:t>章</w:t>
      </w:r>
      <w:r>
        <w:rPr>
          <w:rFonts w:hint="eastAsia" w:cs="宋体"/>
          <w:b/>
          <w:spacing w:val="-11"/>
          <w:sz w:val="44"/>
          <w:lang w:val="en-US" w:eastAsia="zh-CN"/>
        </w:rPr>
        <w:t>投标</w:t>
      </w:r>
      <w:r>
        <w:rPr>
          <w:rFonts w:hint="eastAsia" w:ascii="宋体" w:hAnsi="宋体" w:eastAsia="宋体" w:cs="宋体"/>
          <w:b/>
          <w:sz w:val="44"/>
        </w:rPr>
        <w:t>响应文件格式及附</w:t>
      </w:r>
      <w:r>
        <w:rPr>
          <w:rFonts w:hint="eastAsia" w:ascii="宋体" w:hAnsi="宋体" w:eastAsia="宋体" w:cs="宋体"/>
          <w:b/>
          <w:spacing w:val="-10"/>
          <w:sz w:val="44"/>
        </w:rPr>
        <w:t>件</w:t>
      </w:r>
    </w:p>
    <w:p>
      <w:pPr>
        <w:pStyle w:val="9"/>
        <w:rPr>
          <w:rFonts w:hint="eastAsia" w:ascii="宋体" w:hAnsi="宋体" w:eastAsia="宋体" w:cs="宋体"/>
          <w:b/>
          <w:sz w:val="44"/>
          <w:u w:val="none"/>
        </w:rPr>
      </w:pPr>
    </w:p>
    <w:p>
      <w:pPr>
        <w:pStyle w:val="9"/>
        <w:rPr>
          <w:rFonts w:hint="eastAsia" w:ascii="宋体" w:hAnsi="宋体" w:eastAsia="宋体" w:cs="宋体"/>
          <w:b/>
          <w:sz w:val="44"/>
          <w:u w:val="none"/>
        </w:rPr>
      </w:pPr>
    </w:p>
    <w:p>
      <w:pPr>
        <w:pStyle w:val="9"/>
        <w:rPr>
          <w:rFonts w:hint="eastAsia" w:ascii="宋体" w:hAnsi="宋体" w:eastAsia="宋体" w:cs="宋体"/>
          <w:b/>
          <w:sz w:val="44"/>
          <w:u w:val="none"/>
        </w:rPr>
      </w:pPr>
    </w:p>
    <w:p>
      <w:pPr>
        <w:pStyle w:val="3"/>
        <w:spacing w:before="297"/>
        <w:rPr>
          <w:rFonts w:hint="eastAsia" w:ascii="宋体" w:hAnsi="宋体" w:eastAsia="宋体" w:cs="宋体"/>
        </w:rPr>
      </w:pPr>
      <w:r>
        <w:rPr>
          <w:rFonts w:hint="eastAsia" w:cs="宋体"/>
          <w:spacing w:val="-7"/>
          <w:lang w:val="en-US" w:eastAsia="zh-CN"/>
        </w:rPr>
        <w:t>投标</w:t>
      </w:r>
      <w:r>
        <w:rPr>
          <w:rFonts w:hint="eastAsia" w:ascii="宋体" w:hAnsi="宋体" w:eastAsia="宋体" w:cs="宋体"/>
          <w:spacing w:val="-7"/>
        </w:rPr>
        <w:t>响应文件</w:t>
      </w:r>
    </w:p>
    <w:p>
      <w:pPr>
        <w:pStyle w:val="9"/>
        <w:rPr>
          <w:rFonts w:hint="eastAsia" w:ascii="宋体" w:hAnsi="宋体" w:eastAsia="宋体" w:cs="宋体"/>
          <w:b/>
          <w:sz w:val="72"/>
          <w:u w:val="none"/>
        </w:rPr>
      </w:pPr>
    </w:p>
    <w:p>
      <w:pPr>
        <w:pStyle w:val="9"/>
        <w:rPr>
          <w:rFonts w:hint="eastAsia" w:ascii="宋体" w:hAnsi="宋体" w:eastAsia="宋体" w:cs="宋体"/>
          <w:b/>
          <w:sz w:val="72"/>
          <w:u w:val="none"/>
        </w:rPr>
      </w:pPr>
    </w:p>
    <w:p>
      <w:pPr>
        <w:pStyle w:val="9"/>
        <w:spacing w:before="9"/>
        <w:rPr>
          <w:rFonts w:hint="eastAsia" w:ascii="宋体" w:hAnsi="宋体" w:eastAsia="宋体" w:cs="宋体"/>
          <w:b/>
          <w:sz w:val="59"/>
          <w:u w:val="none"/>
        </w:rPr>
      </w:pPr>
    </w:p>
    <w:p>
      <w:pPr>
        <w:pStyle w:val="6"/>
        <w:tabs>
          <w:tab w:val="left" w:pos="6620"/>
        </w:tabs>
        <w:ind w:left="1889" w:firstLine="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ab/>
      </w:r>
    </w:p>
    <w:p>
      <w:pPr>
        <w:tabs>
          <w:tab w:val="left" w:pos="6479"/>
        </w:tabs>
        <w:spacing w:before="214"/>
        <w:ind w:left="1889" w:right="0" w:firstLine="0"/>
        <w:jc w:val="left"/>
        <w:rPr>
          <w:rFonts w:hint="eastAsia" w:ascii="宋体" w:hAnsi="宋体" w:eastAsia="宋体" w:cs="宋体"/>
          <w:b/>
          <w:sz w:val="32"/>
        </w:rPr>
      </w:pPr>
      <w:r>
        <w:rPr>
          <w:rFonts w:hint="eastAsia" w:ascii="宋体" w:hAnsi="宋体" w:eastAsia="宋体" w:cs="宋体"/>
          <w:b/>
          <w:sz w:val="32"/>
        </w:rPr>
        <w:t>项目名称：</w:t>
      </w:r>
      <w:r>
        <w:rPr>
          <w:rFonts w:hint="eastAsia" w:ascii="宋体" w:hAnsi="宋体" w:eastAsia="宋体" w:cs="宋体"/>
          <w:b/>
          <w:sz w:val="32"/>
          <w:u w:val="single"/>
        </w:rPr>
        <w:tab/>
      </w:r>
    </w:p>
    <w:p>
      <w:pPr>
        <w:pStyle w:val="9"/>
        <w:rPr>
          <w:rFonts w:hint="eastAsia" w:ascii="宋体" w:hAnsi="宋体" w:eastAsia="宋体" w:cs="宋体"/>
          <w:b/>
          <w:sz w:val="20"/>
          <w:u w:val="none"/>
        </w:rPr>
      </w:pPr>
    </w:p>
    <w:p>
      <w:pPr>
        <w:pStyle w:val="9"/>
        <w:rPr>
          <w:rFonts w:hint="eastAsia" w:ascii="宋体" w:hAnsi="宋体" w:eastAsia="宋体" w:cs="宋体"/>
          <w:b/>
          <w:sz w:val="20"/>
          <w:u w:val="none"/>
        </w:rPr>
      </w:pPr>
    </w:p>
    <w:p>
      <w:pPr>
        <w:pStyle w:val="9"/>
        <w:rPr>
          <w:rFonts w:hint="eastAsia" w:ascii="宋体" w:hAnsi="宋体" w:eastAsia="宋体" w:cs="宋体"/>
          <w:b/>
          <w:sz w:val="20"/>
          <w:u w:val="none"/>
        </w:rPr>
      </w:pPr>
    </w:p>
    <w:p>
      <w:pPr>
        <w:pStyle w:val="9"/>
        <w:rPr>
          <w:rFonts w:hint="eastAsia" w:ascii="宋体" w:hAnsi="宋体" w:eastAsia="宋体" w:cs="宋体"/>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rPr>
          <w:rFonts w:hint="eastAsia" w:ascii="仿宋" w:hAnsi="仿宋" w:eastAsia="仿宋" w:cs="仿宋"/>
          <w:b/>
          <w:sz w:val="20"/>
          <w:u w:val="none"/>
        </w:rPr>
      </w:pPr>
    </w:p>
    <w:p>
      <w:pPr>
        <w:pStyle w:val="9"/>
        <w:spacing w:before="1"/>
        <w:rPr>
          <w:rFonts w:hint="eastAsia" w:ascii="仿宋" w:hAnsi="仿宋" w:eastAsia="仿宋" w:cs="仿宋"/>
          <w:b/>
          <w:sz w:val="26"/>
          <w:u w:val="none"/>
        </w:rPr>
      </w:pPr>
    </w:p>
    <w:p>
      <w:pPr>
        <w:tabs>
          <w:tab w:val="left" w:pos="3752"/>
        </w:tabs>
        <w:spacing w:before="58" w:line="388" w:lineRule="auto"/>
        <w:ind w:left="2546" w:right="4664" w:firstLine="14"/>
        <w:jc w:val="left"/>
        <w:rPr>
          <w:rFonts w:hint="eastAsia" w:ascii="宋体" w:hAnsi="宋体" w:eastAsia="宋体" w:cs="宋体"/>
          <w:b/>
          <w:sz w:val="30"/>
        </w:rPr>
      </w:pPr>
      <w:r>
        <w:rPr>
          <w:rFonts w:hint="eastAsia" w:ascii="宋体" w:hAnsi="宋体" w:eastAsia="宋体" w:cs="宋体"/>
          <w:b/>
          <w:sz w:val="30"/>
        </w:rPr>
        <w:t>供应商名称：（盖章）</w:t>
      </w:r>
      <w:r>
        <w:rPr>
          <w:rFonts w:hint="eastAsia" w:ascii="宋体" w:hAnsi="宋体" w:eastAsia="宋体" w:cs="宋体"/>
          <w:b/>
          <w:spacing w:val="-2"/>
          <w:sz w:val="30"/>
        </w:rPr>
        <w:t>法定代表人：（签字）</w:t>
      </w:r>
      <w:r>
        <w:rPr>
          <w:rFonts w:hint="eastAsia" w:ascii="宋体" w:hAnsi="宋体" w:eastAsia="宋体" w:cs="宋体"/>
          <w:b/>
          <w:spacing w:val="-10"/>
          <w:sz w:val="30"/>
        </w:rPr>
        <w:t>日</w:t>
      </w:r>
      <w:r>
        <w:rPr>
          <w:rFonts w:hint="eastAsia" w:ascii="宋体" w:hAnsi="宋体" w:eastAsia="宋体" w:cs="宋体"/>
          <w:b/>
          <w:sz w:val="30"/>
        </w:rPr>
        <w:tab/>
      </w:r>
      <w:r>
        <w:rPr>
          <w:rFonts w:hint="eastAsia" w:ascii="宋体" w:hAnsi="宋体" w:eastAsia="宋体" w:cs="宋体"/>
          <w:b/>
          <w:sz w:val="30"/>
        </w:rPr>
        <w:t>期：</w:t>
      </w:r>
    </w:p>
    <w:p>
      <w:pPr>
        <w:spacing w:after="0" w:line="388" w:lineRule="auto"/>
        <w:jc w:val="left"/>
        <w:rPr>
          <w:rFonts w:hint="eastAsia" w:ascii="宋体" w:hAnsi="宋体" w:eastAsia="宋体" w:cs="宋体"/>
          <w:sz w:val="30"/>
        </w:rPr>
        <w:sectPr>
          <w:headerReference r:id="rId6" w:type="default"/>
          <w:pgSz w:w="11910" w:h="16840"/>
          <w:pgMar w:top="1580" w:right="1134" w:bottom="1134" w:left="1200" w:header="0" w:footer="0" w:gutter="0"/>
          <w:cols w:space="720" w:num="1"/>
        </w:sectPr>
      </w:pPr>
    </w:p>
    <w:p>
      <w:pPr>
        <w:spacing w:before="39"/>
        <w:ind w:left="0" w:right="876" w:firstLine="0"/>
        <w:jc w:val="center"/>
        <w:rPr>
          <w:rFonts w:hint="eastAsia" w:ascii="宋体" w:hAnsi="宋体" w:eastAsia="宋体" w:cs="宋体"/>
          <w:b/>
          <w:sz w:val="30"/>
        </w:rPr>
      </w:pPr>
      <w:r>
        <w:rPr>
          <w:rFonts w:hint="eastAsia" w:ascii="宋体" w:hAnsi="宋体" w:eastAsia="宋体" w:cs="宋体"/>
          <w:b/>
          <w:w w:val="95"/>
          <w:sz w:val="30"/>
        </w:rPr>
        <w:t>评分索引</w:t>
      </w:r>
      <w:r>
        <w:rPr>
          <w:rFonts w:hint="eastAsia" w:ascii="宋体" w:hAnsi="宋体" w:eastAsia="宋体" w:cs="宋体"/>
          <w:b/>
          <w:spacing w:val="-10"/>
          <w:w w:val="95"/>
          <w:sz w:val="30"/>
        </w:rPr>
        <w:t>表</w:t>
      </w:r>
    </w:p>
    <w:p>
      <w:pPr>
        <w:pStyle w:val="9"/>
        <w:spacing w:before="7"/>
        <w:rPr>
          <w:rFonts w:hint="eastAsia" w:ascii="宋体" w:hAnsi="宋体" w:eastAsia="宋体" w:cs="宋体"/>
          <w:b/>
          <w:sz w:val="9"/>
          <w:u w:val="none"/>
        </w:rPr>
      </w:pPr>
    </w:p>
    <w:tbl>
      <w:tblPr>
        <w:tblStyle w:val="19"/>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5"/>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75" w:type="dxa"/>
            <w:tcBorders>
              <w:left w:val="single" w:color="000000" w:sz="6" w:space="0"/>
            </w:tcBorders>
          </w:tcPr>
          <w:p>
            <w:pPr>
              <w:pStyle w:val="25"/>
              <w:spacing w:before="22"/>
              <w:ind w:left="2400" w:right="2391"/>
              <w:jc w:val="center"/>
              <w:rPr>
                <w:rFonts w:hint="eastAsia" w:ascii="宋体" w:hAnsi="宋体" w:eastAsia="宋体" w:cs="宋体"/>
                <w:b/>
                <w:sz w:val="21"/>
              </w:rPr>
            </w:pPr>
            <w:r>
              <w:rPr>
                <w:rFonts w:hint="eastAsia" w:ascii="宋体" w:hAnsi="宋体" w:eastAsia="宋体" w:cs="宋体"/>
                <w:b/>
                <w:spacing w:val="-3"/>
                <w:sz w:val="21"/>
              </w:rPr>
              <w:t>评分项目</w:t>
            </w:r>
          </w:p>
        </w:tc>
        <w:tc>
          <w:tcPr>
            <w:tcW w:w="3570" w:type="dxa"/>
          </w:tcPr>
          <w:p>
            <w:pPr>
              <w:pStyle w:val="25"/>
              <w:spacing w:before="22"/>
              <w:ind w:left="623"/>
              <w:rPr>
                <w:rFonts w:hint="eastAsia" w:ascii="宋体" w:hAnsi="宋体" w:eastAsia="宋体" w:cs="宋体"/>
                <w:b/>
                <w:sz w:val="21"/>
              </w:rPr>
            </w:pPr>
            <w:r>
              <w:rPr>
                <w:rFonts w:hint="eastAsia" w:ascii="宋体" w:hAnsi="宋体" w:eastAsia="宋体" w:cs="宋体"/>
                <w:b/>
                <w:spacing w:val="-3"/>
                <w:sz w:val="21"/>
              </w:rPr>
              <w:t>在响应文件中的页码位置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245" w:type="dxa"/>
            <w:gridSpan w:val="2"/>
            <w:tcBorders>
              <w:left w:val="single" w:color="000000" w:sz="6" w:space="0"/>
            </w:tcBorders>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245" w:type="dxa"/>
            <w:gridSpan w:val="2"/>
            <w:tcBorders>
              <w:left w:val="single" w:color="000000" w:sz="6" w:space="0"/>
            </w:tcBorders>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245" w:type="dxa"/>
            <w:gridSpan w:val="2"/>
            <w:tcBorders>
              <w:left w:val="single" w:color="000000" w:sz="6" w:space="0"/>
            </w:tcBorders>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45" w:type="dxa"/>
            <w:gridSpan w:val="2"/>
            <w:tcBorders>
              <w:left w:val="single" w:color="000000" w:sz="6" w:space="0"/>
            </w:tcBorders>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675" w:type="dxa"/>
            <w:tcBorders>
              <w:left w:val="single" w:color="000000" w:sz="6" w:space="0"/>
            </w:tcBorders>
          </w:tcPr>
          <w:p>
            <w:pPr>
              <w:pStyle w:val="25"/>
              <w:rPr>
                <w:rFonts w:hint="eastAsia" w:ascii="宋体" w:hAnsi="宋体" w:eastAsia="宋体" w:cs="宋体"/>
                <w:sz w:val="22"/>
              </w:rPr>
            </w:pPr>
          </w:p>
        </w:tc>
        <w:tc>
          <w:tcPr>
            <w:tcW w:w="3570" w:type="dxa"/>
          </w:tcPr>
          <w:p>
            <w:pPr>
              <w:pStyle w:val="25"/>
              <w:rPr>
                <w:rFonts w:hint="eastAsia" w:ascii="宋体" w:hAnsi="宋体" w:eastAsia="宋体" w:cs="宋体"/>
                <w:sz w:val="22"/>
              </w:rPr>
            </w:pPr>
          </w:p>
        </w:tc>
      </w:tr>
    </w:tbl>
    <w:p>
      <w:pPr>
        <w:spacing w:after="0"/>
        <w:rPr>
          <w:rFonts w:hint="eastAsia" w:ascii="宋体" w:hAnsi="宋体" w:eastAsia="宋体" w:cs="宋体"/>
          <w:sz w:val="22"/>
        </w:rPr>
        <w:sectPr>
          <w:headerReference r:id="rId7" w:type="default"/>
          <w:pgSz w:w="11910" w:h="16840"/>
          <w:pgMar w:top="1500" w:right="320" w:bottom="280" w:left="1200" w:header="0" w:footer="0" w:gutter="0"/>
          <w:cols w:space="720" w:num="1"/>
        </w:sectPr>
      </w:pPr>
    </w:p>
    <w:p>
      <w:pPr>
        <w:pStyle w:val="6"/>
        <w:spacing w:before="26"/>
        <w:ind w:left="1541" w:firstLine="0"/>
        <w:rPr>
          <w:rFonts w:hint="eastAsia" w:ascii="宋体" w:hAnsi="宋体" w:eastAsia="宋体" w:cs="宋体"/>
          <w:color w:val="auto"/>
        </w:rPr>
      </w:pPr>
      <w:r>
        <w:rPr>
          <w:rFonts w:hint="eastAsia" w:ascii="宋体" w:hAnsi="宋体" w:eastAsia="宋体" w:cs="宋体"/>
          <w:color w:val="auto"/>
          <w:w w:val="95"/>
        </w:rPr>
        <w:t>响应文件主要目录及相关证明材料格式、附</w:t>
      </w:r>
      <w:r>
        <w:rPr>
          <w:rFonts w:hint="eastAsia" w:ascii="宋体" w:hAnsi="宋体" w:eastAsia="宋体" w:cs="宋体"/>
          <w:color w:val="auto"/>
          <w:spacing w:val="-10"/>
          <w:w w:val="95"/>
        </w:rPr>
        <w:t>件</w:t>
      </w:r>
    </w:p>
    <w:p>
      <w:pPr>
        <w:pStyle w:val="9"/>
        <w:rPr>
          <w:rFonts w:hint="eastAsia" w:ascii="宋体" w:hAnsi="宋体" w:eastAsia="宋体" w:cs="宋体"/>
          <w:b/>
          <w:sz w:val="32"/>
          <w:u w:val="none"/>
        </w:rPr>
      </w:pPr>
    </w:p>
    <w:p>
      <w:pPr>
        <w:pStyle w:val="9"/>
        <w:spacing w:before="6"/>
        <w:rPr>
          <w:rFonts w:hint="eastAsia" w:ascii="宋体" w:hAnsi="宋体" w:eastAsia="宋体" w:cs="宋体"/>
          <w:b/>
          <w:sz w:val="31"/>
          <w:u w:val="none"/>
        </w:rPr>
      </w:pPr>
    </w:p>
    <w:p>
      <w:pPr>
        <w:numPr>
          <w:ilvl w:val="0"/>
          <w:numId w:val="30"/>
        </w:numPr>
        <w:spacing w:before="0" w:line="364" w:lineRule="auto"/>
        <w:ind w:left="2160" w:right="5103" w:firstLine="0"/>
        <w:jc w:val="left"/>
        <w:rPr>
          <w:rFonts w:hint="eastAsia" w:ascii="宋体" w:hAnsi="宋体" w:eastAsia="宋体" w:cs="宋体"/>
          <w:sz w:val="24"/>
        </w:rPr>
      </w:pPr>
      <w:r>
        <w:rPr>
          <w:rFonts w:hint="eastAsia" w:cs="宋体"/>
          <w:sz w:val="24"/>
          <w:lang w:val="en-US" w:eastAsia="zh-CN"/>
        </w:rPr>
        <w:t>竞争性磋商</w:t>
      </w:r>
      <w:r>
        <w:rPr>
          <w:rFonts w:hint="eastAsia" w:ascii="宋体" w:hAnsi="宋体" w:eastAsia="宋体" w:cs="宋体"/>
          <w:sz w:val="24"/>
        </w:rPr>
        <w:t>申请及声明</w:t>
      </w:r>
    </w:p>
    <w:p>
      <w:pPr>
        <w:numPr>
          <w:ilvl w:val="0"/>
          <w:numId w:val="0"/>
        </w:numPr>
        <w:spacing w:before="0" w:line="364" w:lineRule="auto"/>
        <w:ind w:left="2160" w:leftChars="0" w:right="5103" w:rightChars="0"/>
        <w:jc w:val="left"/>
        <w:rPr>
          <w:rFonts w:hint="eastAsia" w:ascii="宋体" w:hAnsi="宋体" w:eastAsia="宋体" w:cs="宋体"/>
          <w:sz w:val="24"/>
        </w:rPr>
      </w:pPr>
      <w:r>
        <w:rPr>
          <w:rFonts w:hint="eastAsia" w:ascii="宋体" w:hAnsi="宋体" w:eastAsia="宋体" w:cs="宋体"/>
          <w:sz w:val="24"/>
        </w:rPr>
        <w:t>二、法定代表人授权书</w:t>
      </w:r>
    </w:p>
    <w:p>
      <w:pPr>
        <w:spacing w:before="1" w:line="364" w:lineRule="auto"/>
        <w:ind w:left="2160" w:right="5823" w:firstLine="0"/>
        <w:jc w:val="left"/>
        <w:rPr>
          <w:rFonts w:hint="eastAsia" w:ascii="宋体" w:hAnsi="宋体" w:eastAsia="宋体" w:cs="宋体"/>
          <w:spacing w:val="1"/>
          <w:sz w:val="24"/>
        </w:rPr>
      </w:pPr>
      <w:r>
        <w:rPr>
          <w:rFonts w:hint="eastAsia" w:ascii="宋体" w:hAnsi="宋体" w:eastAsia="宋体" w:cs="宋体"/>
          <w:spacing w:val="1"/>
          <w:sz w:val="24"/>
        </w:rPr>
        <w:t>三、报价表格式</w:t>
      </w:r>
    </w:p>
    <w:p>
      <w:pPr>
        <w:spacing w:before="1" w:line="364" w:lineRule="auto"/>
        <w:ind w:left="2160" w:right="5823" w:firstLine="0"/>
        <w:jc w:val="left"/>
        <w:rPr>
          <w:rFonts w:hint="eastAsia" w:ascii="宋体" w:hAnsi="宋体" w:eastAsia="宋体" w:cs="宋体"/>
          <w:spacing w:val="2"/>
          <w:sz w:val="24"/>
        </w:rPr>
      </w:pPr>
      <w:r>
        <w:rPr>
          <w:rFonts w:hint="eastAsia" w:ascii="宋体" w:hAnsi="宋体" w:eastAsia="宋体" w:cs="宋体"/>
          <w:spacing w:val="2"/>
          <w:sz w:val="24"/>
        </w:rPr>
        <w:t>四、资格证明文件</w:t>
      </w:r>
    </w:p>
    <w:p>
      <w:pPr>
        <w:spacing w:before="1" w:line="364" w:lineRule="auto"/>
        <w:ind w:left="2160" w:right="5823" w:firstLine="0"/>
        <w:jc w:val="left"/>
        <w:rPr>
          <w:rFonts w:hint="default" w:ascii="宋体" w:hAnsi="宋体" w:eastAsia="宋体" w:cs="宋体"/>
          <w:spacing w:val="1"/>
          <w:sz w:val="24"/>
          <w:lang w:val="en-US" w:eastAsia="zh-CN"/>
        </w:rPr>
      </w:pPr>
      <w:r>
        <w:rPr>
          <w:rFonts w:hint="eastAsia" w:ascii="宋体" w:hAnsi="宋体" w:eastAsia="宋体" w:cs="宋体"/>
          <w:spacing w:val="1"/>
          <w:sz w:val="24"/>
          <w:lang w:val="en-US" w:eastAsia="zh-CN"/>
        </w:rPr>
        <w:t>五、分项报价表</w:t>
      </w:r>
    </w:p>
    <w:p>
      <w:pPr>
        <w:spacing w:before="1" w:line="364" w:lineRule="auto"/>
        <w:ind w:left="2160" w:right="5343" w:firstLine="0"/>
        <w:jc w:val="left"/>
        <w:rPr>
          <w:rFonts w:hint="eastAsia" w:ascii="宋体" w:hAnsi="宋体" w:eastAsia="宋体" w:cs="宋体"/>
          <w:sz w:val="24"/>
        </w:rPr>
      </w:pPr>
      <w:r>
        <w:rPr>
          <w:rFonts w:hint="eastAsia" w:ascii="宋体" w:hAnsi="宋体" w:eastAsia="宋体" w:cs="宋体"/>
          <w:spacing w:val="1"/>
          <w:sz w:val="24"/>
          <w:lang w:val="en-US" w:eastAsia="zh-CN"/>
        </w:rPr>
        <w:t>六</w:t>
      </w:r>
      <w:r>
        <w:rPr>
          <w:rFonts w:hint="eastAsia" w:ascii="宋体" w:hAnsi="宋体" w:eastAsia="宋体" w:cs="宋体"/>
          <w:spacing w:val="1"/>
          <w:sz w:val="24"/>
        </w:rPr>
        <w:t>、技术条款偏离表</w:t>
      </w:r>
    </w:p>
    <w:p>
      <w:pPr>
        <w:spacing w:before="2"/>
        <w:ind w:left="2160" w:right="0" w:firstLine="0"/>
        <w:jc w:val="left"/>
        <w:rPr>
          <w:rFonts w:hint="eastAsia" w:ascii="宋体" w:hAnsi="宋体" w:eastAsia="宋体" w:cs="宋体"/>
          <w:sz w:val="24"/>
        </w:rPr>
      </w:pPr>
      <w:r>
        <w:rPr>
          <w:rFonts w:hint="eastAsia" w:ascii="宋体" w:hAnsi="宋体" w:eastAsia="宋体" w:cs="宋体"/>
          <w:sz w:val="24"/>
          <w:lang w:val="en-US" w:eastAsia="zh-CN"/>
        </w:rPr>
        <w:t>七</w:t>
      </w:r>
      <w:r>
        <w:rPr>
          <w:rFonts w:hint="eastAsia" w:ascii="宋体" w:hAnsi="宋体" w:eastAsia="宋体" w:cs="宋体"/>
          <w:sz w:val="24"/>
        </w:rPr>
        <w:t>、</w:t>
      </w:r>
      <w:r>
        <w:rPr>
          <w:rFonts w:hint="eastAsia" w:ascii="宋体" w:hAnsi="宋体" w:eastAsia="宋体" w:cs="宋体"/>
          <w:spacing w:val="-2"/>
          <w:sz w:val="24"/>
        </w:rPr>
        <w:t>商务条款偏离表</w:t>
      </w:r>
    </w:p>
    <w:p>
      <w:pPr>
        <w:spacing w:before="161" w:line="364" w:lineRule="auto"/>
        <w:ind w:left="2160" w:right="4863" w:firstLine="0"/>
        <w:jc w:val="left"/>
        <w:rPr>
          <w:rFonts w:hint="eastAsia" w:ascii="宋体" w:hAnsi="宋体" w:eastAsia="宋体" w:cs="宋体"/>
          <w:sz w:val="24"/>
        </w:rPr>
      </w:pPr>
      <w:r>
        <w:rPr>
          <w:rFonts w:hint="eastAsia" w:cs="宋体"/>
          <w:sz w:val="24"/>
          <w:lang w:val="en-US" w:eastAsia="zh-CN"/>
        </w:rPr>
        <w:t>八</w:t>
      </w:r>
      <w:r>
        <w:rPr>
          <w:rFonts w:hint="eastAsia" w:ascii="宋体" w:hAnsi="宋体" w:eastAsia="宋体" w:cs="宋体"/>
          <w:sz w:val="24"/>
        </w:rPr>
        <w:t>、施工组织方案及服务承诺</w:t>
      </w:r>
    </w:p>
    <w:p>
      <w:pPr>
        <w:spacing w:before="161" w:line="364" w:lineRule="auto"/>
        <w:ind w:left="2160" w:right="4863" w:firstLine="0"/>
        <w:jc w:val="left"/>
        <w:rPr>
          <w:rFonts w:hint="eastAsia" w:ascii="宋体" w:hAnsi="宋体" w:eastAsia="宋体" w:cs="宋体"/>
          <w:sz w:val="24"/>
        </w:rPr>
      </w:pPr>
      <w:r>
        <w:rPr>
          <w:rFonts w:hint="eastAsia" w:cs="宋体"/>
          <w:spacing w:val="1"/>
          <w:sz w:val="24"/>
          <w:lang w:val="en-US" w:eastAsia="zh-CN"/>
        </w:rPr>
        <w:t>九</w:t>
      </w:r>
      <w:r>
        <w:rPr>
          <w:rFonts w:hint="eastAsia" w:ascii="宋体" w:hAnsi="宋体" w:eastAsia="宋体" w:cs="宋体"/>
          <w:spacing w:val="1"/>
          <w:sz w:val="24"/>
        </w:rPr>
        <w:t>、类似业绩一览表</w:t>
      </w:r>
    </w:p>
    <w:p>
      <w:pPr>
        <w:spacing w:before="161" w:line="364" w:lineRule="auto"/>
        <w:ind w:left="2040" w:right="2583" w:firstLine="120"/>
        <w:jc w:val="left"/>
        <w:rPr>
          <w:rFonts w:hint="default" w:ascii="宋体" w:hAnsi="宋体" w:eastAsia="宋体" w:cs="宋体"/>
          <w:spacing w:val="-2"/>
          <w:sz w:val="24"/>
          <w:lang w:val="en-US" w:eastAsia="zh-CN"/>
        </w:rPr>
      </w:pPr>
      <w:r>
        <w:rPr>
          <w:rFonts w:hint="eastAsia" w:ascii="宋体" w:hAnsi="宋体" w:eastAsia="宋体" w:cs="宋体"/>
          <w:spacing w:val="-2"/>
          <w:sz w:val="24"/>
        </w:rPr>
        <w:t>十、</w:t>
      </w:r>
      <w:r>
        <w:rPr>
          <w:rFonts w:hint="eastAsia" w:cs="宋体"/>
          <w:spacing w:val="-2"/>
          <w:sz w:val="24"/>
          <w:lang w:val="en-US" w:eastAsia="zh-CN"/>
        </w:rPr>
        <w:t>项目组成员一览表</w:t>
      </w:r>
    </w:p>
    <w:p>
      <w:pPr>
        <w:spacing w:before="161" w:line="364" w:lineRule="auto"/>
        <w:ind w:left="2040" w:right="2583" w:firstLine="120"/>
        <w:jc w:val="left"/>
        <w:rPr>
          <w:rFonts w:hint="eastAsia" w:ascii="宋体" w:hAnsi="宋体" w:eastAsia="宋体" w:cs="宋体"/>
          <w:spacing w:val="-2"/>
          <w:sz w:val="24"/>
        </w:rPr>
      </w:pPr>
      <w:r>
        <w:rPr>
          <w:rFonts w:hint="eastAsia" w:cs="宋体"/>
          <w:spacing w:val="-2"/>
          <w:sz w:val="24"/>
          <w:lang w:val="en-US" w:eastAsia="zh-CN"/>
        </w:rPr>
        <w:t>十一、投标</w:t>
      </w:r>
      <w:r>
        <w:rPr>
          <w:rFonts w:hint="eastAsia" w:ascii="宋体" w:hAnsi="宋体" w:eastAsia="宋体" w:cs="宋体"/>
          <w:spacing w:val="-2"/>
          <w:sz w:val="24"/>
        </w:rPr>
        <w:t>需要的其他证明文件及材料（若有)</w:t>
      </w:r>
    </w:p>
    <w:p>
      <w:pPr>
        <w:keepNext w:val="0"/>
        <w:keepLines w:val="0"/>
        <w:pageBreakBefore w:val="0"/>
        <w:widowControl w:val="0"/>
        <w:kinsoku/>
        <w:wordWrap/>
        <w:overflowPunct/>
        <w:topLinePunct w:val="0"/>
        <w:autoSpaceDE w:val="0"/>
        <w:autoSpaceDN w:val="0"/>
        <w:bidi w:val="0"/>
        <w:adjustRightInd/>
        <w:snapToGrid/>
        <w:spacing w:before="1" w:line="360" w:lineRule="auto"/>
        <w:ind w:left="2041" w:right="0" w:firstLine="0"/>
        <w:jc w:val="left"/>
        <w:textAlignment w:val="auto"/>
        <w:rPr>
          <w:rFonts w:hint="eastAsia" w:ascii="宋体" w:hAnsi="宋体" w:eastAsia="宋体" w:cs="宋体"/>
          <w:spacing w:val="-1"/>
          <w:sz w:val="24"/>
        </w:rPr>
      </w:pPr>
      <w:r>
        <w:rPr>
          <w:rFonts w:hint="eastAsia" w:ascii="宋体" w:hAnsi="宋体" w:eastAsia="宋体" w:cs="宋体"/>
          <w:spacing w:val="-1"/>
          <w:sz w:val="24"/>
        </w:rPr>
        <w:t>附件一、中小企业声明函格式</w:t>
      </w:r>
    </w:p>
    <w:p>
      <w:pPr>
        <w:keepNext w:val="0"/>
        <w:keepLines w:val="0"/>
        <w:pageBreakBefore w:val="0"/>
        <w:widowControl w:val="0"/>
        <w:kinsoku/>
        <w:wordWrap/>
        <w:overflowPunct/>
        <w:topLinePunct w:val="0"/>
        <w:autoSpaceDE w:val="0"/>
        <w:autoSpaceDN w:val="0"/>
        <w:bidi w:val="0"/>
        <w:adjustRightInd/>
        <w:snapToGrid/>
        <w:spacing w:before="1" w:line="360" w:lineRule="auto"/>
        <w:ind w:left="2041" w:right="0" w:firstLine="0"/>
        <w:jc w:val="left"/>
        <w:textAlignment w:val="auto"/>
        <w:rPr>
          <w:rFonts w:hint="eastAsia" w:ascii="宋体" w:hAnsi="宋体" w:eastAsia="宋体" w:cs="宋体"/>
          <w:spacing w:val="-1"/>
          <w:sz w:val="24"/>
        </w:rPr>
      </w:pPr>
      <w:r>
        <w:rPr>
          <w:rFonts w:hint="eastAsia" w:ascii="宋体" w:hAnsi="宋体" w:eastAsia="宋体" w:cs="宋体"/>
          <w:spacing w:val="-1"/>
          <w:sz w:val="24"/>
        </w:rPr>
        <w:t>附件二、残疾人福利性单位声明函格式</w:t>
      </w:r>
    </w:p>
    <w:p>
      <w:pPr>
        <w:keepNext w:val="0"/>
        <w:keepLines w:val="0"/>
        <w:pageBreakBefore w:val="0"/>
        <w:widowControl w:val="0"/>
        <w:kinsoku/>
        <w:wordWrap/>
        <w:overflowPunct/>
        <w:topLinePunct w:val="0"/>
        <w:autoSpaceDE w:val="0"/>
        <w:autoSpaceDN w:val="0"/>
        <w:bidi w:val="0"/>
        <w:adjustRightInd/>
        <w:snapToGrid/>
        <w:spacing w:before="161" w:line="360" w:lineRule="auto"/>
        <w:ind w:left="2041" w:right="0" w:firstLine="0"/>
        <w:jc w:val="left"/>
        <w:textAlignment w:val="auto"/>
        <w:rPr>
          <w:rFonts w:hint="eastAsia" w:ascii="宋体" w:hAnsi="宋体" w:eastAsia="宋体" w:cs="宋体"/>
          <w:sz w:val="24"/>
        </w:rPr>
      </w:pPr>
      <w:r>
        <w:rPr>
          <w:rFonts w:hint="eastAsia" w:ascii="宋体" w:hAnsi="宋体" w:eastAsia="宋体" w:cs="宋体"/>
          <w:spacing w:val="-1"/>
          <w:sz w:val="24"/>
        </w:rPr>
        <w:t>附件三、南京市政府采购供应商信用记录表暨信用承诺书格式</w:t>
      </w:r>
    </w:p>
    <w:p>
      <w:pPr>
        <w:spacing w:before="160" w:line="364" w:lineRule="auto"/>
        <w:ind w:left="600" w:right="1355" w:firstLine="0"/>
        <w:jc w:val="left"/>
        <w:rPr>
          <w:rFonts w:hint="eastAsia" w:ascii="宋体" w:hAnsi="宋体" w:eastAsia="宋体" w:cs="宋体"/>
          <w:b/>
          <w:sz w:val="24"/>
        </w:rPr>
      </w:pPr>
      <w:r>
        <w:rPr>
          <w:rFonts w:hint="eastAsia" w:ascii="宋体" w:hAnsi="宋体" w:eastAsia="宋体" w:cs="宋体"/>
          <w:b/>
          <w:spacing w:val="2"/>
          <w:w w:val="99"/>
          <w:sz w:val="24"/>
        </w:rPr>
        <w:t>（</w:t>
      </w:r>
      <w:r>
        <w:rPr>
          <w:rFonts w:hint="eastAsia" w:ascii="宋体" w:hAnsi="宋体" w:eastAsia="宋体" w:cs="宋体"/>
          <w:b/>
          <w:spacing w:val="-2"/>
          <w:w w:val="99"/>
          <w:sz w:val="24"/>
        </w:rPr>
        <w:t>说明：本目录内容为参考格式，供应商可根据</w:t>
      </w:r>
      <w:r>
        <w:rPr>
          <w:rFonts w:hint="eastAsia" w:cs="宋体"/>
          <w:b/>
          <w:spacing w:val="-2"/>
          <w:w w:val="99"/>
          <w:sz w:val="24"/>
          <w:lang w:eastAsia="zh-CN"/>
        </w:rPr>
        <w:t>投标</w:t>
      </w:r>
      <w:r>
        <w:rPr>
          <w:rFonts w:hint="eastAsia" w:ascii="宋体" w:hAnsi="宋体" w:eastAsia="宋体" w:cs="宋体"/>
          <w:b/>
          <w:spacing w:val="-2"/>
          <w:w w:val="99"/>
          <w:sz w:val="24"/>
        </w:rPr>
        <w:t>文件及评标标准内容需要，</w:t>
      </w:r>
      <w:r>
        <w:rPr>
          <w:rFonts w:hint="eastAsia" w:ascii="宋体" w:hAnsi="宋体" w:eastAsia="宋体" w:cs="宋体"/>
          <w:b/>
          <w:w w:val="99"/>
          <w:sz w:val="24"/>
        </w:rPr>
        <w:t>自行细化或补充目录条款及内容）</w:t>
      </w:r>
    </w:p>
    <w:p>
      <w:pPr>
        <w:spacing w:after="0" w:line="364" w:lineRule="auto"/>
        <w:jc w:val="left"/>
        <w:rPr>
          <w:rFonts w:hint="eastAsia" w:ascii="宋体" w:hAnsi="宋体" w:eastAsia="宋体" w:cs="宋体"/>
          <w:sz w:val="24"/>
        </w:rPr>
        <w:sectPr>
          <w:headerReference r:id="rId8" w:type="default"/>
          <w:pgSz w:w="11910" w:h="16840"/>
          <w:pgMar w:top="1500" w:right="320" w:bottom="280" w:left="1200" w:header="0" w:footer="0" w:gutter="0"/>
          <w:cols w:space="720" w:num="1"/>
        </w:sectPr>
      </w:pPr>
    </w:p>
    <w:p>
      <w:pPr>
        <w:spacing w:before="40"/>
        <w:ind w:left="600" w:right="0" w:firstLine="0"/>
        <w:jc w:val="left"/>
        <w:rPr>
          <w:rFonts w:hint="eastAsia" w:ascii="宋体" w:hAnsi="宋体" w:eastAsia="宋体" w:cs="宋体"/>
          <w:b/>
          <w:sz w:val="24"/>
        </w:rPr>
      </w:pPr>
      <w:r>
        <w:rPr>
          <w:rFonts w:hint="eastAsia" w:ascii="宋体" w:hAnsi="宋体" w:eastAsia="宋体" w:cs="宋体"/>
          <w:b/>
          <w:w w:val="95"/>
          <w:sz w:val="24"/>
        </w:rPr>
        <w:t>目录一、</w:t>
      </w:r>
      <w:r>
        <w:rPr>
          <w:rFonts w:hint="eastAsia" w:cs="宋体"/>
          <w:b/>
          <w:w w:val="95"/>
          <w:sz w:val="24"/>
          <w:lang w:val="en-US" w:eastAsia="zh-CN"/>
        </w:rPr>
        <w:t>竞争性磋商</w:t>
      </w:r>
      <w:r>
        <w:rPr>
          <w:rFonts w:hint="eastAsia" w:ascii="宋体" w:hAnsi="宋体" w:eastAsia="宋体" w:cs="宋体"/>
          <w:b/>
          <w:w w:val="95"/>
          <w:sz w:val="24"/>
        </w:rPr>
        <w:t>申</w:t>
      </w:r>
      <w:r>
        <w:rPr>
          <w:rFonts w:hint="eastAsia" w:ascii="宋体" w:hAnsi="宋体" w:eastAsia="宋体" w:cs="宋体"/>
          <w:b/>
          <w:spacing w:val="-3"/>
          <w:w w:val="95"/>
          <w:sz w:val="24"/>
        </w:rPr>
        <w:t>请及声明</w:t>
      </w:r>
    </w:p>
    <w:p>
      <w:pPr>
        <w:pStyle w:val="5"/>
        <w:spacing w:before="164"/>
        <w:ind w:left="2953"/>
        <w:rPr>
          <w:rFonts w:hint="eastAsia" w:ascii="宋体" w:hAnsi="宋体" w:eastAsia="宋体" w:cs="宋体"/>
        </w:rPr>
      </w:pPr>
      <w:r>
        <w:rPr>
          <w:rFonts w:hint="eastAsia" w:ascii="宋体" w:hAnsi="宋体" w:eastAsia="宋体" w:cs="宋体"/>
          <w:spacing w:val="-1"/>
          <w:lang w:val="en-US" w:eastAsia="zh-CN"/>
        </w:rPr>
        <w:t>竞争性磋商</w:t>
      </w:r>
      <w:r>
        <w:rPr>
          <w:rFonts w:hint="eastAsia" w:ascii="宋体" w:hAnsi="宋体" w:eastAsia="宋体" w:cs="宋体"/>
          <w:spacing w:val="-1"/>
        </w:rPr>
        <w:t>申请及声明</w:t>
      </w:r>
    </w:p>
    <w:p>
      <w:pPr>
        <w:keepNext w:val="0"/>
        <w:keepLines w:val="0"/>
        <w:pageBreakBefore w:val="0"/>
        <w:widowControl w:val="0"/>
        <w:kinsoku/>
        <w:wordWrap/>
        <w:overflowPunct/>
        <w:topLinePunct w:val="0"/>
        <w:autoSpaceDE w:val="0"/>
        <w:autoSpaceDN w:val="0"/>
        <w:bidi w:val="0"/>
        <w:adjustRightInd/>
        <w:snapToGrid/>
        <w:spacing w:before="160" w:line="360" w:lineRule="auto"/>
        <w:ind w:left="600" w:right="0" w:firstLine="0"/>
        <w:jc w:val="left"/>
        <w:textAlignment w:val="auto"/>
        <w:rPr>
          <w:rFonts w:hint="eastAsia" w:ascii="宋体" w:hAnsi="宋体" w:eastAsia="宋体" w:cs="宋体"/>
          <w:sz w:val="24"/>
        </w:rPr>
      </w:pPr>
      <w:r>
        <w:rPr>
          <w:rFonts w:hint="eastAsia" w:ascii="宋体" w:hAnsi="宋体" w:eastAsia="宋体" w:cs="宋体"/>
          <w:spacing w:val="-3"/>
          <w:sz w:val="24"/>
        </w:rPr>
        <w:t>致：</w:t>
      </w:r>
      <w:r>
        <w:rPr>
          <w:rFonts w:hint="eastAsia" w:ascii="宋体" w:hAnsi="宋体" w:eastAsia="宋体" w:cs="宋体"/>
          <w:spacing w:val="-3"/>
          <w:sz w:val="24"/>
          <w:lang w:eastAsia="zh-CN"/>
        </w:rPr>
        <w:t>南京市溧水区人民政府石湫街道办事处 </w:t>
      </w:r>
    </w:p>
    <w:p>
      <w:pPr>
        <w:pStyle w:val="9"/>
        <w:spacing w:before="91" w:line="312" w:lineRule="auto"/>
        <w:ind w:right="318" w:firstLine="480"/>
        <w:jc w:val="both"/>
        <w:rPr>
          <w:rFonts w:ascii="宋体" w:hAnsi="宋体" w:eastAsia="宋体" w:cs="宋体"/>
          <w:spacing w:val="-1"/>
          <w:sz w:val="24"/>
          <w:szCs w:val="22"/>
          <w:u w:val="none"/>
          <w:lang w:val="en-US" w:eastAsia="zh-CN" w:bidi="ar-SA"/>
        </w:rPr>
      </w:pPr>
      <w:r>
        <w:rPr>
          <w:rFonts w:ascii="宋体" w:hAnsi="宋体" w:eastAsia="宋体" w:cs="宋体"/>
          <w:spacing w:val="-1"/>
          <w:sz w:val="24"/>
          <w:szCs w:val="22"/>
          <w:u w:val="none"/>
          <w:lang w:val="en-US" w:eastAsia="zh-CN" w:bidi="ar-SA"/>
        </w:rPr>
        <w:t>根据贵方</w:t>
      </w:r>
      <w:r>
        <w:rPr>
          <w:rFonts w:hint="eastAsia" w:ascii="宋体" w:hAnsi="宋体" w:eastAsia="宋体" w:cs="宋体"/>
          <w:spacing w:val="-1"/>
          <w:sz w:val="24"/>
          <w:szCs w:val="22"/>
          <w:u w:val="single" w:color="auto"/>
          <w:lang w:val="en-US" w:eastAsia="zh-CN" w:bidi="ar-SA"/>
        </w:rPr>
        <w:t>2022年度石湫街道中天堡翻水线更新改造工程</w:t>
      </w:r>
      <w:r>
        <w:rPr>
          <w:rFonts w:ascii="宋体" w:hAnsi="宋体" w:eastAsia="宋体" w:cs="宋体"/>
          <w:spacing w:val="-1"/>
          <w:sz w:val="24"/>
          <w:szCs w:val="22"/>
          <w:u w:val="single" w:color="auto"/>
          <w:lang w:val="en-US" w:eastAsia="zh-CN" w:bidi="ar-SA"/>
        </w:rPr>
        <w:t>（</w:t>
      </w:r>
      <w:r>
        <w:rPr>
          <w:rFonts w:ascii="宋体" w:hAnsi="宋体" w:eastAsia="宋体" w:cs="宋体"/>
          <w:spacing w:val="-1"/>
          <w:sz w:val="24"/>
          <w:szCs w:val="22"/>
          <w:u w:val="none"/>
          <w:lang w:val="en-US" w:eastAsia="zh-CN" w:bidi="ar-SA"/>
        </w:rPr>
        <w:t>项目名称）</w:t>
      </w:r>
      <w:r>
        <w:rPr>
          <w:rFonts w:hint="eastAsia" w:cs="宋体"/>
          <w:spacing w:val="-1"/>
          <w:sz w:val="24"/>
          <w:szCs w:val="22"/>
          <w:u w:val="single"/>
          <w:lang w:val="en-US" w:eastAsia="zh-CN" w:bidi="ar-SA"/>
        </w:rPr>
        <w:t xml:space="preserve">      </w:t>
      </w:r>
      <w:r>
        <w:rPr>
          <w:rFonts w:ascii="宋体" w:hAnsi="宋体" w:eastAsia="宋体" w:cs="宋体"/>
          <w:spacing w:val="-1"/>
          <w:sz w:val="24"/>
          <w:szCs w:val="22"/>
          <w:u w:val="none"/>
          <w:lang w:val="en-US" w:eastAsia="zh-CN" w:bidi="ar-SA"/>
        </w:rPr>
        <w:t xml:space="preserve">（项目编号）磋商邀请，我方授权 </w:t>
      </w:r>
      <w:r>
        <w:rPr>
          <w:rFonts w:ascii="宋体" w:hAnsi="宋体" w:eastAsia="宋体" w:cs="宋体"/>
          <w:spacing w:val="-1"/>
          <w:sz w:val="24"/>
          <w:szCs w:val="22"/>
          <w:u w:val="single"/>
          <w:lang w:val="en-US" w:eastAsia="zh-CN" w:bidi="ar-SA"/>
        </w:rPr>
        <w:t xml:space="preserve">    </w:t>
      </w:r>
      <w:r>
        <w:rPr>
          <w:rFonts w:ascii="宋体" w:hAnsi="宋体" w:eastAsia="宋体" w:cs="宋体"/>
          <w:spacing w:val="-1"/>
          <w:sz w:val="24"/>
          <w:szCs w:val="22"/>
          <w:u w:val="none"/>
          <w:lang w:val="en-US" w:eastAsia="zh-CN" w:bidi="ar-SA"/>
        </w:rPr>
        <w:t xml:space="preserve">(姓名和职务)代表 </w:t>
      </w:r>
      <w:r>
        <w:rPr>
          <w:rFonts w:ascii="宋体" w:hAnsi="宋体" w:eastAsia="宋体" w:cs="宋体"/>
          <w:spacing w:val="-1"/>
          <w:sz w:val="24"/>
          <w:szCs w:val="22"/>
          <w:u w:val="single"/>
          <w:lang w:val="en-US" w:eastAsia="zh-CN" w:bidi="ar-SA"/>
        </w:rPr>
        <w:t xml:space="preserve">    </w:t>
      </w:r>
      <w:r>
        <w:rPr>
          <w:rFonts w:ascii="宋体" w:hAnsi="宋体" w:eastAsia="宋体" w:cs="宋体"/>
          <w:spacing w:val="-1"/>
          <w:sz w:val="24"/>
          <w:szCs w:val="22"/>
          <w:u w:val="none"/>
          <w:lang w:val="en-US" w:eastAsia="zh-CN" w:bidi="ar-SA"/>
        </w:rPr>
        <w:t>（供应商名称）提交响应文件并参加磋商，特声明如下：</w:t>
      </w:r>
    </w:p>
    <w:p>
      <w:pPr>
        <w:pStyle w:val="24"/>
        <w:numPr>
          <w:ilvl w:val="0"/>
          <w:numId w:val="31"/>
        </w:numPr>
        <w:tabs>
          <w:tab w:val="left" w:pos="1060"/>
        </w:tabs>
        <w:spacing w:before="1" w:after="0" w:line="312" w:lineRule="auto"/>
        <w:ind w:left="340" w:right="321" w:firstLine="480"/>
        <w:jc w:val="both"/>
        <w:rPr>
          <w:sz w:val="24"/>
        </w:rPr>
      </w:pPr>
      <w:r>
        <w:rPr>
          <w:sz w:val="24"/>
        </w:rPr>
        <w:t>我方的资格条件符合政府采购法和本次磋商要求，我方同意并向贵方提供了与磋商有关的所有证据和资料。</w:t>
      </w:r>
    </w:p>
    <w:p>
      <w:pPr>
        <w:pStyle w:val="24"/>
        <w:numPr>
          <w:ilvl w:val="0"/>
          <w:numId w:val="31"/>
        </w:numPr>
        <w:tabs>
          <w:tab w:val="left" w:pos="1060"/>
          <w:tab w:val="left" w:pos="9131"/>
        </w:tabs>
        <w:spacing w:before="2" w:after="0" w:line="312" w:lineRule="auto"/>
        <w:ind w:left="340" w:right="318" w:firstLine="480"/>
        <w:jc w:val="both"/>
        <w:rPr>
          <w:sz w:val="24"/>
        </w:rPr>
      </w:pPr>
      <w:r>
        <w:rPr>
          <w:sz w:val="24"/>
        </w:rPr>
        <w:t>我方的总报价为（大写和小写</w:t>
      </w:r>
      <w:r>
        <w:rPr>
          <w:sz w:val="24"/>
          <w:u w:val="single"/>
        </w:rPr>
        <w:t xml:space="preserve">） </w:t>
      </w:r>
      <w:r>
        <w:rPr>
          <w:sz w:val="24"/>
        </w:rPr>
        <w:t xml:space="preserve"> 元人民币，工期为</w:t>
      </w:r>
      <w:r>
        <w:rPr>
          <w:sz w:val="24"/>
          <w:u w:val="single"/>
        </w:rPr>
        <w:t xml:space="preserve"> </w:t>
      </w:r>
      <w:r>
        <w:rPr>
          <w:sz w:val="24"/>
        </w:rPr>
        <w:t xml:space="preserve"> 日历天，派出</w:t>
      </w:r>
      <w:r>
        <w:rPr>
          <w:sz w:val="24"/>
          <w:u w:val="single"/>
        </w:rPr>
        <w:t xml:space="preserve"> </w:t>
      </w:r>
      <w:r>
        <w:rPr>
          <w:sz w:val="24"/>
          <w:u w:val="single"/>
        </w:rPr>
        <w:tab/>
      </w:r>
      <w:r>
        <w:rPr>
          <w:sz w:val="24"/>
        </w:rPr>
        <w:t>（</w:t>
      </w:r>
      <w:r>
        <w:rPr>
          <w:spacing w:val="-89"/>
          <w:sz w:val="24"/>
        </w:rPr>
        <w:t xml:space="preserve"> </w:t>
      </w:r>
      <w:r>
        <w:rPr>
          <w:spacing w:val="31"/>
          <w:sz w:val="24"/>
        </w:rPr>
        <w:t>项</w:t>
      </w:r>
      <w:r>
        <w:rPr>
          <w:spacing w:val="33"/>
          <w:sz w:val="24"/>
        </w:rPr>
        <w:t>目</w:t>
      </w:r>
      <w:r>
        <w:rPr>
          <w:spacing w:val="31"/>
          <w:sz w:val="24"/>
        </w:rPr>
        <w:t>经理</w:t>
      </w:r>
      <w:r>
        <w:rPr>
          <w:spacing w:val="-16"/>
          <w:sz w:val="24"/>
        </w:rPr>
        <w:t>姓</w:t>
      </w:r>
      <w:r>
        <w:rPr>
          <w:sz w:val="24"/>
        </w:rPr>
        <w:t>名）作为本工程的项目经理。</w:t>
      </w:r>
    </w:p>
    <w:p>
      <w:pPr>
        <w:pStyle w:val="24"/>
        <w:numPr>
          <w:ilvl w:val="0"/>
          <w:numId w:val="31"/>
        </w:numPr>
        <w:tabs>
          <w:tab w:val="left" w:pos="1060"/>
        </w:tabs>
        <w:spacing w:before="0" w:after="0" w:line="307" w:lineRule="exact"/>
        <w:ind w:left="1060" w:right="0" w:hanging="240"/>
        <w:jc w:val="both"/>
        <w:rPr>
          <w:sz w:val="24"/>
        </w:rPr>
      </w:pPr>
      <w:r>
        <w:rPr>
          <w:sz w:val="24"/>
        </w:rPr>
        <w:t>我方参加本次采购活动前三年内，在经营活动中没有重大违法记录。</w:t>
      </w:r>
    </w:p>
    <w:p>
      <w:pPr>
        <w:pStyle w:val="24"/>
        <w:numPr>
          <w:ilvl w:val="0"/>
          <w:numId w:val="31"/>
        </w:numPr>
        <w:tabs>
          <w:tab w:val="left" w:pos="1060"/>
        </w:tabs>
        <w:spacing w:before="93" w:after="0" w:line="312" w:lineRule="auto"/>
        <w:ind w:left="340" w:right="149" w:firstLine="480"/>
        <w:jc w:val="left"/>
        <w:rPr>
          <w:sz w:val="24"/>
        </w:rPr>
      </w:pPr>
      <w:r>
        <w:rPr>
          <w:spacing w:val="-1"/>
          <w:sz w:val="24"/>
        </w:rPr>
        <w:t>我方参加本次采购活动前，没有被信用中国网站、中国政府采购网站列入失信被执行人名单、</w:t>
      </w:r>
      <w:r>
        <w:rPr>
          <w:sz w:val="24"/>
        </w:rPr>
        <w:t>重大税收违法案件当事人名单、政府采购严重违法失信行为记录名单。</w:t>
      </w:r>
    </w:p>
    <w:p>
      <w:pPr>
        <w:pStyle w:val="24"/>
        <w:numPr>
          <w:ilvl w:val="0"/>
          <w:numId w:val="31"/>
        </w:numPr>
        <w:tabs>
          <w:tab w:val="left" w:pos="1060"/>
        </w:tabs>
        <w:spacing w:before="0" w:after="0" w:line="312" w:lineRule="auto"/>
        <w:ind w:left="340" w:right="321" w:firstLine="480"/>
        <w:jc w:val="left"/>
        <w:rPr>
          <w:sz w:val="24"/>
        </w:rPr>
      </w:pPr>
      <w:r>
        <w:rPr>
          <w:sz w:val="24"/>
        </w:rPr>
        <w:t>我方在全国范围内未受过财政部门禁止参加政府采购活动的处罚，或禁止参加政府采购活动的处罚期限已满。</w:t>
      </w:r>
    </w:p>
    <w:p>
      <w:pPr>
        <w:pStyle w:val="24"/>
        <w:numPr>
          <w:ilvl w:val="0"/>
          <w:numId w:val="31"/>
        </w:numPr>
        <w:tabs>
          <w:tab w:val="left" w:pos="1060"/>
        </w:tabs>
        <w:spacing w:before="0" w:after="0" w:line="307" w:lineRule="exact"/>
        <w:ind w:left="1060" w:right="0" w:hanging="240"/>
        <w:jc w:val="left"/>
        <w:rPr>
          <w:sz w:val="24"/>
        </w:rPr>
      </w:pPr>
      <w:r>
        <w:rPr>
          <w:sz w:val="24"/>
        </w:rPr>
        <w:t>我方没有为本采购项目提供整体设计、规范编制，以及项目管理、监理、检测等服务。</w:t>
      </w:r>
    </w:p>
    <w:p>
      <w:pPr>
        <w:pStyle w:val="24"/>
        <w:numPr>
          <w:ilvl w:val="0"/>
          <w:numId w:val="31"/>
        </w:numPr>
        <w:tabs>
          <w:tab w:val="left" w:pos="1060"/>
        </w:tabs>
        <w:spacing w:before="93" w:after="0" w:line="312" w:lineRule="auto"/>
        <w:ind w:left="340" w:right="269" w:firstLine="480"/>
        <w:jc w:val="left"/>
        <w:rPr>
          <w:sz w:val="24"/>
        </w:rPr>
      </w:pPr>
      <w:r>
        <w:rPr>
          <w:spacing w:val="-1"/>
          <w:sz w:val="24"/>
        </w:rPr>
        <w:t>我方与参与本次采购活动的其他供应商的委托代理人(或法定代表人、项目经理、项目总监、</w:t>
      </w:r>
      <w:r>
        <w:rPr>
          <w:sz w:val="24"/>
        </w:rPr>
        <w:t>项目负责人等)，在磋商文件发布日上月至提交响应文件截止日当月未在同一单位缴纳社会保险。</w:t>
      </w:r>
    </w:p>
    <w:p>
      <w:pPr>
        <w:pStyle w:val="24"/>
        <w:numPr>
          <w:ilvl w:val="0"/>
          <w:numId w:val="31"/>
        </w:numPr>
        <w:tabs>
          <w:tab w:val="left" w:pos="1060"/>
        </w:tabs>
        <w:spacing w:before="0" w:after="0" w:line="307" w:lineRule="exact"/>
        <w:ind w:left="1060" w:right="0" w:hanging="240"/>
        <w:jc w:val="left"/>
        <w:rPr>
          <w:sz w:val="24"/>
        </w:rPr>
      </w:pPr>
      <w:r>
        <w:rPr>
          <w:sz w:val="24"/>
        </w:rPr>
        <w:t>我方与参与本次采购活动的其他供应商的法定代表人或委托代理人无夫妻、直系血亲关系。</w:t>
      </w:r>
    </w:p>
    <w:p>
      <w:pPr>
        <w:pStyle w:val="24"/>
        <w:numPr>
          <w:ilvl w:val="0"/>
          <w:numId w:val="31"/>
        </w:numPr>
        <w:tabs>
          <w:tab w:val="left" w:pos="1060"/>
        </w:tabs>
        <w:spacing w:before="94" w:after="0" w:line="240" w:lineRule="auto"/>
        <w:ind w:left="1060" w:right="0" w:hanging="240"/>
        <w:jc w:val="left"/>
        <w:rPr>
          <w:sz w:val="24"/>
        </w:rPr>
      </w:pPr>
      <w:r>
        <w:rPr>
          <w:sz w:val="24"/>
        </w:rPr>
        <w:t>我方与参与本次采购活动的其他供应商的负责人不是同一人，也不存在直接控股、管理关系。</w:t>
      </w:r>
    </w:p>
    <w:p>
      <w:pPr>
        <w:pStyle w:val="24"/>
        <w:numPr>
          <w:ilvl w:val="0"/>
          <w:numId w:val="31"/>
        </w:numPr>
        <w:tabs>
          <w:tab w:val="left" w:pos="1185"/>
        </w:tabs>
        <w:spacing w:before="93" w:after="0" w:line="312" w:lineRule="auto"/>
        <w:ind w:left="340" w:right="318" w:firstLine="480"/>
        <w:jc w:val="both"/>
        <w:rPr>
          <w:sz w:val="24"/>
        </w:rPr>
      </w:pPr>
      <w:r>
        <w:rPr>
          <w:spacing w:val="3"/>
          <w:sz w:val="24"/>
        </w:rPr>
        <w:t>我方已详细审阅全部磋商文件及其有效补充文件，放弃对磋商文件任何误解的权利，提交响应文件后，不对磋商文件本身提出质疑。否则，属于不诚信和故意扰乱政府采购活动行为，我们将无条件接受处罚。</w:t>
      </w:r>
    </w:p>
    <w:p>
      <w:pPr>
        <w:pStyle w:val="24"/>
        <w:numPr>
          <w:ilvl w:val="0"/>
          <w:numId w:val="31"/>
        </w:numPr>
        <w:tabs>
          <w:tab w:val="left" w:pos="820"/>
        </w:tabs>
        <w:spacing w:before="1" w:after="0" w:line="312" w:lineRule="auto"/>
        <w:ind w:left="340" w:right="389" w:firstLine="120"/>
        <w:jc w:val="left"/>
        <w:rPr>
          <w:sz w:val="24"/>
        </w:rPr>
      </w:pPr>
      <w:r>
        <w:rPr>
          <w:spacing w:val="-1"/>
          <w:sz w:val="24"/>
        </w:rPr>
        <w:t>一旦我方成交，将根据磋商文件的规定严格履行合同，并保证按承诺的时间完成本项目规定的</w:t>
      </w:r>
      <w:r>
        <w:rPr>
          <w:sz w:val="24"/>
        </w:rPr>
        <w:t>施工内容，交付采购人验收、使用。</w:t>
      </w:r>
    </w:p>
    <w:p>
      <w:pPr>
        <w:pStyle w:val="24"/>
        <w:numPr>
          <w:ilvl w:val="0"/>
          <w:numId w:val="31"/>
        </w:numPr>
        <w:tabs>
          <w:tab w:val="left" w:pos="700"/>
        </w:tabs>
        <w:spacing w:before="0" w:after="0" w:line="312" w:lineRule="auto"/>
        <w:ind w:left="340" w:right="269" w:firstLine="0"/>
        <w:jc w:val="left"/>
        <w:rPr>
          <w:sz w:val="24"/>
        </w:rPr>
      </w:pPr>
      <w:r>
        <w:rPr>
          <w:spacing w:val="-1"/>
          <w:sz w:val="24"/>
        </w:rPr>
        <w:t>我方决不提供虚假材料谋取成交、决不采取不正当手段诋毁、排挤其他供应商、决不与采购人、</w:t>
      </w:r>
      <w:r>
        <w:rPr>
          <w:sz w:val="24"/>
        </w:rPr>
        <w:t>其它供应商或者交易中心恶意串通、决不向采购人、招标代理工作人员和磋商小组进行商业贿赂、决不拒绝有关部门监督检查或提供虚假情况，如有违反，无条件接受贵方及相关管理部门的处罚。</w:t>
      </w:r>
    </w:p>
    <w:p>
      <w:pPr>
        <w:pStyle w:val="24"/>
        <w:numPr>
          <w:ilvl w:val="0"/>
          <w:numId w:val="31"/>
        </w:numPr>
        <w:tabs>
          <w:tab w:val="left" w:pos="1300"/>
        </w:tabs>
        <w:spacing w:before="0" w:after="0" w:line="312" w:lineRule="auto"/>
        <w:ind w:left="940" w:right="6389" w:firstLine="0"/>
        <w:jc w:val="left"/>
        <w:rPr>
          <w:sz w:val="24"/>
        </w:rPr>
      </w:pPr>
      <w:r>
        <w:rPr>
          <w:spacing w:val="-2"/>
          <w:sz w:val="24"/>
        </w:rPr>
        <w:t xml:space="preserve">与本次磋商有关的联系方式为： </w:t>
      </w:r>
      <w:r>
        <w:rPr>
          <w:sz w:val="24"/>
        </w:rPr>
        <w:t>地 址：</w:t>
      </w:r>
    </w:p>
    <w:p>
      <w:pPr>
        <w:pStyle w:val="9"/>
        <w:spacing w:line="312" w:lineRule="auto"/>
        <w:ind w:left="940" w:right="9269"/>
        <w:rPr>
          <w:u w:val="none" w:color="auto"/>
        </w:rPr>
      </w:pPr>
      <w:r>
        <w:rPr>
          <w:u w:val="none" w:color="auto"/>
        </w:rPr>
        <w:t>电 话： 传 真：</w:t>
      </w:r>
    </w:p>
    <w:p>
      <w:pPr>
        <w:pStyle w:val="9"/>
        <w:spacing w:before="2" w:line="312" w:lineRule="auto"/>
        <w:ind w:left="940" w:right="8909"/>
        <w:rPr>
          <w:u w:val="none" w:color="auto"/>
        </w:rPr>
      </w:pPr>
      <w:r>
        <w:rPr>
          <w:u w:val="none" w:color="auto"/>
        </w:rPr>
        <w:t>开户银行： 银行帐号：</w:t>
      </w:r>
    </w:p>
    <w:p>
      <w:pPr>
        <w:pStyle w:val="9"/>
        <w:spacing w:line="312" w:lineRule="auto"/>
        <w:ind w:left="940" w:right="7709"/>
        <w:jc w:val="both"/>
        <w:rPr>
          <w:u w:val="none" w:color="auto"/>
        </w:rPr>
      </w:pPr>
      <w:r>
        <w:rPr>
          <w:u w:val="none" w:color="auto"/>
        </w:rPr>
        <w:t>委托代理人（签字）： 供应商名称（盖章）： 日 期：</w:t>
      </w:r>
    </w:p>
    <w:p>
      <w:pPr>
        <w:spacing w:after="0" w:line="312" w:lineRule="auto"/>
        <w:jc w:val="both"/>
        <w:sectPr>
          <w:pgSz w:w="11910" w:h="16840"/>
          <w:pgMar w:top="1460" w:right="0" w:bottom="200" w:left="860" w:header="0" w:footer="6" w:gutter="0"/>
          <w:cols w:space="720" w:num="1"/>
        </w:sectPr>
      </w:pPr>
    </w:p>
    <w:p>
      <w:pPr>
        <w:spacing w:before="40"/>
        <w:ind w:left="600" w:right="0" w:firstLine="0"/>
        <w:jc w:val="left"/>
        <w:rPr>
          <w:rFonts w:hint="eastAsia" w:ascii="宋体" w:hAnsi="宋体" w:eastAsia="宋体" w:cs="宋体"/>
          <w:b/>
          <w:sz w:val="24"/>
        </w:rPr>
      </w:pPr>
      <w:r>
        <w:rPr>
          <w:rFonts w:hint="eastAsia" w:ascii="宋体" w:hAnsi="宋体" w:eastAsia="宋体" w:cs="宋体"/>
          <w:b/>
          <w:w w:val="95"/>
          <w:sz w:val="24"/>
        </w:rPr>
        <w:t>目录二、法定代表人授</w:t>
      </w:r>
      <w:r>
        <w:rPr>
          <w:rFonts w:hint="eastAsia" w:ascii="宋体" w:hAnsi="宋体" w:eastAsia="宋体" w:cs="宋体"/>
          <w:b/>
          <w:spacing w:val="-3"/>
          <w:w w:val="95"/>
          <w:sz w:val="24"/>
        </w:rPr>
        <w:t>权书格式</w:t>
      </w:r>
    </w:p>
    <w:p>
      <w:pPr>
        <w:pStyle w:val="5"/>
        <w:spacing w:before="164"/>
        <w:ind w:left="3313"/>
        <w:rPr>
          <w:rFonts w:hint="eastAsia" w:ascii="宋体" w:hAnsi="宋体" w:eastAsia="宋体" w:cs="宋体"/>
        </w:rPr>
      </w:pPr>
      <w:r>
        <w:rPr>
          <w:rFonts w:hint="eastAsia" w:ascii="宋体" w:hAnsi="宋体" w:eastAsia="宋体" w:cs="宋体"/>
          <w:spacing w:val="-2"/>
        </w:rPr>
        <w:t>法定代表人授权书</w:t>
      </w:r>
    </w:p>
    <w:p>
      <w:pPr>
        <w:spacing w:before="160"/>
        <w:ind w:left="600" w:right="0" w:firstLine="0"/>
        <w:jc w:val="left"/>
        <w:rPr>
          <w:rFonts w:hint="eastAsia" w:ascii="宋体" w:hAnsi="宋体" w:eastAsia="宋体" w:cs="宋体"/>
          <w:sz w:val="24"/>
        </w:rPr>
      </w:pPr>
      <w:r>
        <w:rPr>
          <w:rFonts w:hint="eastAsia" w:ascii="宋体" w:hAnsi="宋体" w:eastAsia="宋体" w:cs="宋体"/>
          <w:spacing w:val="-1"/>
          <w:sz w:val="24"/>
          <w:lang w:eastAsia="zh-CN"/>
        </w:rPr>
        <w:t>南京市溧水区人民政府石湫街道办事处 </w:t>
      </w:r>
      <w:r>
        <w:rPr>
          <w:rFonts w:hint="eastAsia" w:ascii="宋体" w:hAnsi="宋体" w:eastAsia="宋体" w:cs="宋体"/>
          <w:spacing w:val="-1"/>
          <w:sz w:val="24"/>
        </w:rPr>
        <w:t>：</w:t>
      </w:r>
    </w:p>
    <w:p>
      <w:pPr>
        <w:tabs>
          <w:tab w:val="left" w:pos="6858"/>
        </w:tabs>
        <w:spacing w:before="161"/>
        <w:ind w:left="1080" w:right="0" w:firstLine="0"/>
        <w:jc w:val="left"/>
        <w:rPr>
          <w:rFonts w:hint="eastAsia" w:ascii="宋体" w:hAnsi="宋体" w:eastAsia="宋体" w:cs="宋体"/>
          <w:sz w:val="24"/>
        </w:rPr>
      </w:pPr>
      <w:r>
        <w:rPr>
          <w:rFonts w:hint="eastAsia" w:ascii="宋体" w:hAnsi="宋体" w:eastAsia="宋体" w:cs="宋体"/>
          <w:spacing w:val="18"/>
          <w:sz w:val="24"/>
        </w:rPr>
        <w:t>本授权书声</w:t>
      </w:r>
      <w:r>
        <w:rPr>
          <w:rFonts w:hint="eastAsia" w:ascii="宋体" w:hAnsi="宋体" w:eastAsia="宋体" w:cs="宋体"/>
          <w:spacing w:val="16"/>
          <w:sz w:val="24"/>
        </w:rPr>
        <w:t>明：</w:t>
      </w:r>
      <w:r>
        <w:rPr>
          <w:rFonts w:hint="eastAsia" w:ascii="宋体" w:hAnsi="宋体" w:eastAsia="宋体" w:cs="宋体"/>
          <w:spacing w:val="18"/>
          <w:sz w:val="24"/>
        </w:rPr>
        <w:t>注册</w:t>
      </w:r>
      <w:r>
        <w:rPr>
          <w:rFonts w:hint="eastAsia" w:ascii="宋体" w:hAnsi="宋体" w:eastAsia="宋体" w:cs="宋体"/>
          <w:spacing w:val="11"/>
          <w:sz w:val="24"/>
        </w:rPr>
        <w:t>于</w:t>
      </w:r>
      <w:r>
        <w:rPr>
          <w:rFonts w:hint="eastAsia" w:ascii="宋体" w:hAnsi="宋体" w:eastAsia="宋体" w:cs="宋体"/>
          <w:sz w:val="24"/>
          <w:u w:val="single"/>
        </w:rPr>
        <w:tab/>
      </w:r>
      <w:r>
        <w:rPr>
          <w:rFonts w:hint="eastAsia" w:ascii="宋体" w:hAnsi="宋体" w:eastAsia="宋体" w:cs="宋体"/>
          <w:spacing w:val="18"/>
          <w:sz w:val="24"/>
        </w:rPr>
        <w:t>（供</w:t>
      </w:r>
      <w:r>
        <w:rPr>
          <w:rFonts w:hint="eastAsia" w:ascii="宋体" w:hAnsi="宋体" w:eastAsia="宋体" w:cs="宋体"/>
          <w:spacing w:val="16"/>
          <w:sz w:val="24"/>
        </w:rPr>
        <w:t>应</w:t>
      </w:r>
      <w:r>
        <w:rPr>
          <w:rFonts w:hint="eastAsia" w:ascii="宋体" w:hAnsi="宋体" w:eastAsia="宋体" w:cs="宋体"/>
          <w:spacing w:val="18"/>
          <w:sz w:val="24"/>
        </w:rPr>
        <w:t>商住址）</w:t>
      </w:r>
      <w:r>
        <w:rPr>
          <w:rFonts w:hint="eastAsia" w:ascii="宋体" w:hAnsi="宋体" w:eastAsia="宋体" w:cs="宋体"/>
          <w:spacing w:val="-10"/>
          <w:sz w:val="24"/>
        </w:rPr>
        <w:t>的</w:t>
      </w:r>
    </w:p>
    <w:p>
      <w:pPr>
        <w:tabs>
          <w:tab w:val="left" w:pos="5610"/>
          <w:tab w:val="left" w:pos="5780"/>
          <w:tab w:val="left" w:pos="5895"/>
        </w:tabs>
        <w:spacing w:before="160" w:line="364" w:lineRule="auto"/>
        <w:ind w:left="600" w:right="1476" w:firstLine="0"/>
        <w:jc w:val="both"/>
        <w:rPr>
          <w:rFonts w:hint="eastAsia" w:ascii="宋体" w:hAnsi="宋体" w:eastAsia="宋体" w:cs="宋体"/>
          <w:sz w:val="24"/>
        </w:rPr>
      </w:pPr>
      <w:r>
        <w:rPr>
          <w:rFonts w:hint="eastAsia" w:ascii="宋体" w:hAnsi="宋体" w:eastAsia="宋体" w:cs="宋体"/>
          <w:spacing w:val="-2"/>
          <w:sz w:val="24"/>
        </w:rPr>
        <w:t>（供应商名称）法定代表人</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pacing w:val="-2"/>
          <w:sz w:val="24"/>
        </w:rPr>
        <w:t>（法定代表人姓名、职务）代表本公司授权在下面签字的</w:t>
      </w:r>
      <w:r>
        <w:rPr>
          <w:rFonts w:hint="eastAsia" w:ascii="宋体" w:hAnsi="宋体" w:eastAsia="宋体" w:cs="宋体"/>
          <w:sz w:val="24"/>
          <w:u w:val="single"/>
        </w:rPr>
        <w:tab/>
      </w:r>
      <w:r>
        <w:rPr>
          <w:rFonts w:hint="eastAsia" w:ascii="宋体" w:hAnsi="宋体" w:eastAsia="宋体" w:cs="宋体"/>
          <w:spacing w:val="-6"/>
          <w:sz w:val="24"/>
        </w:rPr>
        <w:t>（供应商代表姓名、职务）为本</w:t>
      </w:r>
      <w:r>
        <w:rPr>
          <w:rFonts w:hint="eastAsia" w:ascii="宋体" w:hAnsi="宋体" w:eastAsia="宋体" w:cs="宋体"/>
          <w:spacing w:val="-2"/>
          <w:sz w:val="24"/>
        </w:rPr>
        <w:t>公司的合法代理人，就贵方组织的</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（项目名称）（项目编</w:t>
      </w:r>
      <w:r>
        <w:rPr>
          <w:rFonts w:hint="eastAsia" w:ascii="宋体" w:hAnsi="宋体" w:eastAsia="宋体" w:cs="宋体"/>
          <w:spacing w:val="-2"/>
          <w:sz w:val="24"/>
        </w:rPr>
        <w:t>号）</w:t>
      </w:r>
      <w:r>
        <w:rPr>
          <w:rFonts w:hint="eastAsia" w:cs="宋体"/>
          <w:spacing w:val="-2"/>
          <w:sz w:val="24"/>
          <w:lang w:eastAsia="zh-CN"/>
        </w:rPr>
        <w:t>投标</w:t>
      </w:r>
      <w:r>
        <w:rPr>
          <w:rFonts w:hint="eastAsia" w:ascii="宋体" w:hAnsi="宋体" w:eastAsia="宋体" w:cs="宋体"/>
          <w:spacing w:val="-2"/>
          <w:sz w:val="24"/>
        </w:rPr>
        <w:t>，以本公司名义处理一切与之有关的事务。</w:t>
      </w:r>
    </w:p>
    <w:p>
      <w:pPr>
        <w:tabs>
          <w:tab w:val="left" w:pos="3240"/>
          <w:tab w:val="left" w:pos="3840"/>
          <w:tab w:val="left" w:pos="4440"/>
        </w:tabs>
        <w:spacing w:before="3" w:line="364" w:lineRule="auto"/>
        <w:ind w:left="1080" w:right="3303" w:firstLine="0"/>
        <w:jc w:val="left"/>
        <w:rPr>
          <w:rFonts w:hint="eastAsia" w:ascii="宋体" w:hAnsi="宋体" w:eastAsia="宋体" w:cs="宋体"/>
          <w:sz w:val="24"/>
        </w:rPr>
      </w:pPr>
      <w:r>
        <w:rPr>
          <w:rFonts w:hint="eastAsia" w:ascii="宋体" w:hAnsi="宋体" w:eastAsia="宋体" w:cs="宋体"/>
          <w:spacing w:val="-2"/>
          <w:sz w:val="24"/>
        </w:rPr>
        <w:t>本授权书于</w:t>
      </w:r>
      <w:r>
        <w:rPr>
          <w:rFonts w:hint="eastAsia" w:ascii="宋体" w:hAnsi="宋体" w:eastAsia="宋体" w:cs="宋体"/>
          <w:sz w:val="24"/>
          <w:u w:val="single"/>
        </w:rPr>
        <w:tab/>
      </w:r>
      <w:r>
        <w:rPr>
          <w:rFonts w:hint="eastAsia" w:ascii="宋体" w:hAnsi="宋体" w:eastAsia="宋体" w:cs="宋体"/>
          <w:spacing w:val="-10"/>
          <w:sz w:val="24"/>
        </w:rPr>
        <w:t>年</w:t>
      </w:r>
      <w:r>
        <w:rPr>
          <w:rFonts w:hint="eastAsia" w:ascii="宋体" w:hAnsi="宋体" w:eastAsia="宋体" w:cs="宋体"/>
          <w:sz w:val="24"/>
          <w:u w:val="single"/>
        </w:rPr>
        <w:tab/>
      </w:r>
      <w:r>
        <w:rPr>
          <w:rFonts w:hint="eastAsia" w:ascii="宋体" w:hAnsi="宋体" w:eastAsia="宋体" w:cs="宋体"/>
          <w:spacing w:val="-10"/>
          <w:sz w:val="24"/>
        </w:rPr>
        <w:t>月</w:t>
      </w:r>
      <w:r>
        <w:rPr>
          <w:rFonts w:hint="eastAsia" w:ascii="宋体" w:hAnsi="宋体" w:eastAsia="宋体" w:cs="宋体"/>
          <w:sz w:val="24"/>
          <w:u w:val="single"/>
        </w:rPr>
        <w:tab/>
      </w:r>
      <w:r>
        <w:rPr>
          <w:rFonts w:hint="eastAsia" w:ascii="宋体" w:hAnsi="宋体" w:eastAsia="宋体" w:cs="宋体"/>
          <w:spacing w:val="-2"/>
          <w:sz w:val="24"/>
        </w:rPr>
        <w:t>日签字生效，特此声明。供应商名称（盖章）：</w:t>
      </w:r>
    </w:p>
    <w:p>
      <w:pPr>
        <w:spacing w:before="1" w:line="364" w:lineRule="auto"/>
        <w:ind w:left="1080" w:right="7384" w:firstLine="0"/>
        <w:jc w:val="left"/>
        <w:rPr>
          <w:rFonts w:hint="eastAsia" w:ascii="宋体" w:hAnsi="宋体" w:eastAsia="宋体" w:cs="宋体"/>
          <w:sz w:val="24"/>
        </w:rPr>
      </w:pPr>
      <w:r>
        <w:rPr>
          <w:rFonts w:hint="eastAsia" w:ascii="宋体" w:hAnsi="宋体" w:eastAsia="宋体" w:cs="宋体"/>
          <w:spacing w:val="-2"/>
          <w:sz w:val="24"/>
        </w:rPr>
        <w:t>法定代表人签字：被授权人签字：</w:t>
      </w:r>
    </w:p>
    <w:p>
      <w:pPr>
        <w:tabs>
          <w:tab w:val="left" w:pos="2340"/>
          <w:tab w:val="left" w:pos="3780"/>
          <w:tab w:val="left" w:pos="4500"/>
          <w:tab w:val="left" w:pos="5220"/>
        </w:tabs>
        <w:spacing w:before="2" w:line="364" w:lineRule="auto"/>
        <w:ind w:left="600" w:right="4923" w:firstLine="539"/>
        <w:jc w:val="left"/>
        <w:rPr>
          <w:rFonts w:hint="eastAsia" w:ascii="宋体" w:hAnsi="宋体" w:eastAsia="宋体" w:cs="宋体"/>
          <w:b/>
          <w:sz w:val="24"/>
        </w:rPr>
      </w:pPr>
      <w:r>
        <w:rPr>
          <w:rFonts w:hint="eastAsia" w:ascii="宋体" w:hAnsi="宋体" w:eastAsia="宋体" w:cs="宋体"/>
          <w:spacing w:val="-10"/>
          <w:sz w:val="24"/>
        </w:rPr>
        <w:t>日</w:t>
      </w:r>
      <w:r>
        <w:rPr>
          <w:rFonts w:hint="eastAsia" w:ascii="宋体" w:hAnsi="宋体" w:eastAsia="宋体" w:cs="宋体"/>
          <w:sz w:val="24"/>
        </w:rPr>
        <w:tab/>
      </w:r>
      <w:r>
        <w:rPr>
          <w:rFonts w:hint="eastAsia" w:ascii="宋体" w:hAnsi="宋体" w:eastAsia="宋体" w:cs="宋体"/>
          <w:spacing w:val="-6"/>
          <w:sz w:val="24"/>
        </w:rPr>
        <w:t>期：</w:t>
      </w:r>
      <w:r>
        <w:rPr>
          <w:rFonts w:hint="eastAsia" w:ascii="宋体" w:hAnsi="宋体" w:eastAsia="宋体" w:cs="宋体"/>
          <w:sz w:val="24"/>
          <w:u w:val="single"/>
        </w:rPr>
        <w:tab/>
      </w:r>
      <w:r>
        <w:rPr>
          <w:rFonts w:hint="eastAsia" w:ascii="宋体" w:hAnsi="宋体" w:eastAsia="宋体" w:cs="宋体"/>
          <w:spacing w:val="-10"/>
          <w:sz w:val="24"/>
        </w:rPr>
        <w:t>年</w:t>
      </w:r>
      <w:r>
        <w:rPr>
          <w:rFonts w:hint="eastAsia" w:ascii="宋体" w:hAnsi="宋体" w:eastAsia="宋体" w:cs="宋体"/>
          <w:sz w:val="24"/>
          <w:u w:val="single"/>
        </w:rPr>
        <w:tab/>
      </w:r>
      <w:r>
        <w:rPr>
          <w:rFonts w:hint="eastAsia" w:ascii="宋体" w:hAnsi="宋体" w:eastAsia="宋体" w:cs="宋体"/>
          <w:spacing w:val="-10"/>
          <w:sz w:val="24"/>
        </w:rPr>
        <w:t>月</w:t>
      </w:r>
      <w:r>
        <w:rPr>
          <w:rFonts w:hint="eastAsia" w:ascii="宋体" w:hAnsi="宋体" w:eastAsia="宋体" w:cs="宋体"/>
          <w:sz w:val="24"/>
          <w:u w:val="single"/>
        </w:rPr>
        <w:tab/>
      </w:r>
      <w:r>
        <w:rPr>
          <w:rFonts w:hint="eastAsia" w:ascii="宋体" w:hAnsi="宋体" w:eastAsia="宋体" w:cs="宋体"/>
          <w:spacing w:val="-10"/>
          <w:sz w:val="24"/>
        </w:rPr>
        <w:t>日</w:t>
      </w:r>
      <w:r>
        <w:rPr>
          <w:rFonts w:hint="eastAsia" w:ascii="宋体" w:hAnsi="宋体" w:eastAsia="宋体" w:cs="宋体"/>
          <w:b/>
          <w:spacing w:val="-2"/>
          <w:sz w:val="24"/>
        </w:rPr>
        <w:t>后附委托代理人的身份证</w:t>
      </w:r>
    </w:p>
    <w:p>
      <w:pPr>
        <w:spacing w:after="0" w:line="364" w:lineRule="auto"/>
        <w:jc w:val="left"/>
        <w:rPr>
          <w:rFonts w:hint="eastAsia" w:ascii="宋体" w:hAnsi="宋体" w:eastAsia="宋体" w:cs="宋体"/>
          <w:sz w:val="24"/>
        </w:rPr>
        <w:sectPr>
          <w:headerReference r:id="rId9" w:type="default"/>
          <w:pgSz w:w="11910" w:h="16840"/>
          <w:pgMar w:top="1460" w:right="320" w:bottom="280" w:left="1200" w:header="0" w:footer="0" w:gutter="0"/>
          <w:cols w:space="720" w:num="1"/>
        </w:sectPr>
      </w:pPr>
    </w:p>
    <w:p>
      <w:pPr>
        <w:pStyle w:val="4"/>
        <w:jc w:val="both"/>
        <w:rPr>
          <w:rFonts w:hint="eastAsia" w:ascii="宋体" w:hAnsi="宋体" w:eastAsia="宋体" w:cs="宋体"/>
          <w:sz w:val="21"/>
          <w:szCs w:val="21"/>
          <w:lang w:val="zh-CN"/>
        </w:rPr>
      </w:pPr>
      <w:r>
        <w:rPr>
          <w:rFonts w:hint="eastAsia" w:ascii="宋体" w:hAnsi="宋体" w:eastAsia="宋体" w:cs="宋体"/>
          <w:b/>
          <w:w w:val="95"/>
          <w:sz w:val="24"/>
        </w:rPr>
        <w:t>目录三、</w:t>
      </w:r>
      <w:r>
        <w:rPr>
          <w:rFonts w:hint="eastAsia" w:cs="宋体"/>
          <w:sz w:val="21"/>
          <w:szCs w:val="21"/>
          <w:lang w:val="en-US" w:eastAsia="zh-CN"/>
        </w:rPr>
        <w:t>开标一览表</w:t>
      </w:r>
      <w:r>
        <w:rPr>
          <w:rFonts w:hint="eastAsia" w:ascii="宋体" w:hAnsi="宋体" w:eastAsia="宋体" w:cs="宋体"/>
          <w:sz w:val="21"/>
          <w:szCs w:val="21"/>
          <w:lang w:val="zh-CN"/>
        </w:rPr>
        <w:t>格式</w:t>
      </w:r>
    </w:p>
    <w:p>
      <w:pPr>
        <w:tabs>
          <w:tab w:val="left" w:pos="6747"/>
        </w:tabs>
        <w:spacing w:before="81"/>
        <w:ind w:left="708" w:right="0" w:firstLine="0"/>
        <w:jc w:val="center"/>
        <w:rPr>
          <w:rFonts w:hint="eastAsia" w:cs="宋体"/>
          <w:b/>
          <w:w w:val="95"/>
          <w:sz w:val="24"/>
          <w:lang w:val="en-US" w:eastAsia="zh-CN"/>
        </w:rPr>
      </w:pPr>
      <w:r>
        <w:rPr>
          <w:rFonts w:hint="eastAsia" w:cs="宋体"/>
          <w:b/>
          <w:w w:val="95"/>
          <w:sz w:val="24"/>
          <w:lang w:val="en-US" w:eastAsia="zh-CN"/>
        </w:rPr>
        <w:t>开标一览表</w:t>
      </w:r>
      <w:r>
        <w:rPr>
          <w:rFonts w:hint="eastAsia" w:ascii="宋体" w:hAnsi="宋体" w:eastAsia="宋体" w:cs="宋体"/>
          <w:sz w:val="24"/>
        </w:rPr>
        <w:t>（第     轮）</w:t>
      </w:r>
    </w:p>
    <w:p>
      <w:pPr>
        <w:tabs>
          <w:tab w:val="left" w:pos="6747"/>
        </w:tabs>
        <w:spacing w:before="81"/>
        <w:ind w:left="708" w:right="0" w:firstLine="0"/>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pacing w:val="-10"/>
          <w:sz w:val="24"/>
        </w:rPr>
        <w:t>：</w:t>
      </w:r>
      <w:r>
        <w:rPr>
          <w:rFonts w:hint="eastAsia" w:ascii="宋体" w:hAnsi="宋体" w:eastAsia="宋体" w:cs="宋体"/>
          <w:sz w:val="24"/>
        </w:rPr>
        <w:tab/>
      </w:r>
      <w:r>
        <w:rPr>
          <w:rFonts w:hint="eastAsia" w:ascii="宋体" w:hAnsi="宋体" w:eastAsia="宋体" w:cs="宋体"/>
          <w:sz w:val="24"/>
        </w:rPr>
        <w:t>项目编号</w:t>
      </w:r>
      <w:r>
        <w:rPr>
          <w:rFonts w:hint="eastAsia" w:ascii="宋体" w:hAnsi="宋体" w:eastAsia="宋体" w:cs="宋体"/>
          <w:spacing w:val="-10"/>
          <w:sz w:val="24"/>
        </w:rPr>
        <w:t>：</w:t>
      </w:r>
    </w:p>
    <w:p>
      <w:pPr>
        <w:pStyle w:val="9"/>
        <w:spacing w:before="7"/>
        <w:rPr>
          <w:rFonts w:hint="eastAsia" w:ascii="宋体" w:hAnsi="宋体" w:eastAsia="宋体" w:cs="宋体"/>
          <w:sz w:val="12"/>
          <w:u w:val="none"/>
        </w:rPr>
      </w:pPr>
    </w:p>
    <w:tbl>
      <w:tblPr>
        <w:tblStyle w:val="19"/>
        <w:tblW w:w="0" w:type="auto"/>
        <w:tblInd w:w="6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2834"/>
        <w:gridCol w:w="1701"/>
        <w:gridCol w:w="1557"/>
        <w:gridCol w:w="1524"/>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trPr>
        <w:tc>
          <w:tcPr>
            <w:tcW w:w="734" w:type="dxa"/>
          </w:tcPr>
          <w:p>
            <w:pPr>
              <w:pStyle w:val="25"/>
              <w:rPr>
                <w:rFonts w:hint="eastAsia" w:ascii="宋体" w:hAnsi="宋体" w:eastAsia="宋体" w:cs="宋体"/>
                <w:sz w:val="24"/>
              </w:rPr>
            </w:pPr>
          </w:p>
          <w:p>
            <w:pPr>
              <w:pStyle w:val="25"/>
              <w:spacing w:before="8"/>
              <w:rPr>
                <w:rFonts w:hint="eastAsia" w:ascii="宋体" w:hAnsi="宋体" w:eastAsia="宋体" w:cs="宋体"/>
                <w:sz w:val="18"/>
              </w:rPr>
            </w:pPr>
          </w:p>
          <w:p>
            <w:pPr>
              <w:pStyle w:val="25"/>
              <w:ind w:left="126"/>
              <w:rPr>
                <w:rFonts w:hint="eastAsia" w:ascii="宋体" w:hAnsi="宋体" w:eastAsia="宋体" w:cs="宋体"/>
                <w:sz w:val="24"/>
              </w:rPr>
            </w:pPr>
            <w:r>
              <w:rPr>
                <w:rFonts w:hint="eastAsia" w:ascii="宋体" w:hAnsi="宋体" w:eastAsia="宋体" w:cs="宋体"/>
                <w:spacing w:val="-5"/>
                <w:sz w:val="24"/>
              </w:rPr>
              <w:t>序号</w:t>
            </w:r>
          </w:p>
        </w:tc>
        <w:tc>
          <w:tcPr>
            <w:tcW w:w="2834" w:type="dxa"/>
          </w:tcPr>
          <w:p>
            <w:pPr>
              <w:pStyle w:val="25"/>
              <w:rPr>
                <w:rFonts w:hint="eastAsia" w:ascii="宋体" w:hAnsi="宋体" w:eastAsia="宋体" w:cs="宋体"/>
                <w:sz w:val="24"/>
              </w:rPr>
            </w:pPr>
          </w:p>
          <w:p>
            <w:pPr>
              <w:pStyle w:val="25"/>
              <w:spacing w:before="8"/>
              <w:rPr>
                <w:rFonts w:hint="eastAsia" w:ascii="宋体" w:hAnsi="宋体" w:eastAsia="宋体" w:cs="宋体"/>
                <w:sz w:val="18"/>
              </w:rPr>
            </w:pPr>
          </w:p>
          <w:p>
            <w:pPr>
              <w:pStyle w:val="25"/>
              <w:ind w:left="276"/>
              <w:rPr>
                <w:rFonts w:hint="eastAsia" w:ascii="宋体" w:hAnsi="宋体" w:eastAsia="宋体" w:cs="宋体"/>
                <w:sz w:val="24"/>
              </w:rPr>
            </w:pPr>
            <w:r>
              <w:rPr>
                <w:rFonts w:hint="eastAsia" w:ascii="宋体" w:hAnsi="宋体" w:eastAsia="宋体" w:cs="宋体"/>
                <w:sz w:val="24"/>
              </w:rPr>
              <w:t>名</w:t>
            </w:r>
            <w:r>
              <w:rPr>
                <w:rFonts w:hint="eastAsia" w:ascii="宋体" w:hAnsi="宋体" w:eastAsia="宋体" w:cs="宋体"/>
                <w:sz w:val="24"/>
                <w:lang w:val="en-US" w:eastAsia="zh-CN"/>
              </w:rPr>
              <w:t xml:space="preserve">      </w:t>
            </w:r>
            <w:r>
              <w:rPr>
                <w:rFonts w:hint="eastAsia" w:ascii="宋体" w:hAnsi="宋体" w:eastAsia="宋体" w:cs="宋体"/>
                <w:sz w:val="24"/>
              </w:rPr>
              <w:t>称</w:t>
            </w:r>
          </w:p>
        </w:tc>
        <w:tc>
          <w:tcPr>
            <w:tcW w:w="1701" w:type="dxa"/>
          </w:tcPr>
          <w:p>
            <w:pPr>
              <w:pStyle w:val="25"/>
              <w:rPr>
                <w:rFonts w:hint="eastAsia" w:ascii="宋体" w:hAnsi="宋体" w:eastAsia="宋体" w:cs="宋体"/>
                <w:sz w:val="24"/>
              </w:rPr>
            </w:pPr>
          </w:p>
          <w:p>
            <w:pPr>
              <w:pStyle w:val="25"/>
              <w:spacing w:before="8"/>
              <w:rPr>
                <w:rFonts w:hint="eastAsia" w:ascii="宋体" w:hAnsi="宋体" w:eastAsia="宋体" w:cs="宋体"/>
                <w:sz w:val="18"/>
              </w:rPr>
            </w:pPr>
          </w:p>
          <w:p>
            <w:pPr>
              <w:pStyle w:val="25"/>
              <w:ind w:left="250"/>
              <w:rPr>
                <w:rFonts w:hint="eastAsia" w:ascii="宋体" w:hAnsi="宋体" w:eastAsia="宋体" w:cs="宋体"/>
                <w:sz w:val="24"/>
              </w:rPr>
            </w:pPr>
            <w:r>
              <w:rPr>
                <w:rFonts w:hint="eastAsia" w:ascii="宋体" w:hAnsi="宋体" w:eastAsia="宋体" w:cs="宋体"/>
                <w:sz w:val="24"/>
              </w:rPr>
              <w:t>报价（元</w:t>
            </w:r>
            <w:r>
              <w:rPr>
                <w:rFonts w:hint="eastAsia" w:ascii="宋体" w:hAnsi="宋体" w:eastAsia="宋体" w:cs="宋体"/>
                <w:spacing w:val="-10"/>
                <w:sz w:val="24"/>
              </w:rPr>
              <w:t>）</w:t>
            </w:r>
          </w:p>
        </w:tc>
        <w:tc>
          <w:tcPr>
            <w:tcW w:w="1557" w:type="dxa"/>
          </w:tcPr>
          <w:p>
            <w:pPr>
              <w:pStyle w:val="25"/>
              <w:spacing w:before="79" w:line="364" w:lineRule="auto"/>
              <w:ind w:left="110" w:right="86"/>
              <w:jc w:val="center"/>
              <w:rPr>
                <w:rFonts w:hint="eastAsia" w:ascii="宋体" w:hAnsi="宋体" w:eastAsia="宋体" w:cs="宋体"/>
                <w:b/>
                <w:sz w:val="24"/>
              </w:rPr>
            </w:pPr>
            <w:r>
              <w:rPr>
                <w:rFonts w:hint="eastAsia" w:ascii="宋体" w:hAnsi="宋体" w:eastAsia="宋体" w:cs="宋体"/>
                <w:spacing w:val="-2"/>
                <w:sz w:val="24"/>
              </w:rPr>
              <w:t>其中</w:t>
            </w:r>
            <w:r>
              <w:rPr>
                <w:rFonts w:hint="eastAsia" w:ascii="宋体" w:hAnsi="宋体" w:eastAsia="宋体" w:cs="宋体"/>
                <w:b/>
                <w:spacing w:val="-28"/>
                <w:sz w:val="24"/>
              </w:rPr>
              <w:t>小、微型</w:t>
            </w:r>
            <w:r>
              <w:rPr>
                <w:rFonts w:hint="eastAsia" w:ascii="宋体" w:hAnsi="宋体" w:eastAsia="宋体" w:cs="宋体"/>
                <w:b/>
                <w:spacing w:val="-4"/>
                <w:sz w:val="24"/>
              </w:rPr>
              <w:t>企业报价</w:t>
            </w:r>
          </w:p>
          <w:p>
            <w:pPr>
              <w:pStyle w:val="25"/>
              <w:spacing w:before="1"/>
              <w:ind w:left="105" w:right="86"/>
              <w:jc w:val="center"/>
              <w:rPr>
                <w:rFonts w:hint="eastAsia" w:ascii="宋体" w:hAnsi="宋体" w:eastAsia="宋体" w:cs="宋体"/>
                <w:b/>
                <w:sz w:val="24"/>
              </w:rPr>
            </w:pPr>
            <w:r>
              <w:rPr>
                <w:rFonts w:hint="eastAsia" w:ascii="宋体" w:hAnsi="宋体" w:eastAsia="宋体" w:cs="宋体"/>
                <w:b/>
                <w:w w:val="95"/>
                <w:sz w:val="24"/>
              </w:rPr>
              <w:t>（元</w:t>
            </w:r>
            <w:r>
              <w:rPr>
                <w:rFonts w:hint="eastAsia" w:ascii="宋体" w:hAnsi="宋体" w:eastAsia="宋体" w:cs="宋体"/>
                <w:b/>
                <w:spacing w:val="-10"/>
                <w:w w:val="95"/>
                <w:sz w:val="24"/>
              </w:rPr>
              <w:t>）</w:t>
            </w:r>
          </w:p>
        </w:tc>
        <w:tc>
          <w:tcPr>
            <w:tcW w:w="1524" w:type="dxa"/>
          </w:tcPr>
          <w:p>
            <w:pPr>
              <w:pStyle w:val="25"/>
              <w:spacing w:before="79" w:line="364" w:lineRule="auto"/>
              <w:ind w:left="161" w:right="141" w:firstLine="2"/>
              <w:rPr>
                <w:rFonts w:hint="eastAsia" w:ascii="宋体" w:hAnsi="宋体" w:eastAsia="宋体" w:cs="宋体"/>
                <w:b/>
                <w:sz w:val="24"/>
              </w:rPr>
            </w:pPr>
            <w:r>
              <w:rPr>
                <w:rFonts w:hint="eastAsia" w:ascii="宋体" w:hAnsi="宋体" w:eastAsia="宋体" w:cs="宋体"/>
                <w:spacing w:val="-2"/>
                <w:sz w:val="24"/>
              </w:rPr>
              <w:t>其中</w:t>
            </w:r>
            <w:r>
              <w:rPr>
                <w:rFonts w:hint="eastAsia" w:ascii="宋体" w:hAnsi="宋体" w:eastAsia="宋体" w:cs="宋体"/>
                <w:b/>
                <w:spacing w:val="-2"/>
                <w:sz w:val="24"/>
              </w:rPr>
              <w:t>残疾人</w:t>
            </w:r>
            <w:r>
              <w:rPr>
                <w:rFonts w:hint="eastAsia" w:ascii="宋体" w:hAnsi="宋体" w:eastAsia="宋体" w:cs="宋体"/>
                <w:b/>
                <w:spacing w:val="-2"/>
                <w:w w:val="95"/>
                <w:sz w:val="24"/>
              </w:rPr>
              <w:t>福利单位报</w:t>
            </w:r>
          </w:p>
          <w:p>
            <w:pPr>
              <w:pStyle w:val="25"/>
              <w:spacing w:before="1"/>
              <w:ind w:left="281"/>
              <w:rPr>
                <w:rFonts w:hint="eastAsia" w:ascii="宋体" w:hAnsi="宋体" w:eastAsia="宋体" w:cs="宋体"/>
                <w:b/>
                <w:sz w:val="24"/>
              </w:rPr>
            </w:pPr>
            <w:r>
              <w:rPr>
                <w:rFonts w:hint="eastAsia" w:ascii="宋体" w:hAnsi="宋体" w:eastAsia="宋体" w:cs="宋体"/>
                <w:b/>
                <w:w w:val="95"/>
                <w:sz w:val="24"/>
              </w:rPr>
              <w:t>价（元</w:t>
            </w:r>
            <w:r>
              <w:rPr>
                <w:rFonts w:hint="eastAsia" w:ascii="宋体" w:hAnsi="宋体" w:eastAsia="宋体" w:cs="宋体"/>
                <w:b/>
                <w:spacing w:val="-10"/>
                <w:w w:val="95"/>
                <w:sz w:val="24"/>
              </w:rPr>
              <w:t>）</w:t>
            </w:r>
          </w:p>
        </w:tc>
        <w:tc>
          <w:tcPr>
            <w:tcW w:w="1312" w:type="dxa"/>
          </w:tcPr>
          <w:p>
            <w:pPr>
              <w:pStyle w:val="25"/>
              <w:spacing w:before="79" w:line="364" w:lineRule="auto"/>
              <w:ind w:left="176" w:right="154"/>
              <w:jc w:val="center"/>
              <w:rPr>
                <w:rFonts w:hint="eastAsia" w:ascii="宋体" w:hAnsi="宋体" w:eastAsia="宋体" w:cs="宋体"/>
                <w:b/>
                <w:sz w:val="24"/>
              </w:rPr>
            </w:pPr>
            <w:r>
              <w:rPr>
                <w:rFonts w:hint="eastAsia" w:ascii="宋体" w:hAnsi="宋体" w:eastAsia="宋体" w:cs="宋体"/>
                <w:spacing w:val="-4"/>
                <w:sz w:val="24"/>
              </w:rPr>
              <w:t>其中</w:t>
            </w:r>
            <w:r>
              <w:rPr>
                <w:rFonts w:hint="eastAsia" w:ascii="宋体" w:hAnsi="宋体" w:eastAsia="宋体" w:cs="宋体"/>
                <w:b/>
                <w:spacing w:val="-4"/>
                <w:sz w:val="24"/>
              </w:rPr>
              <w:t>监狱</w:t>
            </w:r>
            <w:r>
              <w:rPr>
                <w:rFonts w:hint="eastAsia" w:ascii="宋体" w:hAnsi="宋体" w:eastAsia="宋体" w:cs="宋体"/>
                <w:b/>
                <w:spacing w:val="-3"/>
                <w:w w:val="95"/>
                <w:sz w:val="24"/>
              </w:rPr>
              <w:t>企业报价</w:t>
            </w:r>
          </w:p>
          <w:p>
            <w:pPr>
              <w:pStyle w:val="25"/>
              <w:spacing w:before="1"/>
              <w:ind w:left="171" w:right="154"/>
              <w:jc w:val="center"/>
              <w:rPr>
                <w:rFonts w:hint="eastAsia" w:ascii="宋体" w:hAnsi="宋体" w:eastAsia="宋体" w:cs="宋体"/>
                <w:b/>
                <w:sz w:val="24"/>
              </w:rPr>
            </w:pPr>
            <w:r>
              <w:rPr>
                <w:rFonts w:hint="eastAsia" w:ascii="宋体" w:hAnsi="宋体" w:eastAsia="宋体" w:cs="宋体"/>
                <w:b/>
                <w:w w:val="95"/>
                <w:sz w:val="24"/>
              </w:rPr>
              <w:t>（元</w:t>
            </w:r>
            <w:r>
              <w:rPr>
                <w:rFonts w:hint="eastAsia" w:ascii="宋体" w:hAnsi="宋体" w:eastAsia="宋体" w:cs="宋体"/>
                <w:b/>
                <w:spacing w:val="-10"/>
                <w:w w:val="95"/>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34" w:type="dxa"/>
          </w:tcPr>
          <w:p>
            <w:pPr>
              <w:pStyle w:val="25"/>
              <w:rPr>
                <w:rFonts w:hint="eastAsia" w:ascii="宋体" w:hAnsi="宋体" w:eastAsia="宋体" w:cs="宋体"/>
                <w:sz w:val="22"/>
              </w:rPr>
            </w:pPr>
          </w:p>
        </w:tc>
        <w:tc>
          <w:tcPr>
            <w:tcW w:w="2834" w:type="dxa"/>
          </w:tcPr>
          <w:p>
            <w:pPr>
              <w:pStyle w:val="25"/>
              <w:rPr>
                <w:rFonts w:hint="eastAsia" w:ascii="宋体" w:hAnsi="宋体" w:eastAsia="宋体" w:cs="宋体"/>
                <w:sz w:val="22"/>
              </w:rPr>
            </w:pPr>
          </w:p>
        </w:tc>
        <w:tc>
          <w:tcPr>
            <w:tcW w:w="1701" w:type="dxa"/>
          </w:tcPr>
          <w:p>
            <w:pPr>
              <w:pStyle w:val="25"/>
              <w:rPr>
                <w:rFonts w:hint="eastAsia" w:ascii="宋体" w:hAnsi="宋体" w:eastAsia="宋体" w:cs="宋体"/>
                <w:sz w:val="22"/>
              </w:rPr>
            </w:pPr>
          </w:p>
        </w:tc>
        <w:tc>
          <w:tcPr>
            <w:tcW w:w="1557" w:type="dxa"/>
          </w:tcPr>
          <w:p>
            <w:pPr>
              <w:pStyle w:val="25"/>
              <w:rPr>
                <w:rFonts w:hint="eastAsia" w:ascii="宋体" w:hAnsi="宋体" w:eastAsia="宋体" w:cs="宋体"/>
                <w:sz w:val="22"/>
              </w:rPr>
            </w:pPr>
          </w:p>
        </w:tc>
        <w:tc>
          <w:tcPr>
            <w:tcW w:w="1524" w:type="dxa"/>
          </w:tcPr>
          <w:p>
            <w:pPr>
              <w:pStyle w:val="25"/>
              <w:rPr>
                <w:rFonts w:hint="eastAsia" w:ascii="宋体" w:hAnsi="宋体" w:eastAsia="宋体" w:cs="宋体"/>
                <w:sz w:val="22"/>
              </w:rPr>
            </w:pPr>
          </w:p>
        </w:tc>
        <w:tc>
          <w:tcPr>
            <w:tcW w:w="1312" w:type="dxa"/>
          </w:tcPr>
          <w:p>
            <w:pPr>
              <w:pStyle w:val="25"/>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34" w:type="dxa"/>
          </w:tcPr>
          <w:p>
            <w:pPr>
              <w:pStyle w:val="25"/>
              <w:rPr>
                <w:rFonts w:hint="eastAsia" w:ascii="宋体" w:hAnsi="宋体" w:eastAsia="宋体" w:cs="宋体"/>
                <w:sz w:val="22"/>
              </w:rPr>
            </w:pPr>
          </w:p>
        </w:tc>
        <w:tc>
          <w:tcPr>
            <w:tcW w:w="2834" w:type="dxa"/>
          </w:tcPr>
          <w:p>
            <w:pPr>
              <w:pStyle w:val="25"/>
              <w:rPr>
                <w:rFonts w:hint="eastAsia" w:ascii="宋体" w:hAnsi="宋体" w:eastAsia="宋体" w:cs="宋体"/>
                <w:sz w:val="22"/>
              </w:rPr>
            </w:pPr>
          </w:p>
        </w:tc>
        <w:tc>
          <w:tcPr>
            <w:tcW w:w="1701" w:type="dxa"/>
          </w:tcPr>
          <w:p>
            <w:pPr>
              <w:pStyle w:val="25"/>
              <w:rPr>
                <w:rFonts w:hint="eastAsia" w:ascii="宋体" w:hAnsi="宋体" w:eastAsia="宋体" w:cs="宋体"/>
                <w:sz w:val="22"/>
              </w:rPr>
            </w:pPr>
          </w:p>
        </w:tc>
        <w:tc>
          <w:tcPr>
            <w:tcW w:w="1557" w:type="dxa"/>
          </w:tcPr>
          <w:p>
            <w:pPr>
              <w:pStyle w:val="25"/>
              <w:rPr>
                <w:rFonts w:hint="eastAsia" w:ascii="宋体" w:hAnsi="宋体" w:eastAsia="宋体" w:cs="宋体"/>
                <w:sz w:val="22"/>
              </w:rPr>
            </w:pPr>
          </w:p>
        </w:tc>
        <w:tc>
          <w:tcPr>
            <w:tcW w:w="1524" w:type="dxa"/>
          </w:tcPr>
          <w:p>
            <w:pPr>
              <w:pStyle w:val="25"/>
              <w:rPr>
                <w:rFonts w:hint="eastAsia" w:ascii="宋体" w:hAnsi="宋体" w:eastAsia="宋体" w:cs="宋体"/>
                <w:sz w:val="22"/>
              </w:rPr>
            </w:pPr>
          </w:p>
        </w:tc>
        <w:tc>
          <w:tcPr>
            <w:tcW w:w="1312" w:type="dxa"/>
          </w:tcPr>
          <w:p>
            <w:pPr>
              <w:pStyle w:val="25"/>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568" w:type="dxa"/>
            <w:gridSpan w:val="2"/>
          </w:tcPr>
          <w:p>
            <w:pPr>
              <w:pStyle w:val="25"/>
              <w:spacing w:before="2"/>
              <w:ind w:left="582"/>
              <w:rPr>
                <w:rFonts w:hint="eastAsia" w:ascii="宋体" w:hAnsi="宋体" w:eastAsia="宋体" w:cs="宋体"/>
                <w:sz w:val="24"/>
              </w:rPr>
            </w:pPr>
            <w:r>
              <w:rPr>
                <w:rFonts w:hint="eastAsia" w:ascii="宋体" w:hAnsi="宋体" w:eastAsia="宋体" w:cs="宋体"/>
                <w:sz w:val="24"/>
              </w:rPr>
              <w:t>总价（人民币，大写</w:t>
            </w:r>
            <w:r>
              <w:rPr>
                <w:rFonts w:hint="eastAsia" w:ascii="宋体" w:hAnsi="宋体" w:eastAsia="宋体" w:cs="宋体"/>
                <w:spacing w:val="-10"/>
                <w:sz w:val="24"/>
              </w:rPr>
              <w:t>）</w:t>
            </w:r>
          </w:p>
        </w:tc>
        <w:tc>
          <w:tcPr>
            <w:tcW w:w="6094" w:type="dxa"/>
            <w:gridSpan w:val="4"/>
          </w:tcPr>
          <w:p>
            <w:pPr>
              <w:pStyle w:val="25"/>
              <w:tabs>
                <w:tab w:val="left" w:pos="3109"/>
              </w:tabs>
              <w:spacing w:before="2"/>
              <w:ind w:left="1189"/>
              <w:rPr>
                <w:rFonts w:hint="eastAsia" w:ascii="宋体" w:hAnsi="宋体" w:eastAsia="宋体" w:cs="宋体"/>
                <w:sz w:val="24"/>
              </w:rPr>
            </w:pPr>
            <w:r>
              <w:rPr>
                <w:rFonts w:hint="eastAsia" w:ascii="宋体" w:hAnsi="宋体" w:eastAsia="宋体" w:cs="宋体"/>
                <w:sz w:val="24"/>
                <w:u w:val="single"/>
              </w:rPr>
              <w:tab/>
            </w:r>
            <w:r>
              <w:rPr>
                <w:rFonts w:hint="eastAsia" w:ascii="宋体" w:hAnsi="宋体" w:eastAsia="宋体" w:cs="宋体"/>
                <w:spacing w:val="-10"/>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568" w:type="dxa"/>
            <w:gridSpan w:val="2"/>
          </w:tcPr>
          <w:p>
            <w:pPr>
              <w:pStyle w:val="25"/>
              <w:spacing w:before="2"/>
              <w:ind w:left="582"/>
              <w:rPr>
                <w:rFonts w:hint="eastAsia" w:ascii="宋体" w:hAnsi="宋体" w:eastAsia="宋体" w:cs="宋体"/>
                <w:sz w:val="24"/>
              </w:rPr>
            </w:pPr>
            <w:r>
              <w:rPr>
                <w:rFonts w:hint="eastAsia"/>
                <w:sz w:val="24"/>
                <w:lang w:val="en-US" w:eastAsia="zh-CN"/>
              </w:rPr>
              <w:t>供应商</w:t>
            </w:r>
            <w:r>
              <w:rPr>
                <w:sz w:val="24"/>
              </w:rPr>
              <w:t>投标货物中有无进口产品</w:t>
            </w:r>
          </w:p>
        </w:tc>
        <w:tc>
          <w:tcPr>
            <w:tcW w:w="6094" w:type="dxa"/>
            <w:gridSpan w:val="4"/>
          </w:tcPr>
          <w:p>
            <w:pPr>
              <w:pStyle w:val="25"/>
              <w:tabs>
                <w:tab w:val="left" w:pos="3109"/>
              </w:tabs>
              <w:spacing w:before="2"/>
              <w:ind w:firstLine="240" w:firstLineChars="100"/>
              <w:rPr>
                <w:rFonts w:hint="default" w:ascii="宋体" w:hAnsi="宋体" w:eastAsia="宋体" w:cs="宋体"/>
                <w:sz w:val="24"/>
                <w:u w:val="single"/>
                <w:lang w:val="en-US" w:eastAsia="zh-CN"/>
              </w:rPr>
            </w:pPr>
            <w:r>
              <w:rPr>
                <w:rFonts w:hint="eastAsia" w:ascii="宋体" w:hAnsi="宋体" w:eastAsia="宋体" w:cs="宋体"/>
                <w:sz w:val="24"/>
              </w:rPr>
              <w:t>是</w:t>
            </w:r>
            <w:r>
              <w:rPr>
                <w:rFonts w:hint="eastAsia" w:cs="宋体"/>
                <w:sz w:val="24"/>
                <w:lang w:val="en-US" w:eastAsia="zh-CN"/>
              </w:rPr>
              <w:t xml:space="preserve">             </w:t>
            </w:r>
            <w:r>
              <w:rPr>
                <w:rFonts w:hint="eastAsia" w:ascii="宋体" w:hAnsi="宋体" w:eastAsia="宋体" w:cs="宋体"/>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3568" w:type="dxa"/>
            <w:gridSpan w:val="2"/>
          </w:tcPr>
          <w:p>
            <w:pPr>
              <w:pStyle w:val="25"/>
              <w:spacing w:before="95"/>
              <w:ind w:left="342"/>
              <w:rPr>
                <w:rFonts w:hint="eastAsia" w:ascii="宋体" w:hAnsi="宋体" w:eastAsia="宋体" w:cs="宋体"/>
                <w:sz w:val="24"/>
              </w:rPr>
            </w:pPr>
            <w:r>
              <w:rPr>
                <w:rFonts w:hint="eastAsia" w:ascii="宋体" w:hAnsi="宋体" w:eastAsia="宋体" w:cs="宋体"/>
                <w:spacing w:val="-1"/>
                <w:sz w:val="24"/>
              </w:rPr>
              <w:t>供应商是否属于小微型企业</w:t>
            </w:r>
          </w:p>
        </w:tc>
        <w:tc>
          <w:tcPr>
            <w:tcW w:w="1701" w:type="dxa"/>
            <w:tcBorders>
              <w:right w:val="nil"/>
            </w:tcBorders>
          </w:tcPr>
          <w:p>
            <w:pPr>
              <w:pStyle w:val="25"/>
              <w:spacing w:before="95"/>
              <w:ind w:left="229"/>
              <w:rPr>
                <w:rFonts w:hint="eastAsia" w:ascii="宋体" w:hAnsi="宋体" w:eastAsia="宋体" w:cs="宋体"/>
                <w:sz w:val="24"/>
              </w:rPr>
            </w:pPr>
            <w:r>
              <w:rPr>
                <w:rFonts w:hint="eastAsia" w:ascii="宋体" w:hAnsi="宋体" w:eastAsia="宋体" w:cs="宋体"/>
                <w:sz w:val="24"/>
              </w:rPr>
              <w:t>是</w:t>
            </w:r>
          </w:p>
        </w:tc>
        <w:tc>
          <w:tcPr>
            <w:tcW w:w="1557" w:type="dxa"/>
            <w:tcBorders>
              <w:left w:val="nil"/>
              <w:right w:val="nil"/>
            </w:tcBorders>
          </w:tcPr>
          <w:p>
            <w:pPr>
              <w:pStyle w:val="25"/>
              <w:spacing w:before="95"/>
              <w:ind w:left="335"/>
              <w:rPr>
                <w:rFonts w:hint="eastAsia" w:ascii="宋体" w:hAnsi="宋体" w:eastAsia="宋体" w:cs="宋体"/>
                <w:sz w:val="24"/>
              </w:rPr>
            </w:pPr>
            <w:r>
              <w:rPr>
                <w:rFonts w:hint="eastAsia" w:ascii="宋体" w:hAnsi="宋体" w:eastAsia="宋体" w:cs="宋体"/>
                <w:sz w:val="24"/>
              </w:rPr>
              <w:t>否</w:t>
            </w:r>
          </w:p>
        </w:tc>
        <w:tc>
          <w:tcPr>
            <w:tcW w:w="1524" w:type="dxa"/>
            <w:tcBorders>
              <w:left w:val="nil"/>
              <w:right w:val="nil"/>
            </w:tcBorders>
          </w:tcPr>
          <w:p>
            <w:pPr>
              <w:pStyle w:val="25"/>
              <w:rPr>
                <w:rFonts w:hint="eastAsia" w:ascii="宋体" w:hAnsi="宋体" w:eastAsia="宋体" w:cs="宋体"/>
                <w:sz w:val="22"/>
              </w:rPr>
            </w:pPr>
          </w:p>
        </w:tc>
        <w:tc>
          <w:tcPr>
            <w:tcW w:w="1312" w:type="dxa"/>
            <w:tcBorders>
              <w:left w:val="nil"/>
            </w:tcBorders>
          </w:tcPr>
          <w:p>
            <w:pPr>
              <w:pStyle w:val="25"/>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3568" w:type="dxa"/>
            <w:gridSpan w:val="2"/>
          </w:tcPr>
          <w:p>
            <w:pPr>
              <w:pStyle w:val="25"/>
              <w:spacing w:line="307" w:lineRule="exact"/>
              <w:ind w:left="209" w:right="197"/>
              <w:jc w:val="center"/>
              <w:rPr>
                <w:rFonts w:hint="eastAsia" w:ascii="宋体" w:hAnsi="宋体" w:eastAsia="宋体" w:cs="宋体"/>
                <w:sz w:val="24"/>
              </w:rPr>
            </w:pPr>
            <w:r>
              <w:rPr>
                <w:rFonts w:hint="eastAsia" w:ascii="宋体" w:hAnsi="宋体" w:eastAsia="宋体" w:cs="宋体"/>
                <w:spacing w:val="-1"/>
                <w:sz w:val="24"/>
              </w:rPr>
              <w:t>供应商是否属于残疾人福利性</w:t>
            </w:r>
          </w:p>
          <w:p>
            <w:pPr>
              <w:pStyle w:val="25"/>
              <w:spacing w:before="160"/>
              <w:ind w:left="209" w:right="197"/>
              <w:jc w:val="center"/>
              <w:rPr>
                <w:rFonts w:hint="eastAsia" w:ascii="宋体" w:hAnsi="宋体" w:eastAsia="宋体" w:cs="宋体"/>
                <w:sz w:val="24"/>
              </w:rPr>
            </w:pPr>
            <w:r>
              <w:rPr>
                <w:rFonts w:hint="eastAsia" w:ascii="宋体" w:hAnsi="宋体" w:eastAsia="宋体" w:cs="宋体"/>
                <w:spacing w:val="-5"/>
                <w:sz w:val="24"/>
              </w:rPr>
              <w:t>单位</w:t>
            </w:r>
          </w:p>
        </w:tc>
        <w:tc>
          <w:tcPr>
            <w:tcW w:w="1701" w:type="dxa"/>
            <w:tcBorders>
              <w:right w:val="nil"/>
            </w:tcBorders>
          </w:tcPr>
          <w:p>
            <w:pPr>
              <w:pStyle w:val="25"/>
              <w:spacing w:before="4"/>
              <w:rPr>
                <w:rFonts w:hint="eastAsia" w:ascii="宋体" w:hAnsi="宋体" w:eastAsia="宋体" w:cs="宋体"/>
                <w:sz w:val="18"/>
              </w:rPr>
            </w:pPr>
          </w:p>
          <w:p>
            <w:pPr>
              <w:pStyle w:val="25"/>
              <w:ind w:left="229"/>
              <w:rPr>
                <w:rFonts w:hint="eastAsia" w:ascii="宋体" w:hAnsi="宋体" w:eastAsia="宋体" w:cs="宋体"/>
                <w:sz w:val="24"/>
              </w:rPr>
            </w:pPr>
            <w:r>
              <w:rPr>
                <w:rFonts w:hint="eastAsia" w:ascii="宋体" w:hAnsi="宋体" w:eastAsia="宋体" w:cs="宋体"/>
                <w:sz w:val="24"/>
              </w:rPr>
              <w:t>是</w:t>
            </w:r>
          </w:p>
        </w:tc>
        <w:tc>
          <w:tcPr>
            <w:tcW w:w="1557" w:type="dxa"/>
            <w:tcBorders>
              <w:left w:val="nil"/>
              <w:right w:val="nil"/>
            </w:tcBorders>
          </w:tcPr>
          <w:p>
            <w:pPr>
              <w:pStyle w:val="25"/>
              <w:spacing w:before="4"/>
              <w:rPr>
                <w:rFonts w:hint="eastAsia" w:ascii="宋体" w:hAnsi="宋体" w:eastAsia="宋体" w:cs="宋体"/>
                <w:sz w:val="18"/>
              </w:rPr>
            </w:pPr>
          </w:p>
          <w:p>
            <w:pPr>
              <w:pStyle w:val="25"/>
              <w:ind w:left="335"/>
              <w:rPr>
                <w:rFonts w:hint="eastAsia" w:ascii="宋体" w:hAnsi="宋体" w:eastAsia="宋体" w:cs="宋体"/>
                <w:sz w:val="24"/>
              </w:rPr>
            </w:pPr>
            <w:r>
              <w:rPr>
                <w:rFonts w:hint="eastAsia" w:ascii="宋体" w:hAnsi="宋体" w:eastAsia="宋体" w:cs="宋体"/>
                <w:sz w:val="24"/>
              </w:rPr>
              <w:t>否</w:t>
            </w:r>
          </w:p>
        </w:tc>
        <w:tc>
          <w:tcPr>
            <w:tcW w:w="1524" w:type="dxa"/>
            <w:tcBorders>
              <w:left w:val="nil"/>
              <w:right w:val="nil"/>
            </w:tcBorders>
          </w:tcPr>
          <w:p>
            <w:pPr>
              <w:pStyle w:val="25"/>
              <w:rPr>
                <w:rFonts w:hint="eastAsia" w:ascii="宋体" w:hAnsi="宋体" w:eastAsia="宋体" w:cs="宋体"/>
                <w:sz w:val="22"/>
              </w:rPr>
            </w:pPr>
          </w:p>
        </w:tc>
        <w:tc>
          <w:tcPr>
            <w:tcW w:w="1312" w:type="dxa"/>
            <w:tcBorders>
              <w:left w:val="nil"/>
            </w:tcBorders>
          </w:tcPr>
          <w:p>
            <w:pPr>
              <w:pStyle w:val="25"/>
              <w:rPr>
                <w:rFonts w:hint="eastAsia" w:ascii="宋体" w:hAnsi="宋体" w:eastAsia="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3568" w:type="dxa"/>
            <w:gridSpan w:val="2"/>
          </w:tcPr>
          <w:p>
            <w:pPr>
              <w:pStyle w:val="25"/>
              <w:spacing w:before="136"/>
              <w:ind w:left="462"/>
              <w:rPr>
                <w:rFonts w:hint="eastAsia" w:ascii="宋体" w:hAnsi="宋体" w:eastAsia="宋体" w:cs="宋体"/>
                <w:sz w:val="24"/>
              </w:rPr>
            </w:pPr>
            <w:r>
              <w:rPr>
                <w:rFonts w:hint="eastAsia" w:ascii="宋体" w:hAnsi="宋体" w:eastAsia="宋体" w:cs="宋体"/>
                <w:spacing w:val="-1"/>
                <w:sz w:val="24"/>
              </w:rPr>
              <w:t>供应商是否属于监狱企业</w:t>
            </w:r>
          </w:p>
        </w:tc>
        <w:tc>
          <w:tcPr>
            <w:tcW w:w="1701" w:type="dxa"/>
            <w:tcBorders>
              <w:right w:val="nil"/>
            </w:tcBorders>
          </w:tcPr>
          <w:p>
            <w:pPr>
              <w:pStyle w:val="25"/>
              <w:spacing w:before="136"/>
              <w:ind w:left="229"/>
              <w:rPr>
                <w:rFonts w:hint="eastAsia" w:ascii="宋体" w:hAnsi="宋体" w:eastAsia="宋体" w:cs="宋体"/>
                <w:sz w:val="24"/>
              </w:rPr>
            </w:pPr>
            <w:r>
              <w:rPr>
                <w:rFonts w:hint="eastAsia" w:ascii="宋体" w:hAnsi="宋体" w:eastAsia="宋体" w:cs="宋体"/>
                <w:sz w:val="24"/>
              </w:rPr>
              <w:t>是</w:t>
            </w:r>
          </w:p>
        </w:tc>
        <w:tc>
          <w:tcPr>
            <w:tcW w:w="1557" w:type="dxa"/>
            <w:tcBorders>
              <w:left w:val="nil"/>
              <w:right w:val="nil"/>
            </w:tcBorders>
          </w:tcPr>
          <w:p>
            <w:pPr>
              <w:pStyle w:val="25"/>
              <w:spacing w:before="136"/>
              <w:ind w:left="335"/>
              <w:rPr>
                <w:rFonts w:hint="eastAsia" w:ascii="宋体" w:hAnsi="宋体" w:eastAsia="宋体" w:cs="宋体"/>
                <w:sz w:val="24"/>
              </w:rPr>
            </w:pPr>
            <w:r>
              <w:rPr>
                <w:rFonts w:hint="eastAsia" w:ascii="宋体" w:hAnsi="宋体" w:eastAsia="宋体" w:cs="宋体"/>
                <w:sz w:val="24"/>
              </w:rPr>
              <w:t>否</w:t>
            </w:r>
          </w:p>
        </w:tc>
        <w:tc>
          <w:tcPr>
            <w:tcW w:w="1524" w:type="dxa"/>
            <w:tcBorders>
              <w:left w:val="nil"/>
              <w:right w:val="nil"/>
            </w:tcBorders>
          </w:tcPr>
          <w:p>
            <w:pPr>
              <w:pStyle w:val="25"/>
              <w:rPr>
                <w:rFonts w:hint="eastAsia" w:ascii="宋体" w:hAnsi="宋体" w:eastAsia="宋体" w:cs="宋体"/>
                <w:sz w:val="22"/>
              </w:rPr>
            </w:pPr>
          </w:p>
        </w:tc>
        <w:tc>
          <w:tcPr>
            <w:tcW w:w="1312" w:type="dxa"/>
            <w:tcBorders>
              <w:left w:val="nil"/>
            </w:tcBorders>
          </w:tcPr>
          <w:p>
            <w:pPr>
              <w:pStyle w:val="25"/>
              <w:rPr>
                <w:rFonts w:hint="eastAsia" w:ascii="宋体" w:hAnsi="宋体" w:eastAsia="宋体" w:cs="宋体"/>
                <w:sz w:val="22"/>
              </w:rPr>
            </w:pPr>
          </w:p>
        </w:tc>
      </w:tr>
    </w:tbl>
    <w:p>
      <w:pPr>
        <w:tabs>
          <w:tab w:val="left" w:pos="7921"/>
        </w:tabs>
        <w:spacing w:before="82"/>
        <w:ind w:left="600" w:right="0" w:firstLine="0"/>
        <w:jc w:val="left"/>
        <w:rPr>
          <w:rFonts w:hint="eastAsia" w:ascii="宋体" w:hAnsi="宋体" w:eastAsia="宋体" w:cs="宋体"/>
          <w:sz w:val="24"/>
        </w:rPr>
      </w:pPr>
      <w:r>
        <w:rPr>
          <w:rFonts w:hint="eastAsia" w:ascii="宋体" w:hAnsi="宋体" w:eastAsia="宋体" w:cs="宋体"/>
        </w:rPr>
        <w:drawing>
          <wp:anchor distT="0" distB="0" distL="0" distR="0" simplePos="0" relativeHeight="251659264" behindDoc="0" locked="0" layoutInCell="1" allowOverlap="1">
            <wp:simplePos x="0" y="0"/>
            <wp:positionH relativeFrom="page">
              <wp:posOffset>1981200</wp:posOffset>
            </wp:positionH>
            <wp:positionV relativeFrom="paragraph">
              <wp:posOffset>225425</wp:posOffset>
            </wp:positionV>
            <wp:extent cx="3810635" cy="7620"/>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png"/>
                    <pic:cNvPicPr>
                      <a:picLocks noChangeAspect="1"/>
                    </pic:cNvPicPr>
                  </pic:nvPicPr>
                  <pic:blipFill>
                    <a:blip r:embed="rId22" cstate="print"/>
                    <a:stretch>
                      <a:fillRect/>
                    </a:stretch>
                  </pic:blipFill>
                  <pic:spPr>
                    <a:xfrm>
                      <a:off x="0" y="0"/>
                      <a:ext cx="3810635" cy="7620"/>
                    </a:xfrm>
                    <a:prstGeom prst="rect">
                      <a:avLst/>
                    </a:prstGeom>
                  </pic:spPr>
                </pic:pic>
              </a:graphicData>
            </a:graphic>
          </wp:anchor>
        </w:drawing>
      </w:r>
      <w:r>
        <w:rPr>
          <w:rFonts w:hint="eastAsia" w:ascii="宋体" w:hAnsi="宋体" w:eastAsia="宋体" w:cs="宋体"/>
          <w:spacing w:val="-2"/>
          <w:sz w:val="24"/>
        </w:rPr>
        <w:t>供应商名称</w:t>
      </w:r>
      <w:r>
        <w:rPr>
          <w:rFonts w:hint="eastAsia" w:ascii="宋体" w:hAnsi="宋体" w:eastAsia="宋体" w:cs="宋体"/>
          <w:spacing w:val="-10"/>
          <w:sz w:val="24"/>
        </w:rPr>
        <w:t>:</w:t>
      </w:r>
      <w:r>
        <w:rPr>
          <w:rFonts w:hint="eastAsia" w:ascii="宋体" w:hAnsi="宋体" w:eastAsia="宋体" w:cs="宋体"/>
          <w:sz w:val="24"/>
        </w:rPr>
        <w:tab/>
      </w:r>
      <w:r>
        <w:rPr>
          <w:rFonts w:hint="eastAsia" w:ascii="宋体" w:hAnsi="宋体" w:eastAsia="宋体" w:cs="宋体"/>
          <w:sz w:val="24"/>
        </w:rPr>
        <w:t>（盖章</w:t>
      </w:r>
      <w:r>
        <w:rPr>
          <w:rFonts w:hint="eastAsia" w:ascii="宋体" w:hAnsi="宋体" w:eastAsia="宋体" w:cs="宋体"/>
          <w:spacing w:val="-10"/>
          <w:sz w:val="24"/>
        </w:rPr>
        <w:t>）</w:t>
      </w:r>
    </w:p>
    <w:p>
      <w:pPr>
        <w:autoSpaceDE w:val="0"/>
        <w:autoSpaceDN w:val="0"/>
        <w:adjustRightInd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说明：</w:t>
      </w:r>
    </w:p>
    <w:p>
      <w:pPr>
        <w:pStyle w:val="9"/>
        <w:spacing w:before="165"/>
        <w:ind w:left="1360"/>
        <w:rPr>
          <w:u w:val="none" w:color="auto"/>
        </w:rPr>
      </w:pPr>
      <w:r>
        <w:rPr>
          <w:u w:val="none" w:color="auto"/>
        </w:rPr>
        <w:t>1、 在“供应商是否属于小和微型企业”栏后“是”或“否”上打“√”。</w:t>
      </w:r>
    </w:p>
    <w:p>
      <w:pPr>
        <w:pStyle w:val="9"/>
        <w:spacing w:before="166"/>
        <w:ind w:left="1360"/>
        <w:rPr>
          <w:u w:val="none" w:color="auto"/>
        </w:rPr>
      </w:pPr>
      <w:r>
        <w:rPr>
          <w:u w:val="none" w:color="auto"/>
        </w:rPr>
        <w:t>2、 在“供应商是否属于残疾人福利性单位”栏后“是”或“否”上打“√”。</w:t>
      </w:r>
    </w:p>
    <w:p>
      <w:pPr>
        <w:pStyle w:val="9"/>
        <w:spacing w:before="163"/>
        <w:ind w:left="1360"/>
        <w:rPr>
          <w:u w:val="none" w:color="auto"/>
        </w:rPr>
      </w:pPr>
      <w:r>
        <w:rPr>
          <w:u w:val="none" w:color="auto"/>
        </w:rPr>
        <w:t>3、 在“供应商是否属于监狱企业”栏后“是”或“否”上打“√”。</w:t>
      </w:r>
    </w:p>
    <w:p>
      <w:pPr>
        <w:pStyle w:val="9"/>
        <w:spacing w:before="165"/>
        <w:ind w:left="1360"/>
        <w:rPr>
          <w:u w:val="none" w:color="auto"/>
        </w:rPr>
      </w:pPr>
      <w:r>
        <w:rPr>
          <w:u w:val="none" w:color="auto"/>
        </w:rPr>
        <w:t>4、请注明是第几轮报价；</w:t>
      </w:r>
    </w:p>
    <w:p>
      <w:pPr>
        <w:pStyle w:val="9"/>
        <w:spacing w:before="165" w:line="242" w:lineRule="auto"/>
        <w:ind w:left="1360" w:right="449"/>
        <w:rPr>
          <w:u w:val="none" w:color="auto"/>
        </w:rPr>
      </w:pPr>
      <w:r>
        <w:rPr>
          <w:u w:val="none" w:color="auto"/>
        </w:rPr>
        <w:t>5、第一轮报价表装订在投标文件中；第二轮、第三轮起的报价表应提前加盖单位公章或由授权委托人签字确认，并单独携带，不需密封，供磋商报价时使用。</w:t>
      </w:r>
    </w:p>
    <w:p>
      <w:pPr>
        <w:pStyle w:val="9"/>
        <w:spacing w:before="165" w:line="242" w:lineRule="auto"/>
        <w:ind w:left="1360" w:right="209"/>
        <w:rPr>
          <w:u w:val="none" w:color="auto"/>
        </w:rPr>
      </w:pPr>
      <w:r>
        <w:rPr>
          <w:rFonts w:hint="eastAsia"/>
          <w:u w:val="none" w:color="auto"/>
          <w:lang w:val="en-US" w:eastAsia="zh-CN"/>
        </w:rPr>
        <w:t>6</w:t>
      </w:r>
      <w:r>
        <w:rPr>
          <w:u w:val="none" w:color="auto"/>
        </w:rPr>
        <w:t>、在“是否属于小、微型企业的服务项目”、“是否属于残疾人福利单位的服务项目”、“是否属于监狱企业型企业的服务项目”栏内，填写“是”或“否”，如果小微型企业、残疾人福利单位、监狱企业提供的服务项目报价无法划分计算的，评标时将不予认可。小型和微型企业提供的服务项目是指供应商为小企业，且符合中小企业划分标准，提供本企业提供的服务，或者提供其他小企业的服务。同一投标人，上述三项价格扣除优惠不得重复享受。</w:t>
      </w:r>
    </w:p>
    <w:p>
      <w:pPr>
        <w:pStyle w:val="9"/>
        <w:ind w:left="0"/>
      </w:pPr>
    </w:p>
    <w:p>
      <w:pPr>
        <w:spacing w:before="165" w:line="417" w:lineRule="auto"/>
        <w:ind w:left="940" w:right="1825" w:firstLine="0"/>
        <w:jc w:val="left"/>
        <w:rPr>
          <w:b/>
          <w:sz w:val="22"/>
        </w:rPr>
      </w:pPr>
      <w:r>
        <w:rPr>
          <w:b/>
          <w:sz w:val="22"/>
        </w:rPr>
        <w:t>注：《开标一览表》还需单独封装一份并标明“开标一览表”字样(如未单独封装或未加盖单位公章的,将拒收其文件)，随投标文件一并递交，以便唱标时使用。</w:t>
      </w:r>
    </w:p>
    <w:p>
      <w:pPr>
        <w:spacing w:after="0" w:line="417" w:lineRule="auto"/>
        <w:jc w:val="left"/>
        <w:rPr>
          <w:sz w:val="22"/>
        </w:rPr>
        <w:sectPr>
          <w:pgSz w:w="11910" w:h="16840"/>
          <w:pgMar w:top="1460" w:right="0" w:bottom="200" w:left="860" w:header="0" w:footer="6" w:gutter="0"/>
          <w:cols w:space="720" w:num="1"/>
        </w:sectPr>
      </w:pPr>
    </w:p>
    <w:p>
      <w:pPr>
        <w:pStyle w:val="7"/>
        <w:keepNext w:val="0"/>
        <w:keepLines w:val="0"/>
        <w:pageBreakBefore w:val="0"/>
        <w:widowControl w:val="0"/>
        <w:kinsoku/>
        <w:wordWrap/>
        <w:overflowPunct/>
        <w:topLinePunct w:val="0"/>
        <w:autoSpaceDE w:val="0"/>
        <w:autoSpaceDN w:val="0"/>
        <w:bidi w:val="0"/>
        <w:adjustRightInd/>
        <w:snapToGrid/>
        <w:spacing w:before="40" w:line="360" w:lineRule="auto"/>
        <w:textAlignment w:val="auto"/>
        <w:rPr>
          <w:rFonts w:hint="eastAsia" w:ascii="宋体" w:hAnsi="宋体" w:eastAsia="宋体" w:cs="宋体"/>
        </w:rPr>
      </w:pPr>
      <w:r>
        <w:rPr>
          <w:rFonts w:hint="eastAsia" w:ascii="宋体" w:hAnsi="宋体" w:eastAsia="宋体" w:cs="宋体"/>
          <w:w w:val="95"/>
        </w:rPr>
        <w:t>目录四、资</w:t>
      </w:r>
      <w:r>
        <w:rPr>
          <w:rFonts w:hint="eastAsia" w:ascii="宋体" w:hAnsi="宋体" w:eastAsia="宋体" w:cs="宋体"/>
          <w:spacing w:val="-2"/>
          <w:w w:val="95"/>
        </w:rPr>
        <w:t>格证明文件</w:t>
      </w:r>
    </w:p>
    <w:p>
      <w:pPr>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eastAsia" w:ascii="宋体" w:hAnsi="宋体" w:eastAsia="宋体" w:cs="宋体"/>
          <w:b/>
          <w:sz w:val="39"/>
        </w:rPr>
      </w:pPr>
      <w:r>
        <w:rPr>
          <w:rFonts w:hint="eastAsia" w:ascii="宋体" w:hAnsi="宋体" w:eastAsia="宋体" w:cs="宋体"/>
        </w:rPr>
        <w:br w:type="column"/>
      </w:r>
    </w:p>
    <w:p>
      <w:pPr>
        <w:pStyle w:val="5"/>
        <w:keepNext w:val="0"/>
        <w:keepLines w:val="0"/>
        <w:pageBreakBefore w:val="0"/>
        <w:widowControl w:val="0"/>
        <w:kinsoku/>
        <w:wordWrap/>
        <w:overflowPunct/>
        <w:topLinePunct w:val="0"/>
        <w:autoSpaceDE w:val="0"/>
        <w:autoSpaceDN w:val="0"/>
        <w:bidi w:val="0"/>
        <w:adjustRightInd/>
        <w:snapToGrid/>
        <w:spacing w:before="1" w:line="360" w:lineRule="auto"/>
        <w:ind w:left="600"/>
        <w:textAlignment w:val="auto"/>
        <w:rPr>
          <w:rFonts w:hint="eastAsia" w:ascii="宋体" w:hAnsi="宋体" w:eastAsia="宋体" w:cs="宋体"/>
        </w:rPr>
      </w:pPr>
      <w:r>
        <w:rPr>
          <w:rFonts w:hint="eastAsia" w:ascii="宋体" w:hAnsi="宋体" w:eastAsia="宋体" w:cs="宋体"/>
          <w:spacing w:val="-2"/>
        </w:rPr>
        <w:t>资格证明文件</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rPr>
        <w:sectPr>
          <w:headerReference r:id="rId10" w:type="default"/>
          <w:pgSz w:w="11910" w:h="16840"/>
          <w:pgMar w:top="1460" w:right="320" w:bottom="280" w:left="1200" w:header="0" w:footer="0" w:gutter="0"/>
          <w:cols w:equalWidth="0" w:num="2">
            <w:col w:w="3010" w:space="63"/>
            <w:col w:w="7317"/>
          </w:cols>
        </w:sectPr>
      </w:pPr>
    </w:p>
    <w:p>
      <w:pPr>
        <w:pStyle w:val="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rFonts w:hint="eastAsia" w:ascii="宋体" w:hAnsi="宋体" w:eastAsia="宋体" w:cs="宋体"/>
          <w:sz w:val="9"/>
          <w:u w:val="none"/>
        </w:rPr>
      </w:pPr>
    </w:p>
    <w:p>
      <w:pPr>
        <w:pStyle w:val="24"/>
        <w:keepNext w:val="0"/>
        <w:keepLines w:val="0"/>
        <w:pageBreakBefore w:val="0"/>
        <w:numPr>
          <w:ilvl w:val="0"/>
          <w:numId w:val="0"/>
        </w:numPr>
        <w:tabs>
          <w:tab w:val="left" w:pos="1304"/>
        </w:tabs>
        <w:kinsoku/>
        <w:wordWrap/>
        <w:overflowPunct/>
        <w:topLinePunct w:val="0"/>
        <w:bidi w:val="0"/>
        <w:adjustRightInd/>
        <w:snapToGrid/>
        <w:spacing w:before="131" w:after="0" w:line="360" w:lineRule="auto"/>
        <w:ind w:leftChars="200" w:right="1094" w:rightChars="0"/>
        <w:jc w:val="left"/>
        <w:textAlignment w:val="auto"/>
        <w:rPr>
          <w:rFonts w:hint="eastAsia" w:ascii="宋体" w:hAnsi="宋体" w:eastAsia="宋体" w:cs="宋体"/>
          <w:sz w:val="24"/>
          <w:szCs w:val="24"/>
        </w:rPr>
      </w:pPr>
      <w:r>
        <w:rPr>
          <w:rFonts w:hint="eastAsia" w:cs="宋体"/>
          <w:spacing w:val="-2"/>
          <w:sz w:val="24"/>
          <w:szCs w:val="24"/>
          <w:lang w:eastAsia="zh-CN"/>
        </w:rPr>
        <w:t>（</w:t>
      </w:r>
      <w:r>
        <w:rPr>
          <w:rFonts w:hint="eastAsia" w:cs="宋体"/>
          <w:spacing w:val="-2"/>
          <w:sz w:val="24"/>
          <w:szCs w:val="24"/>
          <w:lang w:val="en-US" w:eastAsia="zh-CN"/>
        </w:rPr>
        <w:t>1</w:t>
      </w:r>
      <w:r>
        <w:rPr>
          <w:rFonts w:hint="eastAsia" w:cs="宋体"/>
          <w:spacing w:val="-2"/>
          <w:sz w:val="24"/>
          <w:szCs w:val="24"/>
          <w:lang w:eastAsia="zh-CN"/>
        </w:rPr>
        <w:t>）</w:t>
      </w:r>
      <w:r>
        <w:rPr>
          <w:rFonts w:hint="eastAsia" w:ascii="宋体" w:hAnsi="宋体" w:eastAsia="宋体" w:cs="宋体"/>
          <w:spacing w:val="-2"/>
          <w:sz w:val="24"/>
          <w:szCs w:val="24"/>
        </w:rPr>
        <w:t>具有独立承担民事责任的能力（提供法人或者其他组织的营业执照等证明文件，自然人的身份证明）；</w:t>
      </w:r>
    </w:p>
    <w:p>
      <w:pPr>
        <w:pStyle w:val="24"/>
        <w:keepNext w:val="0"/>
        <w:keepLines w:val="0"/>
        <w:pageBreakBefore w:val="0"/>
        <w:numPr>
          <w:ilvl w:val="0"/>
          <w:numId w:val="0"/>
        </w:numPr>
        <w:tabs>
          <w:tab w:val="left" w:pos="1304"/>
        </w:tabs>
        <w:kinsoku/>
        <w:wordWrap/>
        <w:overflowPunct/>
        <w:topLinePunct w:val="0"/>
        <w:bidi w:val="0"/>
        <w:adjustRightInd/>
        <w:snapToGrid/>
        <w:spacing w:before="131" w:after="0" w:line="360" w:lineRule="auto"/>
        <w:ind w:leftChars="200" w:right="1094" w:rightChars="0"/>
        <w:jc w:val="left"/>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（2）具有良好的商业信誉和健全的财务会计制度【提供参加本次政府采购活动前</w:t>
      </w:r>
      <w:r>
        <w:rPr>
          <w:rFonts w:hint="eastAsia" w:ascii="宋体" w:hAnsi="宋体" w:eastAsia="宋体" w:cs="宋体"/>
          <w:spacing w:val="-2"/>
          <w:sz w:val="24"/>
          <w:szCs w:val="24"/>
          <w:lang w:val="en-US"/>
        </w:rPr>
        <w:t>12个月</w:t>
      </w:r>
      <w:r>
        <w:rPr>
          <w:rFonts w:hint="eastAsia" w:ascii="宋体" w:hAnsi="宋体" w:eastAsia="宋体" w:cs="宋体"/>
          <w:spacing w:val="-2"/>
          <w:sz w:val="24"/>
          <w:szCs w:val="24"/>
        </w:rPr>
        <w:t>（至少一个月）的会计报表或银行开具的资信证明文件】；（成立不满一个月不需提供）【提供《南京市政府采购供应商信用记录表暨信用承诺书》，格式见投标文件格式模板】</w:t>
      </w:r>
      <w:r>
        <w:rPr>
          <w:rFonts w:hint="eastAsia" w:ascii="宋体" w:hAnsi="宋体" w:eastAsia="宋体" w:cs="宋体"/>
          <w:spacing w:val="-2"/>
          <w:sz w:val="24"/>
          <w:szCs w:val="24"/>
          <w:lang w:eastAsia="zh-CN"/>
        </w:rPr>
        <w:t>；</w:t>
      </w:r>
    </w:p>
    <w:p>
      <w:pPr>
        <w:pStyle w:val="24"/>
        <w:keepNext w:val="0"/>
        <w:keepLines w:val="0"/>
        <w:pageBreakBefore w:val="0"/>
        <w:numPr>
          <w:ilvl w:val="0"/>
          <w:numId w:val="0"/>
        </w:numPr>
        <w:tabs>
          <w:tab w:val="left" w:pos="1304"/>
        </w:tabs>
        <w:kinsoku/>
        <w:wordWrap/>
        <w:overflowPunct/>
        <w:topLinePunct w:val="0"/>
        <w:bidi w:val="0"/>
        <w:adjustRightInd/>
        <w:snapToGrid/>
        <w:spacing w:before="131" w:after="0" w:line="360" w:lineRule="auto"/>
        <w:ind w:leftChars="200" w:right="1094" w:right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3）具有履行合同所必需的设备和专业技术能力（根据项目需求提供履行合同所必需的设备和专业技术能力的声明及证明材料）【证明材料提供《南京市政府采购供应商信用记录表暨信用承诺书》，格式见投标文件格式模板】； </w:t>
      </w:r>
    </w:p>
    <w:p>
      <w:pPr>
        <w:pStyle w:val="24"/>
        <w:keepNext w:val="0"/>
        <w:keepLines w:val="0"/>
        <w:pageBreakBefore w:val="0"/>
        <w:numPr>
          <w:ilvl w:val="0"/>
          <w:numId w:val="0"/>
        </w:numPr>
        <w:tabs>
          <w:tab w:val="left" w:pos="1304"/>
        </w:tabs>
        <w:kinsoku/>
        <w:wordWrap/>
        <w:overflowPunct/>
        <w:topLinePunct w:val="0"/>
        <w:bidi w:val="0"/>
        <w:adjustRightInd/>
        <w:snapToGrid/>
        <w:spacing w:before="131" w:after="0" w:line="360" w:lineRule="auto"/>
        <w:ind w:leftChars="200" w:right="1094" w:right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（4）有依法缴纳税收和社会保障资金的良好记录（提供参加本次政府采购活动前</w:t>
      </w:r>
      <w:r>
        <w:rPr>
          <w:rFonts w:hint="eastAsia" w:ascii="宋体" w:hAnsi="宋体" w:eastAsia="宋体" w:cs="宋体"/>
          <w:spacing w:val="-2"/>
          <w:sz w:val="24"/>
          <w:szCs w:val="24"/>
          <w:lang w:val="en-US"/>
        </w:rPr>
        <w:t>六</w:t>
      </w:r>
      <w:r>
        <w:rPr>
          <w:rFonts w:hint="eastAsia" w:ascii="宋体" w:hAnsi="宋体" w:eastAsia="宋体" w:cs="宋体"/>
          <w:spacing w:val="-2"/>
          <w:sz w:val="24"/>
          <w:szCs w:val="24"/>
        </w:rPr>
        <w:t>个月内（至少一个月）依法缴纳税收和社会保障资金的相关材料）；（成立不满一个月不需提供）【提供《南京市政府采购供应商信用记录表暨信用承诺书》，格式见投标文件格式模板】</w:t>
      </w:r>
    </w:p>
    <w:p>
      <w:pPr>
        <w:pStyle w:val="24"/>
        <w:keepNext w:val="0"/>
        <w:keepLines w:val="0"/>
        <w:pageBreakBefore w:val="0"/>
        <w:numPr>
          <w:ilvl w:val="0"/>
          <w:numId w:val="0"/>
        </w:numPr>
        <w:tabs>
          <w:tab w:val="left" w:pos="1304"/>
        </w:tabs>
        <w:kinsoku/>
        <w:wordWrap/>
        <w:overflowPunct/>
        <w:topLinePunct w:val="0"/>
        <w:bidi w:val="0"/>
        <w:adjustRightInd/>
        <w:snapToGrid/>
        <w:spacing w:before="131" w:after="0" w:line="360" w:lineRule="auto"/>
        <w:ind w:leftChars="200" w:right="1094" w:rightChars="0"/>
        <w:jc w:val="left"/>
        <w:textAlignment w:val="auto"/>
        <w:rPr>
          <w:rFonts w:hint="eastAsia" w:ascii="宋体" w:hAnsi="宋体" w:eastAsia="宋体" w:cs="宋体"/>
          <w:sz w:val="28"/>
          <w:szCs w:val="28"/>
        </w:rPr>
      </w:pPr>
      <w:r>
        <w:rPr>
          <w:rFonts w:hint="eastAsia" w:ascii="宋体" w:hAnsi="宋体" w:eastAsia="宋体" w:cs="宋体"/>
          <w:spacing w:val="-2"/>
          <w:sz w:val="24"/>
          <w:szCs w:val="24"/>
        </w:rPr>
        <w:t>（5）参加政府采购活动前三年内，在经营活动中没有重大违法记录（提供参加本次政府采购活动前3年内在经营活动中没有重大违法记录的书面声明）【证明材料提供《南京市政府采购供应商信用记录表暨信用承诺书》，格式见投标文件格式模板】；</w:t>
      </w:r>
    </w:p>
    <w:p>
      <w:pPr>
        <w:pStyle w:val="24"/>
        <w:keepNext w:val="0"/>
        <w:keepLines w:val="0"/>
        <w:pageBreakBefore w:val="0"/>
        <w:numPr>
          <w:ilvl w:val="0"/>
          <w:numId w:val="0"/>
        </w:numPr>
        <w:tabs>
          <w:tab w:val="left" w:pos="1298"/>
        </w:tabs>
        <w:kinsoku/>
        <w:wordWrap/>
        <w:overflowPunct/>
        <w:topLinePunct w:val="0"/>
        <w:bidi w:val="0"/>
        <w:adjustRightInd/>
        <w:snapToGrid/>
        <w:spacing w:before="0" w:after="0" w:line="360" w:lineRule="auto"/>
        <w:ind w:right="0" w:rightChars="0" w:firstLine="476" w:firstLineChars="200"/>
        <w:jc w:val="left"/>
        <w:textAlignment w:val="auto"/>
        <w:rPr>
          <w:rFonts w:hint="eastAsia" w:ascii="宋体" w:hAnsi="宋体" w:eastAsia="宋体" w:cs="宋体"/>
          <w:spacing w:val="-5"/>
          <w:sz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法律、行政法规规定的其他条件：无。</w:t>
      </w:r>
    </w:p>
    <w:p>
      <w:pPr>
        <w:pStyle w:val="24"/>
        <w:numPr>
          <w:ilvl w:val="0"/>
          <w:numId w:val="0"/>
        </w:numPr>
        <w:tabs>
          <w:tab w:val="left" w:pos="1377"/>
        </w:tabs>
        <w:spacing w:before="2" w:after="0" w:line="343" w:lineRule="auto"/>
        <w:ind w:left="480" w:leftChars="218" w:right="1098" w:rightChars="0" w:firstLine="0" w:firstLineChars="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cs="宋体"/>
          <w:i w:val="0"/>
          <w:iCs w:val="0"/>
          <w:caps w:val="0"/>
          <w:color w:val="000000"/>
          <w:spacing w:val="0"/>
          <w:kern w:val="0"/>
          <w:sz w:val="24"/>
          <w:szCs w:val="24"/>
          <w:shd w:val="clear" w:fill="FFFFFF"/>
          <w:lang w:val="en-US" w:eastAsia="zh-CN" w:bidi="ar"/>
        </w:rPr>
        <w:t>7</w:t>
      </w:r>
      <w:r>
        <w:rPr>
          <w:rFonts w:hint="eastAsia" w:ascii="宋体" w:hAnsi="宋体" w:eastAsia="宋体" w:cs="宋体"/>
          <w:i w:val="0"/>
          <w:iCs w:val="0"/>
          <w:caps w:val="0"/>
          <w:color w:val="000000"/>
          <w:spacing w:val="0"/>
          <w:kern w:val="0"/>
          <w:sz w:val="24"/>
          <w:szCs w:val="24"/>
          <w:shd w:val="clear" w:fill="FFFFFF"/>
          <w:lang w:val="en-US" w:eastAsia="zh-CN" w:bidi="ar"/>
        </w:rPr>
        <w:t>）供应商须具有施工总承包水利水电工程三级（含）及以上资质（提供有效期内的资质证书复印件并加盖公章）；</w:t>
      </w:r>
    </w:p>
    <w:p>
      <w:pPr>
        <w:pStyle w:val="24"/>
        <w:numPr>
          <w:ilvl w:val="0"/>
          <w:numId w:val="0"/>
        </w:numPr>
        <w:tabs>
          <w:tab w:val="left" w:pos="1377"/>
        </w:tabs>
        <w:spacing w:before="2" w:after="0" w:line="343" w:lineRule="auto"/>
        <w:ind w:left="480" w:leftChars="218" w:right="1098" w:rightChars="0" w:firstLine="0" w:firstLineChars="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cs="宋体"/>
          <w:i w:val="0"/>
          <w:iCs w:val="0"/>
          <w:caps w:val="0"/>
          <w:color w:val="000000"/>
          <w:spacing w:val="0"/>
          <w:kern w:val="0"/>
          <w:sz w:val="24"/>
          <w:szCs w:val="24"/>
          <w:shd w:val="clear" w:fill="FFFFFF"/>
          <w:lang w:val="en-US" w:eastAsia="zh-CN" w:bidi="ar"/>
        </w:rPr>
        <w:t>8</w:t>
      </w:r>
      <w:r>
        <w:rPr>
          <w:rFonts w:hint="eastAsia" w:ascii="宋体" w:hAnsi="宋体" w:eastAsia="宋体" w:cs="宋体"/>
          <w:i w:val="0"/>
          <w:iCs w:val="0"/>
          <w:caps w:val="0"/>
          <w:color w:val="000000"/>
          <w:spacing w:val="0"/>
          <w:kern w:val="0"/>
          <w:sz w:val="24"/>
          <w:szCs w:val="24"/>
          <w:shd w:val="clear" w:fill="FFFFFF"/>
          <w:lang w:val="en-US" w:eastAsia="zh-CN" w:bidi="ar"/>
        </w:rPr>
        <w:t>）供应商具有省部级建设行政主管部门颁发的安全生产许可证（提供有效期内的安全生产许可证复印件并加盖公章）。</w:t>
      </w:r>
    </w:p>
    <w:p>
      <w:pPr>
        <w:pStyle w:val="2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宋体" w:hAnsi="宋体" w:eastAsia="宋体" w:cs="宋体"/>
          <w:spacing w:val="-5"/>
          <w:kern w:val="0"/>
          <w:sz w:val="24"/>
          <w:szCs w:val="24"/>
          <w:lang w:val="zh-CN" w:eastAsia="zh-CN" w:bidi="ar-SA"/>
        </w:rPr>
      </w:pP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cs="宋体"/>
          <w:i w:val="0"/>
          <w:iCs w:val="0"/>
          <w:caps w:val="0"/>
          <w:color w:val="000000"/>
          <w:spacing w:val="0"/>
          <w:kern w:val="0"/>
          <w:sz w:val="24"/>
          <w:szCs w:val="24"/>
          <w:shd w:val="clear" w:fill="FFFFFF"/>
          <w:lang w:val="en-US" w:eastAsia="zh-CN" w:bidi="ar"/>
        </w:rPr>
        <w:t>9</w:t>
      </w:r>
      <w:r>
        <w:rPr>
          <w:rFonts w:hint="eastAsia" w:ascii="宋体" w:hAnsi="宋体" w:eastAsia="宋体" w:cs="宋体"/>
          <w:i w:val="0"/>
          <w:iCs w:val="0"/>
          <w:caps w:val="0"/>
          <w:color w:val="000000"/>
          <w:spacing w:val="0"/>
          <w:kern w:val="0"/>
          <w:sz w:val="24"/>
          <w:szCs w:val="24"/>
          <w:shd w:val="clear" w:fill="FFFFFF"/>
          <w:lang w:val="en-US" w:eastAsia="zh-CN" w:bidi="ar"/>
        </w:rPr>
        <w:t>）拟投入本项目的项目经理须具有注册建造师水利水电工程二级(含)以上，且具备水行政主管部门颁发的安全生产考核B类合格证（提供有效期内的建造师证书及安全生产考核合格证书复印件并加盖公章）。提供机构出具的近半年（202</w:t>
      </w:r>
      <w:r>
        <w:rPr>
          <w:rFonts w:hint="eastAsia"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eastAsia"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月-2022年</w:t>
      </w:r>
      <w:r>
        <w:rPr>
          <w:rFonts w:hint="eastAsia" w:cs="宋体"/>
          <w:i w:val="0"/>
          <w:iCs w:val="0"/>
          <w:caps w:val="0"/>
          <w:color w:val="000000"/>
          <w:spacing w:val="0"/>
          <w:kern w:val="0"/>
          <w:sz w:val="24"/>
          <w:szCs w:val="24"/>
          <w:shd w:val="clear" w:fill="FFFFFF"/>
          <w:lang w:val="en-US" w:eastAsia="zh-CN" w:bidi="ar"/>
        </w:rPr>
        <w:t>7</w:t>
      </w:r>
      <w:r>
        <w:rPr>
          <w:rFonts w:hint="eastAsia" w:ascii="宋体" w:hAnsi="宋体" w:eastAsia="宋体" w:cs="宋体"/>
          <w:i w:val="0"/>
          <w:iCs w:val="0"/>
          <w:caps w:val="0"/>
          <w:color w:val="000000"/>
          <w:spacing w:val="0"/>
          <w:kern w:val="0"/>
          <w:sz w:val="24"/>
          <w:szCs w:val="24"/>
          <w:shd w:val="clear" w:fill="FFFFFF"/>
          <w:lang w:val="en-US" w:eastAsia="zh-CN" w:bidi="ar"/>
        </w:rPr>
        <w:t>月）投标申请人为其缴纳的缴费证明【加盖公章或具有可验证的二维码（或验证码）】</w:t>
      </w:r>
    </w:p>
    <w:p>
      <w:pPr>
        <w:pStyle w:val="24"/>
        <w:keepNext w:val="0"/>
        <w:keepLines w:val="0"/>
        <w:pageBreakBefore w:val="0"/>
        <w:widowControl w:val="0"/>
        <w:numPr>
          <w:ilvl w:val="0"/>
          <w:numId w:val="0"/>
        </w:numPr>
        <w:tabs>
          <w:tab w:val="left" w:pos="1202"/>
        </w:tabs>
        <w:kinsoku/>
        <w:wordWrap/>
        <w:overflowPunct/>
        <w:topLinePunct w:val="0"/>
        <w:autoSpaceDE w:val="0"/>
        <w:autoSpaceDN w:val="0"/>
        <w:bidi w:val="0"/>
        <w:adjustRightInd/>
        <w:snapToGrid/>
        <w:spacing w:before="128" w:after="0" w:line="360" w:lineRule="auto"/>
        <w:ind w:right="0" w:rightChars="0" w:firstLine="228" w:firstLineChars="100"/>
        <w:jc w:val="left"/>
        <w:textAlignment w:val="auto"/>
        <w:rPr>
          <w:rFonts w:hint="eastAsia" w:ascii="宋体" w:hAnsi="宋体" w:eastAsia="宋体" w:cs="宋体"/>
          <w:sz w:val="24"/>
        </w:rPr>
      </w:pPr>
      <w:r>
        <w:rPr>
          <w:rFonts w:hint="eastAsia" w:ascii="宋体" w:hAnsi="宋体" w:eastAsia="宋体" w:cs="宋体"/>
          <w:spacing w:val="-6"/>
          <w:sz w:val="24"/>
          <w:highlight w:val="yellow"/>
          <w:lang w:eastAsia="zh-CN"/>
        </w:rPr>
        <w:t>（</w:t>
      </w:r>
      <w:r>
        <w:rPr>
          <w:rFonts w:hint="eastAsia" w:ascii="宋体" w:hAnsi="宋体" w:eastAsia="宋体" w:cs="宋体"/>
          <w:spacing w:val="-6"/>
          <w:sz w:val="24"/>
          <w:highlight w:val="yellow"/>
          <w:lang w:val="en-US" w:eastAsia="zh-CN"/>
        </w:rPr>
        <w:t>10</w:t>
      </w:r>
      <w:r>
        <w:rPr>
          <w:rFonts w:hint="eastAsia" w:ascii="宋体" w:hAnsi="宋体" w:eastAsia="宋体" w:cs="宋体"/>
          <w:spacing w:val="-6"/>
          <w:sz w:val="24"/>
          <w:highlight w:val="yellow"/>
          <w:lang w:eastAsia="zh-CN"/>
        </w:rPr>
        <w:t>）</w:t>
      </w:r>
      <w:r>
        <w:rPr>
          <w:rFonts w:hint="eastAsia" w:ascii="宋体" w:hAnsi="宋体" w:eastAsia="宋体" w:cs="宋体"/>
          <w:spacing w:val="-6"/>
          <w:sz w:val="24"/>
          <w:highlight w:val="yellow"/>
        </w:rPr>
        <w:t>南京市政府采购供应商信用记录表暨信用</w:t>
      </w:r>
      <w:r>
        <w:rPr>
          <w:rFonts w:hint="eastAsia" w:ascii="宋体" w:hAnsi="宋体" w:eastAsia="宋体" w:cs="宋体"/>
          <w:spacing w:val="-6"/>
          <w:sz w:val="24"/>
        </w:rPr>
        <w:t>承诺书</w:t>
      </w:r>
      <w:r>
        <w:rPr>
          <w:rFonts w:hint="eastAsia" w:ascii="宋体" w:hAnsi="宋体" w:eastAsia="宋体" w:cs="宋体"/>
          <w:sz w:val="24"/>
        </w:rPr>
        <w:t>（法定代表人签字并盖章</w:t>
      </w:r>
      <w:r>
        <w:rPr>
          <w:rFonts w:hint="eastAsia" w:ascii="宋体" w:hAnsi="宋体" w:eastAsia="宋体" w:cs="宋体"/>
          <w:spacing w:val="-115"/>
          <w:sz w:val="24"/>
        </w:rPr>
        <w:t>）</w:t>
      </w:r>
      <w:r>
        <w:rPr>
          <w:rFonts w:hint="eastAsia" w:ascii="宋体" w:hAnsi="宋体" w:eastAsia="宋体" w:cs="宋体"/>
          <w:spacing w:val="-5"/>
          <w:sz w:val="24"/>
        </w:rPr>
        <w:t>；</w:t>
      </w:r>
    </w:p>
    <w:p>
      <w:pPr>
        <w:pStyle w:val="24"/>
        <w:keepNext w:val="0"/>
        <w:keepLines w:val="0"/>
        <w:pageBreakBefore w:val="0"/>
        <w:numPr>
          <w:ilvl w:val="0"/>
          <w:numId w:val="0"/>
        </w:numPr>
        <w:tabs>
          <w:tab w:val="left" w:pos="1377"/>
        </w:tabs>
        <w:kinsoku/>
        <w:wordWrap/>
        <w:overflowPunct/>
        <w:topLinePunct w:val="0"/>
        <w:bidi w:val="0"/>
        <w:adjustRightInd/>
        <w:snapToGrid/>
        <w:spacing w:before="0" w:after="0" w:line="360" w:lineRule="auto"/>
        <w:ind w:right="1095" w:rightChars="0" w:firstLine="236" w:firstLineChars="100"/>
        <w:jc w:val="left"/>
        <w:textAlignment w:val="auto"/>
        <w:rPr>
          <w:rFonts w:hint="eastAsia" w:ascii="宋体" w:hAnsi="宋体" w:eastAsia="宋体" w:cs="宋体"/>
          <w:sz w:val="24"/>
          <w:szCs w:val="24"/>
        </w:rPr>
      </w:pPr>
      <w:r>
        <w:rPr>
          <w:rFonts w:hint="eastAsia" w:cs="宋体"/>
          <w:spacing w:val="-2"/>
          <w:sz w:val="24"/>
          <w:szCs w:val="24"/>
          <w:lang w:eastAsia="zh-CN"/>
        </w:rPr>
        <w:t>（</w:t>
      </w:r>
      <w:r>
        <w:rPr>
          <w:rFonts w:hint="eastAsia" w:cs="宋体"/>
          <w:spacing w:val="-2"/>
          <w:sz w:val="24"/>
          <w:szCs w:val="24"/>
          <w:lang w:val="en-US" w:eastAsia="zh-CN"/>
        </w:rPr>
        <w:t>11</w:t>
      </w:r>
      <w:r>
        <w:rPr>
          <w:rFonts w:hint="eastAsia" w:cs="宋体"/>
          <w:spacing w:val="-2"/>
          <w:sz w:val="24"/>
          <w:szCs w:val="24"/>
          <w:lang w:eastAsia="zh-CN"/>
        </w:rPr>
        <w:t>）</w:t>
      </w:r>
      <w:r>
        <w:rPr>
          <w:rFonts w:hint="eastAsia" w:ascii="宋体" w:hAnsi="宋体" w:eastAsia="宋体" w:cs="宋体"/>
          <w:spacing w:val="-2"/>
          <w:sz w:val="24"/>
          <w:szCs w:val="24"/>
        </w:rPr>
        <w:t>供应商被“信用中国”网站（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www.creditchina.gov.cn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）、“中国政府采购网"(www.ccgp.gov.cn)列入失信被执行人、重大税收违法案件当事人名单、政府采购严重违法失信行为记录名单。</w:t>
      </w:r>
    </w:p>
    <w:p>
      <w:pPr>
        <w:pStyle w:val="24"/>
        <w:keepNext w:val="0"/>
        <w:keepLines w:val="0"/>
        <w:pageBreakBefore w:val="0"/>
        <w:widowControl w:val="0"/>
        <w:numPr>
          <w:ilvl w:val="0"/>
          <w:numId w:val="0"/>
        </w:numPr>
        <w:tabs>
          <w:tab w:val="left" w:pos="1377"/>
        </w:tabs>
        <w:kinsoku/>
        <w:wordWrap/>
        <w:overflowPunct/>
        <w:topLinePunct w:val="0"/>
        <w:autoSpaceDE w:val="0"/>
        <w:autoSpaceDN w:val="0"/>
        <w:bidi w:val="0"/>
        <w:adjustRightInd/>
        <w:snapToGrid/>
        <w:spacing w:before="135" w:after="0" w:line="360" w:lineRule="auto"/>
        <w:ind w:right="1095" w:rightChars="0"/>
        <w:jc w:val="left"/>
        <w:textAlignment w:val="auto"/>
        <w:rPr>
          <w:rFonts w:hint="eastAsia" w:ascii="宋体" w:hAnsi="宋体" w:eastAsia="宋体" w:cs="宋体"/>
          <w:sz w:val="24"/>
        </w:rPr>
        <w:sectPr>
          <w:type w:val="continuous"/>
          <w:pgSz w:w="11910" w:h="16840"/>
          <w:pgMar w:top="1580" w:right="320" w:bottom="280" w:left="1200" w:header="0" w:footer="0" w:gutter="0"/>
          <w:cols w:space="720" w:num="1"/>
        </w:sectPr>
      </w:pPr>
    </w:p>
    <w:p>
      <w:pPr>
        <w:pStyle w:val="9"/>
        <w:spacing w:before="7"/>
        <w:rPr>
          <w:rFonts w:hint="eastAsia" w:ascii="仿宋" w:hAnsi="仿宋" w:eastAsia="仿宋" w:cs="仿宋"/>
          <w:sz w:val="15"/>
          <w:u w:val="none"/>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sz w:val="24"/>
        </w:rPr>
      </w:pPr>
      <w:r>
        <w:rPr>
          <w:b/>
          <w:sz w:val="24"/>
        </w:rPr>
        <w:t>目录</w:t>
      </w:r>
      <w:r>
        <w:rPr>
          <w:rFonts w:hint="eastAsia"/>
          <w:b/>
          <w:sz w:val="24"/>
          <w:lang w:val="en-US" w:eastAsia="zh-CN"/>
        </w:rPr>
        <w:t>五</w:t>
      </w:r>
      <w:r>
        <w:rPr>
          <w:b/>
          <w:sz w:val="24"/>
        </w:rPr>
        <w:t>、分项报价表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sz w:val="24"/>
          <w:szCs w:val="24"/>
        </w:rPr>
      </w:pPr>
      <w:r>
        <w:rPr>
          <w:sz w:val="24"/>
          <w:szCs w:val="24"/>
        </w:rPr>
        <w:t>分项报价表参考格式</w:t>
      </w:r>
    </w:p>
    <w:p>
      <w:pPr>
        <w:pStyle w:val="9"/>
        <w:keepNext w:val="0"/>
        <w:keepLines w:val="0"/>
        <w:pageBreakBefore w:val="0"/>
        <w:widowControl w:val="0"/>
        <w:tabs>
          <w:tab w:val="left" w:pos="6992"/>
        </w:tabs>
        <w:kinsoku/>
        <w:wordWrap/>
        <w:overflowPunct/>
        <w:topLinePunct w:val="0"/>
        <w:autoSpaceDE w:val="0"/>
        <w:autoSpaceDN w:val="0"/>
        <w:bidi w:val="0"/>
        <w:adjustRightInd/>
        <w:snapToGrid/>
        <w:spacing w:before="2" w:after="3" w:line="360" w:lineRule="auto"/>
        <w:ind w:left="632"/>
        <w:textAlignment w:val="auto"/>
        <w:rPr>
          <w:sz w:val="24"/>
          <w:szCs w:val="24"/>
        </w:rPr>
      </w:pPr>
    </w:p>
    <w:p>
      <w:pPr>
        <w:pStyle w:val="9"/>
        <w:keepNext w:val="0"/>
        <w:keepLines w:val="0"/>
        <w:pageBreakBefore w:val="0"/>
        <w:widowControl w:val="0"/>
        <w:tabs>
          <w:tab w:val="left" w:pos="6992"/>
        </w:tabs>
        <w:kinsoku/>
        <w:wordWrap/>
        <w:overflowPunct/>
        <w:topLinePunct w:val="0"/>
        <w:autoSpaceDE w:val="0"/>
        <w:autoSpaceDN w:val="0"/>
        <w:bidi w:val="0"/>
        <w:adjustRightInd/>
        <w:snapToGrid/>
        <w:spacing w:before="2" w:after="3" w:line="360" w:lineRule="auto"/>
        <w:ind w:left="632"/>
        <w:textAlignment w:val="auto"/>
        <w:rPr>
          <w:sz w:val="24"/>
          <w:szCs w:val="24"/>
        </w:rPr>
      </w:pPr>
      <w:r>
        <w:rPr>
          <w:sz w:val="24"/>
          <w:szCs w:val="24"/>
          <w:u w:val="none" w:color="auto"/>
        </w:rPr>
        <w:t>项目名称：</w:t>
      </w:r>
      <w:r>
        <w:rPr>
          <w:sz w:val="24"/>
          <w:szCs w:val="24"/>
          <w:u w:val="none" w:color="auto"/>
        </w:rPr>
        <w:tab/>
      </w:r>
      <w:r>
        <w:rPr>
          <w:sz w:val="24"/>
          <w:szCs w:val="24"/>
          <w:u w:val="none" w:color="auto"/>
        </w:rPr>
        <w:t>项目编号：</w:t>
      </w:r>
    </w:p>
    <w:tbl>
      <w:tblPr>
        <w:tblStyle w:val="1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908"/>
        <w:gridCol w:w="1733"/>
        <w:gridCol w:w="676"/>
        <w:gridCol w:w="908"/>
        <w:gridCol w:w="922"/>
        <w:gridCol w:w="1512"/>
        <w:gridCol w:w="1144"/>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743"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164"/>
              <w:textAlignment w:val="auto"/>
              <w:rPr>
                <w:sz w:val="24"/>
                <w:szCs w:val="24"/>
              </w:rPr>
            </w:pPr>
            <w:r>
              <w:rPr>
                <w:sz w:val="24"/>
                <w:szCs w:val="24"/>
              </w:rPr>
              <w:t>序号</w:t>
            </w: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rPr>
                <w:sz w:val="24"/>
                <w:szCs w:val="24"/>
              </w:rPr>
            </w:pPr>
            <w:r>
              <w:rPr>
                <w:sz w:val="24"/>
                <w:szCs w:val="24"/>
              </w:rPr>
              <w:t>名称</w:t>
            </w:r>
          </w:p>
        </w:tc>
        <w:tc>
          <w:tcPr>
            <w:tcW w:w="1733" w:type="dxa"/>
          </w:tcPr>
          <w:p>
            <w:pPr>
              <w:pStyle w:val="25"/>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222" w:right="213"/>
              <w:textAlignment w:val="auto"/>
              <w:rPr>
                <w:sz w:val="24"/>
                <w:szCs w:val="24"/>
              </w:rPr>
            </w:pPr>
            <w:r>
              <w:rPr>
                <w:sz w:val="24"/>
                <w:szCs w:val="24"/>
              </w:rPr>
              <w:t>品牌、规格或型号或分项目</w:t>
            </w:r>
          </w:p>
        </w:tc>
        <w:tc>
          <w:tcPr>
            <w:tcW w:w="67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before="162" w:line="360" w:lineRule="auto"/>
              <w:ind w:left="127"/>
              <w:textAlignment w:val="auto"/>
              <w:rPr>
                <w:sz w:val="24"/>
                <w:szCs w:val="24"/>
              </w:rPr>
            </w:pPr>
            <w:r>
              <w:rPr>
                <w:sz w:val="24"/>
                <w:szCs w:val="24"/>
              </w:rPr>
              <w:t>数量</w:t>
            </w: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254"/>
              <w:textAlignment w:val="auto"/>
              <w:rPr>
                <w:sz w:val="24"/>
                <w:szCs w:val="24"/>
              </w:rPr>
            </w:pPr>
            <w:r>
              <w:rPr>
                <w:sz w:val="24"/>
                <w:szCs w:val="24"/>
              </w:rPr>
              <w:t>单价</w:t>
            </w:r>
          </w:p>
          <w:p>
            <w:pPr>
              <w:pStyle w:val="25"/>
              <w:keepNext w:val="0"/>
              <w:keepLines w:val="0"/>
              <w:pageBreakBefore w:val="0"/>
              <w:widowControl w:val="0"/>
              <w:kinsoku/>
              <w:wordWrap/>
              <w:overflowPunct/>
              <w:topLinePunct w:val="0"/>
              <w:autoSpaceDE w:val="0"/>
              <w:autoSpaceDN w:val="0"/>
              <w:bidi w:val="0"/>
              <w:adjustRightInd/>
              <w:snapToGrid/>
              <w:spacing w:before="5" w:line="360" w:lineRule="auto"/>
              <w:ind w:left="134"/>
              <w:textAlignment w:val="auto"/>
              <w:rPr>
                <w:sz w:val="24"/>
                <w:szCs w:val="24"/>
              </w:rPr>
            </w:pPr>
            <w:r>
              <w:rPr>
                <w:sz w:val="24"/>
                <w:szCs w:val="24"/>
              </w:rPr>
              <w:t>（元）</w:t>
            </w:r>
          </w:p>
        </w:tc>
        <w:tc>
          <w:tcPr>
            <w:tcW w:w="922" w:type="dxa"/>
          </w:tcPr>
          <w:p>
            <w:pPr>
              <w:pStyle w:val="25"/>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sz w:val="24"/>
                <w:szCs w:val="24"/>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262"/>
              <w:textAlignment w:val="auto"/>
              <w:rPr>
                <w:sz w:val="24"/>
                <w:szCs w:val="24"/>
              </w:rPr>
            </w:pPr>
            <w:r>
              <w:rPr>
                <w:sz w:val="24"/>
                <w:szCs w:val="24"/>
              </w:rPr>
              <w:t>总价</w:t>
            </w:r>
          </w:p>
          <w:p>
            <w:pPr>
              <w:pStyle w:val="25"/>
              <w:keepNext w:val="0"/>
              <w:keepLines w:val="0"/>
              <w:pageBreakBefore w:val="0"/>
              <w:widowControl w:val="0"/>
              <w:kinsoku/>
              <w:wordWrap/>
              <w:overflowPunct/>
              <w:topLinePunct w:val="0"/>
              <w:autoSpaceDE w:val="0"/>
              <w:autoSpaceDN w:val="0"/>
              <w:bidi w:val="0"/>
              <w:adjustRightInd/>
              <w:snapToGrid/>
              <w:spacing w:before="5" w:line="360" w:lineRule="auto"/>
              <w:ind w:left="142"/>
              <w:textAlignment w:val="auto"/>
              <w:rPr>
                <w:sz w:val="24"/>
                <w:szCs w:val="24"/>
              </w:rPr>
            </w:pPr>
            <w:r>
              <w:rPr>
                <w:sz w:val="24"/>
                <w:szCs w:val="24"/>
              </w:rPr>
              <w:t>（元）</w:t>
            </w:r>
          </w:p>
        </w:tc>
        <w:tc>
          <w:tcPr>
            <w:tcW w:w="1512" w:type="dxa"/>
          </w:tcPr>
          <w:p>
            <w:pPr>
              <w:pStyle w:val="25"/>
              <w:keepNext w:val="0"/>
              <w:keepLines w:val="0"/>
              <w:pageBreakBefore w:val="0"/>
              <w:widowControl w:val="0"/>
              <w:kinsoku/>
              <w:wordWrap/>
              <w:overflowPunct/>
              <w:topLinePunct w:val="0"/>
              <w:autoSpaceDE w:val="0"/>
              <w:autoSpaceDN w:val="0"/>
              <w:bidi w:val="0"/>
              <w:adjustRightInd/>
              <w:snapToGrid/>
              <w:spacing w:before="158" w:line="360" w:lineRule="auto"/>
              <w:ind w:left="86" w:right="74"/>
              <w:jc w:val="center"/>
              <w:textAlignment w:val="auto"/>
              <w:rPr>
                <w:sz w:val="24"/>
                <w:szCs w:val="24"/>
              </w:rPr>
            </w:pPr>
            <w:r>
              <w:rPr>
                <w:sz w:val="24"/>
                <w:szCs w:val="24"/>
              </w:rPr>
              <w:t>其中小、微型企业报价</w:t>
            </w:r>
          </w:p>
          <w:p>
            <w:pPr>
              <w:pStyle w:val="25"/>
              <w:keepNext w:val="0"/>
              <w:keepLines w:val="0"/>
              <w:pageBreakBefore w:val="0"/>
              <w:widowControl w:val="0"/>
              <w:kinsoku/>
              <w:wordWrap/>
              <w:overflowPunct/>
              <w:topLinePunct w:val="0"/>
              <w:autoSpaceDE w:val="0"/>
              <w:autoSpaceDN w:val="0"/>
              <w:bidi w:val="0"/>
              <w:adjustRightInd/>
              <w:snapToGrid/>
              <w:spacing w:before="3" w:line="360" w:lineRule="auto"/>
              <w:ind w:left="81" w:right="74"/>
              <w:jc w:val="center"/>
              <w:textAlignment w:val="auto"/>
              <w:rPr>
                <w:sz w:val="24"/>
                <w:szCs w:val="24"/>
              </w:rPr>
            </w:pPr>
            <w:r>
              <w:rPr>
                <w:sz w:val="24"/>
                <w:szCs w:val="24"/>
              </w:rPr>
              <w:t>（元）</w:t>
            </w:r>
          </w:p>
        </w:tc>
        <w:tc>
          <w:tcPr>
            <w:tcW w:w="1144" w:type="dxa"/>
          </w:tcPr>
          <w:p>
            <w:pPr>
              <w:pStyle w:val="25"/>
              <w:keepNext w:val="0"/>
              <w:keepLines w:val="0"/>
              <w:pageBreakBefore w:val="0"/>
              <w:widowControl w:val="0"/>
              <w:kinsoku/>
              <w:wordWrap/>
              <w:overflowPunct/>
              <w:topLinePunct w:val="0"/>
              <w:autoSpaceDE w:val="0"/>
              <w:autoSpaceDN w:val="0"/>
              <w:bidi w:val="0"/>
              <w:adjustRightInd/>
              <w:snapToGrid/>
              <w:spacing w:before="2" w:line="360" w:lineRule="auto"/>
              <w:ind w:left="141" w:right="133"/>
              <w:jc w:val="both"/>
              <w:textAlignment w:val="auto"/>
              <w:rPr>
                <w:sz w:val="24"/>
                <w:szCs w:val="24"/>
              </w:rPr>
            </w:pPr>
            <w:r>
              <w:rPr>
                <w:spacing w:val="-5"/>
                <w:sz w:val="24"/>
                <w:szCs w:val="24"/>
              </w:rPr>
              <w:t>其中，残疾人福利单位报价</w:t>
            </w:r>
          </w:p>
          <w:p>
            <w:pPr>
              <w:pStyle w:val="25"/>
              <w:keepNext w:val="0"/>
              <w:keepLines w:val="0"/>
              <w:pageBreakBefore w:val="0"/>
              <w:widowControl w:val="0"/>
              <w:kinsoku/>
              <w:wordWrap/>
              <w:overflowPunct/>
              <w:topLinePunct w:val="0"/>
              <w:autoSpaceDE w:val="0"/>
              <w:autoSpaceDN w:val="0"/>
              <w:bidi w:val="0"/>
              <w:adjustRightInd/>
              <w:snapToGrid/>
              <w:spacing w:before="4" w:line="360" w:lineRule="auto"/>
              <w:ind w:left="261"/>
              <w:textAlignment w:val="auto"/>
              <w:rPr>
                <w:sz w:val="24"/>
                <w:szCs w:val="24"/>
              </w:rPr>
            </w:pPr>
            <w:r>
              <w:rPr>
                <w:sz w:val="24"/>
                <w:szCs w:val="24"/>
              </w:rPr>
              <w:t>（元）</w:t>
            </w:r>
          </w:p>
        </w:tc>
        <w:tc>
          <w:tcPr>
            <w:tcW w:w="1129" w:type="dxa"/>
          </w:tcPr>
          <w:p>
            <w:pPr>
              <w:pStyle w:val="25"/>
              <w:keepNext w:val="0"/>
              <w:keepLines w:val="0"/>
              <w:pageBreakBefore w:val="0"/>
              <w:widowControl w:val="0"/>
              <w:kinsoku/>
              <w:wordWrap/>
              <w:overflowPunct/>
              <w:topLinePunct w:val="0"/>
              <w:autoSpaceDE w:val="0"/>
              <w:autoSpaceDN w:val="0"/>
              <w:bidi w:val="0"/>
              <w:adjustRightInd/>
              <w:snapToGrid/>
              <w:spacing w:before="158" w:line="360" w:lineRule="auto"/>
              <w:ind w:left="135" w:right="122"/>
              <w:jc w:val="both"/>
              <w:textAlignment w:val="auto"/>
              <w:rPr>
                <w:sz w:val="24"/>
                <w:szCs w:val="24"/>
              </w:rPr>
            </w:pPr>
            <w:r>
              <w:rPr>
                <w:sz w:val="24"/>
                <w:szCs w:val="24"/>
              </w:rPr>
              <w:t>其中，监狱企业报价（元）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43"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733"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67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22"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512"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14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129"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43"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733"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67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0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922"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512"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14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c>
          <w:tcPr>
            <w:tcW w:w="1129"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24"/>
                <w:szCs w:val="24"/>
              </w:rPr>
            </w:pPr>
          </w:p>
        </w:tc>
      </w:tr>
    </w:tbl>
    <w:p>
      <w:pPr>
        <w:pStyle w:val="9"/>
        <w:keepNext w:val="0"/>
        <w:keepLines w:val="0"/>
        <w:pageBreakBefore w:val="0"/>
        <w:widowControl w:val="0"/>
        <w:kinsoku/>
        <w:wordWrap/>
        <w:overflowPunct/>
        <w:topLinePunct w:val="0"/>
        <w:autoSpaceDE w:val="0"/>
        <w:autoSpaceDN w:val="0"/>
        <w:bidi w:val="0"/>
        <w:adjustRightInd/>
        <w:snapToGrid/>
        <w:spacing w:before="7" w:line="360" w:lineRule="auto"/>
        <w:ind w:left="0"/>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632"/>
        <w:textAlignment w:val="auto"/>
        <w:rPr>
          <w:sz w:val="24"/>
          <w:szCs w:val="24"/>
          <w:u w:val="none" w:color="auto"/>
        </w:rPr>
      </w:pPr>
      <w:r>
        <w:rPr>
          <w:sz w:val="24"/>
          <w:szCs w:val="24"/>
          <w:u w:val="none" w:color="auto"/>
        </w:rPr>
        <w:t>供应商名称： （盖章）</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632"/>
        <w:textAlignment w:val="auto"/>
        <w:rPr>
          <w:sz w:val="24"/>
          <w:szCs w:val="24"/>
          <w:u w:val="none" w:color="auto"/>
        </w:rPr>
      </w:pPr>
      <w:r>
        <w:rPr>
          <w:sz w:val="24"/>
          <w:szCs w:val="24"/>
          <w:u w:val="none" w:color="auto"/>
        </w:rPr>
        <w:t>说明：</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632"/>
        <w:textAlignment w:val="auto"/>
        <w:rPr>
          <w:sz w:val="24"/>
          <w:szCs w:val="24"/>
          <w:u w:val="none" w:color="auto"/>
        </w:rPr>
      </w:pPr>
      <w:r>
        <w:rPr>
          <w:sz w:val="24"/>
          <w:szCs w:val="24"/>
          <w:u w:val="none" w:color="auto"/>
        </w:rPr>
        <w:t>1、如果行数不够，请自行增加。</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720" w:firstLineChars="300"/>
        <w:textAlignment w:val="auto"/>
        <w:rPr>
          <w:rFonts w:hint="eastAsia" w:ascii="仿宋" w:hAnsi="仿宋" w:eastAsia="仿宋" w:cs="仿宋"/>
          <w:sz w:val="24"/>
          <w:szCs w:val="24"/>
        </w:rPr>
        <w:sectPr>
          <w:headerReference r:id="rId11" w:type="default"/>
          <w:pgSz w:w="11910" w:h="16840"/>
          <w:pgMar w:top="1700" w:right="320" w:bottom="280" w:left="1200" w:header="1474" w:footer="0" w:gutter="0"/>
          <w:cols w:space="720" w:num="1"/>
        </w:sectPr>
      </w:pPr>
      <w:r>
        <w:rPr>
          <w:sz w:val="24"/>
          <w:szCs w:val="24"/>
        </w:rPr>
        <w:t>2</w:t>
      </w:r>
      <w:r>
        <w:rPr>
          <w:spacing w:val="-19"/>
          <w:sz w:val="24"/>
          <w:szCs w:val="24"/>
        </w:rPr>
        <w:t>、在“是否属于小、微型企业的服务项目”、“是否属于残疾人福利单位的服务项目”、“是</w:t>
      </w:r>
      <w:r>
        <w:rPr>
          <w:spacing w:val="-9"/>
          <w:sz w:val="24"/>
          <w:szCs w:val="24"/>
        </w:rPr>
        <w:t>否属于监狱企业型企业的服务项目”栏内，填写“是”或“否”，如果 小微型企业、残疾人</w:t>
      </w:r>
      <w:r>
        <w:rPr>
          <w:sz w:val="24"/>
          <w:szCs w:val="24"/>
        </w:rPr>
        <w:t>福利单位、监狱企业提供的服务项目报价无法划分计算的，评标时将不予认可。</w:t>
      </w:r>
    </w:p>
    <w:p>
      <w:pPr>
        <w:pStyle w:val="5"/>
        <w:keepNext w:val="0"/>
        <w:keepLines w:val="0"/>
        <w:pageBreakBefore w:val="0"/>
        <w:widowControl w:val="0"/>
        <w:kinsoku/>
        <w:wordWrap/>
        <w:overflowPunct/>
        <w:topLinePunct w:val="0"/>
        <w:autoSpaceDE w:val="0"/>
        <w:autoSpaceDN w:val="0"/>
        <w:bidi w:val="0"/>
        <w:adjustRightInd/>
        <w:snapToGrid/>
        <w:spacing w:before="120" w:line="360" w:lineRule="auto"/>
        <w:ind w:right="878"/>
        <w:jc w:val="both"/>
        <w:textAlignment w:val="auto"/>
        <w:rPr>
          <w:rFonts w:hint="default"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 xml:space="preserve">目录六 </w:t>
      </w:r>
      <w:r>
        <w:rPr>
          <w:rFonts w:hint="eastAsia" w:ascii="宋体" w:hAnsi="宋体" w:eastAsia="宋体" w:cs="宋体"/>
          <w:b/>
          <w:bCs/>
          <w:spacing w:val="-2"/>
          <w:sz w:val="24"/>
          <w:szCs w:val="24"/>
        </w:rPr>
        <w:t>技术条款偏离表</w:t>
      </w:r>
    </w:p>
    <w:p>
      <w:pPr>
        <w:pStyle w:val="5"/>
        <w:keepNext w:val="0"/>
        <w:keepLines w:val="0"/>
        <w:pageBreakBefore w:val="0"/>
        <w:widowControl w:val="0"/>
        <w:kinsoku/>
        <w:wordWrap/>
        <w:overflowPunct/>
        <w:topLinePunct w:val="0"/>
        <w:autoSpaceDE w:val="0"/>
        <w:autoSpaceDN w:val="0"/>
        <w:bidi w:val="0"/>
        <w:adjustRightInd/>
        <w:snapToGrid/>
        <w:spacing w:before="120" w:line="360" w:lineRule="auto"/>
        <w:ind w:right="878"/>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技术条款偏离表</w:t>
      </w:r>
    </w:p>
    <w:p>
      <w:pPr>
        <w:keepNext w:val="0"/>
        <w:keepLines w:val="0"/>
        <w:pageBreakBefore w:val="0"/>
        <w:widowControl w:val="0"/>
        <w:kinsoku/>
        <w:wordWrap/>
        <w:overflowPunct/>
        <w:topLinePunct w:val="0"/>
        <w:autoSpaceDE w:val="0"/>
        <w:autoSpaceDN w:val="0"/>
        <w:bidi w:val="0"/>
        <w:adjustRightInd/>
        <w:snapToGrid/>
        <w:spacing w:before="81" w:after="3" w:line="360" w:lineRule="auto"/>
        <w:ind w:left="600" w:right="8704" w:firstLine="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pacing w:val="-4"/>
          <w:sz w:val="24"/>
          <w:szCs w:val="24"/>
        </w:rPr>
        <w:t>项目编号:</w:t>
      </w:r>
    </w:p>
    <w:tbl>
      <w:tblPr>
        <w:tblStyle w:val="19"/>
        <w:tblW w:w="0" w:type="auto"/>
        <w:tblInd w:w="6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1741"/>
        <w:gridCol w:w="2581"/>
        <w:gridCol w:w="2384"/>
        <w:gridCol w:w="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6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141"/>
              <w:textAlignment w:val="auto"/>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4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30"/>
              <w:textAlignment w:val="auto"/>
              <w:rPr>
                <w:rFonts w:hint="eastAsia" w:ascii="宋体" w:hAnsi="宋体" w:eastAsia="宋体" w:cs="宋体"/>
                <w:sz w:val="24"/>
                <w:szCs w:val="24"/>
              </w:rPr>
            </w:pPr>
            <w:r>
              <w:rPr>
                <w:rFonts w:hint="eastAsia" w:cs="宋体"/>
                <w:spacing w:val="-2"/>
                <w:sz w:val="24"/>
                <w:szCs w:val="24"/>
                <w:lang w:val="en-US" w:eastAsia="zh-CN"/>
              </w:rPr>
              <w:t>采购</w:t>
            </w:r>
            <w:r>
              <w:rPr>
                <w:rFonts w:hint="eastAsia" w:ascii="宋体" w:hAnsi="宋体" w:eastAsia="宋体" w:cs="宋体"/>
                <w:spacing w:val="-2"/>
                <w:sz w:val="24"/>
                <w:szCs w:val="24"/>
              </w:rPr>
              <w:t>文件条目号</w:t>
            </w:r>
          </w:p>
        </w:tc>
        <w:tc>
          <w:tcPr>
            <w:tcW w:w="258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330"/>
              <w:textAlignment w:val="auto"/>
              <w:rPr>
                <w:rFonts w:hint="eastAsia" w:ascii="宋体" w:hAnsi="宋体" w:eastAsia="宋体" w:cs="宋体"/>
                <w:sz w:val="24"/>
                <w:szCs w:val="24"/>
              </w:rPr>
            </w:pPr>
            <w:r>
              <w:rPr>
                <w:rFonts w:hint="eastAsia" w:cs="宋体"/>
                <w:spacing w:val="-2"/>
                <w:sz w:val="24"/>
                <w:szCs w:val="24"/>
                <w:lang w:val="en-US" w:eastAsia="zh-CN"/>
              </w:rPr>
              <w:t>采购</w:t>
            </w:r>
            <w:r>
              <w:rPr>
                <w:rFonts w:hint="eastAsia" w:ascii="宋体" w:hAnsi="宋体" w:eastAsia="宋体" w:cs="宋体"/>
                <w:spacing w:val="-2"/>
                <w:sz w:val="24"/>
                <w:szCs w:val="24"/>
              </w:rPr>
              <w:t>文件技术要求</w:t>
            </w:r>
          </w:p>
        </w:tc>
        <w:tc>
          <w:tcPr>
            <w:tcW w:w="238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708"/>
              <w:textAlignment w:val="auto"/>
              <w:rPr>
                <w:rFonts w:hint="eastAsia" w:ascii="宋体" w:hAnsi="宋体" w:eastAsia="宋体" w:cs="宋体"/>
                <w:sz w:val="24"/>
                <w:szCs w:val="24"/>
              </w:rPr>
            </w:pPr>
            <w:r>
              <w:rPr>
                <w:rFonts w:hint="eastAsia" w:ascii="宋体" w:hAnsi="宋体" w:eastAsia="宋体" w:cs="宋体"/>
                <w:spacing w:val="-3"/>
                <w:sz w:val="24"/>
                <w:szCs w:val="24"/>
              </w:rPr>
              <w:t>投标响应</w:t>
            </w:r>
          </w:p>
        </w:tc>
        <w:tc>
          <w:tcPr>
            <w:tcW w:w="74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130"/>
              <w:textAlignment w:val="auto"/>
              <w:rPr>
                <w:rFonts w:hint="eastAsia" w:ascii="宋体" w:hAnsi="宋体" w:eastAsia="宋体" w:cs="宋体"/>
                <w:sz w:val="24"/>
                <w:szCs w:val="24"/>
              </w:rPr>
            </w:pPr>
            <w:r>
              <w:rPr>
                <w:rFonts w:hint="eastAsia" w:ascii="宋体" w:hAnsi="宋体" w:eastAsia="宋体" w:cs="宋体"/>
                <w:spacing w:val="-5"/>
                <w:sz w:val="24"/>
                <w:szCs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76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58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38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74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76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58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38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74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66"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581"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384"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74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tabs>
          <w:tab w:val="left" w:pos="7921"/>
        </w:tabs>
        <w:kinsoku/>
        <w:wordWrap/>
        <w:overflowPunct/>
        <w:topLinePunct w:val="0"/>
        <w:autoSpaceDE w:val="0"/>
        <w:autoSpaceDN w:val="0"/>
        <w:bidi w:val="0"/>
        <w:adjustRightInd/>
        <w:snapToGrid/>
        <w:spacing w:before="80" w:line="360" w:lineRule="auto"/>
        <w:ind w:left="60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59264" behindDoc="0" locked="0" layoutInCell="1" allowOverlap="1">
            <wp:simplePos x="0" y="0"/>
            <wp:positionH relativeFrom="page">
              <wp:posOffset>1981200</wp:posOffset>
            </wp:positionH>
            <wp:positionV relativeFrom="paragraph">
              <wp:posOffset>224155</wp:posOffset>
            </wp:positionV>
            <wp:extent cx="3810635" cy="7620"/>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pic:cNvPicPr>
                      <a:picLocks noChangeAspect="1"/>
                    </pic:cNvPicPr>
                  </pic:nvPicPr>
                  <pic:blipFill>
                    <a:blip r:embed="rId23" cstate="print"/>
                    <a:stretch>
                      <a:fillRect/>
                    </a:stretch>
                  </pic:blipFill>
                  <pic:spPr>
                    <a:xfrm>
                      <a:off x="0" y="0"/>
                      <a:ext cx="3810635" cy="7620"/>
                    </a:xfrm>
                    <a:prstGeom prst="rect">
                      <a:avLst/>
                    </a:prstGeom>
                  </pic:spPr>
                </pic:pic>
              </a:graphicData>
            </a:graphic>
          </wp:anchor>
        </w:drawing>
      </w:r>
      <w:r>
        <w:rPr>
          <w:rFonts w:hint="eastAsia" w:ascii="宋体" w:hAnsi="宋体" w:eastAsia="宋体" w:cs="宋体"/>
          <w:spacing w:val="-2"/>
          <w:sz w:val="24"/>
          <w:szCs w:val="24"/>
        </w:rPr>
        <w:t>供应商名称</w:t>
      </w:r>
      <w:r>
        <w:rPr>
          <w:rFonts w:hint="eastAsia" w:ascii="宋体" w:hAnsi="宋体" w:eastAsia="宋体" w:cs="宋体"/>
          <w:spacing w:val="-10"/>
          <w:sz w:val="24"/>
          <w:szCs w:val="24"/>
        </w:rPr>
        <w:t>:</w:t>
      </w:r>
      <w:r>
        <w:rPr>
          <w:rFonts w:hint="eastAsia" w:ascii="宋体" w:hAnsi="宋体" w:eastAsia="宋体" w:cs="宋体"/>
          <w:sz w:val="24"/>
          <w:szCs w:val="24"/>
        </w:rPr>
        <w:tab/>
      </w:r>
      <w:r>
        <w:rPr>
          <w:rFonts w:hint="eastAsia" w:ascii="宋体" w:hAnsi="宋体" w:eastAsia="宋体" w:cs="宋体"/>
          <w:sz w:val="24"/>
          <w:szCs w:val="24"/>
        </w:rPr>
        <w:t>（盖章</w:t>
      </w:r>
      <w:r>
        <w:rPr>
          <w:rFonts w:hint="eastAsia" w:ascii="宋体" w:hAnsi="宋体" w:eastAsia="宋体" w:cs="宋体"/>
          <w:spacing w:val="-10"/>
          <w:sz w:val="24"/>
          <w:szCs w:val="24"/>
        </w:rPr>
        <w:t>）</w:t>
      </w:r>
    </w:p>
    <w:p>
      <w:pPr>
        <w:keepNext w:val="0"/>
        <w:keepLines w:val="0"/>
        <w:pageBreakBefore w:val="0"/>
        <w:widowControl w:val="0"/>
        <w:tabs>
          <w:tab w:val="left" w:pos="1320"/>
          <w:tab w:val="left" w:pos="2160"/>
          <w:tab w:val="left" w:pos="2640"/>
        </w:tabs>
        <w:kinsoku/>
        <w:wordWrap/>
        <w:overflowPunct/>
        <w:topLinePunct w:val="0"/>
        <w:autoSpaceDE w:val="0"/>
        <w:autoSpaceDN w:val="0"/>
        <w:bidi w:val="0"/>
        <w:adjustRightInd/>
        <w:snapToGrid/>
        <w:spacing w:before="82" w:line="360" w:lineRule="auto"/>
        <w:ind w:left="600" w:right="6423" w:firstLine="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法定代表人或委托代理人签字：</w:t>
      </w:r>
      <w:r>
        <w:rPr>
          <w:rFonts w:hint="eastAsia" w:ascii="宋体" w:hAnsi="宋体" w:eastAsia="宋体" w:cs="宋体"/>
          <w:spacing w:val="-10"/>
          <w:sz w:val="24"/>
          <w:szCs w:val="24"/>
        </w:rPr>
        <w:t>日</w:t>
      </w:r>
      <w:r>
        <w:rPr>
          <w:rFonts w:hint="eastAsia" w:ascii="宋体" w:hAnsi="宋体" w:eastAsia="宋体" w:cs="宋体"/>
          <w:sz w:val="24"/>
          <w:szCs w:val="24"/>
        </w:rPr>
        <w:tab/>
      </w:r>
      <w:r>
        <w:rPr>
          <w:rFonts w:hint="eastAsia" w:ascii="宋体" w:hAnsi="宋体" w:eastAsia="宋体" w:cs="宋体"/>
          <w:spacing w:val="-6"/>
          <w:sz w:val="24"/>
          <w:szCs w:val="24"/>
        </w:rPr>
        <w:t>期：</w:t>
      </w:r>
      <w:r>
        <w:rPr>
          <w:rFonts w:hint="eastAsia" w:ascii="宋体" w:hAnsi="宋体" w:eastAsia="宋体" w:cs="宋体"/>
          <w:sz w:val="24"/>
          <w:szCs w:val="24"/>
        </w:rPr>
        <w:tab/>
      </w:r>
      <w:r>
        <w:rPr>
          <w:rFonts w:hint="eastAsia" w:ascii="宋体" w:hAnsi="宋体" w:eastAsia="宋体" w:cs="宋体"/>
          <w:spacing w:val="-10"/>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before="2" w:line="360" w:lineRule="auto"/>
        <w:ind w:left="600" w:right="0" w:firstLine="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说明：</w:t>
      </w:r>
    </w:p>
    <w:p>
      <w:pPr>
        <w:keepNext w:val="0"/>
        <w:keepLines w:val="0"/>
        <w:pageBreakBefore w:val="0"/>
        <w:widowControl w:val="0"/>
        <w:kinsoku/>
        <w:wordWrap/>
        <w:overflowPunct/>
        <w:topLinePunct w:val="0"/>
        <w:autoSpaceDE w:val="0"/>
        <w:autoSpaceDN w:val="0"/>
        <w:bidi w:val="0"/>
        <w:adjustRightInd/>
        <w:snapToGrid/>
        <w:spacing w:before="6" w:line="360" w:lineRule="auto"/>
        <w:ind w:left="600" w:right="1481" w:firstLine="479"/>
        <w:jc w:val="left"/>
        <w:textAlignment w:val="auto"/>
        <w:rPr>
          <w:rFonts w:hint="eastAsia" w:ascii="宋体" w:hAnsi="宋体" w:eastAsia="宋体" w:cs="宋体"/>
          <w:sz w:val="24"/>
          <w:szCs w:val="24"/>
        </w:rPr>
      </w:pPr>
      <w:r>
        <w:rPr>
          <w:rFonts w:hint="eastAsia" w:ascii="宋体" w:hAnsi="宋体" w:eastAsia="宋体" w:cs="宋体"/>
          <w:spacing w:val="-2"/>
          <w:sz w:val="24"/>
          <w:szCs w:val="24"/>
        </w:rPr>
        <w:t>1、供应商应逐一说明投标产品和服务响应，直接复制</w:t>
      </w:r>
      <w:r>
        <w:rPr>
          <w:rFonts w:hint="eastAsia" w:cs="宋体"/>
          <w:spacing w:val="-2"/>
          <w:sz w:val="24"/>
          <w:szCs w:val="24"/>
          <w:lang w:val="en-US" w:eastAsia="zh-CN"/>
        </w:rPr>
        <w:t>磋商</w:t>
      </w:r>
      <w:r>
        <w:rPr>
          <w:rFonts w:hint="eastAsia" w:ascii="宋体" w:hAnsi="宋体" w:eastAsia="宋体" w:cs="宋体"/>
          <w:spacing w:val="-2"/>
          <w:sz w:val="24"/>
          <w:szCs w:val="24"/>
        </w:rPr>
        <w:t>文件技术要求的按照无效投标处理；</w:t>
      </w:r>
    </w:p>
    <w:p>
      <w:pPr>
        <w:keepNext w:val="0"/>
        <w:keepLines w:val="0"/>
        <w:pageBreakBefore w:val="0"/>
        <w:widowControl w:val="0"/>
        <w:kinsoku/>
        <w:wordWrap/>
        <w:overflowPunct/>
        <w:topLinePunct w:val="0"/>
        <w:autoSpaceDE w:val="0"/>
        <w:autoSpaceDN w:val="0"/>
        <w:bidi w:val="0"/>
        <w:adjustRightInd/>
        <w:snapToGrid/>
        <w:spacing w:before="2" w:line="360" w:lineRule="auto"/>
        <w:ind w:left="108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
          <w:sz w:val="24"/>
          <w:szCs w:val="24"/>
        </w:rPr>
        <w:t>、如果行数不够，请自行增加。</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宋体" w:hAnsi="宋体" w:eastAsia="宋体" w:cs="宋体"/>
          <w:sz w:val="24"/>
          <w:szCs w:val="24"/>
        </w:rPr>
        <w:sectPr>
          <w:headerReference r:id="rId12" w:type="default"/>
          <w:pgSz w:w="11910" w:h="16840"/>
          <w:pgMar w:top="1700" w:right="320" w:bottom="280" w:left="1200" w:header="1474" w:footer="0" w:gutter="0"/>
          <w:cols w:space="720" w:num="1"/>
        </w:sectPr>
      </w:pPr>
    </w:p>
    <w:p>
      <w:pPr>
        <w:pStyle w:val="5"/>
        <w:spacing w:before="120"/>
        <w:ind w:right="878"/>
        <w:jc w:val="both"/>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目录七、</w:t>
      </w:r>
      <w:r>
        <w:rPr>
          <w:rFonts w:hint="eastAsia" w:ascii="宋体" w:hAnsi="宋体" w:eastAsia="宋体" w:cs="宋体"/>
          <w:b/>
          <w:bCs/>
          <w:spacing w:val="-2"/>
          <w:sz w:val="24"/>
          <w:szCs w:val="24"/>
        </w:rPr>
        <w:t>商务条款偏离表</w:t>
      </w:r>
    </w:p>
    <w:p>
      <w:pPr>
        <w:pStyle w:val="5"/>
        <w:keepNext w:val="0"/>
        <w:keepLines w:val="0"/>
        <w:pageBreakBefore w:val="0"/>
        <w:widowControl w:val="0"/>
        <w:kinsoku/>
        <w:wordWrap/>
        <w:overflowPunct/>
        <w:topLinePunct w:val="0"/>
        <w:autoSpaceDE w:val="0"/>
        <w:autoSpaceDN w:val="0"/>
        <w:bidi w:val="0"/>
        <w:adjustRightInd/>
        <w:snapToGrid/>
        <w:spacing w:before="120" w:line="360" w:lineRule="auto"/>
        <w:ind w:right="878"/>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商务条款偏离表</w:t>
      </w:r>
    </w:p>
    <w:p>
      <w:pPr>
        <w:keepNext w:val="0"/>
        <w:keepLines w:val="0"/>
        <w:pageBreakBefore w:val="0"/>
        <w:widowControl w:val="0"/>
        <w:kinsoku/>
        <w:wordWrap/>
        <w:overflowPunct/>
        <w:topLinePunct w:val="0"/>
        <w:autoSpaceDE w:val="0"/>
        <w:autoSpaceDN w:val="0"/>
        <w:bidi w:val="0"/>
        <w:adjustRightInd/>
        <w:snapToGrid/>
        <w:spacing w:before="81" w:after="3" w:line="360" w:lineRule="auto"/>
        <w:ind w:left="600" w:right="8704" w:firstLine="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pacing w:val="-4"/>
          <w:sz w:val="24"/>
          <w:szCs w:val="24"/>
        </w:rPr>
        <w:t>项目编号:</w:t>
      </w:r>
    </w:p>
    <w:tbl>
      <w:tblPr>
        <w:tblStyle w:val="19"/>
        <w:tblW w:w="0" w:type="auto"/>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745"/>
        <w:gridCol w:w="2978"/>
        <w:gridCol w:w="16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83"/>
              <w:textAlignment w:val="auto"/>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31"/>
              <w:textAlignment w:val="auto"/>
              <w:rPr>
                <w:rFonts w:hint="eastAsia" w:ascii="宋体" w:hAnsi="宋体" w:eastAsia="宋体" w:cs="宋体"/>
                <w:sz w:val="24"/>
                <w:szCs w:val="24"/>
              </w:rPr>
            </w:pPr>
            <w:r>
              <w:rPr>
                <w:rFonts w:hint="eastAsia" w:cs="宋体"/>
                <w:spacing w:val="-2"/>
                <w:sz w:val="24"/>
                <w:szCs w:val="24"/>
                <w:lang w:val="en-US" w:eastAsia="zh-CN"/>
              </w:rPr>
              <w:t>采购</w:t>
            </w:r>
            <w:r>
              <w:rPr>
                <w:rFonts w:hint="eastAsia" w:ascii="宋体" w:hAnsi="宋体" w:eastAsia="宋体" w:cs="宋体"/>
                <w:spacing w:val="-2"/>
                <w:sz w:val="24"/>
                <w:szCs w:val="24"/>
              </w:rPr>
              <w:t>文件条目号</w:t>
            </w: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170"/>
              <w:textAlignment w:val="auto"/>
              <w:rPr>
                <w:rFonts w:hint="eastAsia" w:ascii="宋体" w:hAnsi="宋体" w:eastAsia="宋体" w:cs="宋体"/>
                <w:sz w:val="24"/>
                <w:szCs w:val="24"/>
              </w:rPr>
            </w:pPr>
            <w:r>
              <w:rPr>
                <w:rFonts w:hint="eastAsia" w:cs="宋体"/>
                <w:spacing w:val="-1"/>
                <w:sz w:val="24"/>
                <w:szCs w:val="24"/>
                <w:lang w:val="en-US" w:eastAsia="zh-CN"/>
              </w:rPr>
              <w:t>采购</w:t>
            </w:r>
            <w:r>
              <w:rPr>
                <w:rFonts w:hint="eastAsia" w:ascii="宋体" w:hAnsi="宋体" w:eastAsia="宋体" w:cs="宋体"/>
                <w:spacing w:val="-1"/>
                <w:sz w:val="24"/>
                <w:szCs w:val="24"/>
              </w:rPr>
              <w:t>文件要求的商务条款</w:t>
            </w: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320"/>
              <w:textAlignment w:val="auto"/>
              <w:rPr>
                <w:rFonts w:hint="eastAsia" w:ascii="宋体" w:hAnsi="宋体" w:eastAsia="宋体" w:cs="宋体"/>
                <w:sz w:val="24"/>
                <w:szCs w:val="24"/>
              </w:rPr>
            </w:pPr>
            <w:r>
              <w:rPr>
                <w:rFonts w:hint="eastAsia" w:cs="宋体"/>
                <w:spacing w:val="-3"/>
                <w:sz w:val="24"/>
                <w:szCs w:val="24"/>
                <w:lang w:val="en-US" w:eastAsia="zh-CN"/>
              </w:rPr>
              <w:t>磋商</w:t>
            </w:r>
            <w:r>
              <w:rPr>
                <w:rFonts w:hint="eastAsia" w:ascii="宋体" w:hAnsi="宋体" w:eastAsia="宋体" w:cs="宋体"/>
                <w:spacing w:val="-3"/>
                <w:sz w:val="24"/>
                <w:szCs w:val="24"/>
              </w:rPr>
              <w:t>响应</w:t>
            </w: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270"/>
              <w:textAlignment w:val="auto"/>
              <w:rPr>
                <w:rFonts w:hint="eastAsia" w:ascii="宋体" w:hAnsi="宋体" w:eastAsia="宋体" w:cs="宋体"/>
                <w:sz w:val="24"/>
                <w:szCs w:val="24"/>
              </w:rPr>
            </w:pPr>
            <w:r>
              <w:rPr>
                <w:rFonts w:hint="eastAsia" w:ascii="宋体" w:hAnsi="宋体" w:eastAsia="宋体" w:cs="宋体"/>
                <w:spacing w:val="-5"/>
                <w:sz w:val="24"/>
                <w:szCs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745"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2978"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60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c>
          <w:tcPr>
            <w:tcW w:w="1020" w:type="dxa"/>
          </w:tcPr>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tabs>
          <w:tab w:val="left" w:pos="7921"/>
        </w:tabs>
        <w:kinsoku/>
        <w:wordWrap/>
        <w:overflowPunct/>
        <w:topLinePunct w:val="0"/>
        <w:autoSpaceDE w:val="0"/>
        <w:autoSpaceDN w:val="0"/>
        <w:bidi w:val="0"/>
        <w:adjustRightInd/>
        <w:snapToGrid/>
        <w:spacing w:before="83" w:line="360" w:lineRule="auto"/>
        <w:ind w:left="60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0288" behindDoc="0" locked="0" layoutInCell="1" allowOverlap="1">
            <wp:simplePos x="0" y="0"/>
            <wp:positionH relativeFrom="page">
              <wp:posOffset>1981200</wp:posOffset>
            </wp:positionH>
            <wp:positionV relativeFrom="paragraph">
              <wp:posOffset>226060</wp:posOffset>
            </wp:positionV>
            <wp:extent cx="3810635" cy="7620"/>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8.png"/>
                    <pic:cNvPicPr>
                      <a:picLocks noChangeAspect="1"/>
                    </pic:cNvPicPr>
                  </pic:nvPicPr>
                  <pic:blipFill>
                    <a:blip r:embed="rId22" cstate="print"/>
                    <a:stretch>
                      <a:fillRect/>
                    </a:stretch>
                  </pic:blipFill>
                  <pic:spPr>
                    <a:xfrm>
                      <a:off x="0" y="0"/>
                      <a:ext cx="3810635" cy="7620"/>
                    </a:xfrm>
                    <a:prstGeom prst="rect">
                      <a:avLst/>
                    </a:prstGeom>
                  </pic:spPr>
                </pic:pic>
              </a:graphicData>
            </a:graphic>
          </wp:anchor>
        </w:drawing>
      </w:r>
      <w:r>
        <w:rPr>
          <w:rFonts w:hint="eastAsia" w:ascii="宋体" w:hAnsi="宋体" w:eastAsia="宋体" w:cs="宋体"/>
          <w:spacing w:val="-2"/>
          <w:sz w:val="24"/>
          <w:szCs w:val="24"/>
        </w:rPr>
        <w:t>供应商名称</w:t>
      </w:r>
      <w:r>
        <w:rPr>
          <w:rFonts w:hint="eastAsia" w:ascii="宋体" w:hAnsi="宋体" w:eastAsia="宋体" w:cs="宋体"/>
          <w:spacing w:val="-10"/>
          <w:sz w:val="24"/>
          <w:szCs w:val="24"/>
        </w:rPr>
        <w:t>:</w:t>
      </w:r>
      <w:r>
        <w:rPr>
          <w:rFonts w:hint="eastAsia" w:ascii="宋体" w:hAnsi="宋体" w:eastAsia="宋体" w:cs="宋体"/>
          <w:sz w:val="24"/>
          <w:szCs w:val="24"/>
        </w:rPr>
        <w:tab/>
      </w:r>
      <w:r>
        <w:rPr>
          <w:rFonts w:hint="eastAsia" w:ascii="宋体" w:hAnsi="宋体" w:eastAsia="宋体" w:cs="宋体"/>
          <w:sz w:val="24"/>
          <w:szCs w:val="24"/>
        </w:rPr>
        <w:t>（盖章</w:t>
      </w:r>
      <w:r>
        <w:rPr>
          <w:rFonts w:hint="eastAsia" w:ascii="宋体" w:hAnsi="宋体" w:eastAsia="宋体" w:cs="宋体"/>
          <w:spacing w:val="-10"/>
          <w:sz w:val="24"/>
          <w:szCs w:val="24"/>
        </w:rPr>
        <w:t>）</w:t>
      </w:r>
    </w:p>
    <w:p>
      <w:pPr>
        <w:keepNext w:val="0"/>
        <w:keepLines w:val="0"/>
        <w:pageBreakBefore w:val="0"/>
        <w:widowControl w:val="0"/>
        <w:tabs>
          <w:tab w:val="left" w:pos="1320"/>
          <w:tab w:val="left" w:pos="2160"/>
          <w:tab w:val="left" w:pos="2640"/>
        </w:tabs>
        <w:kinsoku/>
        <w:wordWrap/>
        <w:overflowPunct/>
        <w:topLinePunct w:val="0"/>
        <w:autoSpaceDE w:val="0"/>
        <w:autoSpaceDN w:val="0"/>
        <w:bidi w:val="0"/>
        <w:adjustRightInd/>
        <w:snapToGrid/>
        <w:spacing w:before="82" w:line="360" w:lineRule="auto"/>
        <w:ind w:left="600" w:right="6423" w:firstLine="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法定代表人或委托代理人签字：</w:t>
      </w:r>
      <w:r>
        <w:rPr>
          <w:rFonts w:hint="eastAsia" w:ascii="宋体" w:hAnsi="宋体" w:eastAsia="宋体" w:cs="宋体"/>
          <w:spacing w:val="-10"/>
          <w:sz w:val="24"/>
          <w:szCs w:val="24"/>
        </w:rPr>
        <w:t>日</w:t>
      </w:r>
      <w:r>
        <w:rPr>
          <w:rFonts w:hint="eastAsia" w:ascii="宋体" w:hAnsi="宋体" w:eastAsia="宋体" w:cs="宋体"/>
          <w:sz w:val="24"/>
          <w:szCs w:val="24"/>
        </w:rPr>
        <w:tab/>
      </w:r>
      <w:r>
        <w:rPr>
          <w:rFonts w:hint="eastAsia" w:ascii="宋体" w:hAnsi="宋体" w:eastAsia="宋体" w:cs="宋体"/>
          <w:spacing w:val="-6"/>
          <w:sz w:val="24"/>
          <w:szCs w:val="24"/>
        </w:rPr>
        <w:t>期：</w:t>
      </w:r>
      <w:r>
        <w:rPr>
          <w:rFonts w:hint="eastAsia" w:ascii="宋体" w:hAnsi="宋体" w:eastAsia="宋体" w:cs="宋体"/>
          <w:sz w:val="24"/>
          <w:szCs w:val="24"/>
        </w:rPr>
        <w:tab/>
      </w:r>
      <w:r>
        <w:rPr>
          <w:rFonts w:hint="eastAsia" w:ascii="宋体" w:hAnsi="宋体" w:eastAsia="宋体" w:cs="宋体"/>
          <w:spacing w:val="-10"/>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before="82" w:line="360" w:lineRule="auto"/>
        <w:ind w:left="600" w:right="0" w:firstLine="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说明：如果行、列数不够，请自行增加。</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宋体" w:hAnsi="宋体" w:eastAsia="宋体" w:cs="宋体"/>
          <w:sz w:val="24"/>
          <w:szCs w:val="24"/>
        </w:rPr>
        <w:sectPr>
          <w:headerReference r:id="rId13" w:type="default"/>
          <w:pgSz w:w="11910" w:h="16840"/>
          <w:pgMar w:top="1700" w:right="320" w:bottom="280" w:left="1200" w:header="1474" w:footer="0" w:gutter="0"/>
          <w:cols w:space="720" w:num="1"/>
        </w:sectPr>
      </w:pPr>
    </w:p>
    <w:p>
      <w:pPr>
        <w:spacing w:before="0" w:line="280" w:lineRule="exact"/>
        <w:ind w:left="20" w:right="0" w:firstLine="0"/>
        <w:jc w:val="left"/>
        <w:rPr>
          <w:b/>
          <w:sz w:val="24"/>
        </w:rPr>
      </w:pPr>
      <w:r>
        <w:rPr>
          <w:b/>
          <w:w w:val="95"/>
          <w:sz w:val="24"/>
        </w:rPr>
        <w:t>目录</w:t>
      </w:r>
      <w:r>
        <w:rPr>
          <w:rFonts w:hint="eastAsia"/>
          <w:b/>
          <w:w w:val="95"/>
          <w:sz w:val="24"/>
          <w:lang w:val="en-US" w:eastAsia="zh-CN"/>
        </w:rPr>
        <w:t>八</w:t>
      </w:r>
      <w:r>
        <w:rPr>
          <w:b/>
          <w:w w:val="95"/>
          <w:sz w:val="24"/>
        </w:rPr>
        <w:t>、施工组织方案及服务承</w:t>
      </w:r>
      <w:r>
        <w:rPr>
          <w:b/>
          <w:spacing w:val="-10"/>
          <w:w w:val="95"/>
          <w:sz w:val="24"/>
        </w:rPr>
        <w:t>诺</w:t>
      </w:r>
    </w:p>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9"/>
        <w:rPr>
          <w:rFonts w:hint="eastAsia" w:ascii="仿宋" w:hAnsi="仿宋" w:eastAsia="仿宋" w:cs="仿宋"/>
          <w:sz w:val="28"/>
          <w:u w:val="none"/>
        </w:rPr>
      </w:pPr>
    </w:p>
    <w:p>
      <w:pPr>
        <w:pStyle w:val="5"/>
        <w:spacing w:before="50"/>
        <w:ind w:left="2772"/>
        <w:rPr>
          <w:rFonts w:hint="eastAsia" w:ascii="宋体" w:hAnsi="宋体" w:eastAsia="宋体" w:cs="宋体"/>
        </w:rPr>
      </w:pPr>
      <w:r>
        <w:rPr>
          <w:rFonts w:hint="eastAsia" w:ascii="宋体" w:hAnsi="宋体" w:eastAsia="宋体" w:cs="宋体"/>
          <w:spacing w:val="-1"/>
        </w:rPr>
        <w:t>施工组织方案及服务承诺</w:t>
      </w:r>
    </w:p>
    <w:p>
      <w:pPr>
        <w:spacing w:before="214"/>
        <w:ind w:left="0" w:right="516" w:firstLine="0"/>
        <w:jc w:val="center"/>
        <w:rPr>
          <w:rFonts w:hint="eastAsia" w:ascii="宋体" w:hAnsi="宋体" w:eastAsia="宋体" w:cs="宋体"/>
          <w:sz w:val="28"/>
        </w:rPr>
      </w:pPr>
      <w:r>
        <w:rPr>
          <w:rFonts w:hint="eastAsia" w:ascii="宋体" w:hAnsi="宋体" w:eastAsia="宋体" w:cs="宋体"/>
          <w:spacing w:val="-2"/>
          <w:sz w:val="28"/>
        </w:rPr>
        <w:t>（格式自拟</w:t>
      </w:r>
      <w:r>
        <w:rPr>
          <w:rFonts w:hint="eastAsia" w:ascii="宋体" w:hAnsi="宋体" w:eastAsia="宋体" w:cs="宋体"/>
          <w:spacing w:val="-10"/>
          <w:sz w:val="28"/>
        </w:rPr>
        <w:t>）</w:t>
      </w:r>
    </w:p>
    <w:p>
      <w:pPr>
        <w:spacing w:after="0"/>
        <w:jc w:val="center"/>
        <w:rPr>
          <w:rFonts w:hint="eastAsia" w:ascii="宋体" w:hAnsi="宋体" w:eastAsia="宋体" w:cs="宋体"/>
          <w:sz w:val="28"/>
        </w:rPr>
        <w:sectPr>
          <w:headerReference r:id="rId14" w:type="default"/>
          <w:pgSz w:w="11910" w:h="16840"/>
          <w:pgMar w:top="1780" w:right="320" w:bottom="280" w:left="1200" w:header="1553" w:footer="0" w:gutter="0"/>
          <w:cols w:space="720" w:num="1"/>
        </w:sectPr>
      </w:pPr>
    </w:p>
    <w:p>
      <w:pPr>
        <w:spacing w:before="0" w:line="280" w:lineRule="exact"/>
        <w:ind w:left="20" w:right="0" w:firstLine="0"/>
        <w:jc w:val="left"/>
        <w:rPr>
          <w:b/>
          <w:sz w:val="24"/>
        </w:rPr>
      </w:pPr>
      <w:r>
        <w:rPr>
          <w:b/>
          <w:w w:val="95"/>
          <w:sz w:val="24"/>
        </w:rPr>
        <w:t>目录</w:t>
      </w:r>
      <w:r>
        <w:rPr>
          <w:rFonts w:hint="eastAsia"/>
          <w:b/>
          <w:w w:val="95"/>
          <w:sz w:val="24"/>
          <w:lang w:val="en-US" w:eastAsia="zh-CN"/>
        </w:rPr>
        <w:t>九</w:t>
      </w:r>
      <w:r>
        <w:rPr>
          <w:b/>
          <w:w w:val="95"/>
          <w:sz w:val="24"/>
        </w:rPr>
        <w:t>、类似业绩一览</w:t>
      </w:r>
      <w:r>
        <w:rPr>
          <w:b/>
          <w:spacing w:val="-10"/>
          <w:w w:val="95"/>
          <w:sz w:val="24"/>
        </w:rPr>
        <w:t>表</w:t>
      </w:r>
    </w:p>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9"/>
        <w:spacing w:before="6"/>
        <w:rPr>
          <w:rFonts w:hint="eastAsia" w:ascii="仿宋" w:hAnsi="仿宋" w:eastAsia="仿宋" w:cs="仿宋"/>
          <w:sz w:val="14"/>
          <w:u w:val="none"/>
        </w:rPr>
      </w:pPr>
    </w:p>
    <w:p>
      <w:pPr>
        <w:pStyle w:val="5"/>
        <w:spacing w:before="50"/>
        <w:ind w:right="878"/>
        <w:jc w:val="center"/>
        <w:rPr>
          <w:rFonts w:hint="eastAsia" w:ascii="宋体" w:hAnsi="宋体" w:eastAsia="宋体" w:cs="宋体"/>
          <w:sz w:val="24"/>
          <w:szCs w:val="24"/>
        </w:rPr>
      </w:pPr>
      <w:r>
        <w:rPr>
          <w:rFonts w:hint="eastAsia" w:ascii="宋体" w:hAnsi="宋体" w:eastAsia="宋体" w:cs="宋体"/>
          <w:spacing w:val="-2"/>
          <w:sz w:val="24"/>
          <w:szCs w:val="24"/>
        </w:rPr>
        <w:t>类似业绩一览表</w:t>
      </w:r>
    </w:p>
    <w:p>
      <w:pPr>
        <w:pStyle w:val="9"/>
        <w:spacing w:before="4"/>
        <w:rPr>
          <w:rFonts w:hint="eastAsia" w:ascii="宋体" w:hAnsi="宋体" w:eastAsia="宋体" w:cs="宋体"/>
          <w:sz w:val="24"/>
          <w:szCs w:val="24"/>
          <w:u w:val="none"/>
        </w:rPr>
      </w:pPr>
    </w:p>
    <w:tbl>
      <w:tblPr>
        <w:tblStyle w:val="19"/>
        <w:tblW w:w="0" w:type="auto"/>
        <w:tblInd w:w="8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1357"/>
        <w:gridCol w:w="1328"/>
        <w:gridCol w:w="1350"/>
        <w:gridCol w:w="196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36" w:type="dxa"/>
          </w:tcPr>
          <w:p>
            <w:pPr>
              <w:pStyle w:val="25"/>
              <w:spacing w:before="1"/>
              <w:rPr>
                <w:rFonts w:hint="eastAsia" w:ascii="宋体" w:hAnsi="宋体" w:eastAsia="宋体" w:cs="宋体"/>
                <w:sz w:val="24"/>
                <w:szCs w:val="24"/>
              </w:rPr>
            </w:pPr>
          </w:p>
          <w:p>
            <w:pPr>
              <w:pStyle w:val="25"/>
              <w:ind w:left="341" w:right="329"/>
              <w:jc w:val="center"/>
              <w:rPr>
                <w:rFonts w:hint="eastAsia" w:ascii="宋体" w:hAnsi="宋体" w:eastAsia="宋体" w:cs="宋体"/>
                <w:sz w:val="24"/>
                <w:szCs w:val="24"/>
              </w:rPr>
            </w:pPr>
            <w:r>
              <w:rPr>
                <w:rFonts w:hint="eastAsia" w:ascii="宋体" w:hAnsi="宋体" w:eastAsia="宋体" w:cs="宋体"/>
                <w:spacing w:val="-5"/>
                <w:sz w:val="24"/>
                <w:szCs w:val="24"/>
              </w:rPr>
              <w:t>序号</w:t>
            </w:r>
          </w:p>
        </w:tc>
        <w:tc>
          <w:tcPr>
            <w:tcW w:w="1357" w:type="dxa"/>
          </w:tcPr>
          <w:p>
            <w:pPr>
              <w:pStyle w:val="25"/>
              <w:spacing w:before="1"/>
              <w:rPr>
                <w:rFonts w:hint="eastAsia" w:ascii="宋体" w:hAnsi="宋体" w:eastAsia="宋体" w:cs="宋体"/>
                <w:sz w:val="24"/>
                <w:szCs w:val="24"/>
              </w:rPr>
            </w:pPr>
          </w:p>
          <w:p>
            <w:pPr>
              <w:pStyle w:val="25"/>
              <w:ind w:left="256"/>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1328" w:type="dxa"/>
          </w:tcPr>
          <w:p>
            <w:pPr>
              <w:pStyle w:val="25"/>
              <w:spacing w:before="99"/>
              <w:ind w:left="241"/>
              <w:rPr>
                <w:rFonts w:hint="eastAsia" w:ascii="宋体" w:hAnsi="宋体" w:eastAsia="宋体" w:cs="宋体"/>
                <w:sz w:val="24"/>
                <w:szCs w:val="24"/>
              </w:rPr>
            </w:pPr>
            <w:r>
              <w:rPr>
                <w:rFonts w:hint="eastAsia" w:ascii="宋体" w:hAnsi="宋体" w:eastAsia="宋体" w:cs="宋体"/>
                <w:spacing w:val="-4"/>
                <w:sz w:val="24"/>
                <w:szCs w:val="24"/>
              </w:rPr>
              <w:t>竣工验收</w:t>
            </w:r>
          </w:p>
          <w:p>
            <w:pPr>
              <w:pStyle w:val="25"/>
              <w:spacing w:before="7"/>
              <w:rPr>
                <w:rFonts w:hint="eastAsia" w:ascii="宋体" w:hAnsi="宋体" w:eastAsia="宋体" w:cs="宋体"/>
                <w:sz w:val="24"/>
                <w:szCs w:val="24"/>
              </w:rPr>
            </w:pPr>
          </w:p>
          <w:p>
            <w:pPr>
              <w:pStyle w:val="25"/>
              <w:ind w:left="241"/>
              <w:rPr>
                <w:rFonts w:hint="eastAsia" w:ascii="宋体" w:hAnsi="宋体" w:eastAsia="宋体" w:cs="宋体"/>
                <w:sz w:val="24"/>
                <w:szCs w:val="24"/>
              </w:rPr>
            </w:pPr>
            <w:r>
              <w:rPr>
                <w:rFonts w:hint="eastAsia" w:ascii="宋体" w:hAnsi="宋体" w:eastAsia="宋体" w:cs="宋体"/>
                <w:spacing w:val="-4"/>
                <w:sz w:val="24"/>
                <w:szCs w:val="24"/>
              </w:rPr>
              <w:t>合格时间</w:t>
            </w:r>
          </w:p>
        </w:tc>
        <w:tc>
          <w:tcPr>
            <w:tcW w:w="1350" w:type="dxa"/>
          </w:tcPr>
          <w:p>
            <w:pPr>
              <w:pStyle w:val="25"/>
              <w:spacing w:before="178"/>
              <w:ind w:left="250"/>
              <w:rPr>
                <w:rFonts w:hint="eastAsia" w:ascii="宋体" w:hAnsi="宋体" w:eastAsia="宋体" w:cs="宋体"/>
                <w:sz w:val="24"/>
                <w:szCs w:val="24"/>
              </w:rPr>
            </w:pPr>
            <w:r>
              <w:rPr>
                <w:rFonts w:hint="eastAsia" w:ascii="宋体" w:hAnsi="宋体" w:eastAsia="宋体" w:cs="宋体"/>
                <w:spacing w:val="-4"/>
                <w:sz w:val="24"/>
                <w:szCs w:val="24"/>
              </w:rPr>
              <w:t>合同金额</w:t>
            </w:r>
          </w:p>
          <w:p>
            <w:pPr>
              <w:pStyle w:val="25"/>
              <w:spacing w:before="43"/>
              <w:ind w:left="145"/>
              <w:rPr>
                <w:rFonts w:hint="eastAsia" w:ascii="宋体" w:hAnsi="宋体" w:eastAsia="宋体" w:cs="宋体"/>
                <w:sz w:val="24"/>
                <w:szCs w:val="24"/>
              </w:rPr>
            </w:pPr>
            <w:r>
              <w:rPr>
                <w:rFonts w:hint="eastAsia" w:ascii="宋体" w:hAnsi="宋体" w:eastAsia="宋体" w:cs="宋体"/>
                <w:spacing w:val="-2"/>
                <w:sz w:val="24"/>
                <w:szCs w:val="24"/>
              </w:rPr>
              <w:t>（人民币</w:t>
            </w:r>
            <w:r>
              <w:rPr>
                <w:rFonts w:hint="eastAsia" w:ascii="宋体" w:hAnsi="宋体" w:eastAsia="宋体" w:cs="宋体"/>
                <w:spacing w:val="-10"/>
                <w:sz w:val="24"/>
                <w:szCs w:val="24"/>
              </w:rPr>
              <w:t>）</w:t>
            </w:r>
          </w:p>
        </w:tc>
        <w:tc>
          <w:tcPr>
            <w:tcW w:w="1964" w:type="dxa"/>
          </w:tcPr>
          <w:p>
            <w:pPr>
              <w:pStyle w:val="25"/>
              <w:spacing w:before="1"/>
              <w:rPr>
                <w:rFonts w:hint="eastAsia" w:ascii="宋体" w:hAnsi="宋体" w:eastAsia="宋体" w:cs="宋体"/>
                <w:sz w:val="24"/>
                <w:szCs w:val="24"/>
              </w:rPr>
            </w:pPr>
          </w:p>
          <w:p>
            <w:pPr>
              <w:pStyle w:val="25"/>
              <w:ind w:left="556"/>
              <w:rPr>
                <w:rFonts w:hint="eastAsia" w:ascii="宋体" w:hAnsi="宋体" w:eastAsia="宋体" w:cs="宋体"/>
                <w:sz w:val="24"/>
                <w:szCs w:val="24"/>
              </w:rPr>
            </w:pPr>
            <w:r>
              <w:rPr>
                <w:rFonts w:hint="eastAsia" w:ascii="宋体" w:hAnsi="宋体" w:eastAsia="宋体" w:cs="宋体"/>
                <w:spacing w:val="-4"/>
                <w:sz w:val="24"/>
                <w:szCs w:val="24"/>
              </w:rPr>
              <w:t>业主单位</w:t>
            </w:r>
          </w:p>
        </w:tc>
        <w:tc>
          <w:tcPr>
            <w:tcW w:w="1276" w:type="dxa"/>
          </w:tcPr>
          <w:p>
            <w:pPr>
              <w:pStyle w:val="25"/>
              <w:spacing w:before="1"/>
              <w:rPr>
                <w:rFonts w:hint="eastAsia" w:ascii="宋体" w:hAnsi="宋体" w:eastAsia="宋体" w:cs="宋体"/>
                <w:sz w:val="24"/>
                <w:szCs w:val="24"/>
              </w:rPr>
            </w:pPr>
          </w:p>
          <w:p>
            <w:pPr>
              <w:pStyle w:val="25"/>
              <w:ind w:left="424"/>
              <w:rPr>
                <w:rFonts w:hint="eastAsia" w:ascii="宋体" w:hAnsi="宋体" w:eastAsia="宋体" w:cs="宋体"/>
                <w:sz w:val="24"/>
                <w:szCs w:val="24"/>
              </w:rPr>
            </w:pPr>
            <w:r>
              <w:rPr>
                <w:rFonts w:hint="eastAsia" w:ascii="宋体" w:hAnsi="宋体" w:eastAsia="宋体" w:cs="宋体"/>
                <w:spacing w:val="-5"/>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6" w:type="dxa"/>
          </w:tcPr>
          <w:p>
            <w:pPr>
              <w:pStyle w:val="25"/>
              <w:spacing w:before="99"/>
              <w:ind w:left="7"/>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36" w:type="dxa"/>
          </w:tcPr>
          <w:p>
            <w:pPr>
              <w:pStyle w:val="25"/>
              <w:spacing w:before="102"/>
              <w:ind w:left="7"/>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6" w:type="dxa"/>
          </w:tcPr>
          <w:p>
            <w:pPr>
              <w:pStyle w:val="25"/>
              <w:spacing w:before="99"/>
              <w:ind w:left="7"/>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36" w:type="dxa"/>
          </w:tcPr>
          <w:p>
            <w:pPr>
              <w:pStyle w:val="25"/>
              <w:spacing w:before="100"/>
              <w:ind w:left="7"/>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6" w:type="dxa"/>
          </w:tcPr>
          <w:p>
            <w:pPr>
              <w:pStyle w:val="25"/>
              <w:spacing w:before="99"/>
              <w:ind w:left="7"/>
              <w:jc w:val="center"/>
              <w:rPr>
                <w:rFonts w:hint="eastAsia" w:ascii="宋体" w:hAnsi="宋体" w:eastAsia="宋体" w:cs="宋体"/>
                <w:sz w:val="24"/>
                <w:szCs w:val="24"/>
              </w:rPr>
            </w:pPr>
            <w:r>
              <w:rPr>
                <w:rFonts w:hint="eastAsia" w:ascii="宋体" w:hAnsi="宋体" w:eastAsia="宋体" w:cs="宋体"/>
                <w:w w:val="100"/>
                <w:sz w:val="24"/>
                <w:szCs w:val="24"/>
              </w:rPr>
              <w:t>5</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6" w:type="dxa"/>
          </w:tcPr>
          <w:p>
            <w:pPr>
              <w:pStyle w:val="25"/>
              <w:spacing w:before="99"/>
              <w:ind w:left="341" w:right="329"/>
              <w:jc w:val="center"/>
              <w:rPr>
                <w:rFonts w:hint="eastAsia" w:ascii="宋体" w:hAnsi="宋体" w:eastAsia="宋体" w:cs="宋体"/>
                <w:sz w:val="24"/>
                <w:szCs w:val="24"/>
              </w:rPr>
            </w:pPr>
            <w:r>
              <w:rPr>
                <w:rFonts w:hint="eastAsia" w:ascii="宋体" w:hAnsi="宋体" w:eastAsia="宋体" w:cs="宋体"/>
                <w:spacing w:val="-2"/>
                <w:sz w:val="24"/>
                <w:szCs w:val="24"/>
              </w:rPr>
              <w:t>.....</w:t>
            </w:r>
          </w:p>
        </w:tc>
        <w:tc>
          <w:tcPr>
            <w:tcW w:w="1357" w:type="dxa"/>
          </w:tcPr>
          <w:p>
            <w:pPr>
              <w:pStyle w:val="25"/>
              <w:rPr>
                <w:rFonts w:hint="eastAsia" w:ascii="宋体" w:hAnsi="宋体" w:eastAsia="宋体" w:cs="宋体"/>
                <w:sz w:val="24"/>
                <w:szCs w:val="24"/>
              </w:rPr>
            </w:pPr>
          </w:p>
        </w:tc>
        <w:tc>
          <w:tcPr>
            <w:tcW w:w="1328" w:type="dxa"/>
          </w:tcPr>
          <w:p>
            <w:pPr>
              <w:pStyle w:val="25"/>
              <w:rPr>
                <w:rFonts w:hint="eastAsia" w:ascii="宋体" w:hAnsi="宋体" w:eastAsia="宋体" w:cs="宋体"/>
                <w:sz w:val="24"/>
                <w:szCs w:val="24"/>
              </w:rPr>
            </w:pPr>
          </w:p>
        </w:tc>
        <w:tc>
          <w:tcPr>
            <w:tcW w:w="1350" w:type="dxa"/>
          </w:tcPr>
          <w:p>
            <w:pPr>
              <w:pStyle w:val="25"/>
              <w:rPr>
                <w:rFonts w:hint="eastAsia" w:ascii="宋体" w:hAnsi="宋体" w:eastAsia="宋体" w:cs="宋体"/>
                <w:sz w:val="24"/>
                <w:szCs w:val="24"/>
              </w:rPr>
            </w:pPr>
          </w:p>
        </w:tc>
        <w:tc>
          <w:tcPr>
            <w:tcW w:w="1964" w:type="dxa"/>
          </w:tcPr>
          <w:p>
            <w:pPr>
              <w:pStyle w:val="25"/>
              <w:rPr>
                <w:rFonts w:hint="eastAsia" w:ascii="宋体" w:hAnsi="宋体" w:eastAsia="宋体" w:cs="宋体"/>
                <w:sz w:val="24"/>
                <w:szCs w:val="24"/>
              </w:rPr>
            </w:pPr>
          </w:p>
        </w:tc>
        <w:tc>
          <w:tcPr>
            <w:tcW w:w="1276" w:type="dxa"/>
          </w:tcPr>
          <w:p>
            <w:pPr>
              <w:pStyle w:val="25"/>
              <w:rPr>
                <w:rFonts w:hint="eastAsia" w:ascii="宋体" w:hAnsi="宋体" w:eastAsia="宋体" w:cs="宋体"/>
                <w:sz w:val="24"/>
                <w:szCs w:val="24"/>
              </w:rPr>
            </w:pPr>
          </w:p>
        </w:tc>
      </w:tr>
    </w:tbl>
    <w:p>
      <w:pPr>
        <w:pStyle w:val="9"/>
        <w:spacing w:before="146" w:line="436" w:lineRule="auto"/>
        <w:ind w:left="600" w:right="2638"/>
        <w:rPr>
          <w:rFonts w:hint="eastAsia" w:ascii="宋体" w:hAnsi="宋体" w:eastAsia="宋体" w:cs="宋体"/>
          <w:spacing w:val="-2"/>
          <w:sz w:val="24"/>
          <w:szCs w:val="24"/>
          <w:u w:val="none"/>
        </w:rPr>
      </w:pPr>
    </w:p>
    <w:p>
      <w:pPr>
        <w:pStyle w:val="9"/>
        <w:spacing w:before="146" w:line="436" w:lineRule="auto"/>
        <w:ind w:right="2638"/>
        <w:rPr>
          <w:rFonts w:hint="eastAsia" w:ascii="宋体" w:hAnsi="宋体" w:eastAsia="宋体" w:cs="宋体"/>
          <w:sz w:val="24"/>
          <w:szCs w:val="24"/>
          <w:u w:val="none"/>
        </w:rPr>
      </w:pPr>
      <w:r>
        <w:rPr>
          <w:rFonts w:hint="eastAsia" w:ascii="宋体" w:hAnsi="宋体" w:eastAsia="宋体" w:cs="宋体"/>
          <w:spacing w:val="-2"/>
          <w:sz w:val="24"/>
          <w:szCs w:val="24"/>
          <w:u w:val="none"/>
        </w:rPr>
        <w:t>供应商（盖章）：</w:t>
      </w:r>
    </w:p>
    <w:p>
      <w:pPr>
        <w:pStyle w:val="9"/>
        <w:keepNext w:val="0"/>
        <w:keepLines w:val="0"/>
        <w:pageBreakBefore w:val="0"/>
        <w:widowControl w:val="0"/>
        <w:tabs>
          <w:tab w:val="left" w:pos="1545"/>
          <w:tab w:val="left" w:pos="2071"/>
          <w:tab w:val="left" w:pos="2597"/>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u w:val="none"/>
        </w:rPr>
      </w:pPr>
      <w:r>
        <w:rPr>
          <w:rFonts w:hint="eastAsia" w:ascii="宋体" w:hAnsi="宋体" w:eastAsia="宋体" w:cs="宋体"/>
          <w:spacing w:val="-2"/>
          <w:sz w:val="24"/>
          <w:szCs w:val="24"/>
          <w:u w:val="none"/>
        </w:rPr>
        <w:t>法定代表人或委托代理人（签字或盖章）：</w:t>
      </w:r>
    </w:p>
    <w:p>
      <w:pPr>
        <w:pStyle w:val="9"/>
        <w:keepNext w:val="0"/>
        <w:keepLines w:val="0"/>
        <w:pageBreakBefore w:val="0"/>
        <w:widowControl w:val="0"/>
        <w:tabs>
          <w:tab w:val="left" w:pos="1545"/>
          <w:tab w:val="left" w:pos="2071"/>
          <w:tab w:val="left" w:pos="2597"/>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u w:val="none"/>
        </w:rPr>
      </w:pPr>
      <w:r>
        <w:rPr>
          <w:rFonts w:hint="eastAsia" w:ascii="宋体" w:hAnsi="宋体" w:eastAsia="宋体" w:cs="宋体"/>
          <w:spacing w:val="-4"/>
          <w:sz w:val="24"/>
          <w:szCs w:val="24"/>
          <w:u w:val="none"/>
        </w:rPr>
        <w:t>日期：</w:t>
      </w:r>
      <w:r>
        <w:rPr>
          <w:rFonts w:hint="eastAsia" w:ascii="宋体" w:hAnsi="宋体" w:eastAsia="宋体" w:cs="宋体"/>
          <w:sz w:val="24"/>
          <w:szCs w:val="24"/>
          <w:u w:val="none"/>
        </w:rPr>
        <w:tab/>
      </w:r>
      <w:r>
        <w:rPr>
          <w:rFonts w:hint="eastAsia" w:ascii="宋体" w:hAnsi="宋体" w:eastAsia="宋体" w:cs="宋体"/>
          <w:spacing w:val="-10"/>
          <w:sz w:val="24"/>
          <w:szCs w:val="24"/>
          <w:u w:val="none"/>
        </w:rPr>
        <w:t>年</w:t>
      </w:r>
      <w:r>
        <w:rPr>
          <w:rFonts w:hint="eastAsia" w:ascii="宋体" w:hAnsi="宋体" w:eastAsia="宋体" w:cs="宋体"/>
          <w:sz w:val="24"/>
          <w:szCs w:val="24"/>
          <w:u w:val="none"/>
        </w:rPr>
        <w:tab/>
      </w:r>
      <w:r>
        <w:rPr>
          <w:rFonts w:hint="eastAsia" w:ascii="宋体" w:hAnsi="宋体" w:eastAsia="宋体" w:cs="宋体"/>
          <w:spacing w:val="-10"/>
          <w:sz w:val="24"/>
          <w:szCs w:val="24"/>
          <w:u w:val="none"/>
        </w:rPr>
        <w:t>月</w:t>
      </w:r>
      <w:r>
        <w:rPr>
          <w:rFonts w:hint="eastAsia" w:ascii="宋体" w:hAnsi="宋体" w:eastAsia="宋体" w:cs="宋体"/>
          <w:sz w:val="24"/>
          <w:szCs w:val="24"/>
          <w:u w:val="none"/>
        </w:rPr>
        <w:tab/>
      </w:r>
      <w:r>
        <w:rPr>
          <w:rFonts w:hint="eastAsia" w:ascii="宋体" w:hAnsi="宋体" w:eastAsia="宋体" w:cs="宋体"/>
          <w:spacing w:val="-10"/>
          <w:sz w:val="24"/>
          <w:szCs w:val="24"/>
          <w:u w:val="none"/>
        </w:rPr>
        <w:t>日</w:t>
      </w:r>
    </w:p>
    <w:p>
      <w:pPr>
        <w:spacing w:after="0" w:line="624" w:lineRule="auto"/>
        <w:rPr>
          <w:rFonts w:hint="eastAsia" w:ascii="宋体" w:hAnsi="宋体" w:eastAsia="宋体" w:cs="宋体"/>
          <w:sz w:val="24"/>
          <w:szCs w:val="24"/>
        </w:rPr>
        <w:sectPr>
          <w:headerReference r:id="rId15" w:type="default"/>
          <w:pgSz w:w="11910" w:h="16840"/>
          <w:pgMar w:top="2020" w:right="320" w:bottom="280" w:left="1200" w:header="1793" w:footer="0" w:gutter="0"/>
          <w:cols w:space="720" w:num="1"/>
        </w:sectPr>
      </w:pPr>
    </w:p>
    <w:p>
      <w:pPr>
        <w:pStyle w:val="7"/>
        <w:spacing w:before="47"/>
        <w:ind w:left="0" w:leftChars="0" w:firstLine="0" w:firstLineChars="0"/>
        <w:rPr>
          <w:rFonts w:ascii="宋体" w:hAnsi="宋体" w:eastAsia="宋体" w:cs="宋体"/>
          <w:b/>
          <w:bCs w:val="0"/>
          <w:w w:val="95"/>
          <w:sz w:val="24"/>
          <w:szCs w:val="22"/>
          <w:lang w:val="en-US" w:eastAsia="zh-CN" w:bidi="ar-SA"/>
        </w:rPr>
      </w:pPr>
      <w:r>
        <w:rPr>
          <w:rFonts w:ascii="宋体" w:hAnsi="宋体" w:eastAsia="宋体" w:cs="宋体"/>
          <w:b/>
          <w:bCs w:val="0"/>
          <w:w w:val="95"/>
          <w:sz w:val="24"/>
          <w:szCs w:val="22"/>
          <w:lang w:val="en-US" w:eastAsia="zh-CN" w:bidi="ar-SA"/>
        </w:rPr>
        <w:t>目录十、项目组成员一览表</w:t>
      </w:r>
    </w:p>
    <w:p>
      <w:pPr>
        <w:spacing w:before="156"/>
        <w:ind w:right="0"/>
        <w:jc w:val="left"/>
        <w:rPr>
          <w:rFonts w:hint="eastAsia" w:ascii="宋体" w:hAnsi="宋体" w:eastAsia="宋体" w:cs="宋体"/>
          <w:b w:val="0"/>
          <w:bCs w:val="0"/>
          <w:sz w:val="36"/>
        </w:rPr>
      </w:pPr>
      <w:bookmarkStart w:id="516" w:name="项目组成员一览表"/>
      <w:bookmarkEnd w:id="516"/>
    </w:p>
    <w:p>
      <w:pPr>
        <w:spacing w:before="156"/>
        <w:ind w:left="3652" w:right="0" w:firstLine="0"/>
        <w:jc w:val="left"/>
        <w:rPr>
          <w:rFonts w:hint="eastAsia" w:ascii="宋体" w:hAnsi="宋体" w:eastAsia="宋体" w:cs="宋体"/>
          <w:b w:val="0"/>
          <w:bCs w:val="0"/>
          <w:sz w:val="36"/>
        </w:rPr>
      </w:pPr>
      <w:r>
        <w:rPr>
          <w:rFonts w:hint="eastAsia" w:ascii="宋体" w:hAnsi="宋体" w:eastAsia="宋体" w:cs="宋体"/>
          <w:b w:val="0"/>
          <w:bCs w:val="0"/>
          <w:sz w:val="36"/>
        </w:rPr>
        <w:t>项目组成员一览表</w:t>
      </w:r>
    </w:p>
    <w:p>
      <w:pPr>
        <w:pStyle w:val="9"/>
        <w:ind w:left="0"/>
        <w:rPr>
          <w:rFonts w:ascii="黑体"/>
          <w:sz w:val="20"/>
        </w:rPr>
      </w:pPr>
    </w:p>
    <w:p>
      <w:pPr>
        <w:pStyle w:val="9"/>
        <w:spacing w:before="5"/>
        <w:ind w:left="0"/>
        <w:rPr>
          <w:rFonts w:ascii="黑体"/>
          <w:sz w:val="11"/>
        </w:rPr>
      </w:pPr>
    </w:p>
    <w:tbl>
      <w:tblPr>
        <w:tblStyle w:val="19"/>
        <w:tblW w:w="0" w:type="auto"/>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946"/>
        <w:gridCol w:w="707"/>
        <w:gridCol w:w="1328"/>
        <w:gridCol w:w="1420"/>
        <w:gridCol w:w="992"/>
        <w:gridCol w:w="1530"/>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77" w:type="dxa"/>
            <w:gridSpan w:val="8"/>
          </w:tcPr>
          <w:p>
            <w:pPr>
              <w:pStyle w:val="25"/>
              <w:tabs>
                <w:tab w:val="left" w:pos="5512"/>
              </w:tabs>
              <w:spacing w:before="117"/>
              <w:ind w:left="112"/>
              <w:rPr>
                <w:sz w:val="24"/>
              </w:rPr>
            </w:pPr>
            <w:r>
              <w:rPr>
                <w:sz w:val="24"/>
              </w:rPr>
              <w:t>项目名称：</w:t>
            </w:r>
            <w:r>
              <w:rPr>
                <w:sz w:val="24"/>
              </w:rPr>
              <w:tab/>
            </w:r>
            <w:r>
              <w:rPr>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0" w:type="dxa"/>
          </w:tcPr>
          <w:p>
            <w:pPr>
              <w:pStyle w:val="25"/>
              <w:spacing w:line="293" w:lineRule="exact"/>
              <w:ind w:left="188"/>
              <w:rPr>
                <w:b w:val="0"/>
                <w:bCs/>
                <w:sz w:val="24"/>
              </w:rPr>
            </w:pPr>
            <w:r>
              <w:rPr>
                <w:b w:val="0"/>
                <w:bCs/>
                <w:sz w:val="24"/>
              </w:rPr>
              <w:t>序号</w:t>
            </w:r>
          </w:p>
        </w:tc>
        <w:tc>
          <w:tcPr>
            <w:tcW w:w="946" w:type="dxa"/>
          </w:tcPr>
          <w:p>
            <w:pPr>
              <w:pStyle w:val="25"/>
              <w:spacing w:line="293" w:lineRule="exact"/>
              <w:ind w:left="234"/>
              <w:rPr>
                <w:b w:val="0"/>
                <w:bCs/>
                <w:sz w:val="24"/>
              </w:rPr>
            </w:pPr>
            <w:r>
              <w:rPr>
                <w:b w:val="0"/>
                <w:bCs/>
                <w:sz w:val="24"/>
              </w:rPr>
              <w:t>职务</w:t>
            </w:r>
          </w:p>
        </w:tc>
        <w:tc>
          <w:tcPr>
            <w:tcW w:w="707" w:type="dxa"/>
          </w:tcPr>
          <w:p>
            <w:pPr>
              <w:pStyle w:val="25"/>
              <w:spacing w:line="293" w:lineRule="exact"/>
              <w:ind w:left="113"/>
              <w:rPr>
                <w:b w:val="0"/>
                <w:bCs/>
                <w:sz w:val="24"/>
              </w:rPr>
            </w:pPr>
            <w:r>
              <w:rPr>
                <w:b w:val="0"/>
                <w:bCs/>
                <w:sz w:val="24"/>
              </w:rPr>
              <w:t>姓名</w:t>
            </w:r>
          </w:p>
        </w:tc>
        <w:tc>
          <w:tcPr>
            <w:tcW w:w="1328" w:type="dxa"/>
          </w:tcPr>
          <w:p>
            <w:pPr>
              <w:pStyle w:val="25"/>
              <w:spacing w:line="293" w:lineRule="exact"/>
              <w:ind w:left="424"/>
              <w:rPr>
                <w:b w:val="0"/>
                <w:bCs/>
                <w:sz w:val="24"/>
              </w:rPr>
            </w:pPr>
            <w:r>
              <w:rPr>
                <w:b w:val="0"/>
                <w:bCs/>
                <w:sz w:val="24"/>
              </w:rPr>
              <w:t>性别</w:t>
            </w:r>
          </w:p>
        </w:tc>
        <w:tc>
          <w:tcPr>
            <w:tcW w:w="1420" w:type="dxa"/>
          </w:tcPr>
          <w:p>
            <w:pPr>
              <w:pStyle w:val="25"/>
              <w:spacing w:line="293" w:lineRule="exact"/>
              <w:ind w:left="226"/>
              <w:rPr>
                <w:b w:val="0"/>
                <w:bCs/>
                <w:sz w:val="24"/>
              </w:rPr>
            </w:pPr>
            <w:r>
              <w:rPr>
                <w:b w:val="0"/>
                <w:bCs/>
                <w:sz w:val="24"/>
              </w:rPr>
              <w:t>执业资格</w:t>
            </w:r>
          </w:p>
        </w:tc>
        <w:tc>
          <w:tcPr>
            <w:tcW w:w="992" w:type="dxa"/>
          </w:tcPr>
          <w:p>
            <w:pPr>
              <w:pStyle w:val="25"/>
              <w:spacing w:line="293" w:lineRule="exact"/>
              <w:ind w:left="133"/>
              <w:rPr>
                <w:b w:val="0"/>
                <w:bCs/>
                <w:sz w:val="24"/>
              </w:rPr>
            </w:pPr>
            <w:r>
              <w:rPr>
                <w:b w:val="0"/>
                <w:bCs/>
                <w:sz w:val="24"/>
              </w:rPr>
              <w:t>证书号</w:t>
            </w:r>
          </w:p>
        </w:tc>
        <w:tc>
          <w:tcPr>
            <w:tcW w:w="1530" w:type="dxa"/>
          </w:tcPr>
          <w:p>
            <w:pPr>
              <w:pStyle w:val="25"/>
              <w:spacing w:line="293" w:lineRule="exact"/>
              <w:ind w:left="279"/>
              <w:rPr>
                <w:b w:val="0"/>
                <w:bCs/>
                <w:sz w:val="24"/>
              </w:rPr>
            </w:pPr>
            <w:r>
              <w:rPr>
                <w:b w:val="0"/>
                <w:bCs/>
                <w:sz w:val="24"/>
              </w:rPr>
              <w:t>技术职称</w:t>
            </w:r>
          </w:p>
        </w:tc>
        <w:tc>
          <w:tcPr>
            <w:tcW w:w="1804" w:type="dxa"/>
          </w:tcPr>
          <w:p>
            <w:pPr>
              <w:pStyle w:val="25"/>
              <w:tabs>
                <w:tab w:val="left" w:pos="1142"/>
              </w:tabs>
              <w:spacing w:line="293" w:lineRule="exact"/>
              <w:ind w:left="417"/>
              <w:rPr>
                <w:b w:val="0"/>
                <w:bCs/>
                <w:sz w:val="24"/>
              </w:rPr>
            </w:pPr>
            <w:r>
              <w:rPr>
                <w:b w:val="0"/>
                <w:bCs/>
                <w:sz w:val="24"/>
              </w:rPr>
              <w:t>备</w:t>
            </w:r>
            <w:r>
              <w:rPr>
                <w:b w:val="0"/>
                <w:bCs/>
                <w:sz w:val="24"/>
              </w:rPr>
              <w:tab/>
            </w:r>
            <w:r>
              <w:rPr>
                <w:b w:val="0"/>
                <w:bCs/>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25"/>
              <w:rPr>
                <w:rFonts w:ascii="Times New Roman"/>
                <w:sz w:val="22"/>
              </w:rPr>
            </w:pPr>
          </w:p>
        </w:tc>
        <w:tc>
          <w:tcPr>
            <w:tcW w:w="946" w:type="dxa"/>
          </w:tcPr>
          <w:p>
            <w:pPr>
              <w:pStyle w:val="25"/>
              <w:rPr>
                <w:rFonts w:ascii="Times New Roman"/>
                <w:sz w:val="22"/>
              </w:rPr>
            </w:pPr>
          </w:p>
        </w:tc>
        <w:tc>
          <w:tcPr>
            <w:tcW w:w="707" w:type="dxa"/>
          </w:tcPr>
          <w:p>
            <w:pPr>
              <w:pStyle w:val="25"/>
              <w:rPr>
                <w:rFonts w:ascii="Times New Roman"/>
                <w:sz w:val="22"/>
              </w:rPr>
            </w:pPr>
          </w:p>
        </w:tc>
        <w:tc>
          <w:tcPr>
            <w:tcW w:w="1328" w:type="dxa"/>
          </w:tcPr>
          <w:p>
            <w:pPr>
              <w:pStyle w:val="25"/>
              <w:rPr>
                <w:rFonts w:ascii="Times New Roman"/>
                <w:sz w:val="22"/>
              </w:rPr>
            </w:pPr>
          </w:p>
        </w:tc>
        <w:tc>
          <w:tcPr>
            <w:tcW w:w="1420" w:type="dxa"/>
          </w:tcPr>
          <w:p>
            <w:pPr>
              <w:pStyle w:val="25"/>
              <w:rPr>
                <w:rFonts w:ascii="Times New Roman"/>
                <w:sz w:val="22"/>
              </w:rPr>
            </w:pPr>
          </w:p>
        </w:tc>
        <w:tc>
          <w:tcPr>
            <w:tcW w:w="992" w:type="dxa"/>
          </w:tcPr>
          <w:p>
            <w:pPr>
              <w:pStyle w:val="25"/>
              <w:rPr>
                <w:rFonts w:ascii="Times New Roman"/>
                <w:sz w:val="22"/>
              </w:rPr>
            </w:pPr>
          </w:p>
        </w:tc>
        <w:tc>
          <w:tcPr>
            <w:tcW w:w="1530" w:type="dxa"/>
          </w:tcPr>
          <w:p>
            <w:pPr>
              <w:pStyle w:val="25"/>
              <w:rPr>
                <w:rFonts w:ascii="Times New Roman"/>
                <w:sz w:val="22"/>
              </w:rPr>
            </w:pPr>
          </w:p>
        </w:tc>
        <w:tc>
          <w:tcPr>
            <w:tcW w:w="1804" w:type="dxa"/>
          </w:tcPr>
          <w:p>
            <w:pPr>
              <w:pStyle w:val="25"/>
              <w:rPr>
                <w:rFonts w:ascii="Times New Roman"/>
                <w:sz w:val="22"/>
              </w:rPr>
            </w:pPr>
          </w:p>
        </w:tc>
      </w:tr>
    </w:tbl>
    <w:p>
      <w:pPr>
        <w:spacing w:after="0"/>
        <w:rPr>
          <w:rFonts w:ascii="Times New Roman"/>
          <w:sz w:val="22"/>
        </w:rPr>
        <w:sectPr>
          <w:type w:val="continuous"/>
          <w:pgSz w:w="11910" w:h="16840"/>
          <w:pgMar w:top="1480" w:right="0" w:bottom="200" w:left="860" w:header="0" w:footer="6" w:gutter="0"/>
          <w:cols w:space="720" w:num="1"/>
        </w:sect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ascii="黑体"/>
          <w:sz w:val="24"/>
          <w:szCs w:val="24"/>
          <w:u w:val="none" w:color="auto"/>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ascii="黑体"/>
          <w:sz w:val="24"/>
          <w:szCs w:val="24"/>
          <w:u w:val="none" w:color="auto"/>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ascii="黑体"/>
          <w:sz w:val="24"/>
          <w:szCs w:val="24"/>
          <w:u w:val="none" w:color="auto"/>
        </w:rPr>
      </w:pPr>
    </w:p>
    <w:p>
      <w:pPr>
        <w:pStyle w:val="9"/>
        <w:keepNext w:val="0"/>
        <w:keepLines w:val="0"/>
        <w:pageBreakBefore w:val="0"/>
        <w:widowControl w:val="0"/>
        <w:kinsoku/>
        <w:wordWrap/>
        <w:overflowPunct/>
        <w:topLinePunct w:val="0"/>
        <w:autoSpaceDE w:val="0"/>
        <w:autoSpaceDN w:val="0"/>
        <w:bidi w:val="0"/>
        <w:adjustRightInd/>
        <w:snapToGrid/>
        <w:spacing w:before="9" w:line="360" w:lineRule="auto"/>
        <w:ind w:left="0"/>
        <w:textAlignment w:val="auto"/>
        <w:rPr>
          <w:rFonts w:ascii="黑体"/>
          <w:sz w:val="24"/>
          <w:szCs w:val="24"/>
          <w:u w:val="none" w:color="auto"/>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sz w:val="24"/>
          <w:szCs w:val="24"/>
          <w:u w:val="none" w:color="auto"/>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left"/>
        <w:textAlignment w:val="auto"/>
        <w:rPr>
          <w:sz w:val="24"/>
          <w:szCs w:val="24"/>
          <w:u w:val="none" w:color="auto"/>
        </w:rPr>
      </w:pPr>
      <w:r>
        <w:rPr>
          <w:sz w:val="24"/>
          <w:szCs w:val="24"/>
          <w:u w:val="none" w:color="auto"/>
        </w:rPr>
        <w:t>说明：1</w:t>
      </w:r>
      <w:r>
        <w:rPr>
          <w:spacing w:val="-1"/>
          <w:sz w:val="24"/>
          <w:szCs w:val="24"/>
          <w:u w:val="none" w:color="auto"/>
        </w:rPr>
        <w:t>、备注栏，可填写该人员擅长的工种。</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483" w:right="3241" w:firstLine="120"/>
        <w:textAlignment w:val="auto"/>
        <w:rPr>
          <w:sz w:val="24"/>
          <w:szCs w:val="24"/>
          <w:u w:val="none" w:color="auto"/>
        </w:rPr>
      </w:pPr>
      <w:r>
        <w:rPr>
          <w:sz w:val="24"/>
          <w:szCs w:val="24"/>
          <w:u w:val="none" w:color="auto"/>
        </w:rPr>
        <w:br w:type="column"/>
      </w:r>
      <w:r>
        <w:rPr>
          <w:sz w:val="24"/>
          <w:szCs w:val="24"/>
          <w:u w:val="none" w:color="auto"/>
        </w:rPr>
        <w:t>供应商（盖章）： 委托代理人签字：</w:t>
      </w:r>
    </w:p>
    <w:p>
      <w:pPr>
        <w:pStyle w:val="9"/>
        <w:keepNext w:val="0"/>
        <w:keepLines w:val="0"/>
        <w:pageBreakBefore w:val="0"/>
        <w:widowControl w:val="0"/>
        <w:kinsoku/>
        <w:wordWrap/>
        <w:overflowPunct/>
        <w:topLinePunct w:val="0"/>
        <w:autoSpaceDE w:val="0"/>
        <w:autoSpaceDN w:val="0"/>
        <w:bidi w:val="0"/>
        <w:adjustRightInd/>
        <w:snapToGrid/>
        <w:spacing w:before="8" w:line="360" w:lineRule="auto"/>
        <w:ind w:left="816"/>
        <w:textAlignment w:val="auto"/>
        <w:rPr>
          <w:sz w:val="24"/>
          <w:szCs w:val="24"/>
          <w:u w:val="none" w:color="auto"/>
        </w:rPr>
      </w:pPr>
      <w:r>
        <w:rPr>
          <w:sz w:val="24"/>
          <w:szCs w:val="24"/>
          <w:u w:val="none" w:color="auto"/>
        </w:rPr>
        <w:t>日期： 年 月 日</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sz w:val="24"/>
          <w:szCs w:val="24"/>
          <w:u w:val="none" w:color="auto"/>
        </w:rPr>
        <w:sectPr>
          <w:type w:val="continuous"/>
          <w:pgSz w:w="11910" w:h="16840"/>
          <w:pgMar w:top="1600" w:right="0" w:bottom="840" w:left="860" w:header="720" w:footer="720" w:gutter="0"/>
          <w:cols w:equalWidth="0" w:num="2">
            <w:col w:w="5244" w:space="40"/>
            <w:col w:w="5766"/>
          </w:cols>
        </w:sectPr>
      </w:pPr>
    </w:p>
    <w:p>
      <w:pPr>
        <w:keepNext w:val="0"/>
        <w:keepLines w:val="0"/>
        <w:pageBreakBefore w:val="0"/>
        <w:widowControl w:val="0"/>
        <w:kinsoku/>
        <w:wordWrap/>
        <w:overflowPunct/>
        <w:topLinePunct w:val="0"/>
        <w:autoSpaceDE w:val="0"/>
        <w:autoSpaceDN w:val="0"/>
        <w:bidi w:val="0"/>
        <w:adjustRightInd/>
        <w:snapToGrid/>
        <w:spacing w:before="45" w:line="360" w:lineRule="auto"/>
        <w:ind w:left="940" w:right="0" w:firstLine="0"/>
        <w:jc w:val="left"/>
        <w:textAlignment w:val="auto"/>
        <w:rPr>
          <w:sz w:val="24"/>
          <w:szCs w:val="24"/>
          <w:u w:val="none" w:color="auto"/>
        </w:rPr>
      </w:pPr>
      <w:r>
        <w:rPr>
          <w:sz w:val="24"/>
          <w:szCs w:val="24"/>
          <w:u w:val="none" w:color="auto"/>
        </w:rPr>
        <w:t>2、所有职称、证明、业绩和奖项均需要提供有效的复印件加盖公章。</w:t>
      </w:r>
    </w:p>
    <w:p>
      <w:pPr>
        <w:keepNext w:val="0"/>
        <w:keepLines w:val="0"/>
        <w:pageBreakBefore w:val="0"/>
        <w:widowControl w:val="0"/>
        <w:kinsoku/>
        <w:wordWrap/>
        <w:overflowPunct/>
        <w:topLinePunct w:val="0"/>
        <w:autoSpaceDE w:val="0"/>
        <w:autoSpaceDN w:val="0"/>
        <w:bidi w:val="0"/>
        <w:adjustRightInd/>
        <w:snapToGrid/>
        <w:spacing w:before="31" w:line="360" w:lineRule="auto"/>
        <w:ind w:left="940" w:right="0" w:firstLine="0"/>
        <w:jc w:val="left"/>
        <w:textAlignment w:val="auto"/>
        <w:rPr>
          <w:sz w:val="24"/>
          <w:szCs w:val="24"/>
          <w:u w:val="none" w:color="auto"/>
        </w:rPr>
      </w:pPr>
      <w:r>
        <w:rPr>
          <w:sz w:val="24"/>
          <w:szCs w:val="24"/>
          <w:u w:val="none" w:color="auto"/>
        </w:rPr>
        <w:t>3、如果行数不够，请自行增加。</w:t>
      </w:r>
    </w:p>
    <w:p>
      <w:pPr>
        <w:pStyle w:val="9"/>
        <w:rPr>
          <w:rFonts w:hint="eastAsia" w:ascii="仿宋" w:hAnsi="仿宋" w:eastAsia="仿宋" w:cs="仿宋"/>
          <w:sz w:val="20"/>
          <w:u w:val="none"/>
        </w:rPr>
      </w:pPr>
    </w:p>
    <w:p>
      <w:pPr>
        <w:pStyle w:val="9"/>
        <w:rPr>
          <w:rFonts w:hint="eastAsia" w:ascii="仿宋" w:hAnsi="仿宋" w:eastAsia="仿宋" w:cs="仿宋"/>
          <w:sz w:val="20"/>
          <w:u w:val="none"/>
        </w:rPr>
      </w:pPr>
    </w:p>
    <w:p>
      <w:pPr>
        <w:pStyle w:val="9"/>
        <w:spacing w:before="6"/>
        <w:rPr>
          <w:rFonts w:hint="eastAsia" w:ascii="仿宋" w:hAnsi="仿宋" w:eastAsia="仿宋" w:cs="仿宋"/>
          <w:u w:val="none"/>
        </w:rPr>
      </w:pPr>
    </w:p>
    <w:p>
      <w:pPr>
        <w:spacing w:before="0"/>
        <w:ind w:left="600" w:right="0" w:firstLine="0"/>
        <w:jc w:val="left"/>
        <w:rPr>
          <w:rFonts w:hint="eastAsia" w:ascii="宋体" w:hAnsi="宋体" w:eastAsia="宋体" w:cs="宋体"/>
          <w:b/>
          <w:sz w:val="24"/>
          <w:szCs w:val="24"/>
        </w:rPr>
      </w:pPr>
      <w:r>
        <w:rPr>
          <w:rFonts w:hint="eastAsia" w:ascii="宋体" w:hAnsi="宋体" w:eastAsia="宋体" w:cs="宋体"/>
          <w:b/>
          <w:w w:val="95"/>
          <w:sz w:val="24"/>
          <w:szCs w:val="24"/>
        </w:rPr>
        <w:t>目录十</w:t>
      </w:r>
      <w:r>
        <w:rPr>
          <w:rFonts w:hint="eastAsia" w:cs="宋体"/>
          <w:b/>
          <w:w w:val="95"/>
          <w:sz w:val="24"/>
          <w:szCs w:val="24"/>
          <w:lang w:val="en-US" w:eastAsia="zh-CN"/>
        </w:rPr>
        <w:t>一</w:t>
      </w:r>
      <w:r>
        <w:rPr>
          <w:rFonts w:hint="eastAsia" w:ascii="宋体" w:hAnsi="宋体" w:eastAsia="宋体" w:cs="宋体"/>
          <w:b/>
          <w:w w:val="95"/>
          <w:sz w:val="24"/>
          <w:szCs w:val="24"/>
        </w:rPr>
        <w:t>、</w:t>
      </w:r>
      <w:r>
        <w:rPr>
          <w:rFonts w:hint="eastAsia" w:cs="宋体"/>
          <w:b/>
          <w:w w:val="95"/>
          <w:sz w:val="24"/>
          <w:szCs w:val="24"/>
          <w:lang w:val="en-US" w:eastAsia="zh-CN"/>
        </w:rPr>
        <w:t>竞争性磋商</w:t>
      </w:r>
      <w:r>
        <w:rPr>
          <w:rFonts w:hint="eastAsia" w:ascii="宋体" w:hAnsi="宋体" w:eastAsia="宋体" w:cs="宋体"/>
          <w:b/>
          <w:w w:val="95"/>
          <w:sz w:val="24"/>
          <w:szCs w:val="24"/>
        </w:rPr>
        <w:t>需要的其他证明文件及</w:t>
      </w:r>
      <w:r>
        <w:rPr>
          <w:rFonts w:hint="eastAsia" w:ascii="宋体" w:hAnsi="宋体" w:eastAsia="宋体" w:cs="宋体"/>
          <w:b/>
          <w:spacing w:val="-5"/>
          <w:w w:val="95"/>
          <w:sz w:val="24"/>
          <w:szCs w:val="24"/>
        </w:rPr>
        <w:t>材料</w:t>
      </w:r>
    </w:p>
    <w:p>
      <w:pPr>
        <w:pStyle w:val="9"/>
        <w:rPr>
          <w:rFonts w:hint="eastAsia" w:ascii="宋体" w:hAnsi="宋体" w:eastAsia="宋体" w:cs="宋体"/>
          <w:b/>
          <w:sz w:val="24"/>
          <w:u w:val="none"/>
        </w:rPr>
      </w:pPr>
    </w:p>
    <w:p>
      <w:pPr>
        <w:pStyle w:val="9"/>
        <w:spacing w:before="6"/>
        <w:rPr>
          <w:rFonts w:hint="eastAsia" w:ascii="仿宋" w:hAnsi="仿宋" w:eastAsia="仿宋" w:cs="仿宋"/>
          <w:b/>
          <w:sz w:val="31"/>
          <w:u w:val="none"/>
        </w:rPr>
      </w:pPr>
    </w:p>
    <w:p>
      <w:pPr>
        <w:pStyle w:val="5"/>
        <w:ind w:left="1130" w:right="879"/>
        <w:jc w:val="center"/>
        <w:rPr>
          <w:rFonts w:hint="eastAsia" w:ascii="宋体" w:hAnsi="宋体" w:eastAsia="宋体" w:cs="宋体"/>
          <w:sz w:val="28"/>
          <w:szCs w:val="28"/>
        </w:rPr>
      </w:pPr>
      <w:r>
        <w:rPr>
          <w:rFonts w:hint="eastAsia" w:ascii="宋体" w:hAnsi="宋体" w:eastAsia="宋体" w:cs="宋体"/>
          <w:spacing w:val="-2"/>
          <w:sz w:val="28"/>
          <w:szCs w:val="28"/>
          <w:lang w:val="en-US" w:eastAsia="zh-CN"/>
        </w:rPr>
        <w:t>竞争性磋商</w:t>
      </w:r>
      <w:r>
        <w:rPr>
          <w:rFonts w:hint="eastAsia" w:ascii="宋体" w:hAnsi="宋体" w:eastAsia="宋体" w:cs="宋体"/>
          <w:spacing w:val="-2"/>
          <w:sz w:val="28"/>
          <w:szCs w:val="28"/>
        </w:rPr>
        <w:t>需要的其他证明文件及材料（若有</w:t>
      </w:r>
      <w:r>
        <w:rPr>
          <w:rFonts w:hint="eastAsia" w:ascii="宋体" w:hAnsi="宋体" w:eastAsia="宋体" w:cs="宋体"/>
          <w:spacing w:val="-10"/>
          <w:sz w:val="28"/>
          <w:szCs w:val="28"/>
        </w:rPr>
        <w:t>）</w:t>
      </w:r>
    </w:p>
    <w:p>
      <w:pPr>
        <w:spacing w:after="0"/>
        <w:jc w:val="center"/>
        <w:rPr>
          <w:rFonts w:hint="eastAsia" w:ascii="宋体" w:hAnsi="宋体" w:eastAsia="宋体" w:cs="宋体"/>
          <w:sz w:val="28"/>
          <w:szCs w:val="28"/>
        </w:rPr>
        <w:sectPr>
          <w:headerReference r:id="rId16" w:type="default"/>
          <w:type w:val="continuous"/>
          <w:pgSz w:w="11910" w:h="16840"/>
          <w:pgMar w:top="1580" w:right="320" w:bottom="280" w:left="1200" w:header="1563" w:footer="0" w:gutter="0"/>
          <w:cols w:space="720" w:num="1"/>
        </w:sectPr>
      </w:pPr>
    </w:p>
    <w:p>
      <w:pPr>
        <w:pStyle w:val="9"/>
        <w:spacing w:before="6"/>
        <w:rPr>
          <w:rFonts w:hint="eastAsia" w:ascii="仿宋" w:hAnsi="仿宋" w:eastAsia="仿宋" w:cs="仿宋"/>
          <w:sz w:val="11"/>
          <w:u w:val="none"/>
        </w:rPr>
      </w:pPr>
    </w:p>
    <w:p>
      <w:pPr>
        <w:pStyle w:val="9"/>
        <w:spacing w:before="6"/>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附件一、中小企业声明函</w:t>
      </w:r>
    </w:p>
    <w:p>
      <w:pPr>
        <w:spacing w:before="50"/>
        <w:ind w:left="2772" w:right="0" w:firstLine="0"/>
        <w:jc w:val="left"/>
        <w:rPr>
          <w:rFonts w:hint="eastAsia" w:ascii="仿宋" w:hAnsi="仿宋" w:eastAsia="仿宋" w:cs="仿宋"/>
          <w:sz w:val="36"/>
        </w:rPr>
      </w:pPr>
    </w:p>
    <w:p>
      <w:pPr>
        <w:spacing w:line="360" w:lineRule="auto"/>
        <w:jc w:val="center"/>
        <w:rPr>
          <w:rFonts w:hint="eastAsia" w:ascii="黑体" w:eastAsia="黑体"/>
          <w:color w:val="000000"/>
          <w:sz w:val="36"/>
          <w:szCs w:val="36"/>
        </w:rPr>
      </w:pPr>
      <w:r>
        <w:rPr>
          <w:rFonts w:hint="eastAsia" w:ascii="黑体" w:eastAsia="黑体"/>
          <w:color w:val="000000"/>
          <w:sz w:val="36"/>
          <w:szCs w:val="36"/>
        </w:rPr>
        <w:t>中小企业声明函</w:t>
      </w:r>
    </w:p>
    <w:p>
      <w:pPr>
        <w:pStyle w:val="9"/>
        <w:keepNext w:val="0"/>
        <w:keepLines w:val="0"/>
        <w:pageBreakBefore w:val="0"/>
        <w:widowControl w:val="0"/>
        <w:tabs>
          <w:tab w:val="left" w:pos="3603"/>
        </w:tabs>
        <w:kinsoku/>
        <w:wordWrap/>
        <w:overflowPunct/>
        <w:topLinePunct w:val="0"/>
        <w:autoSpaceDE w:val="0"/>
        <w:autoSpaceDN w:val="0"/>
        <w:bidi w:val="0"/>
        <w:adjustRightInd/>
        <w:snapToGrid/>
        <w:spacing w:before="0" w:line="360" w:lineRule="auto"/>
        <w:ind w:right="0" w:firstLine="480" w:firstLineChars="200"/>
        <w:jc w:val="left"/>
        <w:textAlignment w:val="auto"/>
        <w:rPr>
          <w:u w:val="none" w:color="auto"/>
        </w:rPr>
      </w:pPr>
      <w:r>
        <w:rPr>
          <w:sz w:val="24"/>
          <w:szCs w:val="24"/>
          <w:u w:val="none" w:color="auto"/>
        </w:rPr>
        <w:t>本公司郑重声明，根据《政府采购促进中小企业发展暂行办法》（财库[2011]181 号）的规定，本公司为</w:t>
      </w:r>
      <w:r>
        <w:rPr>
          <w:rFonts w:hint="eastAsia"/>
          <w:sz w:val="24"/>
          <w:szCs w:val="24"/>
          <w:u w:val="single" w:color="auto"/>
          <w:lang w:val="en-US" w:eastAsia="zh-CN"/>
        </w:rPr>
        <w:t xml:space="preserve">       </w:t>
      </w:r>
      <w:r>
        <w:rPr>
          <w:sz w:val="24"/>
          <w:szCs w:val="24"/>
          <w:u w:val="none" w:color="auto"/>
        </w:rPr>
        <w:t>（请填写：中型、小型、微型）企业。即，本公司同</w:t>
      </w:r>
      <w:r>
        <w:rPr>
          <w:spacing w:val="-11"/>
          <w:sz w:val="24"/>
          <w:szCs w:val="24"/>
          <w:u w:val="none" w:color="auto"/>
        </w:rPr>
        <w:t>时</w:t>
      </w:r>
      <w:r>
        <w:rPr>
          <w:sz w:val="24"/>
          <w:szCs w:val="24"/>
          <w:u w:val="none" w:color="auto"/>
        </w:rPr>
        <w:t>满足以下条件：</w:t>
      </w:r>
    </w:p>
    <w:p>
      <w:pPr>
        <w:pStyle w:val="9"/>
        <w:tabs>
          <w:tab w:val="left" w:pos="1901"/>
        </w:tabs>
        <w:spacing w:line="362" w:lineRule="auto"/>
        <w:ind w:right="464" w:firstLine="420"/>
        <w:jc w:val="both"/>
        <w:rPr>
          <w:rFonts w:hint="default" w:ascii="宋体" w:hAnsi="宋体" w:eastAsia="宋体" w:cs="宋体"/>
          <w:sz w:val="24"/>
          <w:szCs w:val="24"/>
          <w:u w:val="single"/>
          <w:lang w:val="en-US" w:eastAsia="zh-CN"/>
        </w:rPr>
      </w:pPr>
      <w:r>
        <w:rPr>
          <w:rFonts w:hint="eastAsia" w:cs="宋体"/>
          <w:sz w:val="24"/>
          <w:szCs w:val="24"/>
          <w:u w:val="none" w:color="auto"/>
          <w:lang w:val="en-US" w:eastAsia="zh-CN"/>
        </w:rPr>
        <w:t>1、根据</w:t>
      </w:r>
      <w:r>
        <w:rPr>
          <w:sz w:val="24"/>
          <w:szCs w:val="24"/>
          <w:u w:val="none" w:color="auto"/>
        </w:rPr>
        <w:t>《工业和信息化部、国家统计局、国家发展和改革委员会、财政部关于</w:t>
      </w:r>
      <w:r>
        <w:rPr>
          <w:spacing w:val="-13"/>
          <w:sz w:val="24"/>
          <w:szCs w:val="24"/>
          <w:u w:val="none" w:color="auto"/>
        </w:rPr>
        <w:t>印</w:t>
      </w:r>
      <w:r>
        <w:rPr>
          <w:sz w:val="24"/>
          <w:szCs w:val="24"/>
          <w:u w:val="none" w:color="auto"/>
        </w:rPr>
        <w:t>发中小企业划型标准规定的通知</w:t>
      </w:r>
      <w:r>
        <w:rPr>
          <w:spacing w:val="-53"/>
          <w:sz w:val="24"/>
          <w:szCs w:val="24"/>
          <w:u w:val="none" w:color="auto"/>
        </w:rPr>
        <w:t>》</w:t>
      </w:r>
      <w:r>
        <w:rPr>
          <w:spacing w:val="-3"/>
          <w:sz w:val="24"/>
          <w:szCs w:val="24"/>
          <w:u w:val="none" w:color="auto"/>
        </w:rPr>
        <w:t>（</w:t>
      </w:r>
      <w:r>
        <w:rPr>
          <w:sz w:val="24"/>
          <w:szCs w:val="24"/>
          <w:u w:val="none" w:color="auto"/>
        </w:rPr>
        <w:t>工信部联企业[2011]300</w:t>
      </w:r>
      <w:r>
        <w:rPr>
          <w:spacing w:val="-57"/>
          <w:sz w:val="24"/>
          <w:szCs w:val="24"/>
          <w:u w:val="none" w:color="auto"/>
        </w:rPr>
        <w:t xml:space="preserve"> </w:t>
      </w:r>
      <w:r>
        <w:rPr>
          <w:sz w:val="24"/>
          <w:szCs w:val="24"/>
          <w:u w:val="none" w:color="auto"/>
        </w:rPr>
        <w:t>号</w:t>
      </w:r>
      <w:r>
        <w:rPr>
          <w:spacing w:val="-29"/>
          <w:sz w:val="24"/>
          <w:szCs w:val="24"/>
          <w:u w:val="none" w:color="auto"/>
        </w:rPr>
        <w:t>）</w:t>
      </w:r>
      <w:r>
        <w:rPr>
          <w:rFonts w:hint="eastAsia"/>
          <w:spacing w:val="-29"/>
          <w:sz w:val="24"/>
          <w:szCs w:val="24"/>
          <w:u w:val="none" w:color="auto"/>
          <w:lang w:val="en-US" w:eastAsia="zh-CN"/>
        </w:rPr>
        <w:t xml:space="preserve">规定的划分标准，本公司为 </w:t>
      </w:r>
      <w:r>
        <w:rPr>
          <w:rFonts w:hint="eastAsia"/>
          <w:spacing w:val="-29"/>
          <w:sz w:val="24"/>
          <w:szCs w:val="24"/>
          <w:u w:val="single" w:color="auto"/>
          <w:lang w:val="en-US" w:eastAsia="zh-CN"/>
        </w:rPr>
        <w:t xml:space="preserve">      </w:t>
      </w:r>
      <w:r>
        <w:rPr>
          <w:sz w:val="24"/>
          <w:szCs w:val="24"/>
          <w:u w:val="none" w:color="auto"/>
        </w:rPr>
        <w:t>（请填写：中型、小型、微型）企业。</w:t>
      </w:r>
    </w:p>
    <w:p>
      <w:pPr>
        <w:pStyle w:val="9"/>
        <w:keepNext w:val="0"/>
        <w:keepLines w:val="0"/>
        <w:pageBreakBefore w:val="0"/>
        <w:widowControl w:val="0"/>
        <w:tabs>
          <w:tab w:val="left" w:pos="3603"/>
        </w:tabs>
        <w:kinsoku/>
        <w:wordWrap/>
        <w:overflowPunct/>
        <w:topLinePunct w:val="0"/>
        <w:autoSpaceDE w:val="0"/>
        <w:autoSpaceDN w:val="0"/>
        <w:bidi w:val="0"/>
        <w:adjustRightInd/>
        <w:snapToGrid/>
        <w:spacing w:before="0" w:line="360" w:lineRule="auto"/>
        <w:ind w:right="0" w:firstLine="480" w:firstLineChars="200"/>
        <w:jc w:val="left"/>
        <w:textAlignment w:val="auto"/>
        <w:rPr>
          <w:sz w:val="24"/>
          <w:szCs w:val="24"/>
          <w:u w:val="none" w:color="auto"/>
        </w:rPr>
      </w:pPr>
      <w:r>
        <w:rPr>
          <w:rFonts w:hint="eastAsia"/>
          <w:sz w:val="24"/>
          <w:szCs w:val="24"/>
          <w:u w:val="none" w:color="auto"/>
          <w:lang w:val="en-US" w:eastAsia="zh-CN"/>
        </w:rPr>
        <w:t>2、</w:t>
      </w:r>
      <w:r>
        <w:rPr>
          <w:sz w:val="24"/>
          <w:szCs w:val="24"/>
          <w:u w:val="none" w:color="auto"/>
        </w:rPr>
        <w:t xml:space="preserve">本公司参加 </w:t>
      </w:r>
      <w:r>
        <w:rPr>
          <w:sz w:val="24"/>
          <w:szCs w:val="24"/>
          <w:u w:val="single" w:color="auto"/>
        </w:rPr>
        <w:tab/>
      </w:r>
      <w:r>
        <w:rPr>
          <w:sz w:val="24"/>
          <w:szCs w:val="24"/>
          <w:u w:val="none" w:color="auto"/>
        </w:rPr>
        <w:t>单位的</w:t>
      </w:r>
      <w:r>
        <w:rPr>
          <w:rFonts w:hint="eastAsia"/>
          <w:sz w:val="24"/>
          <w:szCs w:val="24"/>
          <w:u w:val="single" w:color="auto"/>
          <w:lang w:val="en-US" w:eastAsia="zh-CN"/>
        </w:rPr>
        <w:t xml:space="preserve">       </w:t>
      </w:r>
      <w:r>
        <w:rPr>
          <w:rFonts w:hint="eastAsia"/>
          <w:sz w:val="24"/>
          <w:szCs w:val="24"/>
          <w:u w:val="none" w:color="auto"/>
          <w:lang w:val="en-US" w:eastAsia="zh-CN"/>
        </w:rPr>
        <w:t>项目采购活动</w:t>
      </w:r>
      <w:r>
        <w:rPr>
          <w:sz w:val="24"/>
          <w:szCs w:val="24"/>
          <w:u w:val="none" w:color="auto"/>
        </w:rPr>
        <w:t>提供本企业制造的货物，由本企业承担工程、提供服务，或者提供其他填写：中型、小型、微型）企业制造的货物，承担的工程，提供的服务。</w:t>
      </w:r>
    </w:p>
    <w:p>
      <w:pPr>
        <w:pStyle w:val="9"/>
        <w:keepNext w:val="0"/>
        <w:keepLines w:val="0"/>
        <w:pageBreakBefore w:val="0"/>
        <w:widowControl w:val="0"/>
        <w:tabs>
          <w:tab w:val="left" w:pos="3603"/>
        </w:tabs>
        <w:kinsoku/>
        <w:wordWrap/>
        <w:overflowPunct/>
        <w:topLinePunct w:val="0"/>
        <w:autoSpaceDE w:val="0"/>
        <w:autoSpaceDN w:val="0"/>
        <w:bidi w:val="0"/>
        <w:adjustRightInd/>
        <w:snapToGrid/>
        <w:spacing w:before="0" w:line="360" w:lineRule="auto"/>
        <w:ind w:right="0" w:firstLine="480" w:firstLineChars="200"/>
        <w:jc w:val="left"/>
        <w:textAlignment w:val="auto"/>
        <w:rPr>
          <w:sz w:val="24"/>
          <w:szCs w:val="24"/>
          <w:u w:val="none" w:color="auto"/>
        </w:rPr>
      </w:pPr>
      <w:r>
        <w:rPr>
          <w:sz w:val="24"/>
          <w:szCs w:val="24"/>
          <w:u w:val="none" w:color="auto"/>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240" w:firstLineChars="2600"/>
        <w:jc w:val="left"/>
        <w:textAlignment w:val="auto"/>
        <w:outlineLvl w:val="9"/>
        <w:rPr>
          <w:rFonts w:hint="eastAsia" w:ascii="宋体" w:hAnsi="宋体" w:eastAsia="宋体" w:cs="宋体"/>
          <w:sz w:val="24"/>
          <w:szCs w:val="24"/>
          <w:lang w:val="en-US" w:eastAsia="zh-CN"/>
        </w:rPr>
      </w:pPr>
      <w:r>
        <w:rPr>
          <w:rFonts w:ascii="宋体" w:hAnsi="宋体" w:eastAsia="宋体" w:cs="宋体"/>
          <w:sz w:val="24"/>
          <w:szCs w:val="24"/>
        </w:rPr>
        <w:t xml:space="preserve">企业名称：__________ </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ascii="宋体" w:hAnsi="宋体" w:eastAsia="宋体" w:cs="宋体"/>
          <w:sz w:val="24"/>
          <w:szCs w:val="24"/>
        </w:rPr>
        <w:t>日期 ：_________</w:t>
      </w:r>
    </w:p>
    <w:p>
      <w:pPr>
        <w:pStyle w:val="6"/>
        <w:ind w:left="0" w:leftChars="0" w:firstLine="0" w:firstLineChars="0"/>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eastAsia" w:ascii="宋体" w:hAnsi="宋体" w:eastAsia="宋体" w:cs="宋体"/>
          <w:sz w:val="24"/>
          <w:szCs w:val="24"/>
          <w:lang w:val="en-US" w:eastAsia="zh-CN"/>
        </w:rPr>
      </w:pPr>
    </w:p>
    <w:p>
      <w:pPr>
        <w:pStyle w:val="6"/>
        <w:rPr>
          <w:rFonts w:hint="default" w:eastAsia="宋体"/>
          <w:sz w:val="24"/>
          <w:szCs w:val="24"/>
          <w:lang w:val="en-US" w:eastAsia="zh-CN"/>
        </w:rPr>
      </w:pPr>
      <w:r>
        <w:rPr>
          <w:rFonts w:hint="eastAsia" w:ascii="宋体" w:hAnsi="宋体" w:eastAsia="宋体" w:cs="宋体"/>
          <w:sz w:val="24"/>
          <w:szCs w:val="24"/>
          <w:lang w:val="en-US" w:eastAsia="zh-CN"/>
        </w:rPr>
        <w:t>附件二、残疾人福利性单位声明函</w:t>
      </w:r>
    </w:p>
    <w:p>
      <w:pPr>
        <w:pStyle w:val="9"/>
        <w:spacing w:before="6"/>
        <w:rPr>
          <w:rFonts w:hint="eastAsia" w:ascii="仿宋" w:hAnsi="仿宋" w:eastAsia="仿宋" w:cs="仿宋"/>
          <w:b/>
          <w:sz w:val="11"/>
          <w:u w:val="none"/>
        </w:rPr>
      </w:pPr>
    </w:p>
    <w:p>
      <w:pPr>
        <w:pStyle w:val="5"/>
        <w:spacing w:before="50"/>
        <w:ind w:left="2772"/>
        <w:rPr>
          <w:rFonts w:hint="eastAsia" w:ascii="宋体" w:hAnsi="宋体" w:eastAsia="宋体" w:cs="宋体"/>
          <w:spacing w:val="-1"/>
        </w:rPr>
      </w:pPr>
      <w:r>
        <w:rPr>
          <w:rFonts w:hint="eastAsia" w:ascii="宋体" w:hAnsi="宋体" w:eastAsia="宋体" w:cs="宋体"/>
          <w:spacing w:val="-1"/>
        </w:rPr>
        <w:t>残疾人福利性单位声明函</w:t>
      </w:r>
    </w:p>
    <w:p>
      <w:pPr>
        <w:rPr>
          <w:rFonts w:hint="default" w:eastAsia="宋体"/>
          <w:lang w:val="en-US" w:eastAsia="zh-CN"/>
        </w:rPr>
      </w:pPr>
      <w:r>
        <w:rPr>
          <w:rFonts w:hint="eastAsia" w:cs="宋体"/>
          <w:spacing w:val="-1"/>
          <w:lang w:val="en-US" w:eastAsia="zh-CN"/>
        </w:rPr>
        <w:t xml:space="preserve">          ：</w:t>
      </w:r>
    </w:p>
    <w:p>
      <w:pPr>
        <w:pStyle w:val="9"/>
        <w:spacing w:before="161" w:line="362" w:lineRule="auto"/>
        <w:ind w:right="402" w:firstLine="480"/>
        <w:rPr>
          <w:rFonts w:hint="eastAsia" w:ascii="宋体" w:hAnsi="宋体" w:eastAsia="宋体" w:cs="宋体"/>
          <w:spacing w:val="9"/>
          <w:sz w:val="24"/>
          <w:szCs w:val="22"/>
          <w:u w:val="none"/>
          <w:lang w:val="en-US" w:eastAsia="zh-CN" w:bidi="ar-SA"/>
        </w:rPr>
      </w:pPr>
      <w:r>
        <w:rPr>
          <w:rFonts w:hint="eastAsia" w:ascii="宋体" w:hAnsi="宋体" w:eastAsia="宋体" w:cs="宋体"/>
          <w:spacing w:val="9"/>
          <w:sz w:val="24"/>
          <w:szCs w:val="22"/>
          <w:u w:val="none"/>
          <w:lang w:val="en-US" w:eastAsia="zh-CN" w:bidi="ar-SA"/>
        </w:rPr>
        <w:t>我单位 （供应商名称）郑重声明，本公司为残疾人福利性单位。即，本单位同时满足以下条件：</w:t>
      </w:r>
    </w:p>
    <w:p>
      <w:pPr>
        <w:pStyle w:val="9"/>
        <w:spacing w:before="5" w:line="362" w:lineRule="auto"/>
        <w:ind w:right="402" w:firstLine="480"/>
        <w:rPr>
          <w:rFonts w:hint="eastAsia" w:ascii="宋体" w:hAnsi="宋体" w:eastAsia="宋体" w:cs="宋体"/>
          <w:spacing w:val="9"/>
          <w:sz w:val="24"/>
          <w:szCs w:val="22"/>
          <w:u w:val="none"/>
          <w:lang w:val="en-US" w:eastAsia="zh-CN" w:bidi="ar-SA"/>
        </w:rPr>
      </w:pPr>
      <w:r>
        <w:rPr>
          <w:rFonts w:hint="eastAsia" w:ascii="宋体" w:hAnsi="宋体" w:eastAsia="宋体" w:cs="宋体"/>
          <w:spacing w:val="9"/>
          <w:sz w:val="24"/>
          <w:szCs w:val="22"/>
          <w:u w:val="none"/>
          <w:lang w:val="en-US" w:eastAsia="zh-CN" w:bidi="ar-SA"/>
        </w:rPr>
        <w:t>1、安置的残疾人占本单位在职职工人数的比例不低于 25%（含 25%），并且安置的残疾人人数不少于 10 人（含 10 人）；</w:t>
      </w:r>
    </w:p>
    <w:p>
      <w:pPr>
        <w:pStyle w:val="9"/>
        <w:spacing w:before="2"/>
        <w:ind w:firstLine="516" w:firstLineChars="200"/>
        <w:rPr>
          <w:rFonts w:hint="eastAsia" w:ascii="宋体" w:hAnsi="宋体" w:eastAsia="宋体" w:cs="宋体"/>
          <w:spacing w:val="9"/>
          <w:sz w:val="24"/>
          <w:szCs w:val="22"/>
          <w:u w:val="none"/>
          <w:lang w:val="en-US" w:eastAsia="zh-CN" w:bidi="ar-SA"/>
        </w:rPr>
      </w:pPr>
      <w:r>
        <w:rPr>
          <w:rFonts w:hint="eastAsia" w:ascii="宋体" w:hAnsi="宋体" w:eastAsia="宋体" w:cs="宋体"/>
          <w:spacing w:val="9"/>
          <w:sz w:val="24"/>
          <w:szCs w:val="22"/>
          <w:u w:val="none"/>
          <w:lang w:val="en-US" w:eastAsia="zh-CN" w:bidi="ar-SA"/>
        </w:rPr>
        <w:t>2、依法与安置的每位残疾人签订了一年以上（含一年）的劳动合同或服务协议；</w:t>
      </w:r>
    </w:p>
    <w:p>
      <w:pPr>
        <w:pStyle w:val="9"/>
        <w:spacing w:before="161" w:line="364" w:lineRule="auto"/>
        <w:ind w:right="344" w:firstLine="480"/>
        <w:rPr>
          <w:rFonts w:hint="eastAsia" w:ascii="宋体" w:hAnsi="宋体" w:eastAsia="宋体" w:cs="宋体"/>
          <w:spacing w:val="9"/>
          <w:sz w:val="24"/>
          <w:szCs w:val="22"/>
          <w:u w:val="none"/>
          <w:lang w:val="en-US" w:eastAsia="zh-CN" w:bidi="ar-SA"/>
        </w:rPr>
      </w:pPr>
      <w:r>
        <w:rPr>
          <w:rFonts w:hint="eastAsia" w:ascii="宋体" w:hAnsi="宋体" w:eastAsia="宋体" w:cs="宋体"/>
          <w:spacing w:val="9"/>
          <w:sz w:val="24"/>
          <w:szCs w:val="22"/>
          <w:u w:val="none"/>
          <w:lang w:val="en-US" w:eastAsia="zh-CN" w:bidi="ar-SA"/>
        </w:rPr>
        <w:t>3、为安置的每位残疾人按月足额缴纳了基本养老保险、基本医疗保险、失业保险、工伤保险和生育保险等社会保险费；</w:t>
      </w:r>
    </w:p>
    <w:p>
      <w:pPr>
        <w:pStyle w:val="9"/>
        <w:spacing w:line="364" w:lineRule="auto"/>
        <w:ind w:right="466" w:firstLine="480"/>
        <w:rPr>
          <w:rFonts w:hint="eastAsia" w:ascii="宋体" w:hAnsi="宋体" w:eastAsia="宋体" w:cs="宋体"/>
          <w:spacing w:val="9"/>
          <w:sz w:val="24"/>
          <w:szCs w:val="22"/>
          <w:u w:val="none"/>
          <w:lang w:val="en-US" w:eastAsia="zh-CN" w:bidi="ar-SA"/>
        </w:rPr>
      </w:pPr>
      <w:r>
        <w:rPr>
          <w:rFonts w:hint="eastAsia" w:ascii="宋体" w:hAnsi="宋体" w:eastAsia="宋体" w:cs="宋体"/>
          <w:spacing w:val="9"/>
          <w:sz w:val="24"/>
          <w:szCs w:val="22"/>
          <w:u w:val="none"/>
          <w:lang w:val="en-US" w:eastAsia="zh-CN" w:bidi="ar-SA"/>
        </w:rPr>
        <w:t>4、通过银行等金融机构向安置的每位残疾人，按月支付了不低于单位所在区县适用的经省级人民政府批准的月最低工资标准的工资；</w:t>
      </w:r>
    </w:p>
    <w:p>
      <w:pPr>
        <w:tabs>
          <w:tab w:val="left" w:leader="underscore" w:pos="8154"/>
        </w:tabs>
        <w:spacing w:before="314" w:line="374" w:lineRule="auto"/>
        <w:ind w:left="600" w:right="1473" w:firstLine="623"/>
        <w:jc w:val="left"/>
        <w:rPr>
          <w:rFonts w:hint="eastAsia" w:ascii="宋体" w:hAnsi="宋体" w:eastAsia="宋体" w:cs="宋体"/>
          <w:sz w:val="24"/>
        </w:rPr>
      </w:pPr>
      <w:r>
        <w:rPr>
          <w:rFonts w:hint="eastAsia" w:ascii="宋体" w:hAnsi="宋体" w:eastAsia="宋体" w:cs="宋体"/>
          <w:spacing w:val="12"/>
          <w:sz w:val="24"/>
        </w:rPr>
        <w:t>且本单位参</w:t>
      </w:r>
      <w:r>
        <w:rPr>
          <w:rFonts w:hint="eastAsia" w:ascii="宋体" w:hAnsi="宋体" w:eastAsia="宋体" w:cs="宋体"/>
          <w:spacing w:val="15"/>
          <w:sz w:val="24"/>
        </w:rPr>
        <w:t>加</w:t>
      </w:r>
      <w:r>
        <w:rPr>
          <w:rFonts w:hint="eastAsia" w:ascii="宋体" w:hAnsi="宋体" w:eastAsia="宋体" w:cs="宋体"/>
          <w:sz w:val="24"/>
        </w:rPr>
        <w:t>______</w:t>
      </w:r>
      <w:r>
        <w:rPr>
          <w:rFonts w:hint="eastAsia" w:ascii="宋体" w:hAnsi="宋体" w:eastAsia="宋体" w:cs="宋体"/>
          <w:spacing w:val="12"/>
          <w:sz w:val="24"/>
        </w:rPr>
        <w:t>单位</w:t>
      </w:r>
      <w:r>
        <w:rPr>
          <w:rFonts w:hint="eastAsia" w:ascii="宋体" w:hAnsi="宋体" w:eastAsia="宋体" w:cs="宋体"/>
          <w:spacing w:val="2"/>
          <w:sz w:val="24"/>
        </w:rPr>
        <w:t>的</w:t>
      </w:r>
      <w:r>
        <w:rPr>
          <w:rFonts w:hint="eastAsia" w:ascii="宋体" w:hAnsi="宋体" w:eastAsia="宋体" w:cs="宋体"/>
          <w:sz w:val="24"/>
        </w:rPr>
        <w:tab/>
      </w:r>
      <w:r>
        <w:rPr>
          <w:rFonts w:hint="eastAsia" w:ascii="宋体" w:hAnsi="宋体" w:eastAsia="宋体" w:cs="宋体"/>
          <w:spacing w:val="12"/>
          <w:sz w:val="24"/>
        </w:rPr>
        <w:t>项目</w:t>
      </w:r>
      <w:r>
        <w:rPr>
          <w:rFonts w:hint="eastAsia" w:ascii="宋体" w:hAnsi="宋体" w:eastAsia="宋体" w:cs="宋体"/>
          <w:spacing w:val="-10"/>
          <w:sz w:val="24"/>
        </w:rPr>
        <w:t>采</w:t>
      </w:r>
    </w:p>
    <w:p>
      <w:pPr>
        <w:spacing w:before="1" w:line="374" w:lineRule="auto"/>
        <w:ind w:left="600" w:right="1476" w:firstLine="0"/>
        <w:jc w:val="left"/>
        <w:rPr>
          <w:rFonts w:hint="eastAsia" w:ascii="宋体" w:hAnsi="宋体" w:eastAsia="宋体" w:cs="宋体"/>
          <w:sz w:val="24"/>
        </w:rPr>
      </w:pPr>
      <w:r>
        <w:rPr>
          <w:rFonts w:hint="eastAsia" w:ascii="宋体" w:hAnsi="宋体" w:eastAsia="宋体" w:cs="宋体"/>
          <w:spacing w:val="11"/>
          <w:sz w:val="24"/>
        </w:rPr>
        <w:t>购活动提供本单位制造的货物（</w:t>
      </w:r>
      <w:r>
        <w:rPr>
          <w:rFonts w:hint="eastAsia" w:ascii="宋体" w:hAnsi="宋体" w:eastAsia="宋体" w:cs="宋体"/>
          <w:spacing w:val="9"/>
          <w:sz w:val="24"/>
        </w:rPr>
        <w:t>由本单位承担工程/提供服务</w:t>
      </w:r>
      <w:r>
        <w:rPr>
          <w:rFonts w:hint="eastAsia" w:ascii="宋体" w:hAnsi="宋体" w:eastAsia="宋体" w:cs="宋体"/>
          <w:spacing w:val="11"/>
          <w:sz w:val="24"/>
        </w:rPr>
        <w:t>），或者提供</w:t>
      </w:r>
      <w:r>
        <w:rPr>
          <w:rFonts w:hint="eastAsia" w:ascii="宋体" w:hAnsi="宋体" w:eastAsia="宋体" w:cs="宋体"/>
          <w:spacing w:val="9"/>
          <w:sz w:val="24"/>
        </w:rPr>
        <w:t>其他残疾人福利性单位制造的货物</w:t>
      </w:r>
      <w:r>
        <w:rPr>
          <w:rFonts w:hint="eastAsia" w:ascii="宋体" w:hAnsi="宋体" w:eastAsia="宋体" w:cs="宋体"/>
          <w:spacing w:val="10"/>
          <w:sz w:val="24"/>
        </w:rPr>
        <w:t>（</w:t>
      </w:r>
      <w:r>
        <w:rPr>
          <w:rFonts w:hint="eastAsia" w:ascii="宋体" w:hAnsi="宋体" w:eastAsia="宋体" w:cs="宋体"/>
          <w:spacing w:val="9"/>
          <w:sz w:val="24"/>
        </w:rPr>
        <w:t>不包括使用非残疾人福利性单位注册商</w:t>
      </w:r>
      <w:r>
        <w:rPr>
          <w:rFonts w:hint="eastAsia" w:ascii="宋体" w:hAnsi="宋体" w:eastAsia="宋体" w:cs="宋体"/>
          <w:spacing w:val="10"/>
          <w:sz w:val="24"/>
        </w:rPr>
        <w:t>标的货物）。</w:t>
      </w:r>
    </w:p>
    <w:p>
      <w:pPr>
        <w:spacing w:before="64"/>
        <w:ind w:left="1224" w:right="0" w:firstLine="0"/>
        <w:jc w:val="left"/>
        <w:rPr>
          <w:rFonts w:hint="eastAsia" w:ascii="宋体" w:hAnsi="宋体" w:eastAsia="宋体" w:cs="宋体"/>
          <w:sz w:val="24"/>
        </w:rPr>
      </w:pPr>
      <w:r>
        <w:rPr>
          <w:rFonts w:hint="eastAsia" w:ascii="宋体" w:hAnsi="宋体" w:eastAsia="宋体" w:cs="宋体"/>
          <w:spacing w:val="11"/>
          <w:sz w:val="24"/>
        </w:rPr>
        <w:t>本单位对上述声明的真实性负责。如有虚假，将依法承担相应责任。</w:t>
      </w:r>
    </w:p>
    <w:p>
      <w:pPr>
        <w:pStyle w:val="9"/>
        <w:rPr>
          <w:rFonts w:hint="eastAsia" w:ascii="宋体" w:hAnsi="宋体" w:eastAsia="宋体" w:cs="宋体"/>
          <w:sz w:val="24"/>
          <w:u w:val="none"/>
        </w:rPr>
      </w:pPr>
    </w:p>
    <w:p>
      <w:pPr>
        <w:tabs>
          <w:tab w:val="left" w:pos="5866"/>
        </w:tabs>
        <w:spacing w:before="0" w:line="352" w:lineRule="auto"/>
        <w:ind w:right="3118" w:firstLine="2860" w:firstLineChars="1100"/>
        <w:jc w:val="left"/>
        <w:rPr>
          <w:rFonts w:hint="eastAsia" w:ascii="宋体" w:hAnsi="宋体" w:eastAsia="宋体" w:cs="宋体"/>
          <w:sz w:val="24"/>
        </w:rPr>
      </w:pPr>
      <w:r>
        <w:rPr>
          <w:rFonts w:hint="eastAsia" w:ascii="宋体" w:hAnsi="宋体" w:eastAsia="宋体" w:cs="宋体"/>
          <w:spacing w:val="10"/>
          <w:sz w:val="24"/>
        </w:rPr>
        <w:t>单位名称（盖章</w:t>
      </w:r>
      <w:r>
        <w:rPr>
          <w:rFonts w:hint="eastAsia" w:ascii="宋体" w:hAnsi="宋体" w:eastAsia="宋体" w:cs="宋体"/>
          <w:sz w:val="24"/>
        </w:rPr>
        <w:t>）：</w:t>
      </w:r>
    </w:p>
    <w:p>
      <w:pPr>
        <w:tabs>
          <w:tab w:val="left" w:pos="5866"/>
        </w:tabs>
        <w:spacing w:before="0" w:line="352" w:lineRule="auto"/>
        <w:ind w:right="3118" w:firstLine="3024" w:firstLineChars="1200"/>
        <w:jc w:val="left"/>
        <w:rPr>
          <w:rFonts w:hint="eastAsia" w:ascii="宋体" w:hAnsi="宋体" w:eastAsia="宋体" w:cs="宋体"/>
          <w:sz w:val="24"/>
        </w:rPr>
      </w:pPr>
      <w:r>
        <w:rPr>
          <w:rFonts w:hint="eastAsia" w:cs="宋体"/>
          <w:spacing w:val="6"/>
          <w:sz w:val="24"/>
          <w:lang w:val="en-US" w:eastAsia="zh-CN"/>
        </w:rPr>
        <w:t>日</w:t>
      </w:r>
      <w:r>
        <w:rPr>
          <w:rFonts w:hint="eastAsia" w:ascii="宋体" w:hAnsi="宋体" w:eastAsia="宋体" w:cs="宋体"/>
          <w:spacing w:val="6"/>
          <w:sz w:val="24"/>
        </w:rPr>
        <w:t>期：</w:t>
      </w:r>
    </w:p>
    <w:p>
      <w:pPr>
        <w:spacing w:after="0" w:line="352" w:lineRule="auto"/>
        <w:jc w:val="left"/>
        <w:rPr>
          <w:rFonts w:hint="eastAsia" w:ascii="宋体" w:hAnsi="宋体" w:eastAsia="宋体" w:cs="宋体"/>
          <w:sz w:val="24"/>
        </w:rPr>
        <w:sectPr>
          <w:headerReference r:id="rId17" w:type="default"/>
          <w:pgSz w:w="11910" w:h="16840"/>
          <w:pgMar w:top="720" w:right="720" w:bottom="720" w:left="720" w:header="1553" w:footer="0" w:gutter="0"/>
          <w:cols w:space="720" w:num="1"/>
        </w:sectPr>
      </w:pPr>
    </w:p>
    <w:p>
      <w:pPr>
        <w:spacing w:before="41"/>
        <w:ind w:left="600" w:right="0" w:firstLine="0"/>
        <w:jc w:val="left"/>
        <w:rPr>
          <w:rFonts w:hint="eastAsia" w:ascii="宋体" w:hAnsi="宋体" w:eastAsia="宋体" w:cs="宋体"/>
          <w:b/>
          <w:sz w:val="24"/>
        </w:rPr>
      </w:pPr>
      <w:r>
        <w:rPr>
          <w:rFonts w:hint="eastAsia" w:ascii="宋体" w:hAnsi="宋体" w:eastAsia="宋体" w:cs="宋体"/>
          <w:b/>
          <w:w w:val="95"/>
          <w:sz w:val="24"/>
        </w:rPr>
        <w:t>附件三、南京市政府采购供应商信用记录表暨信用承诺书机</w:t>
      </w:r>
      <w:r>
        <w:rPr>
          <w:rFonts w:hint="eastAsia" w:ascii="宋体" w:hAnsi="宋体" w:eastAsia="宋体" w:cs="宋体"/>
          <w:b/>
          <w:spacing w:val="-4"/>
          <w:w w:val="95"/>
          <w:sz w:val="24"/>
        </w:rPr>
        <w:t>构格式</w:t>
      </w:r>
    </w:p>
    <w:p>
      <w:pPr>
        <w:pStyle w:val="9"/>
        <w:rPr>
          <w:rFonts w:hint="eastAsia" w:ascii="宋体" w:hAnsi="宋体" w:eastAsia="宋体" w:cs="宋体"/>
          <w:b/>
          <w:sz w:val="24"/>
          <w:u w:val="none"/>
        </w:rPr>
      </w:pPr>
    </w:p>
    <w:p>
      <w:pPr>
        <w:pStyle w:val="9"/>
        <w:spacing w:before="6"/>
        <w:rPr>
          <w:rFonts w:hint="eastAsia" w:ascii="宋体" w:hAnsi="宋体" w:eastAsia="宋体" w:cs="宋体"/>
          <w:b/>
          <w:sz w:val="31"/>
          <w:u w:val="none"/>
        </w:rPr>
      </w:pPr>
    </w:p>
    <w:p>
      <w:pPr>
        <w:pStyle w:val="5"/>
        <w:ind w:left="972"/>
        <w:rPr>
          <w:rFonts w:hint="eastAsia" w:ascii="宋体" w:hAnsi="宋体" w:eastAsia="宋体" w:cs="宋体"/>
        </w:rPr>
      </w:pPr>
      <w:r>
        <w:rPr>
          <w:rFonts w:hint="eastAsia" w:ascii="宋体" w:hAnsi="宋体" w:eastAsia="宋体" w:cs="宋体"/>
          <w:spacing w:val="-1"/>
        </w:rPr>
        <w:t>南京市政府采购供应商信用记录表暨信用承诺书</w:t>
      </w:r>
    </w:p>
    <w:p>
      <w:pPr>
        <w:pStyle w:val="9"/>
        <w:tabs>
          <w:tab w:val="left" w:pos="422"/>
        </w:tabs>
        <w:spacing w:before="104" w:after="20"/>
        <w:ind w:right="1694"/>
        <w:jc w:val="right"/>
        <w:rPr>
          <w:rFonts w:hint="eastAsia" w:ascii="宋体" w:hAnsi="宋体" w:eastAsia="宋体" w:cs="宋体"/>
          <w:u w:val="none"/>
        </w:rPr>
      </w:pPr>
      <w:r>
        <w:rPr>
          <w:rFonts w:hint="eastAsia" w:ascii="宋体" w:hAnsi="宋体" w:eastAsia="宋体" w:cs="宋体"/>
          <w:spacing w:val="-5"/>
          <w:u w:val="none"/>
        </w:rPr>
        <w:t>20</w:t>
      </w:r>
      <w:r>
        <w:rPr>
          <w:rFonts w:hint="eastAsia" w:ascii="宋体" w:hAnsi="宋体" w:eastAsia="宋体" w:cs="宋体"/>
          <w:u w:val="none"/>
        </w:rPr>
        <w:tab/>
      </w:r>
      <w:r>
        <w:rPr>
          <w:rFonts w:hint="eastAsia" w:ascii="宋体" w:hAnsi="宋体" w:eastAsia="宋体" w:cs="宋体"/>
          <w:u w:val="none"/>
        </w:rPr>
        <w:t>年月</w:t>
      </w:r>
      <w:r>
        <w:rPr>
          <w:rFonts w:hint="eastAsia" w:ascii="宋体" w:hAnsi="宋体" w:eastAsia="宋体" w:cs="宋体"/>
          <w:spacing w:val="-12"/>
          <w:u w:val="none"/>
        </w:rPr>
        <w:t>日</w:t>
      </w:r>
    </w:p>
    <w:tbl>
      <w:tblPr>
        <w:tblStyle w:val="19"/>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212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1" w:type="dxa"/>
          </w:tcPr>
          <w:p>
            <w:pPr>
              <w:pStyle w:val="25"/>
              <w:spacing w:before="149"/>
              <w:ind w:left="107"/>
              <w:rPr>
                <w:rFonts w:hint="eastAsia" w:ascii="宋体" w:hAnsi="宋体" w:eastAsia="宋体" w:cs="宋体"/>
                <w:sz w:val="21"/>
              </w:rPr>
            </w:pPr>
            <w:r>
              <w:rPr>
                <w:rFonts w:hint="eastAsia" w:ascii="宋体" w:hAnsi="宋体" w:eastAsia="宋体" w:cs="宋体"/>
                <w:spacing w:val="-4"/>
                <w:sz w:val="21"/>
              </w:rPr>
              <w:t>单位名称</w:t>
            </w:r>
          </w:p>
        </w:tc>
        <w:tc>
          <w:tcPr>
            <w:tcW w:w="2129" w:type="dxa"/>
          </w:tcPr>
          <w:p>
            <w:pPr>
              <w:pStyle w:val="25"/>
              <w:rPr>
                <w:rFonts w:hint="eastAsia" w:ascii="宋体" w:hAnsi="宋体" w:eastAsia="宋体" w:cs="宋体"/>
                <w:sz w:val="22"/>
              </w:rPr>
            </w:pPr>
          </w:p>
        </w:tc>
        <w:tc>
          <w:tcPr>
            <w:tcW w:w="2131" w:type="dxa"/>
          </w:tcPr>
          <w:p>
            <w:pPr>
              <w:pStyle w:val="25"/>
              <w:spacing w:before="149"/>
              <w:ind w:left="108"/>
              <w:rPr>
                <w:rFonts w:hint="eastAsia" w:ascii="宋体" w:hAnsi="宋体" w:eastAsia="宋体" w:cs="宋体"/>
                <w:sz w:val="21"/>
              </w:rPr>
            </w:pPr>
            <w:r>
              <w:rPr>
                <w:rFonts w:hint="eastAsia" w:ascii="宋体" w:hAnsi="宋体" w:eastAsia="宋体" w:cs="宋体"/>
                <w:spacing w:val="-4"/>
                <w:sz w:val="21"/>
              </w:rPr>
              <w:t>统一社会信用代码</w:t>
            </w:r>
          </w:p>
        </w:tc>
        <w:tc>
          <w:tcPr>
            <w:tcW w:w="2131"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1" w:type="dxa"/>
          </w:tcPr>
          <w:p>
            <w:pPr>
              <w:pStyle w:val="25"/>
              <w:spacing w:before="152"/>
              <w:ind w:left="107"/>
              <w:rPr>
                <w:rFonts w:hint="eastAsia" w:ascii="宋体" w:hAnsi="宋体" w:eastAsia="宋体" w:cs="宋体"/>
                <w:sz w:val="21"/>
              </w:rPr>
            </w:pPr>
            <w:r>
              <w:rPr>
                <w:rFonts w:hint="eastAsia" w:ascii="宋体" w:hAnsi="宋体" w:eastAsia="宋体" w:cs="宋体"/>
                <w:spacing w:val="-4"/>
                <w:sz w:val="21"/>
              </w:rPr>
              <w:t>法定代表人</w:t>
            </w:r>
          </w:p>
        </w:tc>
        <w:tc>
          <w:tcPr>
            <w:tcW w:w="2129" w:type="dxa"/>
          </w:tcPr>
          <w:p>
            <w:pPr>
              <w:pStyle w:val="25"/>
              <w:rPr>
                <w:rFonts w:hint="eastAsia" w:ascii="宋体" w:hAnsi="宋体" w:eastAsia="宋体" w:cs="宋体"/>
                <w:sz w:val="22"/>
              </w:rPr>
            </w:pPr>
          </w:p>
        </w:tc>
        <w:tc>
          <w:tcPr>
            <w:tcW w:w="2131" w:type="dxa"/>
          </w:tcPr>
          <w:p>
            <w:pPr>
              <w:pStyle w:val="25"/>
              <w:spacing w:before="152"/>
              <w:ind w:left="108"/>
              <w:rPr>
                <w:rFonts w:hint="eastAsia" w:ascii="宋体" w:hAnsi="宋体" w:eastAsia="宋体" w:cs="宋体"/>
                <w:sz w:val="21"/>
              </w:rPr>
            </w:pPr>
            <w:r>
              <w:rPr>
                <w:rFonts w:hint="eastAsia" w:ascii="宋体" w:hAnsi="宋体" w:eastAsia="宋体" w:cs="宋体"/>
                <w:spacing w:val="-4"/>
                <w:sz w:val="21"/>
              </w:rPr>
              <w:t>联系人</w:t>
            </w:r>
          </w:p>
        </w:tc>
        <w:tc>
          <w:tcPr>
            <w:tcW w:w="2131"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1" w:type="dxa"/>
          </w:tcPr>
          <w:p>
            <w:pPr>
              <w:pStyle w:val="25"/>
              <w:spacing w:before="150"/>
              <w:ind w:left="107"/>
              <w:rPr>
                <w:rFonts w:hint="eastAsia" w:ascii="宋体" w:hAnsi="宋体" w:eastAsia="宋体" w:cs="宋体"/>
                <w:sz w:val="21"/>
              </w:rPr>
            </w:pPr>
            <w:r>
              <w:rPr>
                <w:rFonts w:hint="eastAsia" w:ascii="宋体" w:hAnsi="宋体" w:eastAsia="宋体" w:cs="宋体"/>
                <w:spacing w:val="-4"/>
                <w:sz w:val="21"/>
              </w:rPr>
              <w:t>联系地址</w:t>
            </w:r>
          </w:p>
        </w:tc>
        <w:tc>
          <w:tcPr>
            <w:tcW w:w="2129" w:type="dxa"/>
          </w:tcPr>
          <w:p>
            <w:pPr>
              <w:pStyle w:val="25"/>
              <w:rPr>
                <w:rFonts w:hint="eastAsia" w:ascii="宋体" w:hAnsi="宋体" w:eastAsia="宋体" w:cs="宋体"/>
                <w:sz w:val="22"/>
              </w:rPr>
            </w:pPr>
          </w:p>
        </w:tc>
        <w:tc>
          <w:tcPr>
            <w:tcW w:w="2131" w:type="dxa"/>
          </w:tcPr>
          <w:p>
            <w:pPr>
              <w:pStyle w:val="25"/>
              <w:spacing w:before="150"/>
              <w:ind w:left="108"/>
              <w:rPr>
                <w:rFonts w:hint="eastAsia" w:ascii="宋体" w:hAnsi="宋体" w:eastAsia="宋体" w:cs="宋体"/>
                <w:sz w:val="21"/>
              </w:rPr>
            </w:pPr>
            <w:r>
              <w:rPr>
                <w:rFonts w:hint="eastAsia" w:ascii="宋体" w:hAnsi="宋体" w:eastAsia="宋体" w:cs="宋体"/>
                <w:spacing w:val="-4"/>
                <w:sz w:val="21"/>
              </w:rPr>
              <w:t>联系电话</w:t>
            </w:r>
          </w:p>
        </w:tc>
        <w:tc>
          <w:tcPr>
            <w:tcW w:w="2131"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1" w:type="dxa"/>
          </w:tcPr>
          <w:p>
            <w:pPr>
              <w:pStyle w:val="25"/>
              <w:spacing w:before="152"/>
              <w:ind w:left="107"/>
              <w:rPr>
                <w:rFonts w:hint="eastAsia" w:ascii="宋体" w:hAnsi="宋体" w:eastAsia="宋体" w:cs="宋体"/>
                <w:sz w:val="21"/>
              </w:rPr>
            </w:pPr>
            <w:r>
              <w:rPr>
                <w:rFonts w:hint="eastAsia" w:ascii="宋体" w:hAnsi="宋体" w:eastAsia="宋体" w:cs="宋体"/>
                <w:spacing w:val="-4"/>
                <w:sz w:val="21"/>
              </w:rPr>
              <w:t>信用得分</w:t>
            </w:r>
          </w:p>
        </w:tc>
        <w:tc>
          <w:tcPr>
            <w:tcW w:w="2129" w:type="dxa"/>
          </w:tcPr>
          <w:p>
            <w:pPr>
              <w:pStyle w:val="25"/>
              <w:rPr>
                <w:rFonts w:hint="eastAsia" w:ascii="宋体" w:hAnsi="宋体" w:eastAsia="宋体" w:cs="宋体"/>
                <w:sz w:val="22"/>
              </w:rPr>
            </w:pPr>
          </w:p>
        </w:tc>
        <w:tc>
          <w:tcPr>
            <w:tcW w:w="2131" w:type="dxa"/>
          </w:tcPr>
          <w:p>
            <w:pPr>
              <w:pStyle w:val="25"/>
              <w:spacing w:before="152"/>
              <w:ind w:left="108"/>
              <w:rPr>
                <w:rFonts w:hint="eastAsia" w:ascii="宋体" w:hAnsi="宋体" w:eastAsia="宋体" w:cs="宋体"/>
                <w:sz w:val="21"/>
              </w:rPr>
            </w:pPr>
            <w:r>
              <w:rPr>
                <w:rFonts w:hint="eastAsia" w:ascii="宋体" w:hAnsi="宋体" w:eastAsia="宋体" w:cs="宋体"/>
                <w:spacing w:val="-5"/>
                <w:sz w:val="21"/>
              </w:rPr>
              <w:t>星级</w:t>
            </w:r>
          </w:p>
        </w:tc>
        <w:tc>
          <w:tcPr>
            <w:tcW w:w="2131" w:type="dxa"/>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2131" w:type="dxa"/>
          </w:tcPr>
          <w:p>
            <w:pPr>
              <w:pStyle w:val="25"/>
              <w:rPr>
                <w:rFonts w:hint="eastAsia" w:ascii="宋体" w:hAnsi="宋体" w:eastAsia="宋体" w:cs="宋体"/>
                <w:sz w:val="20"/>
              </w:rPr>
            </w:pPr>
          </w:p>
          <w:p>
            <w:pPr>
              <w:pStyle w:val="25"/>
              <w:rPr>
                <w:rFonts w:hint="eastAsia" w:ascii="宋体" w:hAnsi="宋体" w:eastAsia="宋体" w:cs="宋体"/>
                <w:sz w:val="20"/>
              </w:rPr>
            </w:pPr>
          </w:p>
          <w:p>
            <w:pPr>
              <w:pStyle w:val="25"/>
              <w:spacing w:before="3"/>
              <w:rPr>
                <w:rFonts w:hint="eastAsia" w:ascii="宋体" w:hAnsi="宋体" w:eastAsia="宋体" w:cs="宋体"/>
                <w:sz w:val="23"/>
              </w:rPr>
            </w:pPr>
          </w:p>
          <w:p>
            <w:pPr>
              <w:pStyle w:val="25"/>
              <w:ind w:left="107"/>
              <w:rPr>
                <w:rFonts w:hint="eastAsia" w:ascii="宋体" w:hAnsi="宋体" w:eastAsia="宋体" w:cs="宋体"/>
                <w:sz w:val="21"/>
              </w:rPr>
            </w:pPr>
            <w:r>
              <w:rPr>
                <w:rFonts w:hint="eastAsia" w:ascii="宋体" w:hAnsi="宋体" w:eastAsia="宋体" w:cs="宋体"/>
                <w:spacing w:val="-4"/>
                <w:sz w:val="21"/>
              </w:rPr>
              <w:t>诚信档案记录情况</w:t>
            </w:r>
          </w:p>
        </w:tc>
        <w:tc>
          <w:tcPr>
            <w:tcW w:w="6391" w:type="dxa"/>
            <w:gridSpan w:val="3"/>
          </w:tcPr>
          <w:p>
            <w:pPr>
              <w:pStyle w:val="25"/>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0" w:hRule="atLeast"/>
        </w:trPr>
        <w:tc>
          <w:tcPr>
            <w:tcW w:w="2131" w:type="dxa"/>
          </w:tcPr>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2"/>
              </w:rPr>
            </w:pPr>
          </w:p>
          <w:p>
            <w:pPr>
              <w:pStyle w:val="25"/>
              <w:ind w:left="107"/>
              <w:rPr>
                <w:rFonts w:hint="eastAsia" w:ascii="宋体" w:hAnsi="宋体" w:eastAsia="宋体" w:cs="宋体"/>
                <w:sz w:val="21"/>
              </w:rPr>
            </w:pPr>
            <w:r>
              <w:rPr>
                <w:rFonts w:hint="eastAsia" w:ascii="宋体" w:hAnsi="宋体" w:eastAsia="宋体" w:cs="宋体"/>
                <w:spacing w:val="-4"/>
                <w:sz w:val="21"/>
              </w:rPr>
              <w:t>信用承诺</w:t>
            </w:r>
          </w:p>
        </w:tc>
        <w:tc>
          <w:tcPr>
            <w:tcW w:w="6391" w:type="dxa"/>
            <w:gridSpan w:val="3"/>
          </w:tcPr>
          <w:p>
            <w:pPr>
              <w:pStyle w:val="25"/>
              <w:spacing w:before="101" w:line="417" w:lineRule="auto"/>
              <w:ind w:left="107" w:right="-15" w:firstLine="420"/>
              <w:rPr>
                <w:rFonts w:hint="eastAsia" w:ascii="宋体" w:hAnsi="宋体" w:eastAsia="宋体" w:cs="宋体"/>
                <w:sz w:val="21"/>
              </w:rPr>
            </w:pPr>
            <w:r>
              <w:rPr>
                <w:rFonts w:hint="eastAsia" w:ascii="宋体" w:hAnsi="宋体" w:eastAsia="宋体" w:cs="宋体"/>
                <w:spacing w:val="2"/>
                <w:w w:val="100"/>
                <w:sz w:val="21"/>
              </w:rPr>
              <w:t>我公司自愿参加贵中心</w:t>
            </w:r>
            <w:r>
              <w:rPr>
                <w:rFonts w:hint="eastAsia" w:ascii="宋体" w:hAnsi="宋体" w:eastAsia="宋体" w:cs="宋体"/>
                <w:w w:val="100"/>
                <w:sz w:val="21"/>
              </w:rPr>
              <w:t>（</w:t>
            </w:r>
            <w:r>
              <w:rPr>
                <w:rFonts w:hint="eastAsia" w:ascii="宋体" w:hAnsi="宋体" w:eastAsia="宋体" w:cs="宋体"/>
                <w:spacing w:val="2"/>
                <w:w w:val="100"/>
                <w:sz w:val="21"/>
              </w:rPr>
              <w:t>公司）</w:t>
            </w:r>
            <w:r>
              <w:rPr>
                <w:rFonts w:hint="eastAsia" w:ascii="宋体" w:hAnsi="宋体" w:eastAsia="宋体" w:cs="宋体"/>
                <w:spacing w:val="1"/>
                <w:w w:val="100"/>
                <w:sz w:val="21"/>
              </w:rPr>
              <w:t>组织的本次采购活动，严格遵</w:t>
            </w:r>
            <w:r>
              <w:rPr>
                <w:rFonts w:hint="eastAsia" w:ascii="宋体" w:hAnsi="宋体" w:eastAsia="宋体" w:cs="宋体"/>
                <w:w w:val="100"/>
                <w:sz w:val="21"/>
              </w:rPr>
              <w:t>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w:t>
            </w:r>
            <w:r>
              <w:rPr>
                <w:rFonts w:hint="eastAsia" w:ascii="宋体" w:hAnsi="宋体" w:eastAsia="宋体" w:cs="宋体"/>
                <w:spacing w:val="-5"/>
                <w:w w:val="100"/>
                <w:sz w:val="21"/>
              </w:rPr>
              <w:t>府采购活动前三年内，在经营活动中没有重大违法记录；符合法律、</w:t>
            </w:r>
            <w:r>
              <w:rPr>
                <w:rFonts w:hint="eastAsia" w:ascii="宋体" w:hAnsi="宋体" w:eastAsia="宋体" w:cs="宋体"/>
                <w:w w:val="100"/>
                <w:sz w:val="21"/>
              </w:rPr>
              <w:t>行政法规和采购文件规定的其他条件。如有弄虚作假或其他违法违规行为，愿承担一切法律责任，接受各级政府采购监管部门和有权</w:t>
            </w:r>
            <w:r>
              <w:rPr>
                <w:rFonts w:hint="eastAsia" w:ascii="宋体" w:hAnsi="宋体" w:eastAsia="宋体" w:cs="宋体"/>
                <w:spacing w:val="-3"/>
                <w:w w:val="100"/>
                <w:sz w:val="21"/>
              </w:rPr>
              <w:t>机关的审查和处罚。</w:t>
            </w: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rPr>
                <w:rFonts w:hint="eastAsia" w:ascii="宋体" w:hAnsi="宋体" w:eastAsia="宋体" w:cs="宋体"/>
                <w:sz w:val="20"/>
              </w:rPr>
            </w:pPr>
          </w:p>
          <w:p>
            <w:pPr>
              <w:pStyle w:val="25"/>
              <w:spacing w:before="167" w:line="417" w:lineRule="auto"/>
              <w:ind w:left="3764" w:right="512"/>
              <w:rPr>
                <w:rFonts w:hint="eastAsia" w:ascii="宋体" w:hAnsi="宋体" w:eastAsia="宋体" w:cs="宋体"/>
                <w:sz w:val="21"/>
              </w:rPr>
            </w:pPr>
            <w:r>
              <w:rPr>
                <w:rFonts w:hint="eastAsia" w:ascii="宋体" w:hAnsi="宋体" w:eastAsia="宋体" w:cs="宋体"/>
                <w:spacing w:val="-2"/>
                <w:sz w:val="21"/>
              </w:rPr>
              <w:t>供应商名称（盖章）：法定代表人（签字</w:t>
            </w:r>
            <w:r>
              <w:rPr>
                <w:rFonts w:hint="eastAsia" w:ascii="宋体" w:hAnsi="宋体" w:eastAsia="宋体" w:cs="宋体"/>
                <w:spacing w:val="-5"/>
                <w:sz w:val="21"/>
              </w:rPr>
              <w:t>）：</w:t>
            </w:r>
          </w:p>
          <w:p>
            <w:pPr>
              <w:pStyle w:val="25"/>
              <w:tabs>
                <w:tab w:val="left" w:pos="4712"/>
                <w:tab w:val="left" w:pos="5235"/>
                <w:tab w:val="left" w:pos="5761"/>
              </w:tabs>
              <w:spacing w:line="269" w:lineRule="exact"/>
              <w:ind w:left="3922"/>
              <w:rPr>
                <w:rFonts w:hint="eastAsia" w:ascii="宋体" w:hAnsi="宋体" w:eastAsia="宋体" w:cs="宋体"/>
                <w:sz w:val="21"/>
              </w:rPr>
            </w:pPr>
            <w:r>
              <w:rPr>
                <w:rFonts w:hint="eastAsia" w:ascii="宋体" w:hAnsi="宋体" w:eastAsia="宋体" w:cs="宋体"/>
                <w:sz w:val="21"/>
              </w:rPr>
              <w:t>二</w:t>
            </w:r>
            <w:r>
              <w:rPr>
                <w:rFonts w:hint="eastAsia" w:ascii="宋体" w:hAnsi="宋体" w:eastAsia="宋体" w:cs="宋体"/>
                <w:spacing w:val="-10"/>
                <w:sz w:val="21"/>
              </w:rPr>
              <w:t>0</w:t>
            </w:r>
            <w:r>
              <w:rPr>
                <w:rFonts w:hint="eastAsia" w:ascii="宋体" w:hAnsi="宋体" w:eastAsia="宋体" w:cs="宋体"/>
                <w:sz w:val="21"/>
              </w:rPr>
              <w:tab/>
            </w:r>
            <w:r>
              <w:rPr>
                <w:rFonts w:hint="eastAsia" w:ascii="宋体" w:hAnsi="宋体" w:eastAsia="宋体" w:cs="宋体"/>
                <w:spacing w:val="-10"/>
                <w:sz w:val="21"/>
              </w:rPr>
              <w:t>年</w:t>
            </w:r>
            <w:r>
              <w:rPr>
                <w:rFonts w:hint="eastAsia" w:ascii="宋体" w:hAnsi="宋体" w:eastAsia="宋体" w:cs="宋体"/>
                <w:sz w:val="21"/>
              </w:rPr>
              <w:tab/>
            </w:r>
            <w:r>
              <w:rPr>
                <w:rFonts w:hint="eastAsia" w:ascii="宋体" w:hAnsi="宋体" w:eastAsia="宋体" w:cs="宋体"/>
                <w:spacing w:val="-10"/>
                <w:sz w:val="21"/>
              </w:rPr>
              <w:t>月</w:t>
            </w:r>
            <w:r>
              <w:rPr>
                <w:rFonts w:hint="eastAsia" w:ascii="宋体" w:hAnsi="宋体" w:eastAsia="宋体" w:cs="宋体"/>
                <w:sz w:val="21"/>
              </w:rPr>
              <w:tab/>
            </w:r>
            <w:r>
              <w:rPr>
                <w:rFonts w:hint="eastAsia" w:ascii="宋体" w:hAnsi="宋体" w:eastAsia="宋体" w:cs="宋体"/>
                <w:spacing w:val="-10"/>
                <w:sz w:val="21"/>
              </w:rPr>
              <w:t>日</w:t>
            </w:r>
          </w:p>
        </w:tc>
      </w:tr>
    </w:tbl>
    <w:p>
      <w:pPr>
        <w:pStyle w:val="5"/>
        <w:keepNext w:val="0"/>
        <w:keepLines w:val="0"/>
        <w:pageBreakBefore w:val="0"/>
        <w:widowControl w:val="0"/>
        <w:kinsoku/>
        <w:wordWrap/>
        <w:overflowPunct/>
        <w:topLinePunct w:val="0"/>
        <w:autoSpaceDE w:val="0"/>
        <w:autoSpaceDN w:val="0"/>
        <w:bidi w:val="0"/>
        <w:adjustRightInd/>
        <w:snapToGrid/>
        <w:spacing w:before="9" w:line="360" w:lineRule="auto"/>
        <w:ind w:right="632"/>
        <w:textAlignment w:val="auto"/>
        <w:rPr>
          <w:sz w:val="24"/>
          <w:szCs w:val="24"/>
          <w:u w:val="none" w:color="auto"/>
        </w:rPr>
      </w:pPr>
      <w:r>
        <w:rPr>
          <w:sz w:val="24"/>
          <w:szCs w:val="24"/>
          <w:u w:val="none" w:color="auto"/>
        </w:rPr>
        <w:t>注：①供应商在中标（成交）后，应按采购文件要求，将上述由信用承诺书替代的证明材料</w:t>
      </w:r>
      <w:r>
        <w:rPr>
          <w:spacing w:val="-6"/>
          <w:sz w:val="24"/>
          <w:szCs w:val="24"/>
          <w:u w:val="none" w:color="auto"/>
        </w:rPr>
        <w:t>提交采购人或采购代理机构核验。经核验无误后，由采购人或采购代理机构发出中标</w:t>
      </w:r>
      <w:r>
        <w:rPr>
          <w:sz w:val="24"/>
          <w:szCs w:val="24"/>
          <w:u w:val="none" w:color="auto"/>
        </w:rPr>
        <w:t>（成交</w:t>
      </w:r>
      <w:r>
        <w:rPr>
          <w:spacing w:val="-11"/>
          <w:sz w:val="24"/>
          <w:szCs w:val="24"/>
          <w:u w:val="none" w:color="auto"/>
        </w:rPr>
        <w:t xml:space="preserve">） </w:t>
      </w:r>
      <w:r>
        <w:rPr>
          <w:sz w:val="24"/>
          <w:szCs w:val="24"/>
          <w:u w:val="none" w:color="auto"/>
        </w:rPr>
        <w:t>通知书。</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right="632"/>
        <w:textAlignment w:val="auto"/>
        <w:rPr>
          <w:sz w:val="24"/>
          <w:szCs w:val="24"/>
          <w:u w:val="none" w:color="auto"/>
        </w:rPr>
      </w:pPr>
      <w:r>
        <w:rPr>
          <w:sz w:val="24"/>
          <w:szCs w:val="24"/>
          <w:u w:val="none" w:color="auto"/>
        </w:rPr>
        <w:t>②供应商对信用承诺内容的真实性、合法性、有效性负责。如作出虚假信用承诺， 视同为“提供虚假材料谋取中标、成交”的违法行为。经调查核实后，按照《政府采购法》第七十七条规定处理。</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right="632"/>
        <w:textAlignment w:val="auto"/>
        <w:rPr>
          <w:sz w:val="24"/>
          <w:szCs w:val="24"/>
          <w:u w:val="none" w:color="auto"/>
        </w:rPr>
      </w:pPr>
      <w:r>
        <w:rPr>
          <w:sz w:val="24"/>
          <w:szCs w:val="24"/>
          <w:u w:val="none" w:color="auto"/>
        </w:rPr>
        <w:t>③具体内容详见宁财购通【2021】5</w:t>
      </w:r>
      <w:r>
        <w:rPr>
          <w:spacing w:val="-16"/>
          <w:sz w:val="24"/>
          <w:szCs w:val="24"/>
          <w:u w:val="none" w:color="auto"/>
        </w:rPr>
        <w:t xml:space="preserve"> 号文。</w:t>
      </w:r>
    </w:p>
    <w:p>
      <w:pPr>
        <w:pStyle w:val="9"/>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仿宋" w:hAnsi="仿宋" w:eastAsia="仿宋" w:cs="仿宋"/>
          <w:sz w:val="24"/>
          <w:szCs w:val="24"/>
          <w:u w:val="none" w:color="auto"/>
        </w:rPr>
      </w:pPr>
      <w:r>
        <w:rPr>
          <w:rFonts w:hint="eastAsia" w:ascii="黑体" w:hAnsi="黑体" w:eastAsia="黑体" w:cs="黑体"/>
          <w:sz w:val="24"/>
          <w:szCs w:val="24"/>
          <w:u w:val="none" w:color="auto"/>
          <w:lang w:val="en-US" w:eastAsia="zh-CN" w:bidi="ar-SA"/>
        </w:rPr>
        <w:t>④</w:t>
      </w:r>
      <w:r>
        <w:rPr>
          <w:rFonts w:ascii="黑体" w:hAnsi="黑体" w:eastAsia="黑体" w:cs="黑体"/>
          <w:sz w:val="24"/>
          <w:szCs w:val="24"/>
          <w:u w:val="none" w:color="auto"/>
          <w:lang w:val="en-US" w:eastAsia="zh-CN" w:bidi="ar-SA"/>
        </w:rPr>
        <w:t>不适用信用承诺情形的投标人根据文件要求提交资格证明文件（复印件并加盖公章）</w:t>
      </w:r>
    </w:p>
    <w:p>
      <w:pPr>
        <w:spacing w:before="61"/>
        <w:ind w:left="600" w:right="0" w:firstLine="0"/>
        <w:jc w:val="left"/>
        <w:rPr>
          <w:rFonts w:hint="eastAsia" w:ascii="宋体" w:hAnsi="宋体" w:eastAsia="宋体" w:cs="宋体"/>
          <w:b/>
          <w:sz w:val="24"/>
        </w:rPr>
      </w:pPr>
      <w:r>
        <w:rPr>
          <w:rFonts w:hint="eastAsia" w:ascii="宋体" w:hAnsi="宋体" w:eastAsia="宋体" w:cs="宋体"/>
          <w:b/>
          <w:w w:val="95"/>
          <w:sz w:val="24"/>
        </w:rPr>
        <w:t>格式1：具备履行合同所必需的设备和专业技术能力的</w:t>
      </w:r>
      <w:r>
        <w:rPr>
          <w:rFonts w:hint="eastAsia" w:ascii="宋体" w:hAnsi="宋体" w:eastAsia="宋体" w:cs="宋体"/>
          <w:b/>
          <w:spacing w:val="-3"/>
          <w:w w:val="95"/>
          <w:sz w:val="24"/>
        </w:rPr>
        <w:t>声明格式</w:t>
      </w:r>
    </w:p>
    <w:p>
      <w:pPr>
        <w:pStyle w:val="9"/>
        <w:rPr>
          <w:rFonts w:hint="eastAsia" w:ascii="宋体" w:hAnsi="宋体" w:eastAsia="宋体" w:cs="宋体"/>
          <w:b/>
          <w:sz w:val="26"/>
          <w:u w:val="none"/>
        </w:rPr>
      </w:pPr>
    </w:p>
    <w:p>
      <w:pPr>
        <w:pStyle w:val="5"/>
        <w:spacing w:before="222"/>
        <w:ind w:right="879"/>
        <w:jc w:val="center"/>
        <w:rPr>
          <w:rFonts w:hint="eastAsia" w:ascii="宋体" w:hAnsi="宋体" w:eastAsia="宋体" w:cs="宋体"/>
        </w:rPr>
      </w:pPr>
      <w:r>
        <w:rPr>
          <w:rFonts w:hint="eastAsia" w:ascii="宋体" w:hAnsi="宋体" w:eastAsia="宋体" w:cs="宋体"/>
          <w:spacing w:val="-1"/>
        </w:rPr>
        <w:t>具备履行合同所必需的设备和专业技术能力的声明</w:t>
      </w:r>
    </w:p>
    <w:p>
      <w:pPr>
        <w:pStyle w:val="9"/>
        <w:rPr>
          <w:rFonts w:hint="eastAsia" w:ascii="宋体" w:hAnsi="宋体" w:eastAsia="宋体" w:cs="宋体"/>
          <w:sz w:val="49"/>
          <w:u w:val="none"/>
        </w:rPr>
      </w:pPr>
    </w:p>
    <w:p>
      <w:pPr>
        <w:spacing w:before="0"/>
        <w:ind w:left="600" w:right="0" w:firstLine="0"/>
        <w:jc w:val="left"/>
        <w:rPr>
          <w:rFonts w:hint="eastAsia" w:ascii="宋体" w:hAnsi="宋体" w:eastAsia="宋体" w:cs="宋体"/>
          <w:sz w:val="24"/>
        </w:rPr>
      </w:pPr>
      <w:r>
        <w:rPr>
          <w:rFonts w:hint="eastAsia" w:ascii="宋体" w:hAnsi="宋体" w:eastAsia="宋体" w:cs="宋体"/>
          <w:spacing w:val="-1"/>
          <w:sz w:val="24"/>
          <w:lang w:eastAsia="zh-CN"/>
        </w:rPr>
        <w:t>南京市溧水区人民政府石湫街道办事处 </w:t>
      </w:r>
      <w:r>
        <w:rPr>
          <w:rFonts w:hint="eastAsia" w:ascii="宋体" w:hAnsi="宋体" w:eastAsia="宋体" w:cs="宋体"/>
          <w:spacing w:val="-1"/>
          <w:sz w:val="24"/>
        </w:rPr>
        <w:t>：</w:t>
      </w:r>
    </w:p>
    <w:p>
      <w:pPr>
        <w:tabs>
          <w:tab w:val="left" w:pos="5300"/>
        </w:tabs>
        <w:spacing w:before="209" w:line="357" w:lineRule="auto"/>
        <w:ind w:left="600" w:right="1477" w:firstLine="491"/>
        <w:jc w:val="both"/>
        <w:rPr>
          <w:rFonts w:hint="eastAsia" w:ascii="宋体" w:hAnsi="宋体" w:eastAsia="宋体" w:cs="宋体"/>
          <w:sz w:val="24"/>
        </w:rPr>
      </w:pPr>
      <w:r>
        <w:rPr>
          <w:rFonts w:hint="eastAsia" w:ascii="宋体" w:hAnsi="宋体" w:eastAsia="宋体" w:cs="宋体"/>
          <w:spacing w:val="-4"/>
          <w:sz w:val="24"/>
        </w:rPr>
        <w:t>我单位</w:t>
      </w:r>
      <w:r>
        <w:rPr>
          <w:rFonts w:hint="eastAsia" w:ascii="宋体" w:hAnsi="宋体" w:eastAsia="宋体" w:cs="宋体"/>
          <w:sz w:val="24"/>
          <w:u w:val="single"/>
        </w:rPr>
        <w:tab/>
      </w:r>
      <w:r>
        <w:rPr>
          <w:rFonts w:hint="eastAsia" w:ascii="宋体" w:hAnsi="宋体" w:eastAsia="宋体" w:cs="宋体"/>
          <w:spacing w:val="-2"/>
          <w:sz w:val="24"/>
        </w:rPr>
        <w:t>（供应商名称）郑重声明：我公司具备履行本项采购合同所必需的设备和专业技术能力</w:t>
      </w:r>
      <w:r>
        <w:rPr>
          <w:rFonts w:hint="eastAsia" w:ascii="宋体" w:hAnsi="宋体" w:eastAsia="宋体" w:cs="宋体"/>
          <w:spacing w:val="-94"/>
          <w:sz w:val="24"/>
        </w:rPr>
        <w:t>，</w:t>
      </w:r>
      <w:r>
        <w:rPr>
          <w:rFonts w:hint="eastAsia" w:ascii="宋体" w:hAnsi="宋体" w:eastAsia="宋体" w:cs="宋体"/>
          <w:spacing w:val="-2"/>
          <w:sz w:val="24"/>
        </w:rPr>
        <w:t>为履行本项采购合同我单位具备如下主要设备和主要专业技术能力：</w:t>
      </w:r>
    </w:p>
    <w:p>
      <w:pPr>
        <w:tabs>
          <w:tab w:val="left" w:pos="5653"/>
        </w:tabs>
        <w:spacing w:before="5" w:line="360" w:lineRule="auto"/>
        <w:ind w:left="1092" w:right="4491" w:firstLine="0"/>
        <w:jc w:val="left"/>
        <w:rPr>
          <w:rFonts w:hint="eastAsia" w:ascii="宋体" w:hAnsi="宋体" w:eastAsia="宋体" w:cs="宋体"/>
          <w:sz w:val="24"/>
        </w:rPr>
      </w:pPr>
      <w:r>
        <w:rPr>
          <w:rFonts w:hint="eastAsia" w:ascii="宋体" w:hAnsi="宋体" w:eastAsia="宋体" w:cs="宋体"/>
          <w:spacing w:val="-2"/>
          <w:sz w:val="24"/>
        </w:rPr>
        <w:t>主要设备有：</w:t>
      </w:r>
      <w:r>
        <w:rPr>
          <w:rFonts w:hint="eastAsia" w:ascii="宋体" w:hAnsi="宋体" w:eastAsia="宋体" w:cs="宋体"/>
          <w:sz w:val="24"/>
          <w:u w:val="single"/>
        </w:rPr>
        <w:tab/>
      </w:r>
      <w:r>
        <w:rPr>
          <w:rFonts w:hint="eastAsia" w:ascii="宋体" w:hAnsi="宋体" w:eastAsia="宋体" w:cs="宋体"/>
          <w:spacing w:val="-10"/>
          <w:sz w:val="24"/>
        </w:rPr>
        <w:t>。</w:t>
      </w:r>
      <w:r>
        <w:rPr>
          <w:rFonts w:hint="eastAsia" w:ascii="宋体" w:hAnsi="宋体" w:eastAsia="宋体" w:cs="宋体"/>
          <w:sz w:val="24"/>
        </w:rPr>
        <w:t>主要专业技术能力有</w:t>
      </w:r>
      <w:r>
        <w:rPr>
          <w:rFonts w:hint="eastAsia" w:ascii="宋体" w:hAnsi="宋体" w:eastAsia="宋体" w:cs="宋体"/>
          <w:spacing w:val="-10"/>
          <w:sz w:val="24"/>
        </w:rPr>
        <w:t>：</w:t>
      </w:r>
      <w:r>
        <w:rPr>
          <w:rFonts w:hint="eastAsia" w:ascii="宋体" w:hAnsi="宋体" w:eastAsia="宋体" w:cs="宋体"/>
          <w:sz w:val="24"/>
          <w:u w:val="single"/>
        </w:rPr>
        <w:tab/>
      </w:r>
      <w:r>
        <w:rPr>
          <w:rFonts w:hint="eastAsia" w:ascii="宋体" w:hAnsi="宋体" w:eastAsia="宋体" w:cs="宋体"/>
          <w:spacing w:val="-10"/>
          <w:sz w:val="24"/>
        </w:rPr>
        <w:t>。</w:t>
      </w:r>
    </w:p>
    <w:p>
      <w:pPr>
        <w:pStyle w:val="9"/>
        <w:spacing w:before="7"/>
        <w:rPr>
          <w:rFonts w:hint="eastAsia" w:ascii="宋体" w:hAnsi="宋体" w:eastAsia="宋体" w:cs="宋体"/>
          <w:sz w:val="32"/>
          <w:u w:val="none"/>
        </w:rPr>
      </w:pPr>
    </w:p>
    <w:p>
      <w:pPr>
        <w:spacing w:before="0"/>
        <w:ind w:left="5761" w:right="0" w:firstLine="0"/>
        <w:jc w:val="left"/>
        <w:rPr>
          <w:rFonts w:hint="eastAsia" w:ascii="宋体" w:hAnsi="宋体" w:eastAsia="宋体" w:cs="宋体"/>
          <w:sz w:val="24"/>
        </w:rPr>
      </w:pPr>
      <w:r>
        <w:rPr>
          <w:rFonts w:hint="eastAsia" w:ascii="宋体" w:hAnsi="宋体" w:eastAsia="宋体" w:cs="宋体"/>
          <w:sz w:val="24"/>
        </w:rPr>
        <w:t>声明人：（公章</w:t>
      </w:r>
      <w:r>
        <w:rPr>
          <w:rFonts w:hint="eastAsia" w:ascii="宋体" w:hAnsi="宋体" w:eastAsia="宋体" w:cs="宋体"/>
          <w:spacing w:val="-10"/>
          <w:sz w:val="24"/>
        </w:rPr>
        <w:t>）</w:t>
      </w:r>
    </w:p>
    <w:p>
      <w:pPr>
        <w:tabs>
          <w:tab w:val="left" w:pos="7201"/>
          <w:tab w:val="left" w:pos="7921"/>
          <w:tab w:val="left" w:pos="8641"/>
        </w:tabs>
        <w:spacing w:before="82"/>
        <w:ind w:left="5761" w:right="0" w:firstLine="0"/>
        <w:jc w:val="left"/>
        <w:rPr>
          <w:rFonts w:hint="eastAsia" w:ascii="宋体" w:hAnsi="宋体" w:eastAsia="宋体" w:cs="宋体"/>
          <w:sz w:val="26"/>
          <w:u w:val="none"/>
        </w:rPr>
      </w:pPr>
      <w:r>
        <w:rPr>
          <w:rFonts w:hint="eastAsia" w:ascii="宋体" w:hAnsi="宋体" w:eastAsia="宋体" w:cs="宋体"/>
          <w:sz w:val="24"/>
        </w:rPr>
        <w:t>日期</w:t>
      </w:r>
      <w:r>
        <w:rPr>
          <w:rFonts w:hint="eastAsia" w:ascii="宋体" w:hAnsi="宋体" w:eastAsia="宋体" w:cs="宋体"/>
          <w:spacing w:val="-10"/>
          <w:sz w:val="24"/>
        </w:rPr>
        <w:t>：</w:t>
      </w:r>
      <w:r>
        <w:rPr>
          <w:rFonts w:hint="eastAsia" w:ascii="宋体" w:hAnsi="宋体" w:eastAsia="宋体" w:cs="宋体"/>
          <w:sz w:val="24"/>
          <w:u w:val="single"/>
        </w:rPr>
        <w:tab/>
      </w:r>
      <w:r>
        <w:rPr>
          <w:rFonts w:hint="eastAsia" w:ascii="宋体" w:hAnsi="宋体" w:eastAsia="宋体" w:cs="宋体"/>
          <w:spacing w:val="-10"/>
          <w:sz w:val="24"/>
        </w:rPr>
        <w:t>年</w:t>
      </w:r>
      <w:r>
        <w:rPr>
          <w:rFonts w:hint="eastAsia" w:ascii="宋体" w:hAnsi="宋体" w:eastAsia="宋体" w:cs="宋体"/>
          <w:sz w:val="24"/>
        </w:rPr>
        <w:tab/>
      </w:r>
      <w:r>
        <w:rPr>
          <w:rFonts w:hint="eastAsia" w:ascii="宋体" w:hAnsi="宋体" w:eastAsia="宋体" w:cs="宋体"/>
          <w:spacing w:val="-10"/>
          <w:sz w:val="24"/>
        </w:rPr>
        <w:t>月</w:t>
      </w:r>
      <w:r>
        <w:rPr>
          <w:rFonts w:hint="eastAsia" w:ascii="宋体" w:hAnsi="宋体" w:eastAsia="宋体" w:cs="宋体"/>
          <w:sz w:val="24"/>
        </w:rPr>
        <w:tab/>
      </w:r>
      <w:r>
        <w:rPr>
          <w:rFonts w:hint="eastAsia" w:ascii="宋体" w:hAnsi="宋体" w:eastAsia="宋体" w:cs="宋体"/>
          <w:spacing w:val="-10"/>
          <w:sz w:val="24"/>
        </w:rPr>
        <w:t>日</w:t>
      </w:r>
    </w:p>
    <w:p>
      <w:pPr>
        <w:pStyle w:val="9"/>
        <w:rPr>
          <w:rFonts w:hint="eastAsia" w:ascii="宋体" w:hAnsi="宋体" w:eastAsia="宋体" w:cs="宋体"/>
          <w:sz w:val="26"/>
          <w:u w:val="none"/>
        </w:rPr>
      </w:pPr>
    </w:p>
    <w:p>
      <w:pPr>
        <w:pStyle w:val="9"/>
        <w:spacing w:before="5"/>
        <w:rPr>
          <w:rFonts w:hint="eastAsia" w:ascii="宋体" w:hAnsi="宋体" w:eastAsia="宋体" w:cs="宋体"/>
          <w:u w:val="none"/>
        </w:rPr>
      </w:pPr>
    </w:p>
    <w:p>
      <w:pPr>
        <w:spacing w:before="0"/>
        <w:ind w:left="600" w:right="0" w:firstLine="0"/>
        <w:jc w:val="left"/>
        <w:rPr>
          <w:rFonts w:hint="eastAsia" w:ascii="宋体" w:hAnsi="宋体" w:eastAsia="宋体" w:cs="宋体"/>
          <w:b/>
          <w:sz w:val="24"/>
        </w:rPr>
      </w:pPr>
      <w:r>
        <w:rPr>
          <w:rFonts w:hint="eastAsia" w:ascii="宋体" w:hAnsi="宋体" w:eastAsia="宋体" w:cs="宋体"/>
          <w:b/>
          <w:spacing w:val="-3"/>
          <w:w w:val="95"/>
          <w:sz w:val="24"/>
        </w:rPr>
        <w:t>格式</w:t>
      </w:r>
      <w:r>
        <w:rPr>
          <w:rFonts w:hint="eastAsia" w:ascii="宋体" w:hAnsi="宋体" w:eastAsia="宋体" w:cs="宋体"/>
          <w:b/>
          <w:w w:val="95"/>
          <w:sz w:val="24"/>
        </w:rPr>
        <w:t>2：无重大违法记录声明格</w:t>
      </w:r>
      <w:r>
        <w:rPr>
          <w:rFonts w:hint="eastAsia" w:ascii="宋体" w:hAnsi="宋体" w:eastAsia="宋体" w:cs="宋体"/>
          <w:b/>
          <w:spacing w:val="-10"/>
          <w:w w:val="95"/>
          <w:sz w:val="24"/>
        </w:rPr>
        <w:t>式</w:t>
      </w:r>
    </w:p>
    <w:p>
      <w:pPr>
        <w:pStyle w:val="9"/>
        <w:spacing w:before="1"/>
        <w:rPr>
          <w:rFonts w:hint="eastAsia" w:ascii="宋体" w:hAnsi="宋体" w:eastAsia="宋体" w:cs="宋体"/>
          <w:b/>
          <w:sz w:val="31"/>
          <w:u w:val="none"/>
        </w:rPr>
      </w:pPr>
    </w:p>
    <w:p>
      <w:pPr>
        <w:pStyle w:val="5"/>
        <w:ind w:right="878"/>
        <w:jc w:val="center"/>
        <w:rPr>
          <w:rFonts w:hint="eastAsia" w:ascii="宋体" w:hAnsi="宋体" w:eastAsia="宋体" w:cs="宋体"/>
          <w:sz w:val="49"/>
          <w:u w:val="none"/>
        </w:rPr>
      </w:pPr>
      <w:r>
        <w:rPr>
          <w:rFonts w:hint="eastAsia" w:ascii="宋体" w:hAnsi="宋体" w:eastAsia="宋体" w:cs="宋体"/>
          <w:spacing w:val="-2"/>
        </w:rPr>
        <w:t>无重大违法记录声明</w:t>
      </w:r>
    </w:p>
    <w:p>
      <w:pPr>
        <w:spacing w:before="0"/>
        <w:ind w:left="600" w:right="0" w:firstLine="0"/>
        <w:jc w:val="left"/>
        <w:rPr>
          <w:rFonts w:hint="eastAsia" w:ascii="宋体" w:hAnsi="宋体" w:eastAsia="宋体" w:cs="宋体"/>
          <w:sz w:val="24"/>
        </w:rPr>
      </w:pPr>
      <w:r>
        <w:rPr>
          <w:rFonts w:hint="eastAsia" w:ascii="宋体" w:hAnsi="宋体" w:eastAsia="宋体" w:cs="宋体"/>
          <w:spacing w:val="-1"/>
          <w:sz w:val="24"/>
          <w:lang w:eastAsia="zh-CN"/>
        </w:rPr>
        <w:t>南京市溧水区人民政府石湫街道办事处 </w:t>
      </w:r>
      <w:r>
        <w:rPr>
          <w:rFonts w:hint="eastAsia" w:ascii="宋体" w:hAnsi="宋体" w:eastAsia="宋体" w:cs="宋体"/>
          <w:spacing w:val="-1"/>
          <w:sz w:val="24"/>
        </w:rPr>
        <w:t>：</w:t>
      </w:r>
    </w:p>
    <w:p>
      <w:pPr>
        <w:tabs>
          <w:tab w:val="left" w:pos="6500"/>
        </w:tabs>
        <w:spacing w:before="160" w:line="364" w:lineRule="auto"/>
        <w:ind w:left="600" w:right="1479" w:firstLine="479"/>
        <w:jc w:val="left"/>
        <w:rPr>
          <w:rFonts w:hint="eastAsia" w:ascii="宋体" w:hAnsi="宋体" w:eastAsia="宋体" w:cs="宋体"/>
          <w:sz w:val="24"/>
        </w:rPr>
      </w:pPr>
      <w:r>
        <w:rPr>
          <w:rFonts w:hint="eastAsia" w:ascii="宋体" w:hAnsi="宋体" w:eastAsia="宋体" w:cs="宋体"/>
          <w:spacing w:val="-4"/>
          <w:sz w:val="24"/>
        </w:rPr>
        <w:t>我单位</w:t>
      </w:r>
      <w:r>
        <w:rPr>
          <w:rFonts w:hint="eastAsia" w:ascii="宋体" w:hAnsi="宋体" w:eastAsia="宋体" w:cs="宋体"/>
          <w:sz w:val="24"/>
          <w:u w:val="single"/>
        </w:rPr>
        <w:tab/>
      </w:r>
      <w:r>
        <w:rPr>
          <w:rFonts w:hint="eastAsia" w:ascii="宋体" w:hAnsi="宋体" w:eastAsia="宋体" w:cs="宋体"/>
          <w:spacing w:val="-2"/>
          <w:sz w:val="24"/>
        </w:rPr>
        <w:t>（供应商名称）郑重声</w:t>
      </w:r>
      <w:r>
        <w:rPr>
          <w:rFonts w:hint="eastAsia" w:ascii="宋体" w:hAnsi="宋体" w:eastAsia="宋体" w:cs="宋体"/>
          <w:spacing w:val="-6"/>
          <w:sz w:val="24"/>
        </w:rPr>
        <w:t>明：</w:t>
      </w:r>
    </w:p>
    <w:p>
      <w:pPr>
        <w:tabs>
          <w:tab w:val="left" w:pos="6361"/>
        </w:tabs>
        <w:spacing w:before="2" w:line="364" w:lineRule="auto"/>
        <w:ind w:left="600" w:right="1383" w:firstLine="479"/>
        <w:jc w:val="left"/>
        <w:rPr>
          <w:rFonts w:hint="eastAsia" w:ascii="宋体" w:hAnsi="宋体" w:eastAsia="宋体" w:cs="宋体"/>
          <w:sz w:val="24"/>
        </w:rPr>
      </w:pPr>
      <w:r>
        <w:rPr>
          <w:rFonts w:hint="eastAsia" w:ascii="宋体" w:hAnsi="宋体" w:eastAsia="宋体" w:cs="宋体"/>
          <w:sz w:val="24"/>
        </w:rPr>
        <w:t>参加政府采购活动前3年内在经营活动中</w:t>
      </w:r>
      <w:r>
        <w:rPr>
          <w:rFonts w:hint="eastAsia" w:ascii="宋体" w:hAnsi="宋体" w:eastAsia="宋体" w:cs="宋体"/>
          <w:sz w:val="24"/>
          <w:u w:val="single"/>
        </w:rPr>
        <w:tab/>
      </w:r>
      <w:r>
        <w:rPr>
          <w:rFonts w:hint="eastAsia" w:ascii="宋体" w:hAnsi="宋体" w:eastAsia="宋体" w:cs="宋体"/>
          <w:spacing w:val="-2"/>
          <w:sz w:val="24"/>
        </w:rPr>
        <w:t>（在下划线上如实填写：有或没有）重大违法记录。</w:t>
      </w:r>
    </w:p>
    <w:p>
      <w:pPr>
        <w:spacing w:before="1" w:line="364" w:lineRule="auto"/>
        <w:ind w:left="600" w:right="1479" w:firstLine="479"/>
        <w:jc w:val="both"/>
        <w:rPr>
          <w:rFonts w:hint="eastAsia" w:ascii="宋体" w:hAnsi="宋体" w:eastAsia="宋体" w:cs="宋体"/>
          <w:sz w:val="24"/>
        </w:rPr>
      </w:pPr>
      <w:r>
        <w:rPr>
          <w:rFonts w:hint="eastAsia" w:ascii="宋体" w:hAnsi="宋体" w:eastAsia="宋体" w:cs="宋体"/>
          <w:spacing w:val="-4"/>
          <w:sz w:val="24"/>
        </w:rPr>
        <w:t>（说明：政府采购法第二十二条第一款第五项所称重大违法记录，是指供应商因违法经营受到刑事处罚或者责令停产停业、吊销许可证或者执照、较大数额</w:t>
      </w:r>
      <w:r>
        <w:rPr>
          <w:rFonts w:hint="eastAsia" w:ascii="宋体" w:hAnsi="宋体" w:eastAsia="宋体" w:cs="宋体"/>
          <w:spacing w:val="-2"/>
          <w:sz w:val="24"/>
        </w:rPr>
        <w:t>罚款等行政处罚。）</w:t>
      </w:r>
    </w:p>
    <w:p>
      <w:pPr>
        <w:pStyle w:val="9"/>
        <w:rPr>
          <w:rFonts w:hint="eastAsia" w:ascii="宋体" w:hAnsi="宋体" w:eastAsia="宋体" w:cs="宋体"/>
          <w:sz w:val="24"/>
          <w:u w:val="none"/>
        </w:rPr>
      </w:pPr>
    </w:p>
    <w:p>
      <w:pPr>
        <w:tabs>
          <w:tab w:val="left" w:pos="7201"/>
          <w:tab w:val="left" w:pos="7921"/>
        </w:tabs>
        <w:spacing w:before="163" w:line="302" w:lineRule="auto"/>
        <w:ind w:left="6361" w:right="2103" w:firstLine="0"/>
        <w:jc w:val="left"/>
        <w:rPr>
          <w:rFonts w:hint="eastAsia" w:ascii="宋体" w:hAnsi="宋体" w:eastAsia="宋体" w:cs="宋体"/>
          <w:sz w:val="24"/>
        </w:rPr>
      </w:pPr>
      <w:r>
        <w:rPr>
          <w:rFonts w:hint="eastAsia" w:ascii="宋体" w:hAnsi="宋体" w:eastAsia="宋体" w:cs="宋体"/>
          <w:spacing w:val="-2"/>
          <w:sz w:val="24"/>
        </w:rPr>
        <w:t>声明人：（公章）</w:t>
      </w:r>
      <w:r>
        <w:rPr>
          <w:rFonts w:hint="eastAsia" w:ascii="宋体" w:hAnsi="宋体" w:eastAsia="宋体" w:cs="宋体"/>
          <w:spacing w:val="-10"/>
          <w:sz w:val="24"/>
        </w:rPr>
        <w:t>年</w:t>
      </w:r>
      <w:r>
        <w:rPr>
          <w:rFonts w:hint="eastAsia" w:ascii="宋体" w:hAnsi="宋体" w:eastAsia="宋体" w:cs="宋体"/>
          <w:sz w:val="24"/>
        </w:rPr>
        <w:tab/>
      </w:r>
      <w:r>
        <w:rPr>
          <w:rFonts w:hint="eastAsia" w:ascii="宋体" w:hAnsi="宋体" w:eastAsia="宋体" w:cs="宋体"/>
          <w:spacing w:val="-10"/>
          <w:sz w:val="24"/>
        </w:rPr>
        <w:t>月</w:t>
      </w:r>
      <w:r>
        <w:rPr>
          <w:rFonts w:hint="eastAsia" w:ascii="宋体" w:hAnsi="宋体" w:eastAsia="宋体" w:cs="宋体"/>
          <w:sz w:val="24"/>
        </w:rPr>
        <w:tab/>
      </w:r>
      <w:r>
        <w:rPr>
          <w:rFonts w:hint="eastAsia" w:ascii="宋体" w:hAnsi="宋体" w:eastAsia="宋体" w:cs="宋体"/>
          <w:spacing w:val="-10"/>
          <w:sz w:val="24"/>
        </w:rPr>
        <w:t>日</w:t>
      </w:r>
    </w:p>
    <w:sectPr>
      <w:headerReference r:id="rId18" w:type="default"/>
      <w:pgSz w:w="11910" w:h="16840"/>
      <w:pgMar w:top="1360" w:right="320" w:bottom="280" w:left="12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1125855</wp:posOffset>
              </wp:positionV>
              <wp:extent cx="1707515" cy="177800"/>
              <wp:effectExtent l="0" t="0" r="0" b="0"/>
              <wp:wrapNone/>
              <wp:docPr id="6" name="docshape7"/>
              <wp:cNvGraphicFramePr/>
              <a:graphic xmlns:a="http://schemas.openxmlformats.org/drawingml/2006/main">
                <a:graphicData uri="http://schemas.microsoft.com/office/word/2010/wordprocessingShape">
                  <wps:wsp>
                    <wps:cNvSpPr txBox="1"/>
                    <wps:spPr>
                      <a:xfrm>
                        <a:off x="0" y="0"/>
                        <a:ext cx="1707515" cy="177800"/>
                      </a:xfrm>
                      <a:prstGeom prst="rect">
                        <a:avLst/>
                      </a:prstGeom>
                      <a:noFill/>
                      <a:ln>
                        <a:noFill/>
                      </a:ln>
                    </wps:spPr>
                    <wps:txbx>
                      <w:txbxContent>
                        <w:p/>
                      </w:txbxContent>
                    </wps:txbx>
                    <wps:bodyPr lIns="0" tIns="0" rIns="0" bIns="0" upright="1"/>
                  </wps:wsp>
                </a:graphicData>
              </a:graphic>
            </wp:anchor>
          </w:drawing>
        </mc:Choice>
        <mc:Fallback>
          <w:pict>
            <v:shape id="docshape7" o:spid="_x0000_s1026" o:spt="202" type="#_x0000_t202" style="position:absolute;left:0pt;margin-left:89pt;margin-top:88.65pt;height:14pt;width:134.45pt;mso-position-horizontal-relative:page;mso-position-vertical-relative:page;z-index:-251655168;mso-width-relative:page;mso-height-relative:page;" filled="f" stroked="f" coordsize="21600,21600" o:gfxdata="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3An32gAA&#10;AAsBAAAPAAAAAAAAAAEAIAAAACIAAABkcnMvZG93bnJldi54bWxQSwECFAAUAAAACACHTuJAoV6G&#10;0KoBAABwAwAADgAAAAAAAAABACAAAAApAQAAZHJzL2Uyb0RvYy54bWxQSwUGAAAAAAYABgBZAQAA&#10;RQUAAAAA&#10;">
              <v:fill on="f" focussize="0,0"/>
              <v:stroke on="f"/>
              <v:imagedata o:title=""/>
              <o:lock v:ext="edit" aspectratio="f"/>
              <v:textbox inset="0mm,0mm,0mm,0mm">
                <w:txbxContent>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r>
      <mc:AlternateContent>
        <mc:Choice Requires="wps">
          <w:drawing>
            <wp:anchor distT="0" distB="0" distL="114300" distR="114300" simplePos="0" relativeHeight="251661312" behindDoc="1" locked="0" layoutInCell="1" allowOverlap="1">
              <wp:simplePos x="0" y="0"/>
              <wp:positionH relativeFrom="page">
                <wp:posOffset>1207770</wp:posOffset>
              </wp:positionH>
              <wp:positionV relativeFrom="page">
                <wp:posOffset>979170</wp:posOffset>
              </wp:positionV>
              <wp:extent cx="2013585" cy="177800"/>
              <wp:effectExtent l="0" t="0" r="0" b="0"/>
              <wp:wrapNone/>
              <wp:docPr id="7" name="docshape8"/>
              <wp:cNvGraphicFramePr/>
              <a:graphic xmlns:a="http://schemas.openxmlformats.org/drawingml/2006/main">
                <a:graphicData uri="http://schemas.microsoft.com/office/word/2010/wordprocessingShape">
                  <wps:wsp>
                    <wps:cNvSpPr txBox="1"/>
                    <wps:spPr>
                      <a:xfrm>
                        <a:off x="0" y="0"/>
                        <a:ext cx="2013585" cy="177800"/>
                      </a:xfrm>
                      <a:prstGeom prst="rect">
                        <a:avLst/>
                      </a:prstGeom>
                      <a:noFill/>
                      <a:ln>
                        <a:noFill/>
                      </a:ln>
                    </wps:spPr>
                    <wps:txbx>
                      <w:txbxContent>
                        <w:p>
                          <w:pPr>
                            <w:spacing w:before="0" w:line="280" w:lineRule="exact"/>
                            <w:ind w:left="20" w:right="0" w:firstLine="0"/>
                            <w:jc w:val="left"/>
                            <w:rPr>
                              <w:b/>
                              <w:sz w:val="24"/>
                            </w:rPr>
                          </w:pPr>
                          <w:r>
                            <w:rPr>
                              <w:b/>
                              <w:w w:val="95"/>
                              <w:sz w:val="24"/>
                            </w:rPr>
                            <w:t>目录十一、项目</w:t>
                          </w:r>
                          <w:r>
                            <w:rPr>
                              <w:b/>
                              <w:spacing w:val="-2"/>
                              <w:w w:val="95"/>
                              <w:sz w:val="24"/>
                            </w:rPr>
                            <w:t>组成员一览表</w:t>
                          </w:r>
                        </w:p>
                      </w:txbxContent>
                    </wps:txbx>
                    <wps:bodyPr lIns="0" tIns="0" rIns="0" bIns="0" upright="1"/>
                  </wps:wsp>
                </a:graphicData>
              </a:graphic>
            </wp:anchor>
          </w:drawing>
        </mc:Choice>
        <mc:Fallback>
          <w:pict>
            <v:shape id="docshape8" o:spid="_x0000_s1026" o:spt="202" type="#_x0000_t202" style="position:absolute;left:0pt;margin-left:95.1pt;margin-top:77.1pt;height:14pt;width:158.55pt;mso-position-horizontal-relative:page;mso-position-vertical-relative:page;z-index:-251655168;mso-width-relative:page;mso-height-relative:page;" filled="f" stroked="f" coordsize="21600,21600" o:gfxdata="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5trptgAAAAL&#10;AQAADwAAAAAAAAABACAAAAAiAAAAZHJzL2Rvd25yZXYueG1sUEsBAhQAFAAAAAgAh07iQBoBRraq&#10;AQAAcAMAAA4AAAAAAAAAAQAgAAAAJwEAAGRycy9lMm9Eb2MueG1sUEsFBgAAAAAGAAYAWQEAAEMF&#10;AAAAAA==&#10;">
              <v:fill on="f" focussize="0,0"/>
              <v:stroke on="f"/>
              <v:imagedata o:title=""/>
              <o:lock v:ext="edit" aspectratio="f"/>
              <v:textbox inset="0mm,0mm,0mm,0mm">
                <w:txbxContent>
                  <w:p>
                    <w:pPr>
                      <w:spacing w:before="0" w:line="280" w:lineRule="exact"/>
                      <w:ind w:left="20" w:right="0" w:firstLine="0"/>
                      <w:jc w:val="left"/>
                      <w:rPr>
                        <w:b/>
                        <w:sz w:val="24"/>
                      </w:rPr>
                    </w:pPr>
                    <w:r>
                      <w:rPr>
                        <w:b/>
                        <w:w w:val="95"/>
                        <w:sz w:val="24"/>
                      </w:rPr>
                      <w:t>目录十一、项目</w:t>
                    </w:r>
                    <w:r>
                      <w:rPr>
                        <w:b/>
                        <w:spacing w:val="-2"/>
                        <w:w w:val="95"/>
                        <w:sz w:val="24"/>
                      </w:rPr>
                      <w:t>组成员一览表</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u w:val="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17" w:hanging="601"/>
        <w:jc w:val="left"/>
      </w:pPr>
      <w:rPr>
        <w:rFonts w:hint="default" w:ascii="宋体" w:hAnsi="宋体" w:eastAsia="宋体" w:cs="宋体"/>
        <w:spacing w:val="-60"/>
        <w:w w:val="100"/>
        <w:sz w:val="22"/>
        <w:szCs w:val="22"/>
        <w:lang w:val="zh-CN" w:eastAsia="zh-CN" w:bidi="zh-CN"/>
      </w:rPr>
    </w:lvl>
    <w:lvl w:ilvl="1" w:tentative="0">
      <w:start w:val="1"/>
      <w:numFmt w:val="decimal"/>
      <w:lvlText w:val="（%2）"/>
      <w:lvlJc w:val="left"/>
      <w:pPr>
        <w:ind w:left="1456" w:hanging="60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496" w:hanging="601"/>
      </w:pPr>
      <w:rPr>
        <w:rFonts w:hint="default"/>
        <w:lang w:val="zh-CN" w:eastAsia="zh-CN" w:bidi="zh-CN"/>
      </w:rPr>
    </w:lvl>
    <w:lvl w:ilvl="3" w:tentative="0">
      <w:start w:val="0"/>
      <w:numFmt w:val="bullet"/>
      <w:lvlText w:val="•"/>
      <w:lvlJc w:val="left"/>
      <w:pPr>
        <w:ind w:left="3532" w:hanging="601"/>
      </w:pPr>
      <w:rPr>
        <w:rFonts w:hint="default"/>
        <w:lang w:val="zh-CN" w:eastAsia="zh-CN" w:bidi="zh-CN"/>
      </w:rPr>
    </w:lvl>
    <w:lvl w:ilvl="4" w:tentative="0">
      <w:start w:val="0"/>
      <w:numFmt w:val="bullet"/>
      <w:lvlText w:val="•"/>
      <w:lvlJc w:val="left"/>
      <w:pPr>
        <w:ind w:left="4568" w:hanging="601"/>
      </w:pPr>
      <w:rPr>
        <w:rFonts w:hint="default"/>
        <w:lang w:val="zh-CN" w:eastAsia="zh-CN" w:bidi="zh-CN"/>
      </w:rPr>
    </w:lvl>
    <w:lvl w:ilvl="5" w:tentative="0">
      <w:start w:val="0"/>
      <w:numFmt w:val="bullet"/>
      <w:lvlText w:val="•"/>
      <w:lvlJc w:val="left"/>
      <w:pPr>
        <w:ind w:left="5605" w:hanging="601"/>
      </w:pPr>
      <w:rPr>
        <w:rFonts w:hint="default"/>
        <w:lang w:val="zh-CN" w:eastAsia="zh-CN" w:bidi="zh-CN"/>
      </w:rPr>
    </w:lvl>
    <w:lvl w:ilvl="6" w:tentative="0">
      <w:start w:val="0"/>
      <w:numFmt w:val="bullet"/>
      <w:lvlText w:val="•"/>
      <w:lvlJc w:val="left"/>
      <w:pPr>
        <w:ind w:left="6641" w:hanging="601"/>
      </w:pPr>
      <w:rPr>
        <w:rFonts w:hint="default"/>
        <w:lang w:val="zh-CN" w:eastAsia="zh-CN" w:bidi="zh-CN"/>
      </w:rPr>
    </w:lvl>
    <w:lvl w:ilvl="7" w:tentative="0">
      <w:start w:val="0"/>
      <w:numFmt w:val="bullet"/>
      <w:lvlText w:val="•"/>
      <w:lvlJc w:val="left"/>
      <w:pPr>
        <w:ind w:left="7677" w:hanging="601"/>
      </w:pPr>
      <w:rPr>
        <w:rFonts w:hint="default"/>
        <w:lang w:val="zh-CN" w:eastAsia="zh-CN" w:bidi="zh-CN"/>
      </w:rPr>
    </w:lvl>
    <w:lvl w:ilvl="8" w:tentative="0">
      <w:start w:val="0"/>
      <w:numFmt w:val="bullet"/>
      <w:lvlText w:val="•"/>
      <w:lvlJc w:val="left"/>
      <w:pPr>
        <w:ind w:left="8713" w:hanging="601"/>
      </w:pPr>
      <w:rPr>
        <w:rFonts w:hint="default"/>
        <w:lang w:val="zh-CN" w:eastAsia="zh-CN" w:bidi="zh-CN"/>
      </w:rPr>
    </w:lvl>
  </w:abstractNum>
  <w:abstractNum w:abstractNumId="1">
    <w:nsid w:val="88577A2D"/>
    <w:multiLevelType w:val="singleLevel"/>
    <w:tmpl w:val="88577A2D"/>
    <w:lvl w:ilvl="0" w:tentative="0">
      <w:start w:val="1"/>
      <w:numFmt w:val="decimal"/>
      <w:suff w:val="nothing"/>
      <w:lvlText w:val="（%1）"/>
      <w:lvlJc w:val="left"/>
    </w:lvl>
  </w:abstractNum>
  <w:abstractNum w:abstractNumId="2">
    <w:nsid w:val="9239341B"/>
    <w:multiLevelType w:val="multilevel"/>
    <w:tmpl w:val="9239341B"/>
    <w:lvl w:ilvl="0" w:tentative="0">
      <w:start w:val="1"/>
      <w:numFmt w:val="decimal"/>
      <w:lvlText w:val="%1."/>
      <w:lvlJc w:val="left"/>
      <w:pPr>
        <w:ind w:left="458" w:hanging="242"/>
        <w:jc w:val="left"/>
      </w:pPr>
      <w:rPr>
        <w:rFonts w:hint="default" w:ascii="Times New Roman" w:hAnsi="Times New Roman" w:eastAsia="Times New Roman" w:cs="Times New Roman"/>
        <w:b/>
        <w:bCs/>
        <w:i w:val="0"/>
        <w:iCs w:val="0"/>
        <w:spacing w:val="-1"/>
        <w:w w:val="99"/>
        <w:sz w:val="30"/>
        <w:szCs w:val="30"/>
        <w:lang w:val="en-US" w:eastAsia="zh-CN" w:bidi="ar-SA"/>
      </w:rPr>
    </w:lvl>
    <w:lvl w:ilvl="1" w:tentative="0">
      <w:start w:val="1"/>
      <w:numFmt w:val="decimal"/>
      <w:lvlText w:val="%1.%2"/>
      <w:lvlJc w:val="left"/>
      <w:pPr>
        <w:ind w:left="1176" w:hanging="480"/>
        <w:jc w:val="left"/>
      </w:pPr>
      <w:rPr>
        <w:rFonts w:hint="default" w:ascii="宋体" w:hAnsi="宋体" w:eastAsia="宋体" w:cs="宋体"/>
        <w:b w:val="0"/>
        <w:bCs w:val="0"/>
        <w:i w:val="0"/>
        <w:iCs w:val="0"/>
        <w:w w:val="100"/>
        <w:sz w:val="24"/>
        <w:szCs w:val="24"/>
        <w:lang w:val="en-US" w:eastAsia="zh-CN" w:bidi="ar-SA"/>
      </w:rPr>
    </w:lvl>
    <w:lvl w:ilvl="2" w:tentative="0">
      <w:start w:val="0"/>
      <w:numFmt w:val="bullet"/>
      <w:lvlText w:val="•"/>
      <w:lvlJc w:val="left"/>
      <w:pPr>
        <w:ind w:left="700" w:hanging="480"/>
      </w:pPr>
      <w:rPr>
        <w:rFonts w:hint="default"/>
        <w:lang w:val="en-US" w:eastAsia="zh-CN" w:bidi="ar-SA"/>
      </w:rPr>
    </w:lvl>
    <w:lvl w:ilvl="3" w:tentative="0">
      <w:start w:val="0"/>
      <w:numFmt w:val="bullet"/>
      <w:lvlText w:val="•"/>
      <w:lvlJc w:val="left"/>
      <w:pPr>
        <w:ind w:left="1180" w:hanging="480"/>
      </w:pPr>
      <w:rPr>
        <w:rFonts w:hint="default"/>
        <w:lang w:val="en-US" w:eastAsia="zh-CN" w:bidi="ar-SA"/>
      </w:rPr>
    </w:lvl>
    <w:lvl w:ilvl="4" w:tentative="0">
      <w:start w:val="0"/>
      <w:numFmt w:val="bullet"/>
      <w:lvlText w:val="•"/>
      <w:lvlJc w:val="left"/>
      <w:pPr>
        <w:ind w:left="2495" w:hanging="480"/>
      </w:pPr>
      <w:rPr>
        <w:rFonts w:hint="default"/>
        <w:lang w:val="en-US" w:eastAsia="zh-CN" w:bidi="ar-SA"/>
      </w:rPr>
    </w:lvl>
    <w:lvl w:ilvl="5" w:tentative="0">
      <w:start w:val="0"/>
      <w:numFmt w:val="bullet"/>
      <w:lvlText w:val="•"/>
      <w:lvlJc w:val="left"/>
      <w:pPr>
        <w:ind w:left="3810" w:hanging="480"/>
      </w:pPr>
      <w:rPr>
        <w:rFonts w:hint="default"/>
        <w:lang w:val="en-US" w:eastAsia="zh-CN" w:bidi="ar-SA"/>
      </w:rPr>
    </w:lvl>
    <w:lvl w:ilvl="6" w:tentative="0">
      <w:start w:val="0"/>
      <w:numFmt w:val="bullet"/>
      <w:lvlText w:val="•"/>
      <w:lvlJc w:val="left"/>
      <w:pPr>
        <w:ind w:left="5125" w:hanging="480"/>
      </w:pPr>
      <w:rPr>
        <w:rFonts w:hint="default"/>
        <w:lang w:val="en-US" w:eastAsia="zh-CN" w:bidi="ar-SA"/>
      </w:rPr>
    </w:lvl>
    <w:lvl w:ilvl="7" w:tentative="0">
      <w:start w:val="0"/>
      <w:numFmt w:val="bullet"/>
      <w:lvlText w:val="•"/>
      <w:lvlJc w:val="left"/>
      <w:pPr>
        <w:ind w:left="6440" w:hanging="480"/>
      </w:pPr>
      <w:rPr>
        <w:rFonts w:hint="default"/>
        <w:lang w:val="en-US" w:eastAsia="zh-CN" w:bidi="ar-SA"/>
      </w:rPr>
    </w:lvl>
    <w:lvl w:ilvl="8" w:tentative="0">
      <w:start w:val="0"/>
      <w:numFmt w:val="bullet"/>
      <w:lvlText w:val="•"/>
      <w:lvlJc w:val="left"/>
      <w:pPr>
        <w:ind w:left="7756" w:hanging="480"/>
      </w:pPr>
      <w:rPr>
        <w:rFonts w:hint="default"/>
        <w:lang w:val="en-US" w:eastAsia="zh-CN" w:bidi="ar-SA"/>
      </w:rPr>
    </w:lvl>
  </w:abstractNum>
  <w:abstractNum w:abstractNumId="3">
    <w:nsid w:val="9C8AC8EF"/>
    <w:multiLevelType w:val="multilevel"/>
    <w:tmpl w:val="9C8AC8EF"/>
    <w:lvl w:ilvl="0" w:tentative="0">
      <w:start w:val="1"/>
      <w:numFmt w:val="decimal"/>
      <w:lvlText w:val="（%1）"/>
      <w:lvlJc w:val="left"/>
      <w:pPr>
        <w:ind w:left="1416" w:hanging="720"/>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2316" w:hanging="720"/>
      </w:pPr>
      <w:rPr>
        <w:rFonts w:hint="default"/>
        <w:lang w:val="en-US" w:eastAsia="zh-CN" w:bidi="ar-SA"/>
      </w:rPr>
    </w:lvl>
    <w:lvl w:ilvl="2" w:tentative="0">
      <w:start w:val="0"/>
      <w:numFmt w:val="bullet"/>
      <w:lvlText w:val="•"/>
      <w:lvlJc w:val="left"/>
      <w:pPr>
        <w:ind w:left="3213" w:hanging="720"/>
      </w:pPr>
      <w:rPr>
        <w:rFonts w:hint="default"/>
        <w:lang w:val="en-US" w:eastAsia="zh-CN" w:bidi="ar-SA"/>
      </w:rPr>
    </w:lvl>
    <w:lvl w:ilvl="3" w:tentative="0">
      <w:start w:val="0"/>
      <w:numFmt w:val="bullet"/>
      <w:lvlText w:val="•"/>
      <w:lvlJc w:val="left"/>
      <w:pPr>
        <w:ind w:left="4109" w:hanging="720"/>
      </w:pPr>
      <w:rPr>
        <w:rFonts w:hint="default"/>
        <w:lang w:val="en-US" w:eastAsia="zh-CN" w:bidi="ar-SA"/>
      </w:rPr>
    </w:lvl>
    <w:lvl w:ilvl="4" w:tentative="0">
      <w:start w:val="0"/>
      <w:numFmt w:val="bullet"/>
      <w:lvlText w:val="•"/>
      <w:lvlJc w:val="left"/>
      <w:pPr>
        <w:ind w:left="5006" w:hanging="720"/>
      </w:pPr>
      <w:rPr>
        <w:rFonts w:hint="default"/>
        <w:lang w:val="en-US" w:eastAsia="zh-CN" w:bidi="ar-SA"/>
      </w:rPr>
    </w:lvl>
    <w:lvl w:ilvl="5" w:tentative="0">
      <w:start w:val="0"/>
      <w:numFmt w:val="bullet"/>
      <w:lvlText w:val="•"/>
      <w:lvlJc w:val="left"/>
      <w:pPr>
        <w:ind w:left="5903" w:hanging="720"/>
      </w:pPr>
      <w:rPr>
        <w:rFonts w:hint="default"/>
        <w:lang w:val="en-US" w:eastAsia="zh-CN" w:bidi="ar-SA"/>
      </w:rPr>
    </w:lvl>
    <w:lvl w:ilvl="6" w:tentative="0">
      <w:start w:val="0"/>
      <w:numFmt w:val="bullet"/>
      <w:lvlText w:val="•"/>
      <w:lvlJc w:val="left"/>
      <w:pPr>
        <w:ind w:left="6799" w:hanging="720"/>
      </w:pPr>
      <w:rPr>
        <w:rFonts w:hint="default"/>
        <w:lang w:val="en-US" w:eastAsia="zh-CN" w:bidi="ar-SA"/>
      </w:rPr>
    </w:lvl>
    <w:lvl w:ilvl="7" w:tentative="0">
      <w:start w:val="0"/>
      <w:numFmt w:val="bullet"/>
      <w:lvlText w:val="•"/>
      <w:lvlJc w:val="left"/>
      <w:pPr>
        <w:ind w:left="7696" w:hanging="720"/>
      </w:pPr>
      <w:rPr>
        <w:rFonts w:hint="default"/>
        <w:lang w:val="en-US" w:eastAsia="zh-CN" w:bidi="ar-SA"/>
      </w:rPr>
    </w:lvl>
    <w:lvl w:ilvl="8" w:tentative="0">
      <w:start w:val="0"/>
      <w:numFmt w:val="bullet"/>
      <w:lvlText w:val="•"/>
      <w:lvlJc w:val="left"/>
      <w:pPr>
        <w:ind w:left="8593" w:hanging="720"/>
      </w:pPr>
      <w:rPr>
        <w:rFonts w:hint="default"/>
        <w:lang w:val="en-US" w:eastAsia="zh-CN" w:bidi="ar-SA"/>
      </w:rPr>
    </w:lvl>
  </w:abstractNum>
  <w:abstractNum w:abstractNumId="4">
    <w:nsid w:val="B0F1ACD9"/>
    <w:multiLevelType w:val="multilevel"/>
    <w:tmpl w:val="B0F1ACD9"/>
    <w:lvl w:ilvl="0" w:tentative="0">
      <w:start w:val="1"/>
      <w:numFmt w:val="decimal"/>
      <w:lvlText w:val="（%1）"/>
      <w:lvlJc w:val="left"/>
      <w:pPr>
        <w:ind w:left="1297"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08" w:hanging="601"/>
      </w:pPr>
      <w:rPr>
        <w:rFonts w:hint="default"/>
        <w:lang w:val="en-US" w:eastAsia="zh-CN" w:bidi="ar-SA"/>
      </w:rPr>
    </w:lvl>
    <w:lvl w:ilvl="2" w:tentative="0">
      <w:start w:val="0"/>
      <w:numFmt w:val="bullet"/>
      <w:lvlText w:val="•"/>
      <w:lvlJc w:val="left"/>
      <w:pPr>
        <w:ind w:left="3117" w:hanging="601"/>
      </w:pPr>
      <w:rPr>
        <w:rFonts w:hint="default"/>
        <w:lang w:val="en-US" w:eastAsia="zh-CN" w:bidi="ar-SA"/>
      </w:rPr>
    </w:lvl>
    <w:lvl w:ilvl="3" w:tentative="0">
      <w:start w:val="0"/>
      <w:numFmt w:val="bullet"/>
      <w:lvlText w:val="•"/>
      <w:lvlJc w:val="left"/>
      <w:pPr>
        <w:ind w:left="4025" w:hanging="601"/>
      </w:pPr>
      <w:rPr>
        <w:rFonts w:hint="default"/>
        <w:lang w:val="en-US" w:eastAsia="zh-CN" w:bidi="ar-SA"/>
      </w:rPr>
    </w:lvl>
    <w:lvl w:ilvl="4" w:tentative="0">
      <w:start w:val="0"/>
      <w:numFmt w:val="bullet"/>
      <w:lvlText w:val="•"/>
      <w:lvlJc w:val="left"/>
      <w:pPr>
        <w:ind w:left="4934" w:hanging="601"/>
      </w:pPr>
      <w:rPr>
        <w:rFonts w:hint="default"/>
        <w:lang w:val="en-US" w:eastAsia="zh-CN" w:bidi="ar-SA"/>
      </w:rPr>
    </w:lvl>
    <w:lvl w:ilvl="5" w:tentative="0">
      <w:start w:val="0"/>
      <w:numFmt w:val="bullet"/>
      <w:lvlText w:val="•"/>
      <w:lvlJc w:val="left"/>
      <w:pPr>
        <w:ind w:left="5843" w:hanging="601"/>
      </w:pPr>
      <w:rPr>
        <w:rFonts w:hint="default"/>
        <w:lang w:val="en-US" w:eastAsia="zh-CN" w:bidi="ar-SA"/>
      </w:rPr>
    </w:lvl>
    <w:lvl w:ilvl="6" w:tentative="0">
      <w:start w:val="0"/>
      <w:numFmt w:val="bullet"/>
      <w:lvlText w:val="•"/>
      <w:lvlJc w:val="left"/>
      <w:pPr>
        <w:ind w:left="6751" w:hanging="601"/>
      </w:pPr>
      <w:rPr>
        <w:rFonts w:hint="default"/>
        <w:lang w:val="en-US" w:eastAsia="zh-CN" w:bidi="ar-SA"/>
      </w:rPr>
    </w:lvl>
    <w:lvl w:ilvl="7" w:tentative="0">
      <w:start w:val="0"/>
      <w:numFmt w:val="bullet"/>
      <w:lvlText w:val="•"/>
      <w:lvlJc w:val="left"/>
      <w:pPr>
        <w:ind w:left="7660" w:hanging="601"/>
      </w:pPr>
      <w:rPr>
        <w:rFonts w:hint="default"/>
        <w:lang w:val="en-US" w:eastAsia="zh-CN" w:bidi="ar-SA"/>
      </w:rPr>
    </w:lvl>
    <w:lvl w:ilvl="8" w:tentative="0">
      <w:start w:val="0"/>
      <w:numFmt w:val="bullet"/>
      <w:lvlText w:val="•"/>
      <w:lvlJc w:val="left"/>
      <w:pPr>
        <w:ind w:left="8569" w:hanging="601"/>
      </w:pPr>
      <w:rPr>
        <w:rFonts w:hint="default"/>
        <w:lang w:val="en-US" w:eastAsia="zh-CN" w:bidi="ar-SA"/>
      </w:rPr>
    </w:lvl>
  </w:abstractNum>
  <w:abstractNum w:abstractNumId="5">
    <w:nsid w:val="B5E306ED"/>
    <w:multiLevelType w:val="multilevel"/>
    <w:tmpl w:val="B5E306ED"/>
    <w:lvl w:ilvl="0" w:tentative="0">
      <w:start w:val="1"/>
      <w:numFmt w:val="decimal"/>
      <w:lvlText w:val="（%1）"/>
      <w:lvlJc w:val="left"/>
      <w:pPr>
        <w:ind w:left="216" w:hanging="601"/>
        <w:jc w:val="left"/>
      </w:pPr>
      <w:rPr>
        <w:rFonts w:hint="default" w:ascii="宋体" w:hAnsi="宋体" w:eastAsia="宋体" w:cs="宋体"/>
        <w:b w:val="0"/>
        <w:bCs w:val="0"/>
        <w:i w:val="0"/>
        <w:iCs w:val="0"/>
        <w:spacing w:val="-17"/>
        <w:w w:val="100"/>
        <w:sz w:val="22"/>
        <w:szCs w:val="22"/>
        <w:lang w:val="en-US" w:eastAsia="zh-CN" w:bidi="ar-SA"/>
      </w:rPr>
    </w:lvl>
    <w:lvl w:ilvl="1" w:tentative="0">
      <w:start w:val="0"/>
      <w:numFmt w:val="bullet"/>
      <w:lvlText w:val="•"/>
      <w:lvlJc w:val="left"/>
      <w:pPr>
        <w:ind w:left="1236" w:hanging="601"/>
      </w:pPr>
      <w:rPr>
        <w:rFonts w:hint="default"/>
        <w:lang w:val="en-US" w:eastAsia="zh-CN" w:bidi="ar-SA"/>
      </w:rPr>
    </w:lvl>
    <w:lvl w:ilvl="2" w:tentative="0">
      <w:start w:val="0"/>
      <w:numFmt w:val="bullet"/>
      <w:lvlText w:val="•"/>
      <w:lvlJc w:val="left"/>
      <w:pPr>
        <w:ind w:left="2253" w:hanging="601"/>
      </w:pPr>
      <w:rPr>
        <w:rFonts w:hint="default"/>
        <w:lang w:val="en-US" w:eastAsia="zh-CN" w:bidi="ar-SA"/>
      </w:rPr>
    </w:lvl>
    <w:lvl w:ilvl="3" w:tentative="0">
      <w:start w:val="0"/>
      <w:numFmt w:val="bullet"/>
      <w:lvlText w:val="•"/>
      <w:lvlJc w:val="left"/>
      <w:pPr>
        <w:ind w:left="3269" w:hanging="601"/>
      </w:pPr>
      <w:rPr>
        <w:rFonts w:hint="default"/>
        <w:lang w:val="en-US" w:eastAsia="zh-CN" w:bidi="ar-SA"/>
      </w:rPr>
    </w:lvl>
    <w:lvl w:ilvl="4" w:tentative="0">
      <w:start w:val="0"/>
      <w:numFmt w:val="bullet"/>
      <w:lvlText w:val="•"/>
      <w:lvlJc w:val="left"/>
      <w:pPr>
        <w:ind w:left="4286" w:hanging="601"/>
      </w:pPr>
      <w:rPr>
        <w:rFonts w:hint="default"/>
        <w:lang w:val="en-US" w:eastAsia="zh-CN" w:bidi="ar-SA"/>
      </w:rPr>
    </w:lvl>
    <w:lvl w:ilvl="5" w:tentative="0">
      <w:start w:val="0"/>
      <w:numFmt w:val="bullet"/>
      <w:lvlText w:val="•"/>
      <w:lvlJc w:val="left"/>
      <w:pPr>
        <w:ind w:left="5303" w:hanging="601"/>
      </w:pPr>
      <w:rPr>
        <w:rFonts w:hint="default"/>
        <w:lang w:val="en-US" w:eastAsia="zh-CN" w:bidi="ar-SA"/>
      </w:rPr>
    </w:lvl>
    <w:lvl w:ilvl="6" w:tentative="0">
      <w:start w:val="0"/>
      <w:numFmt w:val="bullet"/>
      <w:lvlText w:val="•"/>
      <w:lvlJc w:val="left"/>
      <w:pPr>
        <w:ind w:left="6319" w:hanging="601"/>
      </w:pPr>
      <w:rPr>
        <w:rFonts w:hint="default"/>
        <w:lang w:val="en-US" w:eastAsia="zh-CN" w:bidi="ar-SA"/>
      </w:rPr>
    </w:lvl>
    <w:lvl w:ilvl="7" w:tentative="0">
      <w:start w:val="0"/>
      <w:numFmt w:val="bullet"/>
      <w:lvlText w:val="•"/>
      <w:lvlJc w:val="left"/>
      <w:pPr>
        <w:ind w:left="7336" w:hanging="601"/>
      </w:pPr>
      <w:rPr>
        <w:rFonts w:hint="default"/>
        <w:lang w:val="en-US" w:eastAsia="zh-CN" w:bidi="ar-SA"/>
      </w:rPr>
    </w:lvl>
    <w:lvl w:ilvl="8" w:tentative="0">
      <w:start w:val="0"/>
      <w:numFmt w:val="bullet"/>
      <w:lvlText w:val="•"/>
      <w:lvlJc w:val="left"/>
      <w:pPr>
        <w:ind w:left="8353" w:hanging="601"/>
      </w:pPr>
      <w:rPr>
        <w:rFonts w:hint="default"/>
        <w:lang w:val="en-US" w:eastAsia="zh-CN" w:bidi="ar-SA"/>
      </w:rPr>
    </w:lvl>
  </w:abstractNum>
  <w:abstractNum w:abstractNumId="6">
    <w:nsid w:val="B7D2F1F1"/>
    <w:multiLevelType w:val="singleLevel"/>
    <w:tmpl w:val="B7D2F1F1"/>
    <w:lvl w:ilvl="0" w:tentative="0">
      <w:start w:val="1"/>
      <w:numFmt w:val="decimal"/>
      <w:suff w:val="nothing"/>
      <w:lvlText w:val="%1、"/>
      <w:lvlJc w:val="left"/>
    </w:lvl>
  </w:abstractNum>
  <w:abstractNum w:abstractNumId="7">
    <w:nsid w:val="BCECA0B4"/>
    <w:multiLevelType w:val="multilevel"/>
    <w:tmpl w:val="BCECA0B4"/>
    <w:lvl w:ilvl="0" w:tentative="0">
      <w:start w:val="1"/>
      <w:numFmt w:val="decimal"/>
      <w:lvlText w:val="（%1）"/>
      <w:lvlJc w:val="left"/>
      <w:pPr>
        <w:ind w:left="94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1" w:hanging="601"/>
      </w:pPr>
      <w:rPr>
        <w:rFonts w:hint="default"/>
        <w:lang w:val="zh-CN" w:eastAsia="zh-CN" w:bidi="zh-CN"/>
      </w:rPr>
    </w:lvl>
    <w:lvl w:ilvl="2" w:tentative="0">
      <w:start w:val="0"/>
      <w:numFmt w:val="bullet"/>
      <w:lvlText w:val="•"/>
      <w:lvlJc w:val="left"/>
      <w:pPr>
        <w:ind w:left="2962" w:hanging="601"/>
      </w:pPr>
      <w:rPr>
        <w:rFonts w:hint="default"/>
        <w:lang w:val="zh-CN" w:eastAsia="zh-CN" w:bidi="zh-CN"/>
      </w:rPr>
    </w:lvl>
    <w:lvl w:ilvl="3" w:tentative="0">
      <w:start w:val="0"/>
      <w:numFmt w:val="bullet"/>
      <w:lvlText w:val="•"/>
      <w:lvlJc w:val="left"/>
      <w:pPr>
        <w:ind w:left="3973" w:hanging="601"/>
      </w:pPr>
      <w:rPr>
        <w:rFonts w:hint="default"/>
        <w:lang w:val="zh-CN" w:eastAsia="zh-CN" w:bidi="zh-CN"/>
      </w:rPr>
    </w:lvl>
    <w:lvl w:ilvl="4" w:tentative="0">
      <w:start w:val="0"/>
      <w:numFmt w:val="bullet"/>
      <w:lvlText w:val="•"/>
      <w:lvlJc w:val="left"/>
      <w:pPr>
        <w:ind w:left="4984" w:hanging="601"/>
      </w:pPr>
      <w:rPr>
        <w:rFonts w:hint="default"/>
        <w:lang w:val="zh-CN" w:eastAsia="zh-CN" w:bidi="zh-CN"/>
      </w:rPr>
    </w:lvl>
    <w:lvl w:ilvl="5" w:tentative="0">
      <w:start w:val="0"/>
      <w:numFmt w:val="bullet"/>
      <w:lvlText w:val="•"/>
      <w:lvlJc w:val="left"/>
      <w:pPr>
        <w:ind w:left="5995" w:hanging="601"/>
      </w:pPr>
      <w:rPr>
        <w:rFonts w:hint="default"/>
        <w:lang w:val="zh-CN" w:eastAsia="zh-CN" w:bidi="zh-CN"/>
      </w:rPr>
    </w:lvl>
    <w:lvl w:ilvl="6" w:tentative="0">
      <w:start w:val="0"/>
      <w:numFmt w:val="bullet"/>
      <w:lvlText w:val="•"/>
      <w:lvlJc w:val="left"/>
      <w:pPr>
        <w:ind w:left="7006" w:hanging="601"/>
      </w:pPr>
      <w:rPr>
        <w:rFonts w:hint="default"/>
        <w:lang w:val="zh-CN" w:eastAsia="zh-CN" w:bidi="zh-CN"/>
      </w:rPr>
    </w:lvl>
    <w:lvl w:ilvl="7" w:tentative="0">
      <w:start w:val="0"/>
      <w:numFmt w:val="bullet"/>
      <w:lvlText w:val="•"/>
      <w:lvlJc w:val="left"/>
      <w:pPr>
        <w:ind w:left="8017" w:hanging="601"/>
      </w:pPr>
      <w:rPr>
        <w:rFonts w:hint="default"/>
        <w:lang w:val="zh-CN" w:eastAsia="zh-CN" w:bidi="zh-CN"/>
      </w:rPr>
    </w:lvl>
    <w:lvl w:ilvl="8" w:tentative="0">
      <w:start w:val="0"/>
      <w:numFmt w:val="bullet"/>
      <w:lvlText w:val="•"/>
      <w:lvlJc w:val="left"/>
      <w:pPr>
        <w:ind w:left="9028" w:hanging="601"/>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216" w:hanging="601"/>
        <w:jc w:val="left"/>
      </w:pPr>
      <w:rPr>
        <w:rFonts w:hint="default" w:ascii="宋体" w:hAnsi="宋体" w:eastAsia="宋体" w:cs="宋体"/>
        <w:b w:val="0"/>
        <w:bCs w:val="0"/>
        <w:i w:val="0"/>
        <w:iCs w:val="0"/>
        <w:spacing w:val="-3"/>
        <w:w w:val="100"/>
        <w:sz w:val="22"/>
        <w:szCs w:val="22"/>
        <w:lang w:val="en-US" w:eastAsia="zh-CN" w:bidi="ar-SA"/>
      </w:rPr>
    </w:lvl>
    <w:lvl w:ilvl="1" w:tentative="0">
      <w:start w:val="0"/>
      <w:numFmt w:val="bullet"/>
      <w:lvlText w:val="•"/>
      <w:lvlJc w:val="left"/>
      <w:pPr>
        <w:ind w:left="1236" w:hanging="601"/>
      </w:pPr>
      <w:rPr>
        <w:rFonts w:hint="default"/>
        <w:lang w:val="en-US" w:eastAsia="zh-CN" w:bidi="ar-SA"/>
      </w:rPr>
    </w:lvl>
    <w:lvl w:ilvl="2" w:tentative="0">
      <w:start w:val="0"/>
      <w:numFmt w:val="bullet"/>
      <w:lvlText w:val="•"/>
      <w:lvlJc w:val="left"/>
      <w:pPr>
        <w:ind w:left="2253" w:hanging="601"/>
      </w:pPr>
      <w:rPr>
        <w:rFonts w:hint="default"/>
        <w:lang w:val="en-US" w:eastAsia="zh-CN" w:bidi="ar-SA"/>
      </w:rPr>
    </w:lvl>
    <w:lvl w:ilvl="3" w:tentative="0">
      <w:start w:val="0"/>
      <w:numFmt w:val="bullet"/>
      <w:lvlText w:val="•"/>
      <w:lvlJc w:val="left"/>
      <w:pPr>
        <w:ind w:left="3269" w:hanging="601"/>
      </w:pPr>
      <w:rPr>
        <w:rFonts w:hint="default"/>
        <w:lang w:val="en-US" w:eastAsia="zh-CN" w:bidi="ar-SA"/>
      </w:rPr>
    </w:lvl>
    <w:lvl w:ilvl="4" w:tentative="0">
      <w:start w:val="0"/>
      <w:numFmt w:val="bullet"/>
      <w:lvlText w:val="•"/>
      <w:lvlJc w:val="left"/>
      <w:pPr>
        <w:ind w:left="4286" w:hanging="601"/>
      </w:pPr>
      <w:rPr>
        <w:rFonts w:hint="default"/>
        <w:lang w:val="en-US" w:eastAsia="zh-CN" w:bidi="ar-SA"/>
      </w:rPr>
    </w:lvl>
    <w:lvl w:ilvl="5" w:tentative="0">
      <w:start w:val="0"/>
      <w:numFmt w:val="bullet"/>
      <w:lvlText w:val="•"/>
      <w:lvlJc w:val="left"/>
      <w:pPr>
        <w:ind w:left="5303" w:hanging="601"/>
      </w:pPr>
      <w:rPr>
        <w:rFonts w:hint="default"/>
        <w:lang w:val="en-US" w:eastAsia="zh-CN" w:bidi="ar-SA"/>
      </w:rPr>
    </w:lvl>
    <w:lvl w:ilvl="6" w:tentative="0">
      <w:start w:val="0"/>
      <w:numFmt w:val="bullet"/>
      <w:lvlText w:val="•"/>
      <w:lvlJc w:val="left"/>
      <w:pPr>
        <w:ind w:left="6319" w:hanging="601"/>
      </w:pPr>
      <w:rPr>
        <w:rFonts w:hint="default"/>
        <w:lang w:val="en-US" w:eastAsia="zh-CN" w:bidi="ar-SA"/>
      </w:rPr>
    </w:lvl>
    <w:lvl w:ilvl="7" w:tentative="0">
      <w:start w:val="0"/>
      <w:numFmt w:val="bullet"/>
      <w:lvlText w:val="•"/>
      <w:lvlJc w:val="left"/>
      <w:pPr>
        <w:ind w:left="7336" w:hanging="601"/>
      </w:pPr>
      <w:rPr>
        <w:rFonts w:hint="default"/>
        <w:lang w:val="en-US" w:eastAsia="zh-CN" w:bidi="ar-SA"/>
      </w:rPr>
    </w:lvl>
    <w:lvl w:ilvl="8" w:tentative="0">
      <w:start w:val="0"/>
      <w:numFmt w:val="bullet"/>
      <w:lvlText w:val="•"/>
      <w:lvlJc w:val="left"/>
      <w:pPr>
        <w:ind w:left="8353" w:hanging="601"/>
      </w:pPr>
      <w:rPr>
        <w:rFonts w:hint="default"/>
        <w:lang w:val="en-US" w:eastAsia="zh-CN" w:bidi="ar-SA"/>
      </w:rPr>
    </w:lvl>
  </w:abstractNum>
  <w:abstractNum w:abstractNumId="9">
    <w:nsid w:val="C0283A65"/>
    <w:multiLevelType w:val="multilevel"/>
    <w:tmpl w:val="C0283A65"/>
    <w:lvl w:ilvl="0" w:tentative="0">
      <w:start w:val="1"/>
      <w:numFmt w:val="decimal"/>
      <w:lvlText w:val="%1"/>
      <w:lvlJc w:val="left"/>
      <w:pPr>
        <w:ind w:left="340" w:hanging="240"/>
        <w:jc w:val="right"/>
      </w:pPr>
      <w:rPr>
        <w:rFonts w:hint="default" w:ascii="宋体" w:hAnsi="宋体" w:eastAsia="宋体" w:cs="宋体"/>
        <w:w w:val="100"/>
        <w:sz w:val="24"/>
        <w:szCs w:val="24"/>
        <w:lang w:val="zh-CN" w:eastAsia="zh-CN" w:bidi="zh-CN"/>
      </w:rPr>
    </w:lvl>
    <w:lvl w:ilvl="1" w:tentative="0">
      <w:start w:val="0"/>
      <w:numFmt w:val="bullet"/>
      <w:lvlText w:val="•"/>
      <w:lvlJc w:val="left"/>
      <w:pPr>
        <w:ind w:left="7980" w:hanging="240"/>
      </w:pPr>
      <w:rPr>
        <w:rFonts w:hint="default"/>
        <w:lang w:val="zh-CN" w:eastAsia="zh-CN" w:bidi="zh-CN"/>
      </w:rPr>
    </w:lvl>
    <w:lvl w:ilvl="2" w:tentative="0">
      <w:start w:val="0"/>
      <w:numFmt w:val="bullet"/>
      <w:lvlText w:val="•"/>
      <w:lvlJc w:val="left"/>
      <w:pPr>
        <w:ind w:left="8321" w:hanging="240"/>
      </w:pPr>
      <w:rPr>
        <w:rFonts w:hint="default"/>
        <w:lang w:val="zh-CN" w:eastAsia="zh-CN" w:bidi="zh-CN"/>
      </w:rPr>
    </w:lvl>
    <w:lvl w:ilvl="3" w:tentative="0">
      <w:start w:val="0"/>
      <w:numFmt w:val="bullet"/>
      <w:lvlText w:val="•"/>
      <w:lvlJc w:val="left"/>
      <w:pPr>
        <w:ind w:left="8662" w:hanging="240"/>
      </w:pPr>
      <w:rPr>
        <w:rFonts w:hint="default"/>
        <w:lang w:val="zh-CN" w:eastAsia="zh-CN" w:bidi="zh-CN"/>
      </w:rPr>
    </w:lvl>
    <w:lvl w:ilvl="4" w:tentative="0">
      <w:start w:val="0"/>
      <w:numFmt w:val="bullet"/>
      <w:lvlText w:val="•"/>
      <w:lvlJc w:val="left"/>
      <w:pPr>
        <w:ind w:left="9003" w:hanging="240"/>
      </w:pPr>
      <w:rPr>
        <w:rFonts w:hint="default"/>
        <w:lang w:val="zh-CN" w:eastAsia="zh-CN" w:bidi="zh-CN"/>
      </w:rPr>
    </w:lvl>
    <w:lvl w:ilvl="5" w:tentative="0">
      <w:start w:val="0"/>
      <w:numFmt w:val="bullet"/>
      <w:lvlText w:val="•"/>
      <w:lvlJc w:val="left"/>
      <w:pPr>
        <w:ind w:left="9344" w:hanging="240"/>
      </w:pPr>
      <w:rPr>
        <w:rFonts w:hint="default"/>
        <w:lang w:val="zh-CN" w:eastAsia="zh-CN" w:bidi="zh-CN"/>
      </w:rPr>
    </w:lvl>
    <w:lvl w:ilvl="6" w:tentative="0">
      <w:start w:val="0"/>
      <w:numFmt w:val="bullet"/>
      <w:lvlText w:val="•"/>
      <w:lvlJc w:val="left"/>
      <w:pPr>
        <w:ind w:left="9685" w:hanging="240"/>
      </w:pPr>
      <w:rPr>
        <w:rFonts w:hint="default"/>
        <w:lang w:val="zh-CN" w:eastAsia="zh-CN" w:bidi="zh-CN"/>
      </w:rPr>
    </w:lvl>
    <w:lvl w:ilvl="7" w:tentative="0">
      <w:start w:val="0"/>
      <w:numFmt w:val="bullet"/>
      <w:lvlText w:val="•"/>
      <w:lvlJc w:val="left"/>
      <w:pPr>
        <w:ind w:left="10026" w:hanging="240"/>
      </w:pPr>
      <w:rPr>
        <w:rFonts w:hint="default"/>
        <w:lang w:val="zh-CN" w:eastAsia="zh-CN" w:bidi="zh-CN"/>
      </w:rPr>
    </w:lvl>
    <w:lvl w:ilvl="8" w:tentative="0">
      <w:start w:val="0"/>
      <w:numFmt w:val="bullet"/>
      <w:lvlText w:val="•"/>
      <w:lvlJc w:val="left"/>
      <w:pPr>
        <w:ind w:left="10367" w:hanging="240"/>
      </w:pPr>
      <w:rPr>
        <w:rFonts w:hint="default"/>
        <w:lang w:val="zh-CN" w:eastAsia="zh-CN" w:bidi="zh-CN"/>
      </w:rPr>
    </w:lvl>
  </w:abstractNum>
  <w:abstractNum w:abstractNumId="10">
    <w:nsid w:val="C4BBED38"/>
    <w:multiLevelType w:val="singleLevel"/>
    <w:tmpl w:val="C4BBED38"/>
    <w:lvl w:ilvl="0" w:tentative="0">
      <w:start w:val="1"/>
      <w:numFmt w:val="chineseCounting"/>
      <w:suff w:val="nothing"/>
      <w:lvlText w:val="%1、"/>
      <w:lvlJc w:val="left"/>
      <w:rPr>
        <w:rFonts w:hint="eastAsia"/>
      </w:rPr>
    </w:lvl>
  </w:abstractNum>
  <w:abstractNum w:abstractNumId="11">
    <w:nsid w:val="C8879AEF"/>
    <w:multiLevelType w:val="multilevel"/>
    <w:tmpl w:val="C8879AEF"/>
    <w:lvl w:ilvl="0" w:tentative="0">
      <w:start w:val="1"/>
      <w:numFmt w:val="decimal"/>
      <w:lvlText w:val="（%1）"/>
      <w:lvlJc w:val="left"/>
      <w:pPr>
        <w:ind w:left="1297"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08" w:hanging="601"/>
      </w:pPr>
      <w:rPr>
        <w:rFonts w:hint="default"/>
        <w:lang w:val="en-US" w:eastAsia="zh-CN" w:bidi="ar-SA"/>
      </w:rPr>
    </w:lvl>
    <w:lvl w:ilvl="2" w:tentative="0">
      <w:start w:val="0"/>
      <w:numFmt w:val="bullet"/>
      <w:lvlText w:val="•"/>
      <w:lvlJc w:val="left"/>
      <w:pPr>
        <w:ind w:left="3117" w:hanging="601"/>
      </w:pPr>
      <w:rPr>
        <w:rFonts w:hint="default"/>
        <w:lang w:val="en-US" w:eastAsia="zh-CN" w:bidi="ar-SA"/>
      </w:rPr>
    </w:lvl>
    <w:lvl w:ilvl="3" w:tentative="0">
      <w:start w:val="0"/>
      <w:numFmt w:val="bullet"/>
      <w:lvlText w:val="•"/>
      <w:lvlJc w:val="left"/>
      <w:pPr>
        <w:ind w:left="4025" w:hanging="601"/>
      </w:pPr>
      <w:rPr>
        <w:rFonts w:hint="default"/>
        <w:lang w:val="en-US" w:eastAsia="zh-CN" w:bidi="ar-SA"/>
      </w:rPr>
    </w:lvl>
    <w:lvl w:ilvl="4" w:tentative="0">
      <w:start w:val="0"/>
      <w:numFmt w:val="bullet"/>
      <w:lvlText w:val="•"/>
      <w:lvlJc w:val="left"/>
      <w:pPr>
        <w:ind w:left="4934" w:hanging="601"/>
      </w:pPr>
      <w:rPr>
        <w:rFonts w:hint="default"/>
        <w:lang w:val="en-US" w:eastAsia="zh-CN" w:bidi="ar-SA"/>
      </w:rPr>
    </w:lvl>
    <w:lvl w:ilvl="5" w:tentative="0">
      <w:start w:val="0"/>
      <w:numFmt w:val="bullet"/>
      <w:lvlText w:val="•"/>
      <w:lvlJc w:val="left"/>
      <w:pPr>
        <w:ind w:left="5843" w:hanging="601"/>
      </w:pPr>
      <w:rPr>
        <w:rFonts w:hint="default"/>
        <w:lang w:val="en-US" w:eastAsia="zh-CN" w:bidi="ar-SA"/>
      </w:rPr>
    </w:lvl>
    <w:lvl w:ilvl="6" w:tentative="0">
      <w:start w:val="0"/>
      <w:numFmt w:val="bullet"/>
      <w:lvlText w:val="•"/>
      <w:lvlJc w:val="left"/>
      <w:pPr>
        <w:ind w:left="6751" w:hanging="601"/>
      </w:pPr>
      <w:rPr>
        <w:rFonts w:hint="default"/>
        <w:lang w:val="en-US" w:eastAsia="zh-CN" w:bidi="ar-SA"/>
      </w:rPr>
    </w:lvl>
    <w:lvl w:ilvl="7" w:tentative="0">
      <w:start w:val="0"/>
      <w:numFmt w:val="bullet"/>
      <w:lvlText w:val="•"/>
      <w:lvlJc w:val="left"/>
      <w:pPr>
        <w:ind w:left="7660" w:hanging="601"/>
      </w:pPr>
      <w:rPr>
        <w:rFonts w:hint="default"/>
        <w:lang w:val="en-US" w:eastAsia="zh-CN" w:bidi="ar-SA"/>
      </w:rPr>
    </w:lvl>
    <w:lvl w:ilvl="8" w:tentative="0">
      <w:start w:val="0"/>
      <w:numFmt w:val="bullet"/>
      <w:lvlText w:val="•"/>
      <w:lvlJc w:val="left"/>
      <w:pPr>
        <w:ind w:left="8569" w:hanging="601"/>
      </w:pPr>
      <w:rPr>
        <w:rFonts w:hint="default"/>
        <w:lang w:val="en-US" w:eastAsia="zh-CN" w:bidi="ar-SA"/>
      </w:rPr>
    </w:lvl>
  </w:abstractNum>
  <w:abstractNum w:abstractNumId="12">
    <w:nsid w:val="CF092B84"/>
    <w:multiLevelType w:val="multilevel"/>
    <w:tmpl w:val="CF092B84"/>
    <w:lvl w:ilvl="0" w:tentative="0">
      <w:start w:val="1"/>
      <w:numFmt w:val="decimal"/>
      <w:lvlText w:val="（%1）"/>
      <w:lvlJc w:val="left"/>
      <w:pPr>
        <w:ind w:left="-260" w:hanging="608"/>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236" w:hanging="608"/>
      </w:pPr>
      <w:rPr>
        <w:rFonts w:hint="default"/>
        <w:lang w:val="en-US" w:eastAsia="zh-CN" w:bidi="ar-SA"/>
      </w:rPr>
    </w:lvl>
    <w:lvl w:ilvl="2" w:tentative="0">
      <w:start w:val="0"/>
      <w:numFmt w:val="bullet"/>
      <w:lvlText w:val="•"/>
      <w:lvlJc w:val="left"/>
      <w:pPr>
        <w:ind w:left="2253" w:hanging="608"/>
      </w:pPr>
      <w:rPr>
        <w:rFonts w:hint="default"/>
        <w:lang w:val="en-US" w:eastAsia="zh-CN" w:bidi="ar-SA"/>
      </w:rPr>
    </w:lvl>
    <w:lvl w:ilvl="3" w:tentative="0">
      <w:start w:val="0"/>
      <w:numFmt w:val="bullet"/>
      <w:lvlText w:val="•"/>
      <w:lvlJc w:val="left"/>
      <w:pPr>
        <w:ind w:left="3269" w:hanging="608"/>
      </w:pPr>
      <w:rPr>
        <w:rFonts w:hint="default"/>
        <w:lang w:val="en-US" w:eastAsia="zh-CN" w:bidi="ar-SA"/>
      </w:rPr>
    </w:lvl>
    <w:lvl w:ilvl="4" w:tentative="0">
      <w:start w:val="0"/>
      <w:numFmt w:val="bullet"/>
      <w:lvlText w:val="•"/>
      <w:lvlJc w:val="left"/>
      <w:pPr>
        <w:ind w:left="4286" w:hanging="608"/>
      </w:pPr>
      <w:rPr>
        <w:rFonts w:hint="default"/>
        <w:lang w:val="en-US" w:eastAsia="zh-CN" w:bidi="ar-SA"/>
      </w:rPr>
    </w:lvl>
    <w:lvl w:ilvl="5" w:tentative="0">
      <w:start w:val="0"/>
      <w:numFmt w:val="bullet"/>
      <w:lvlText w:val="•"/>
      <w:lvlJc w:val="left"/>
      <w:pPr>
        <w:ind w:left="5303" w:hanging="608"/>
      </w:pPr>
      <w:rPr>
        <w:rFonts w:hint="default"/>
        <w:lang w:val="en-US" w:eastAsia="zh-CN" w:bidi="ar-SA"/>
      </w:rPr>
    </w:lvl>
    <w:lvl w:ilvl="6" w:tentative="0">
      <w:start w:val="0"/>
      <w:numFmt w:val="bullet"/>
      <w:lvlText w:val="•"/>
      <w:lvlJc w:val="left"/>
      <w:pPr>
        <w:ind w:left="6319" w:hanging="608"/>
      </w:pPr>
      <w:rPr>
        <w:rFonts w:hint="default"/>
        <w:lang w:val="en-US" w:eastAsia="zh-CN" w:bidi="ar-SA"/>
      </w:rPr>
    </w:lvl>
    <w:lvl w:ilvl="7" w:tentative="0">
      <w:start w:val="0"/>
      <w:numFmt w:val="bullet"/>
      <w:lvlText w:val="•"/>
      <w:lvlJc w:val="left"/>
      <w:pPr>
        <w:ind w:left="7336" w:hanging="608"/>
      </w:pPr>
      <w:rPr>
        <w:rFonts w:hint="default"/>
        <w:lang w:val="en-US" w:eastAsia="zh-CN" w:bidi="ar-SA"/>
      </w:rPr>
    </w:lvl>
    <w:lvl w:ilvl="8" w:tentative="0">
      <w:start w:val="0"/>
      <w:numFmt w:val="bullet"/>
      <w:lvlText w:val="•"/>
      <w:lvlJc w:val="left"/>
      <w:pPr>
        <w:ind w:left="8353" w:hanging="608"/>
      </w:pPr>
      <w:rPr>
        <w:rFonts w:hint="default"/>
        <w:lang w:val="en-US" w:eastAsia="zh-CN" w:bidi="ar-SA"/>
      </w:rPr>
    </w:lvl>
  </w:abstractNum>
  <w:abstractNum w:abstractNumId="13">
    <w:nsid w:val="D7F9FE59"/>
    <w:multiLevelType w:val="multilevel"/>
    <w:tmpl w:val="D7F9FE59"/>
    <w:lvl w:ilvl="0" w:tentative="0">
      <w:start w:val="1"/>
      <w:numFmt w:val="decimal"/>
      <w:lvlText w:val="%1."/>
      <w:lvlJc w:val="left"/>
      <w:pPr>
        <w:ind w:left="458" w:hanging="242"/>
        <w:jc w:val="left"/>
      </w:pPr>
      <w:rPr>
        <w:rFonts w:hint="default" w:ascii="Times New Roman" w:hAnsi="Times New Roman" w:eastAsia="Times New Roman" w:cs="Times New Roman"/>
        <w:b/>
        <w:bCs/>
        <w:i w:val="0"/>
        <w:iCs w:val="0"/>
        <w:spacing w:val="-1"/>
        <w:w w:val="99"/>
        <w:sz w:val="30"/>
        <w:szCs w:val="30"/>
        <w:lang w:val="en-US" w:eastAsia="zh-CN" w:bidi="ar-SA"/>
      </w:rPr>
    </w:lvl>
    <w:lvl w:ilvl="1" w:tentative="0">
      <w:start w:val="1"/>
      <w:numFmt w:val="decimal"/>
      <w:lvlText w:val="%1.%2"/>
      <w:lvlJc w:val="left"/>
      <w:pPr>
        <w:ind w:left="1116" w:hanging="420"/>
        <w:jc w:val="left"/>
      </w:pPr>
      <w:rPr>
        <w:rFonts w:hint="default" w:ascii="宋体" w:hAnsi="宋体" w:eastAsia="宋体" w:cs="宋体"/>
        <w:b w:val="0"/>
        <w:bCs w:val="0"/>
        <w:i w:val="0"/>
        <w:iCs w:val="0"/>
        <w:w w:val="100"/>
        <w:sz w:val="24"/>
        <w:szCs w:val="24"/>
        <w:lang w:val="en-US" w:eastAsia="zh-CN" w:bidi="ar-SA"/>
      </w:rPr>
    </w:lvl>
    <w:lvl w:ilvl="2" w:tentative="0">
      <w:start w:val="0"/>
      <w:numFmt w:val="bullet"/>
      <w:lvlText w:val="•"/>
      <w:lvlJc w:val="left"/>
      <w:pPr>
        <w:ind w:left="1120" w:hanging="420"/>
      </w:pPr>
      <w:rPr>
        <w:rFonts w:hint="default"/>
        <w:lang w:val="en-US" w:eastAsia="zh-CN" w:bidi="ar-SA"/>
      </w:rPr>
    </w:lvl>
    <w:lvl w:ilvl="3" w:tentative="0">
      <w:start w:val="0"/>
      <w:numFmt w:val="bullet"/>
      <w:lvlText w:val="•"/>
      <w:lvlJc w:val="left"/>
      <w:pPr>
        <w:ind w:left="1180" w:hanging="420"/>
      </w:pPr>
      <w:rPr>
        <w:rFonts w:hint="default"/>
        <w:lang w:val="en-US" w:eastAsia="zh-CN" w:bidi="ar-SA"/>
      </w:rPr>
    </w:lvl>
    <w:lvl w:ilvl="4" w:tentative="0">
      <w:start w:val="0"/>
      <w:numFmt w:val="bullet"/>
      <w:lvlText w:val="•"/>
      <w:lvlJc w:val="left"/>
      <w:pPr>
        <w:ind w:left="2495" w:hanging="420"/>
      </w:pPr>
      <w:rPr>
        <w:rFonts w:hint="default"/>
        <w:lang w:val="en-US" w:eastAsia="zh-CN" w:bidi="ar-SA"/>
      </w:rPr>
    </w:lvl>
    <w:lvl w:ilvl="5" w:tentative="0">
      <w:start w:val="0"/>
      <w:numFmt w:val="bullet"/>
      <w:lvlText w:val="•"/>
      <w:lvlJc w:val="left"/>
      <w:pPr>
        <w:ind w:left="3810" w:hanging="420"/>
      </w:pPr>
      <w:rPr>
        <w:rFonts w:hint="default"/>
        <w:lang w:val="en-US" w:eastAsia="zh-CN" w:bidi="ar-SA"/>
      </w:rPr>
    </w:lvl>
    <w:lvl w:ilvl="6" w:tentative="0">
      <w:start w:val="0"/>
      <w:numFmt w:val="bullet"/>
      <w:lvlText w:val="•"/>
      <w:lvlJc w:val="left"/>
      <w:pPr>
        <w:ind w:left="5125" w:hanging="420"/>
      </w:pPr>
      <w:rPr>
        <w:rFonts w:hint="default"/>
        <w:lang w:val="en-US" w:eastAsia="zh-CN" w:bidi="ar-SA"/>
      </w:rPr>
    </w:lvl>
    <w:lvl w:ilvl="7" w:tentative="0">
      <w:start w:val="0"/>
      <w:numFmt w:val="bullet"/>
      <w:lvlText w:val="•"/>
      <w:lvlJc w:val="left"/>
      <w:pPr>
        <w:ind w:left="6440" w:hanging="420"/>
      </w:pPr>
      <w:rPr>
        <w:rFonts w:hint="default"/>
        <w:lang w:val="en-US" w:eastAsia="zh-CN" w:bidi="ar-SA"/>
      </w:rPr>
    </w:lvl>
    <w:lvl w:ilvl="8" w:tentative="0">
      <w:start w:val="0"/>
      <w:numFmt w:val="bullet"/>
      <w:lvlText w:val="•"/>
      <w:lvlJc w:val="left"/>
      <w:pPr>
        <w:ind w:left="7756" w:hanging="420"/>
      </w:pPr>
      <w:rPr>
        <w:rFonts w:hint="default"/>
        <w:lang w:val="en-US" w:eastAsia="zh-CN" w:bidi="ar-SA"/>
      </w:rPr>
    </w:lvl>
  </w:abstractNum>
  <w:abstractNum w:abstractNumId="14">
    <w:nsid w:val="DCBA6B53"/>
    <w:multiLevelType w:val="multilevel"/>
    <w:tmpl w:val="DCBA6B53"/>
    <w:lvl w:ilvl="0" w:tentative="0">
      <w:start w:val="1"/>
      <w:numFmt w:val="decimal"/>
      <w:lvlText w:val="%1"/>
      <w:lvlJc w:val="left"/>
      <w:pPr>
        <w:ind w:left="216" w:hanging="432"/>
        <w:jc w:val="left"/>
      </w:pPr>
      <w:rPr>
        <w:rFonts w:hint="default"/>
        <w:lang w:val="en-US" w:eastAsia="zh-CN" w:bidi="ar-SA"/>
      </w:rPr>
    </w:lvl>
    <w:lvl w:ilvl="1" w:tentative="0">
      <w:start w:val="1"/>
      <w:numFmt w:val="decimal"/>
      <w:lvlText w:val="%1.%2"/>
      <w:lvlJc w:val="left"/>
      <w:pPr>
        <w:ind w:left="216" w:hanging="432"/>
        <w:jc w:val="left"/>
      </w:pPr>
      <w:rPr>
        <w:rFonts w:hint="default" w:ascii="宋体" w:hAnsi="宋体" w:eastAsia="宋体" w:cs="宋体"/>
        <w:b w:val="0"/>
        <w:bCs w:val="0"/>
        <w:i w:val="0"/>
        <w:iCs w:val="0"/>
        <w:w w:val="100"/>
        <w:sz w:val="24"/>
        <w:szCs w:val="24"/>
        <w:lang w:val="en-US" w:eastAsia="zh-CN" w:bidi="ar-SA"/>
      </w:rPr>
    </w:lvl>
    <w:lvl w:ilvl="2" w:tentative="0">
      <w:start w:val="0"/>
      <w:numFmt w:val="bullet"/>
      <w:lvlText w:val="•"/>
      <w:lvlJc w:val="left"/>
      <w:pPr>
        <w:ind w:left="2253" w:hanging="432"/>
      </w:pPr>
      <w:rPr>
        <w:rFonts w:hint="default"/>
        <w:lang w:val="en-US" w:eastAsia="zh-CN" w:bidi="ar-SA"/>
      </w:rPr>
    </w:lvl>
    <w:lvl w:ilvl="3" w:tentative="0">
      <w:start w:val="0"/>
      <w:numFmt w:val="bullet"/>
      <w:lvlText w:val="•"/>
      <w:lvlJc w:val="left"/>
      <w:pPr>
        <w:ind w:left="3269" w:hanging="432"/>
      </w:pPr>
      <w:rPr>
        <w:rFonts w:hint="default"/>
        <w:lang w:val="en-US" w:eastAsia="zh-CN" w:bidi="ar-SA"/>
      </w:rPr>
    </w:lvl>
    <w:lvl w:ilvl="4" w:tentative="0">
      <w:start w:val="0"/>
      <w:numFmt w:val="bullet"/>
      <w:lvlText w:val="•"/>
      <w:lvlJc w:val="left"/>
      <w:pPr>
        <w:ind w:left="4286" w:hanging="432"/>
      </w:pPr>
      <w:rPr>
        <w:rFonts w:hint="default"/>
        <w:lang w:val="en-US" w:eastAsia="zh-CN" w:bidi="ar-SA"/>
      </w:rPr>
    </w:lvl>
    <w:lvl w:ilvl="5" w:tentative="0">
      <w:start w:val="0"/>
      <w:numFmt w:val="bullet"/>
      <w:lvlText w:val="•"/>
      <w:lvlJc w:val="left"/>
      <w:pPr>
        <w:ind w:left="5303" w:hanging="432"/>
      </w:pPr>
      <w:rPr>
        <w:rFonts w:hint="default"/>
        <w:lang w:val="en-US" w:eastAsia="zh-CN" w:bidi="ar-SA"/>
      </w:rPr>
    </w:lvl>
    <w:lvl w:ilvl="6" w:tentative="0">
      <w:start w:val="0"/>
      <w:numFmt w:val="bullet"/>
      <w:lvlText w:val="•"/>
      <w:lvlJc w:val="left"/>
      <w:pPr>
        <w:ind w:left="6319" w:hanging="432"/>
      </w:pPr>
      <w:rPr>
        <w:rFonts w:hint="default"/>
        <w:lang w:val="en-US" w:eastAsia="zh-CN" w:bidi="ar-SA"/>
      </w:rPr>
    </w:lvl>
    <w:lvl w:ilvl="7" w:tentative="0">
      <w:start w:val="0"/>
      <w:numFmt w:val="bullet"/>
      <w:lvlText w:val="•"/>
      <w:lvlJc w:val="left"/>
      <w:pPr>
        <w:ind w:left="7336" w:hanging="432"/>
      </w:pPr>
      <w:rPr>
        <w:rFonts w:hint="default"/>
        <w:lang w:val="en-US" w:eastAsia="zh-CN" w:bidi="ar-SA"/>
      </w:rPr>
    </w:lvl>
    <w:lvl w:ilvl="8" w:tentative="0">
      <w:start w:val="0"/>
      <w:numFmt w:val="bullet"/>
      <w:lvlText w:val="•"/>
      <w:lvlJc w:val="left"/>
      <w:pPr>
        <w:ind w:left="8353" w:hanging="432"/>
      </w:pPr>
      <w:rPr>
        <w:rFonts w:hint="default"/>
        <w:lang w:val="en-US" w:eastAsia="zh-CN" w:bidi="ar-SA"/>
      </w:rPr>
    </w:lvl>
  </w:abstractNum>
  <w:abstractNum w:abstractNumId="15">
    <w:nsid w:val="EEA5B6FB"/>
    <w:multiLevelType w:val="singleLevel"/>
    <w:tmpl w:val="EEA5B6FB"/>
    <w:lvl w:ilvl="0" w:tentative="0">
      <w:start w:val="1"/>
      <w:numFmt w:val="chineseCounting"/>
      <w:lvlText w:val="第%1章"/>
      <w:lvlJc w:val="left"/>
      <w:rPr>
        <w:rFonts w:hint="eastAsia"/>
      </w:rPr>
    </w:lvl>
  </w:abstractNum>
  <w:abstractNum w:abstractNumId="16">
    <w:nsid w:val="F4B5D9F5"/>
    <w:multiLevelType w:val="multilevel"/>
    <w:tmpl w:val="F4B5D9F5"/>
    <w:lvl w:ilvl="0" w:tentative="0">
      <w:start w:val="1"/>
      <w:numFmt w:val="decimal"/>
      <w:lvlText w:val="%1."/>
      <w:lvlJc w:val="left"/>
      <w:pPr>
        <w:ind w:left="458" w:hanging="242"/>
        <w:jc w:val="left"/>
      </w:pPr>
      <w:rPr>
        <w:rFonts w:hint="default" w:ascii="Times New Roman" w:hAnsi="Times New Roman" w:eastAsia="Times New Roman" w:cs="Times New Roman"/>
        <w:b/>
        <w:bCs/>
        <w:i w:val="0"/>
        <w:iCs w:val="0"/>
        <w:spacing w:val="-1"/>
        <w:w w:val="99"/>
        <w:sz w:val="30"/>
        <w:szCs w:val="30"/>
        <w:lang w:val="en-US" w:eastAsia="zh-CN" w:bidi="ar-SA"/>
      </w:rPr>
    </w:lvl>
    <w:lvl w:ilvl="1" w:tentative="0">
      <w:start w:val="1"/>
      <w:numFmt w:val="decimal"/>
      <w:lvlText w:val="%1.%2"/>
      <w:lvlJc w:val="left"/>
      <w:pPr>
        <w:ind w:left="1176" w:hanging="480"/>
        <w:jc w:val="left"/>
      </w:pPr>
      <w:rPr>
        <w:rFonts w:hint="default" w:ascii="宋体" w:hAnsi="宋体" w:eastAsia="宋体" w:cs="宋体"/>
        <w:b w:val="0"/>
        <w:bCs w:val="0"/>
        <w:i w:val="0"/>
        <w:iCs w:val="0"/>
        <w:spacing w:val="-1"/>
        <w:w w:val="100"/>
        <w:sz w:val="24"/>
        <w:szCs w:val="24"/>
        <w:lang w:val="en-US" w:eastAsia="zh-CN" w:bidi="ar-SA"/>
      </w:rPr>
    </w:lvl>
    <w:lvl w:ilvl="2" w:tentative="0">
      <w:start w:val="0"/>
      <w:numFmt w:val="bullet"/>
      <w:lvlText w:val="•"/>
      <w:lvlJc w:val="left"/>
      <w:pPr>
        <w:ind w:left="2202" w:hanging="480"/>
      </w:pPr>
      <w:rPr>
        <w:rFonts w:hint="default"/>
        <w:lang w:val="en-US" w:eastAsia="zh-CN" w:bidi="ar-SA"/>
      </w:rPr>
    </w:lvl>
    <w:lvl w:ilvl="3" w:tentative="0">
      <w:start w:val="0"/>
      <w:numFmt w:val="bullet"/>
      <w:lvlText w:val="•"/>
      <w:lvlJc w:val="left"/>
      <w:pPr>
        <w:ind w:left="3225" w:hanging="480"/>
      </w:pPr>
      <w:rPr>
        <w:rFonts w:hint="default"/>
        <w:lang w:val="en-US" w:eastAsia="zh-CN" w:bidi="ar-SA"/>
      </w:rPr>
    </w:lvl>
    <w:lvl w:ilvl="4" w:tentative="0">
      <w:start w:val="0"/>
      <w:numFmt w:val="bullet"/>
      <w:lvlText w:val="•"/>
      <w:lvlJc w:val="left"/>
      <w:pPr>
        <w:ind w:left="4248" w:hanging="480"/>
      </w:pPr>
      <w:rPr>
        <w:rFonts w:hint="default"/>
        <w:lang w:val="en-US" w:eastAsia="zh-CN" w:bidi="ar-SA"/>
      </w:rPr>
    </w:lvl>
    <w:lvl w:ilvl="5" w:tentative="0">
      <w:start w:val="0"/>
      <w:numFmt w:val="bullet"/>
      <w:lvlText w:val="•"/>
      <w:lvlJc w:val="left"/>
      <w:pPr>
        <w:ind w:left="5271" w:hanging="480"/>
      </w:pPr>
      <w:rPr>
        <w:rFonts w:hint="default"/>
        <w:lang w:val="en-US" w:eastAsia="zh-CN" w:bidi="ar-SA"/>
      </w:rPr>
    </w:lvl>
    <w:lvl w:ilvl="6" w:tentative="0">
      <w:start w:val="0"/>
      <w:numFmt w:val="bullet"/>
      <w:lvlText w:val="•"/>
      <w:lvlJc w:val="left"/>
      <w:pPr>
        <w:ind w:left="6294" w:hanging="480"/>
      </w:pPr>
      <w:rPr>
        <w:rFonts w:hint="default"/>
        <w:lang w:val="en-US" w:eastAsia="zh-CN" w:bidi="ar-SA"/>
      </w:rPr>
    </w:lvl>
    <w:lvl w:ilvl="7" w:tentative="0">
      <w:start w:val="0"/>
      <w:numFmt w:val="bullet"/>
      <w:lvlText w:val="•"/>
      <w:lvlJc w:val="left"/>
      <w:pPr>
        <w:ind w:left="7317" w:hanging="480"/>
      </w:pPr>
      <w:rPr>
        <w:rFonts w:hint="default"/>
        <w:lang w:val="en-US" w:eastAsia="zh-CN" w:bidi="ar-SA"/>
      </w:rPr>
    </w:lvl>
    <w:lvl w:ilvl="8" w:tentative="0">
      <w:start w:val="0"/>
      <w:numFmt w:val="bullet"/>
      <w:lvlText w:val="•"/>
      <w:lvlJc w:val="left"/>
      <w:pPr>
        <w:ind w:left="8340" w:hanging="480"/>
      </w:pPr>
      <w:rPr>
        <w:rFonts w:hint="default"/>
        <w:lang w:val="en-US" w:eastAsia="zh-CN" w:bidi="ar-SA"/>
      </w:rPr>
    </w:lvl>
  </w:abstractNum>
  <w:abstractNum w:abstractNumId="17">
    <w:nsid w:val="0248C179"/>
    <w:multiLevelType w:val="multilevel"/>
    <w:tmpl w:val="0248C179"/>
    <w:lvl w:ilvl="0" w:tentative="0">
      <w:start w:val="1"/>
      <w:numFmt w:val="decimal"/>
      <w:lvlText w:val="（%1）"/>
      <w:lvlJc w:val="left"/>
      <w:pPr>
        <w:ind w:left="1191"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897" w:hanging="601"/>
      </w:pPr>
      <w:rPr>
        <w:rFonts w:hint="default"/>
        <w:lang w:val="en-US" w:eastAsia="zh-CN" w:bidi="ar-SA"/>
      </w:rPr>
    </w:lvl>
    <w:lvl w:ilvl="2" w:tentative="0">
      <w:start w:val="0"/>
      <w:numFmt w:val="bullet"/>
      <w:lvlText w:val="•"/>
      <w:lvlJc w:val="left"/>
      <w:pPr>
        <w:ind w:left="2595" w:hanging="601"/>
      </w:pPr>
      <w:rPr>
        <w:rFonts w:hint="default"/>
        <w:lang w:val="en-US" w:eastAsia="zh-CN" w:bidi="ar-SA"/>
      </w:rPr>
    </w:lvl>
    <w:lvl w:ilvl="3" w:tentative="0">
      <w:start w:val="0"/>
      <w:numFmt w:val="bullet"/>
      <w:lvlText w:val="•"/>
      <w:lvlJc w:val="left"/>
      <w:pPr>
        <w:ind w:left="3292" w:hanging="601"/>
      </w:pPr>
      <w:rPr>
        <w:rFonts w:hint="default"/>
        <w:lang w:val="en-US" w:eastAsia="zh-CN" w:bidi="ar-SA"/>
      </w:rPr>
    </w:lvl>
    <w:lvl w:ilvl="4" w:tentative="0">
      <w:start w:val="0"/>
      <w:numFmt w:val="bullet"/>
      <w:lvlText w:val="•"/>
      <w:lvlJc w:val="left"/>
      <w:pPr>
        <w:ind w:left="3990" w:hanging="601"/>
      </w:pPr>
      <w:rPr>
        <w:rFonts w:hint="default"/>
        <w:lang w:val="en-US" w:eastAsia="zh-CN" w:bidi="ar-SA"/>
      </w:rPr>
    </w:lvl>
    <w:lvl w:ilvl="5" w:tentative="0">
      <w:start w:val="0"/>
      <w:numFmt w:val="bullet"/>
      <w:lvlText w:val="•"/>
      <w:lvlJc w:val="left"/>
      <w:pPr>
        <w:ind w:left="4687" w:hanging="601"/>
      </w:pPr>
      <w:rPr>
        <w:rFonts w:hint="default"/>
        <w:lang w:val="en-US" w:eastAsia="zh-CN" w:bidi="ar-SA"/>
      </w:rPr>
    </w:lvl>
    <w:lvl w:ilvl="6" w:tentative="0">
      <w:start w:val="0"/>
      <w:numFmt w:val="bullet"/>
      <w:lvlText w:val="•"/>
      <w:lvlJc w:val="left"/>
      <w:pPr>
        <w:ind w:left="5385" w:hanging="601"/>
      </w:pPr>
      <w:rPr>
        <w:rFonts w:hint="default"/>
        <w:lang w:val="en-US" w:eastAsia="zh-CN" w:bidi="ar-SA"/>
      </w:rPr>
    </w:lvl>
    <w:lvl w:ilvl="7" w:tentative="0">
      <w:start w:val="0"/>
      <w:numFmt w:val="bullet"/>
      <w:lvlText w:val="•"/>
      <w:lvlJc w:val="left"/>
      <w:pPr>
        <w:ind w:left="6082" w:hanging="601"/>
      </w:pPr>
      <w:rPr>
        <w:rFonts w:hint="default"/>
        <w:lang w:val="en-US" w:eastAsia="zh-CN" w:bidi="ar-SA"/>
      </w:rPr>
    </w:lvl>
    <w:lvl w:ilvl="8" w:tentative="0">
      <w:start w:val="0"/>
      <w:numFmt w:val="bullet"/>
      <w:lvlText w:val="•"/>
      <w:lvlJc w:val="left"/>
      <w:pPr>
        <w:ind w:left="6780" w:hanging="601"/>
      </w:pPr>
      <w:rPr>
        <w:rFonts w:hint="default"/>
        <w:lang w:val="en-US" w:eastAsia="zh-CN" w:bidi="ar-SA"/>
      </w:rPr>
    </w:lvl>
  </w:abstractNum>
  <w:abstractNum w:abstractNumId="18">
    <w:nsid w:val="03D62ECE"/>
    <w:multiLevelType w:val="multilevel"/>
    <w:tmpl w:val="03D62ECE"/>
    <w:lvl w:ilvl="0" w:tentative="0">
      <w:start w:val="1"/>
      <w:numFmt w:val="decimal"/>
      <w:lvlText w:val="（%1）"/>
      <w:lvlJc w:val="left"/>
      <w:pPr>
        <w:ind w:left="-32" w:hanging="608"/>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236" w:hanging="608"/>
      </w:pPr>
      <w:rPr>
        <w:rFonts w:hint="default"/>
        <w:lang w:val="en-US" w:eastAsia="zh-CN" w:bidi="ar-SA"/>
      </w:rPr>
    </w:lvl>
    <w:lvl w:ilvl="2" w:tentative="0">
      <w:start w:val="0"/>
      <w:numFmt w:val="bullet"/>
      <w:lvlText w:val="•"/>
      <w:lvlJc w:val="left"/>
      <w:pPr>
        <w:ind w:left="2253" w:hanging="608"/>
      </w:pPr>
      <w:rPr>
        <w:rFonts w:hint="default"/>
        <w:lang w:val="en-US" w:eastAsia="zh-CN" w:bidi="ar-SA"/>
      </w:rPr>
    </w:lvl>
    <w:lvl w:ilvl="3" w:tentative="0">
      <w:start w:val="0"/>
      <w:numFmt w:val="bullet"/>
      <w:lvlText w:val="•"/>
      <w:lvlJc w:val="left"/>
      <w:pPr>
        <w:ind w:left="3269" w:hanging="608"/>
      </w:pPr>
      <w:rPr>
        <w:rFonts w:hint="default"/>
        <w:lang w:val="en-US" w:eastAsia="zh-CN" w:bidi="ar-SA"/>
      </w:rPr>
    </w:lvl>
    <w:lvl w:ilvl="4" w:tentative="0">
      <w:start w:val="0"/>
      <w:numFmt w:val="bullet"/>
      <w:lvlText w:val="•"/>
      <w:lvlJc w:val="left"/>
      <w:pPr>
        <w:ind w:left="4286" w:hanging="608"/>
      </w:pPr>
      <w:rPr>
        <w:rFonts w:hint="default"/>
        <w:lang w:val="en-US" w:eastAsia="zh-CN" w:bidi="ar-SA"/>
      </w:rPr>
    </w:lvl>
    <w:lvl w:ilvl="5" w:tentative="0">
      <w:start w:val="0"/>
      <w:numFmt w:val="bullet"/>
      <w:lvlText w:val="•"/>
      <w:lvlJc w:val="left"/>
      <w:pPr>
        <w:ind w:left="5303" w:hanging="608"/>
      </w:pPr>
      <w:rPr>
        <w:rFonts w:hint="default"/>
        <w:lang w:val="en-US" w:eastAsia="zh-CN" w:bidi="ar-SA"/>
      </w:rPr>
    </w:lvl>
    <w:lvl w:ilvl="6" w:tentative="0">
      <w:start w:val="0"/>
      <w:numFmt w:val="bullet"/>
      <w:lvlText w:val="•"/>
      <w:lvlJc w:val="left"/>
      <w:pPr>
        <w:ind w:left="6319" w:hanging="608"/>
      </w:pPr>
      <w:rPr>
        <w:rFonts w:hint="default"/>
        <w:lang w:val="en-US" w:eastAsia="zh-CN" w:bidi="ar-SA"/>
      </w:rPr>
    </w:lvl>
    <w:lvl w:ilvl="7" w:tentative="0">
      <w:start w:val="0"/>
      <w:numFmt w:val="bullet"/>
      <w:lvlText w:val="•"/>
      <w:lvlJc w:val="left"/>
      <w:pPr>
        <w:ind w:left="7336" w:hanging="608"/>
      </w:pPr>
      <w:rPr>
        <w:rFonts w:hint="default"/>
        <w:lang w:val="en-US" w:eastAsia="zh-CN" w:bidi="ar-SA"/>
      </w:rPr>
    </w:lvl>
    <w:lvl w:ilvl="8" w:tentative="0">
      <w:start w:val="0"/>
      <w:numFmt w:val="bullet"/>
      <w:lvlText w:val="•"/>
      <w:lvlJc w:val="left"/>
      <w:pPr>
        <w:ind w:left="8353" w:hanging="608"/>
      </w:pPr>
      <w:rPr>
        <w:rFonts w:hint="default"/>
        <w:lang w:val="en-US" w:eastAsia="zh-CN" w:bidi="ar-SA"/>
      </w:rPr>
    </w:lvl>
  </w:abstractNum>
  <w:abstractNum w:abstractNumId="19">
    <w:nsid w:val="0E640482"/>
    <w:multiLevelType w:val="multilevel"/>
    <w:tmpl w:val="0E640482"/>
    <w:lvl w:ilvl="0" w:tentative="0">
      <w:start w:val="1"/>
      <w:numFmt w:val="decimal"/>
      <w:lvlText w:val="%1."/>
      <w:lvlJc w:val="left"/>
      <w:pPr>
        <w:ind w:left="458" w:hanging="242"/>
        <w:jc w:val="left"/>
      </w:pPr>
      <w:rPr>
        <w:rFonts w:hint="default" w:ascii="Times New Roman" w:hAnsi="Times New Roman" w:eastAsia="Times New Roman" w:cs="Times New Roman"/>
        <w:b/>
        <w:bCs/>
        <w:i w:val="0"/>
        <w:iCs w:val="0"/>
        <w:spacing w:val="-1"/>
        <w:w w:val="99"/>
        <w:sz w:val="30"/>
        <w:szCs w:val="30"/>
        <w:lang w:val="en-US" w:eastAsia="zh-CN" w:bidi="ar-SA"/>
      </w:rPr>
    </w:lvl>
    <w:lvl w:ilvl="1" w:tentative="0">
      <w:start w:val="1"/>
      <w:numFmt w:val="decimal"/>
      <w:lvlText w:val="%1.%2"/>
      <w:lvlJc w:val="left"/>
      <w:pPr>
        <w:ind w:left="216" w:hanging="480"/>
        <w:jc w:val="left"/>
      </w:pPr>
      <w:rPr>
        <w:rFonts w:hint="default" w:ascii="宋体" w:hAnsi="宋体" w:eastAsia="宋体" w:cs="宋体"/>
        <w:b w:val="0"/>
        <w:bCs w:val="0"/>
        <w:i w:val="0"/>
        <w:iCs w:val="0"/>
        <w:w w:val="100"/>
        <w:sz w:val="24"/>
        <w:szCs w:val="24"/>
        <w:lang w:val="en-US" w:eastAsia="zh-CN" w:bidi="ar-SA"/>
      </w:rPr>
    </w:lvl>
    <w:lvl w:ilvl="2" w:tentative="0">
      <w:start w:val="0"/>
      <w:numFmt w:val="bullet"/>
      <w:lvlText w:val="•"/>
      <w:lvlJc w:val="left"/>
      <w:pPr>
        <w:ind w:left="1562" w:hanging="480"/>
      </w:pPr>
      <w:rPr>
        <w:rFonts w:hint="default"/>
        <w:lang w:val="en-US" w:eastAsia="zh-CN" w:bidi="ar-SA"/>
      </w:rPr>
    </w:lvl>
    <w:lvl w:ilvl="3" w:tentative="0">
      <w:start w:val="0"/>
      <w:numFmt w:val="bullet"/>
      <w:lvlText w:val="•"/>
      <w:lvlJc w:val="left"/>
      <w:pPr>
        <w:ind w:left="2665" w:hanging="480"/>
      </w:pPr>
      <w:rPr>
        <w:rFonts w:hint="default"/>
        <w:lang w:val="en-US" w:eastAsia="zh-CN" w:bidi="ar-SA"/>
      </w:rPr>
    </w:lvl>
    <w:lvl w:ilvl="4" w:tentative="0">
      <w:start w:val="0"/>
      <w:numFmt w:val="bullet"/>
      <w:lvlText w:val="•"/>
      <w:lvlJc w:val="left"/>
      <w:pPr>
        <w:ind w:left="3768" w:hanging="480"/>
      </w:pPr>
      <w:rPr>
        <w:rFonts w:hint="default"/>
        <w:lang w:val="en-US" w:eastAsia="zh-CN" w:bidi="ar-SA"/>
      </w:rPr>
    </w:lvl>
    <w:lvl w:ilvl="5" w:tentative="0">
      <w:start w:val="0"/>
      <w:numFmt w:val="bullet"/>
      <w:lvlText w:val="•"/>
      <w:lvlJc w:val="left"/>
      <w:pPr>
        <w:ind w:left="4871" w:hanging="480"/>
      </w:pPr>
      <w:rPr>
        <w:rFonts w:hint="default"/>
        <w:lang w:val="en-US" w:eastAsia="zh-CN" w:bidi="ar-SA"/>
      </w:rPr>
    </w:lvl>
    <w:lvl w:ilvl="6" w:tentative="0">
      <w:start w:val="0"/>
      <w:numFmt w:val="bullet"/>
      <w:lvlText w:val="•"/>
      <w:lvlJc w:val="left"/>
      <w:pPr>
        <w:ind w:left="5974" w:hanging="480"/>
      </w:pPr>
      <w:rPr>
        <w:rFonts w:hint="default"/>
        <w:lang w:val="en-US" w:eastAsia="zh-CN" w:bidi="ar-SA"/>
      </w:rPr>
    </w:lvl>
    <w:lvl w:ilvl="7" w:tentative="0">
      <w:start w:val="0"/>
      <w:numFmt w:val="bullet"/>
      <w:lvlText w:val="•"/>
      <w:lvlJc w:val="left"/>
      <w:pPr>
        <w:ind w:left="7077" w:hanging="480"/>
      </w:pPr>
      <w:rPr>
        <w:rFonts w:hint="default"/>
        <w:lang w:val="en-US" w:eastAsia="zh-CN" w:bidi="ar-SA"/>
      </w:rPr>
    </w:lvl>
    <w:lvl w:ilvl="8" w:tentative="0">
      <w:start w:val="0"/>
      <w:numFmt w:val="bullet"/>
      <w:lvlText w:val="•"/>
      <w:lvlJc w:val="left"/>
      <w:pPr>
        <w:ind w:left="8180" w:hanging="480"/>
      </w:pPr>
      <w:rPr>
        <w:rFonts w:hint="default"/>
        <w:lang w:val="en-US" w:eastAsia="zh-CN" w:bidi="ar-SA"/>
      </w:rPr>
    </w:lvl>
  </w:abstractNum>
  <w:abstractNum w:abstractNumId="20">
    <w:nsid w:val="2470EC97"/>
    <w:multiLevelType w:val="multilevel"/>
    <w:tmpl w:val="2470EC97"/>
    <w:lvl w:ilvl="0" w:tentative="0">
      <w:start w:val="1"/>
      <w:numFmt w:val="decimal"/>
      <w:lvlText w:val="%1."/>
      <w:lvlJc w:val="left"/>
      <w:pPr>
        <w:ind w:left="216" w:hanging="363"/>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236" w:hanging="363"/>
      </w:pPr>
      <w:rPr>
        <w:rFonts w:hint="default"/>
        <w:lang w:val="en-US" w:eastAsia="zh-CN" w:bidi="ar-SA"/>
      </w:rPr>
    </w:lvl>
    <w:lvl w:ilvl="2" w:tentative="0">
      <w:start w:val="0"/>
      <w:numFmt w:val="bullet"/>
      <w:lvlText w:val="•"/>
      <w:lvlJc w:val="left"/>
      <w:pPr>
        <w:ind w:left="2253" w:hanging="363"/>
      </w:pPr>
      <w:rPr>
        <w:rFonts w:hint="default"/>
        <w:lang w:val="en-US" w:eastAsia="zh-CN" w:bidi="ar-SA"/>
      </w:rPr>
    </w:lvl>
    <w:lvl w:ilvl="3" w:tentative="0">
      <w:start w:val="0"/>
      <w:numFmt w:val="bullet"/>
      <w:lvlText w:val="•"/>
      <w:lvlJc w:val="left"/>
      <w:pPr>
        <w:ind w:left="3269" w:hanging="363"/>
      </w:pPr>
      <w:rPr>
        <w:rFonts w:hint="default"/>
        <w:lang w:val="en-US" w:eastAsia="zh-CN" w:bidi="ar-SA"/>
      </w:rPr>
    </w:lvl>
    <w:lvl w:ilvl="4" w:tentative="0">
      <w:start w:val="0"/>
      <w:numFmt w:val="bullet"/>
      <w:lvlText w:val="•"/>
      <w:lvlJc w:val="left"/>
      <w:pPr>
        <w:ind w:left="4286" w:hanging="363"/>
      </w:pPr>
      <w:rPr>
        <w:rFonts w:hint="default"/>
        <w:lang w:val="en-US" w:eastAsia="zh-CN" w:bidi="ar-SA"/>
      </w:rPr>
    </w:lvl>
    <w:lvl w:ilvl="5" w:tentative="0">
      <w:start w:val="0"/>
      <w:numFmt w:val="bullet"/>
      <w:lvlText w:val="•"/>
      <w:lvlJc w:val="left"/>
      <w:pPr>
        <w:ind w:left="5303" w:hanging="363"/>
      </w:pPr>
      <w:rPr>
        <w:rFonts w:hint="default"/>
        <w:lang w:val="en-US" w:eastAsia="zh-CN" w:bidi="ar-SA"/>
      </w:rPr>
    </w:lvl>
    <w:lvl w:ilvl="6" w:tentative="0">
      <w:start w:val="0"/>
      <w:numFmt w:val="bullet"/>
      <w:lvlText w:val="•"/>
      <w:lvlJc w:val="left"/>
      <w:pPr>
        <w:ind w:left="6319" w:hanging="363"/>
      </w:pPr>
      <w:rPr>
        <w:rFonts w:hint="default"/>
        <w:lang w:val="en-US" w:eastAsia="zh-CN" w:bidi="ar-SA"/>
      </w:rPr>
    </w:lvl>
    <w:lvl w:ilvl="7" w:tentative="0">
      <w:start w:val="0"/>
      <w:numFmt w:val="bullet"/>
      <w:lvlText w:val="•"/>
      <w:lvlJc w:val="left"/>
      <w:pPr>
        <w:ind w:left="7336" w:hanging="363"/>
      </w:pPr>
      <w:rPr>
        <w:rFonts w:hint="default"/>
        <w:lang w:val="en-US" w:eastAsia="zh-CN" w:bidi="ar-SA"/>
      </w:rPr>
    </w:lvl>
    <w:lvl w:ilvl="8" w:tentative="0">
      <w:start w:val="0"/>
      <w:numFmt w:val="bullet"/>
      <w:lvlText w:val="•"/>
      <w:lvlJc w:val="left"/>
      <w:pPr>
        <w:ind w:left="8353" w:hanging="363"/>
      </w:pPr>
      <w:rPr>
        <w:rFonts w:hint="default"/>
        <w:lang w:val="en-US" w:eastAsia="zh-CN" w:bidi="ar-SA"/>
      </w:rPr>
    </w:lvl>
  </w:abstractNum>
  <w:abstractNum w:abstractNumId="21">
    <w:nsid w:val="2A8F537B"/>
    <w:multiLevelType w:val="multilevel"/>
    <w:tmpl w:val="2A8F537B"/>
    <w:lvl w:ilvl="0" w:tentative="0">
      <w:start w:val="1"/>
      <w:numFmt w:val="decimal"/>
      <w:lvlText w:val="%1."/>
      <w:lvlJc w:val="left"/>
      <w:pPr>
        <w:ind w:left="458" w:hanging="242"/>
        <w:jc w:val="left"/>
      </w:pPr>
      <w:rPr>
        <w:rFonts w:hint="default" w:ascii="Times New Roman" w:hAnsi="Times New Roman" w:eastAsia="Times New Roman" w:cs="Times New Roman"/>
        <w:b/>
        <w:bCs/>
        <w:i w:val="0"/>
        <w:iCs w:val="0"/>
        <w:spacing w:val="-1"/>
        <w:w w:val="99"/>
        <w:sz w:val="30"/>
        <w:szCs w:val="30"/>
        <w:lang w:val="en-US" w:eastAsia="zh-CN" w:bidi="ar-SA"/>
      </w:rPr>
    </w:lvl>
    <w:lvl w:ilvl="1" w:tentative="0">
      <w:start w:val="1"/>
      <w:numFmt w:val="decimal"/>
      <w:lvlText w:val="%1.%2"/>
      <w:lvlJc w:val="left"/>
      <w:pPr>
        <w:ind w:left="216" w:hanging="432"/>
        <w:jc w:val="left"/>
      </w:pPr>
      <w:rPr>
        <w:rFonts w:hint="default" w:ascii="宋体" w:hAnsi="宋体" w:eastAsia="宋体" w:cs="宋体"/>
        <w:b w:val="0"/>
        <w:bCs w:val="0"/>
        <w:i w:val="0"/>
        <w:iCs w:val="0"/>
        <w:w w:val="100"/>
        <w:sz w:val="24"/>
        <w:szCs w:val="24"/>
        <w:lang w:val="en-US" w:eastAsia="zh-CN" w:bidi="ar-SA"/>
      </w:rPr>
    </w:lvl>
    <w:lvl w:ilvl="2" w:tentative="0">
      <w:start w:val="0"/>
      <w:numFmt w:val="bullet"/>
      <w:lvlText w:val="•"/>
      <w:lvlJc w:val="left"/>
      <w:pPr>
        <w:ind w:left="1180" w:hanging="432"/>
      </w:pPr>
      <w:rPr>
        <w:rFonts w:hint="default"/>
        <w:lang w:val="en-US" w:eastAsia="zh-CN" w:bidi="ar-SA"/>
      </w:rPr>
    </w:lvl>
    <w:lvl w:ilvl="3" w:tentative="0">
      <w:start w:val="0"/>
      <w:numFmt w:val="bullet"/>
      <w:lvlText w:val="•"/>
      <w:lvlJc w:val="left"/>
      <w:pPr>
        <w:ind w:left="2330" w:hanging="432"/>
      </w:pPr>
      <w:rPr>
        <w:rFonts w:hint="default"/>
        <w:lang w:val="en-US" w:eastAsia="zh-CN" w:bidi="ar-SA"/>
      </w:rPr>
    </w:lvl>
    <w:lvl w:ilvl="4" w:tentative="0">
      <w:start w:val="0"/>
      <w:numFmt w:val="bullet"/>
      <w:lvlText w:val="•"/>
      <w:lvlJc w:val="left"/>
      <w:pPr>
        <w:ind w:left="3481" w:hanging="432"/>
      </w:pPr>
      <w:rPr>
        <w:rFonts w:hint="default"/>
        <w:lang w:val="en-US" w:eastAsia="zh-CN" w:bidi="ar-SA"/>
      </w:rPr>
    </w:lvl>
    <w:lvl w:ilvl="5" w:tentative="0">
      <w:start w:val="0"/>
      <w:numFmt w:val="bullet"/>
      <w:lvlText w:val="•"/>
      <w:lvlJc w:val="left"/>
      <w:pPr>
        <w:ind w:left="4632" w:hanging="432"/>
      </w:pPr>
      <w:rPr>
        <w:rFonts w:hint="default"/>
        <w:lang w:val="en-US" w:eastAsia="zh-CN" w:bidi="ar-SA"/>
      </w:rPr>
    </w:lvl>
    <w:lvl w:ilvl="6" w:tentative="0">
      <w:start w:val="0"/>
      <w:numFmt w:val="bullet"/>
      <w:lvlText w:val="•"/>
      <w:lvlJc w:val="left"/>
      <w:pPr>
        <w:ind w:left="5783" w:hanging="432"/>
      </w:pPr>
      <w:rPr>
        <w:rFonts w:hint="default"/>
        <w:lang w:val="en-US" w:eastAsia="zh-CN" w:bidi="ar-SA"/>
      </w:rPr>
    </w:lvl>
    <w:lvl w:ilvl="7" w:tentative="0">
      <w:start w:val="0"/>
      <w:numFmt w:val="bullet"/>
      <w:lvlText w:val="•"/>
      <w:lvlJc w:val="left"/>
      <w:pPr>
        <w:ind w:left="6934" w:hanging="432"/>
      </w:pPr>
      <w:rPr>
        <w:rFonts w:hint="default"/>
        <w:lang w:val="en-US" w:eastAsia="zh-CN" w:bidi="ar-SA"/>
      </w:rPr>
    </w:lvl>
    <w:lvl w:ilvl="8" w:tentative="0">
      <w:start w:val="0"/>
      <w:numFmt w:val="bullet"/>
      <w:lvlText w:val="•"/>
      <w:lvlJc w:val="left"/>
      <w:pPr>
        <w:ind w:left="8084" w:hanging="432"/>
      </w:pPr>
      <w:rPr>
        <w:rFonts w:hint="default"/>
        <w:lang w:val="en-US" w:eastAsia="zh-CN" w:bidi="ar-SA"/>
      </w:rPr>
    </w:lvl>
  </w:abstractNum>
  <w:abstractNum w:abstractNumId="22">
    <w:nsid w:val="3CF11FD0"/>
    <w:multiLevelType w:val="singleLevel"/>
    <w:tmpl w:val="3CF11FD0"/>
    <w:lvl w:ilvl="0" w:tentative="0">
      <w:start w:val="6"/>
      <w:numFmt w:val="chineseCounting"/>
      <w:suff w:val="space"/>
      <w:lvlText w:val="第%1条"/>
      <w:lvlJc w:val="left"/>
      <w:rPr>
        <w:rFonts w:hint="eastAsia"/>
      </w:rPr>
    </w:lvl>
  </w:abstractNum>
  <w:abstractNum w:abstractNumId="23">
    <w:nsid w:val="46A08BB8"/>
    <w:multiLevelType w:val="multilevel"/>
    <w:tmpl w:val="46A08BB8"/>
    <w:lvl w:ilvl="0" w:tentative="0">
      <w:start w:val="1"/>
      <w:numFmt w:val="decimal"/>
      <w:lvlText w:val="（%1）"/>
      <w:lvlJc w:val="left"/>
      <w:pPr>
        <w:ind w:left="1297"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08" w:hanging="601"/>
      </w:pPr>
      <w:rPr>
        <w:rFonts w:hint="default"/>
        <w:lang w:val="en-US" w:eastAsia="zh-CN" w:bidi="ar-SA"/>
      </w:rPr>
    </w:lvl>
    <w:lvl w:ilvl="2" w:tentative="0">
      <w:start w:val="0"/>
      <w:numFmt w:val="bullet"/>
      <w:lvlText w:val="•"/>
      <w:lvlJc w:val="left"/>
      <w:pPr>
        <w:ind w:left="3117" w:hanging="601"/>
      </w:pPr>
      <w:rPr>
        <w:rFonts w:hint="default"/>
        <w:lang w:val="en-US" w:eastAsia="zh-CN" w:bidi="ar-SA"/>
      </w:rPr>
    </w:lvl>
    <w:lvl w:ilvl="3" w:tentative="0">
      <w:start w:val="0"/>
      <w:numFmt w:val="bullet"/>
      <w:lvlText w:val="•"/>
      <w:lvlJc w:val="left"/>
      <w:pPr>
        <w:ind w:left="4025" w:hanging="601"/>
      </w:pPr>
      <w:rPr>
        <w:rFonts w:hint="default"/>
        <w:lang w:val="en-US" w:eastAsia="zh-CN" w:bidi="ar-SA"/>
      </w:rPr>
    </w:lvl>
    <w:lvl w:ilvl="4" w:tentative="0">
      <w:start w:val="0"/>
      <w:numFmt w:val="bullet"/>
      <w:lvlText w:val="•"/>
      <w:lvlJc w:val="left"/>
      <w:pPr>
        <w:ind w:left="4934" w:hanging="601"/>
      </w:pPr>
      <w:rPr>
        <w:rFonts w:hint="default"/>
        <w:lang w:val="en-US" w:eastAsia="zh-CN" w:bidi="ar-SA"/>
      </w:rPr>
    </w:lvl>
    <w:lvl w:ilvl="5" w:tentative="0">
      <w:start w:val="0"/>
      <w:numFmt w:val="bullet"/>
      <w:lvlText w:val="•"/>
      <w:lvlJc w:val="left"/>
      <w:pPr>
        <w:ind w:left="5843" w:hanging="601"/>
      </w:pPr>
      <w:rPr>
        <w:rFonts w:hint="default"/>
        <w:lang w:val="en-US" w:eastAsia="zh-CN" w:bidi="ar-SA"/>
      </w:rPr>
    </w:lvl>
    <w:lvl w:ilvl="6" w:tentative="0">
      <w:start w:val="0"/>
      <w:numFmt w:val="bullet"/>
      <w:lvlText w:val="•"/>
      <w:lvlJc w:val="left"/>
      <w:pPr>
        <w:ind w:left="6751" w:hanging="601"/>
      </w:pPr>
      <w:rPr>
        <w:rFonts w:hint="default"/>
        <w:lang w:val="en-US" w:eastAsia="zh-CN" w:bidi="ar-SA"/>
      </w:rPr>
    </w:lvl>
    <w:lvl w:ilvl="7" w:tentative="0">
      <w:start w:val="0"/>
      <w:numFmt w:val="bullet"/>
      <w:lvlText w:val="•"/>
      <w:lvlJc w:val="left"/>
      <w:pPr>
        <w:ind w:left="7660" w:hanging="601"/>
      </w:pPr>
      <w:rPr>
        <w:rFonts w:hint="default"/>
        <w:lang w:val="en-US" w:eastAsia="zh-CN" w:bidi="ar-SA"/>
      </w:rPr>
    </w:lvl>
    <w:lvl w:ilvl="8" w:tentative="0">
      <w:start w:val="0"/>
      <w:numFmt w:val="bullet"/>
      <w:lvlText w:val="•"/>
      <w:lvlJc w:val="left"/>
      <w:pPr>
        <w:ind w:left="8569" w:hanging="601"/>
      </w:pPr>
      <w:rPr>
        <w:rFonts w:hint="default"/>
        <w:lang w:val="en-US" w:eastAsia="zh-CN" w:bidi="ar-SA"/>
      </w:rPr>
    </w:lvl>
  </w:abstractNum>
  <w:abstractNum w:abstractNumId="24">
    <w:nsid w:val="4C1BAE26"/>
    <w:multiLevelType w:val="multilevel"/>
    <w:tmpl w:val="4C1BAE26"/>
    <w:lvl w:ilvl="0" w:tentative="0">
      <w:start w:val="1"/>
      <w:numFmt w:val="decimal"/>
      <w:lvlText w:val="（%1）"/>
      <w:lvlJc w:val="left"/>
      <w:pPr>
        <w:ind w:left="1297"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08" w:hanging="601"/>
      </w:pPr>
      <w:rPr>
        <w:rFonts w:hint="default"/>
        <w:lang w:val="en-US" w:eastAsia="zh-CN" w:bidi="ar-SA"/>
      </w:rPr>
    </w:lvl>
    <w:lvl w:ilvl="2" w:tentative="0">
      <w:start w:val="0"/>
      <w:numFmt w:val="bullet"/>
      <w:lvlText w:val="•"/>
      <w:lvlJc w:val="left"/>
      <w:pPr>
        <w:ind w:left="3117" w:hanging="601"/>
      </w:pPr>
      <w:rPr>
        <w:rFonts w:hint="default"/>
        <w:lang w:val="en-US" w:eastAsia="zh-CN" w:bidi="ar-SA"/>
      </w:rPr>
    </w:lvl>
    <w:lvl w:ilvl="3" w:tentative="0">
      <w:start w:val="0"/>
      <w:numFmt w:val="bullet"/>
      <w:lvlText w:val="•"/>
      <w:lvlJc w:val="left"/>
      <w:pPr>
        <w:ind w:left="4025" w:hanging="601"/>
      </w:pPr>
      <w:rPr>
        <w:rFonts w:hint="default"/>
        <w:lang w:val="en-US" w:eastAsia="zh-CN" w:bidi="ar-SA"/>
      </w:rPr>
    </w:lvl>
    <w:lvl w:ilvl="4" w:tentative="0">
      <w:start w:val="0"/>
      <w:numFmt w:val="bullet"/>
      <w:lvlText w:val="•"/>
      <w:lvlJc w:val="left"/>
      <w:pPr>
        <w:ind w:left="4934" w:hanging="601"/>
      </w:pPr>
      <w:rPr>
        <w:rFonts w:hint="default"/>
        <w:lang w:val="en-US" w:eastAsia="zh-CN" w:bidi="ar-SA"/>
      </w:rPr>
    </w:lvl>
    <w:lvl w:ilvl="5" w:tentative="0">
      <w:start w:val="0"/>
      <w:numFmt w:val="bullet"/>
      <w:lvlText w:val="•"/>
      <w:lvlJc w:val="left"/>
      <w:pPr>
        <w:ind w:left="5843" w:hanging="601"/>
      </w:pPr>
      <w:rPr>
        <w:rFonts w:hint="default"/>
        <w:lang w:val="en-US" w:eastAsia="zh-CN" w:bidi="ar-SA"/>
      </w:rPr>
    </w:lvl>
    <w:lvl w:ilvl="6" w:tentative="0">
      <w:start w:val="0"/>
      <w:numFmt w:val="bullet"/>
      <w:lvlText w:val="•"/>
      <w:lvlJc w:val="left"/>
      <w:pPr>
        <w:ind w:left="6751" w:hanging="601"/>
      </w:pPr>
      <w:rPr>
        <w:rFonts w:hint="default"/>
        <w:lang w:val="en-US" w:eastAsia="zh-CN" w:bidi="ar-SA"/>
      </w:rPr>
    </w:lvl>
    <w:lvl w:ilvl="7" w:tentative="0">
      <w:start w:val="0"/>
      <w:numFmt w:val="bullet"/>
      <w:lvlText w:val="•"/>
      <w:lvlJc w:val="left"/>
      <w:pPr>
        <w:ind w:left="7660" w:hanging="601"/>
      </w:pPr>
      <w:rPr>
        <w:rFonts w:hint="default"/>
        <w:lang w:val="en-US" w:eastAsia="zh-CN" w:bidi="ar-SA"/>
      </w:rPr>
    </w:lvl>
    <w:lvl w:ilvl="8" w:tentative="0">
      <w:start w:val="0"/>
      <w:numFmt w:val="bullet"/>
      <w:lvlText w:val="•"/>
      <w:lvlJc w:val="left"/>
      <w:pPr>
        <w:ind w:left="8569" w:hanging="601"/>
      </w:pPr>
      <w:rPr>
        <w:rFonts w:hint="default"/>
        <w:lang w:val="en-US" w:eastAsia="zh-CN" w:bidi="ar-SA"/>
      </w:rPr>
    </w:lvl>
  </w:abstractNum>
  <w:abstractNum w:abstractNumId="25">
    <w:nsid w:val="4CD1E351"/>
    <w:multiLevelType w:val="multilevel"/>
    <w:tmpl w:val="4CD1E351"/>
    <w:lvl w:ilvl="0" w:tentative="0">
      <w:start w:val="1"/>
      <w:numFmt w:val="decimal"/>
      <w:lvlText w:val="（%1）"/>
      <w:lvlJc w:val="left"/>
      <w:pPr>
        <w:ind w:left="94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1" w:hanging="601"/>
      </w:pPr>
      <w:rPr>
        <w:rFonts w:hint="default"/>
        <w:lang w:val="zh-CN" w:eastAsia="zh-CN" w:bidi="zh-CN"/>
      </w:rPr>
    </w:lvl>
    <w:lvl w:ilvl="2" w:tentative="0">
      <w:start w:val="0"/>
      <w:numFmt w:val="bullet"/>
      <w:lvlText w:val="•"/>
      <w:lvlJc w:val="left"/>
      <w:pPr>
        <w:ind w:left="2962" w:hanging="601"/>
      </w:pPr>
      <w:rPr>
        <w:rFonts w:hint="default"/>
        <w:lang w:val="zh-CN" w:eastAsia="zh-CN" w:bidi="zh-CN"/>
      </w:rPr>
    </w:lvl>
    <w:lvl w:ilvl="3" w:tentative="0">
      <w:start w:val="0"/>
      <w:numFmt w:val="bullet"/>
      <w:lvlText w:val="•"/>
      <w:lvlJc w:val="left"/>
      <w:pPr>
        <w:ind w:left="3973" w:hanging="601"/>
      </w:pPr>
      <w:rPr>
        <w:rFonts w:hint="default"/>
        <w:lang w:val="zh-CN" w:eastAsia="zh-CN" w:bidi="zh-CN"/>
      </w:rPr>
    </w:lvl>
    <w:lvl w:ilvl="4" w:tentative="0">
      <w:start w:val="0"/>
      <w:numFmt w:val="bullet"/>
      <w:lvlText w:val="•"/>
      <w:lvlJc w:val="left"/>
      <w:pPr>
        <w:ind w:left="4984" w:hanging="601"/>
      </w:pPr>
      <w:rPr>
        <w:rFonts w:hint="default"/>
        <w:lang w:val="zh-CN" w:eastAsia="zh-CN" w:bidi="zh-CN"/>
      </w:rPr>
    </w:lvl>
    <w:lvl w:ilvl="5" w:tentative="0">
      <w:start w:val="0"/>
      <w:numFmt w:val="bullet"/>
      <w:lvlText w:val="•"/>
      <w:lvlJc w:val="left"/>
      <w:pPr>
        <w:ind w:left="5995" w:hanging="601"/>
      </w:pPr>
      <w:rPr>
        <w:rFonts w:hint="default"/>
        <w:lang w:val="zh-CN" w:eastAsia="zh-CN" w:bidi="zh-CN"/>
      </w:rPr>
    </w:lvl>
    <w:lvl w:ilvl="6" w:tentative="0">
      <w:start w:val="0"/>
      <w:numFmt w:val="bullet"/>
      <w:lvlText w:val="•"/>
      <w:lvlJc w:val="left"/>
      <w:pPr>
        <w:ind w:left="7006" w:hanging="601"/>
      </w:pPr>
      <w:rPr>
        <w:rFonts w:hint="default"/>
        <w:lang w:val="zh-CN" w:eastAsia="zh-CN" w:bidi="zh-CN"/>
      </w:rPr>
    </w:lvl>
    <w:lvl w:ilvl="7" w:tentative="0">
      <w:start w:val="0"/>
      <w:numFmt w:val="bullet"/>
      <w:lvlText w:val="•"/>
      <w:lvlJc w:val="left"/>
      <w:pPr>
        <w:ind w:left="8017" w:hanging="601"/>
      </w:pPr>
      <w:rPr>
        <w:rFonts w:hint="default"/>
        <w:lang w:val="zh-CN" w:eastAsia="zh-CN" w:bidi="zh-CN"/>
      </w:rPr>
    </w:lvl>
    <w:lvl w:ilvl="8" w:tentative="0">
      <w:start w:val="0"/>
      <w:numFmt w:val="bullet"/>
      <w:lvlText w:val="•"/>
      <w:lvlJc w:val="left"/>
      <w:pPr>
        <w:ind w:left="9028" w:hanging="601"/>
      </w:pPr>
      <w:rPr>
        <w:rFonts w:hint="default"/>
        <w:lang w:val="zh-CN" w:eastAsia="zh-CN" w:bidi="zh-CN"/>
      </w:rPr>
    </w:lvl>
  </w:abstractNum>
  <w:abstractNum w:abstractNumId="26">
    <w:nsid w:val="4D4DC07F"/>
    <w:multiLevelType w:val="multilevel"/>
    <w:tmpl w:val="4D4DC07F"/>
    <w:lvl w:ilvl="0" w:tentative="0">
      <w:start w:val="1"/>
      <w:numFmt w:val="decimal"/>
      <w:lvlText w:val="（%1）"/>
      <w:lvlJc w:val="left"/>
      <w:pPr>
        <w:ind w:left="216" w:hanging="608"/>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236" w:hanging="608"/>
      </w:pPr>
      <w:rPr>
        <w:rFonts w:hint="default"/>
        <w:lang w:val="en-US" w:eastAsia="zh-CN" w:bidi="ar-SA"/>
      </w:rPr>
    </w:lvl>
    <w:lvl w:ilvl="2" w:tentative="0">
      <w:start w:val="0"/>
      <w:numFmt w:val="bullet"/>
      <w:lvlText w:val="•"/>
      <w:lvlJc w:val="left"/>
      <w:pPr>
        <w:ind w:left="2253" w:hanging="608"/>
      </w:pPr>
      <w:rPr>
        <w:rFonts w:hint="default"/>
        <w:lang w:val="en-US" w:eastAsia="zh-CN" w:bidi="ar-SA"/>
      </w:rPr>
    </w:lvl>
    <w:lvl w:ilvl="3" w:tentative="0">
      <w:start w:val="0"/>
      <w:numFmt w:val="bullet"/>
      <w:lvlText w:val="•"/>
      <w:lvlJc w:val="left"/>
      <w:pPr>
        <w:ind w:left="3269" w:hanging="608"/>
      </w:pPr>
      <w:rPr>
        <w:rFonts w:hint="default"/>
        <w:lang w:val="en-US" w:eastAsia="zh-CN" w:bidi="ar-SA"/>
      </w:rPr>
    </w:lvl>
    <w:lvl w:ilvl="4" w:tentative="0">
      <w:start w:val="0"/>
      <w:numFmt w:val="bullet"/>
      <w:lvlText w:val="•"/>
      <w:lvlJc w:val="left"/>
      <w:pPr>
        <w:ind w:left="4286" w:hanging="608"/>
      </w:pPr>
      <w:rPr>
        <w:rFonts w:hint="default"/>
        <w:lang w:val="en-US" w:eastAsia="zh-CN" w:bidi="ar-SA"/>
      </w:rPr>
    </w:lvl>
    <w:lvl w:ilvl="5" w:tentative="0">
      <w:start w:val="0"/>
      <w:numFmt w:val="bullet"/>
      <w:lvlText w:val="•"/>
      <w:lvlJc w:val="left"/>
      <w:pPr>
        <w:ind w:left="5303" w:hanging="608"/>
      </w:pPr>
      <w:rPr>
        <w:rFonts w:hint="default"/>
        <w:lang w:val="en-US" w:eastAsia="zh-CN" w:bidi="ar-SA"/>
      </w:rPr>
    </w:lvl>
    <w:lvl w:ilvl="6" w:tentative="0">
      <w:start w:val="0"/>
      <w:numFmt w:val="bullet"/>
      <w:lvlText w:val="•"/>
      <w:lvlJc w:val="left"/>
      <w:pPr>
        <w:ind w:left="6319" w:hanging="608"/>
      </w:pPr>
      <w:rPr>
        <w:rFonts w:hint="default"/>
        <w:lang w:val="en-US" w:eastAsia="zh-CN" w:bidi="ar-SA"/>
      </w:rPr>
    </w:lvl>
    <w:lvl w:ilvl="7" w:tentative="0">
      <w:start w:val="0"/>
      <w:numFmt w:val="bullet"/>
      <w:lvlText w:val="•"/>
      <w:lvlJc w:val="left"/>
      <w:pPr>
        <w:ind w:left="7336" w:hanging="608"/>
      </w:pPr>
      <w:rPr>
        <w:rFonts w:hint="default"/>
        <w:lang w:val="en-US" w:eastAsia="zh-CN" w:bidi="ar-SA"/>
      </w:rPr>
    </w:lvl>
    <w:lvl w:ilvl="8" w:tentative="0">
      <w:start w:val="0"/>
      <w:numFmt w:val="bullet"/>
      <w:lvlText w:val="•"/>
      <w:lvlJc w:val="left"/>
      <w:pPr>
        <w:ind w:left="8353" w:hanging="608"/>
      </w:pPr>
      <w:rPr>
        <w:rFonts w:hint="default"/>
        <w:lang w:val="en-US" w:eastAsia="zh-CN" w:bidi="ar-SA"/>
      </w:rPr>
    </w:lvl>
  </w:abstractNum>
  <w:abstractNum w:abstractNumId="27">
    <w:nsid w:val="5A241D34"/>
    <w:multiLevelType w:val="multilevel"/>
    <w:tmpl w:val="5A241D34"/>
    <w:lvl w:ilvl="0" w:tentative="0">
      <w:start w:val="1"/>
      <w:numFmt w:val="decimal"/>
      <w:lvlText w:val="（%1）"/>
      <w:lvlJc w:val="left"/>
      <w:pPr>
        <w:ind w:left="1297" w:hanging="60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08" w:hanging="601"/>
      </w:pPr>
      <w:rPr>
        <w:rFonts w:hint="default"/>
        <w:lang w:val="en-US" w:eastAsia="zh-CN" w:bidi="ar-SA"/>
      </w:rPr>
    </w:lvl>
    <w:lvl w:ilvl="2" w:tentative="0">
      <w:start w:val="0"/>
      <w:numFmt w:val="bullet"/>
      <w:lvlText w:val="•"/>
      <w:lvlJc w:val="left"/>
      <w:pPr>
        <w:ind w:left="3117" w:hanging="601"/>
      </w:pPr>
      <w:rPr>
        <w:rFonts w:hint="default"/>
        <w:lang w:val="en-US" w:eastAsia="zh-CN" w:bidi="ar-SA"/>
      </w:rPr>
    </w:lvl>
    <w:lvl w:ilvl="3" w:tentative="0">
      <w:start w:val="0"/>
      <w:numFmt w:val="bullet"/>
      <w:lvlText w:val="•"/>
      <w:lvlJc w:val="left"/>
      <w:pPr>
        <w:ind w:left="4025" w:hanging="601"/>
      </w:pPr>
      <w:rPr>
        <w:rFonts w:hint="default"/>
        <w:lang w:val="en-US" w:eastAsia="zh-CN" w:bidi="ar-SA"/>
      </w:rPr>
    </w:lvl>
    <w:lvl w:ilvl="4" w:tentative="0">
      <w:start w:val="0"/>
      <w:numFmt w:val="bullet"/>
      <w:lvlText w:val="•"/>
      <w:lvlJc w:val="left"/>
      <w:pPr>
        <w:ind w:left="4934" w:hanging="601"/>
      </w:pPr>
      <w:rPr>
        <w:rFonts w:hint="default"/>
        <w:lang w:val="en-US" w:eastAsia="zh-CN" w:bidi="ar-SA"/>
      </w:rPr>
    </w:lvl>
    <w:lvl w:ilvl="5" w:tentative="0">
      <w:start w:val="0"/>
      <w:numFmt w:val="bullet"/>
      <w:lvlText w:val="•"/>
      <w:lvlJc w:val="left"/>
      <w:pPr>
        <w:ind w:left="5843" w:hanging="601"/>
      </w:pPr>
      <w:rPr>
        <w:rFonts w:hint="default"/>
        <w:lang w:val="en-US" w:eastAsia="zh-CN" w:bidi="ar-SA"/>
      </w:rPr>
    </w:lvl>
    <w:lvl w:ilvl="6" w:tentative="0">
      <w:start w:val="0"/>
      <w:numFmt w:val="bullet"/>
      <w:lvlText w:val="•"/>
      <w:lvlJc w:val="left"/>
      <w:pPr>
        <w:ind w:left="6751" w:hanging="601"/>
      </w:pPr>
      <w:rPr>
        <w:rFonts w:hint="default"/>
        <w:lang w:val="en-US" w:eastAsia="zh-CN" w:bidi="ar-SA"/>
      </w:rPr>
    </w:lvl>
    <w:lvl w:ilvl="7" w:tentative="0">
      <w:start w:val="0"/>
      <w:numFmt w:val="bullet"/>
      <w:lvlText w:val="•"/>
      <w:lvlJc w:val="left"/>
      <w:pPr>
        <w:ind w:left="7660" w:hanging="601"/>
      </w:pPr>
      <w:rPr>
        <w:rFonts w:hint="default"/>
        <w:lang w:val="en-US" w:eastAsia="zh-CN" w:bidi="ar-SA"/>
      </w:rPr>
    </w:lvl>
    <w:lvl w:ilvl="8" w:tentative="0">
      <w:start w:val="0"/>
      <w:numFmt w:val="bullet"/>
      <w:lvlText w:val="•"/>
      <w:lvlJc w:val="left"/>
      <w:pPr>
        <w:ind w:left="8569" w:hanging="601"/>
      </w:pPr>
      <w:rPr>
        <w:rFonts w:hint="default"/>
        <w:lang w:val="en-US" w:eastAsia="zh-CN" w:bidi="ar-SA"/>
      </w:rPr>
    </w:lvl>
  </w:abstractNum>
  <w:abstractNum w:abstractNumId="28">
    <w:nsid w:val="661743FE"/>
    <w:multiLevelType w:val="multilevel"/>
    <w:tmpl w:val="661743FE"/>
    <w:lvl w:ilvl="0" w:tentative="0">
      <w:start w:val="1"/>
      <w:numFmt w:val="decimal"/>
      <w:lvlText w:val="%1"/>
      <w:lvlJc w:val="left"/>
      <w:pPr>
        <w:ind w:left="480" w:hanging="480"/>
      </w:pPr>
    </w:lvl>
    <w:lvl w:ilvl="1" w:tentative="0">
      <w:start w:val="1"/>
      <w:numFmt w:val="decimal"/>
      <w:lvlText w:val="%1.%2"/>
      <w:lvlJc w:val="left"/>
      <w:pPr>
        <w:ind w:left="690" w:hanging="480"/>
      </w:pPr>
    </w:lvl>
    <w:lvl w:ilvl="2" w:tentative="0">
      <w:start w:val="1"/>
      <w:numFmt w:val="decimal"/>
      <w:lvlText w:val="%1.%2.%3"/>
      <w:lvlJc w:val="left"/>
      <w:pPr>
        <w:ind w:left="1140" w:hanging="720"/>
      </w:pPr>
    </w:lvl>
    <w:lvl w:ilvl="3" w:tentative="0">
      <w:start w:val="1"/>
      <w:numFmt w:val="decimal"/>
      <w:lvlText w:val="%1.%2.%3.%4"/>
      <w:lvlJc w:val="left"/>
      <w:pPr>
        <w:ind w:left="1350" w:hanging="720"/>
      </w:pPr>
    </w:lvl>
    <w:lvl w:ilvl="4" w:tentative="0">
      <w:start w:val="1"/>
      <w:numFmt w:val="decimal"/>
      <w:lvlText w:val="%1.%2.%3.%4.%5"/>
      <w:lvlJc w:val="left"/>
      <w:pPr>
        <w:ind w:left="1920" w:hanging="1080"/>
      </w:pPr>
    </w:lvl>
    <w:lvl w:ilvl="5" w:tentative="0">
      <w:start w:val="1"/>
      <w:numFmt w:val="decimal"/>
      <w:lvlText w:val="%1.%2.%3.%4.%5.%6"/>
      <w:lvlJc w:val="left"/>
      <w:pPr>
        <w:ind w:left="2130" w:hanging="1080"/>
      </w:pPr>
    </w:lvl>
    <w:lvl w:ilvl="6" w:tentative="0">
      <w:start w:val="1"/>
      <w:numFmt w:val="decimal"/>
      <w:lvlText w:val="%1.%2.%3.%4.%5.%6.%7"/>
      <w:lvlJc w:val="left"/>
      <w:pPr>
        <w:ind w:left="2340" w:hanging="1080"/>
      </w:pPr>
    </w:lvl>
    <w:lvl w:ilvl="7" w:tentative="0">
      <w:start w:val="1"/>
      <w:numFmt w:val="decimal"/>
      <w:lvlText w:val="%1.%2.%3.%4.%5.%6.%7.%8"/>
      <w:lvlJc w:val="left"/>
      <w:pPr>
        <w:ind w:left="2910" w:hanging="1440"/>
      </w:pPr>
    </w:lvl>
    <w:lvl w:ilvl="8" w:tentative="0">
      <w:start w:val="1"/>
      <w:numFmt w:val="decimal"/>
      <w:lvlText w:val="%1.%2.%3.%4.%5.%6.%7.%8.%9"/>
      <w:lvlJc w:val="left"/>
      <w:pPr>
        <w:ind w:left="3120" w:hanging="1440"/>
      </w:pPr>
    </w:lvl>
  </w:abstractNum>
  <w:abstractNum w:abstractNumId="29">
    <w:nsid w:val="661743FF"/>
    <w:multiLevelType w:val="singleLevel"/>
    <w:tmpl w:val="661743FF"/>
    <w:lvl w:ilvl="0" w:tentative="0">
      <w:start w:val="1"/>
      <w:numFmt w:val="lowerLetter"/>
      <w:suff w:val="nothing"/>
      <w:lvlText w:val="%1）"/>
      <w:lvlJc w:val="left"/>
    </w:lvl>
  </w:abstractNum>
  <w:abstractNum w:abstractNumId="30">
    <w:nsid w:val="68B298F7"/>
    <w:multiLevelType w:val="multilevel"/>
    <w:tmpl w:val="68B298F7"/>
    <w:lvl w:ilvl="0" w:tentative="0">
      <w:start w:val="1"/>
      <w:numFmt w:val="decimal"/>
      <w:lvlText w:val="（%1）"/>
      <w:lvlJc w:val="left"/>
      <w:pPr>
        <w:ind w:left="34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411" w:hanging="601"/>
      </w:pPr>
      <w:rPr>
        <w:rFonts w:hint="default"/>
        <w:lang w:val="zh-CN" w:eastAsia="zh-CN" w:bidi="zh-CN"/>
      </w:rPr>
    </w:lvl>
    <w:lvl w:ilvl="2" w:tentative="0">
      <w:start w:val="0"/>
      <w:numFmt w:val="bullet"/>
      <w:lvlText w:val="•"/>
      <w:lvlJc w:val="left"/>
      <w:pPr>
        <w:ind w:left="2482" w:hanging="601"/>
      </w:pPr>
      <w:rPr>
        <w:rFonts w:hint="default"/>
        <w:lang w:val="zh-CN" w:eastAsia="zh-CN" w:bidi="zh-CN"/>
      </w:rPr>
    </w:lvl>
    <w:lvl w:ilvl="3" w:tentative="0">
      <w:start w:val="0"/>
      <w:numFmt w:val="bullet"/>
      <w:lvlText w:val="•"/>
      <w:lvlJc w:val="left"/>
      <w:pPr>
        <w:ind w:left="3553" w:hanging="601"/>
      </w:pPr>
      <w:rPr>
        <w:rFonts w:hint="default"/>
        <w:lang w:val="zh-CN" w:eastAsia="zh-CN" w:bidi="zh-CN"/>
      </w:rPr>
    </w:lvl>
    <w:lvl w:ilvl="4" w:tentative="0">
      <w:start w:val="0"/>
      <w:numFmt w:val="bullet"/>
      <w:lvlText w:val="•"/>
      <w:lvlJc w:val="left"/>
      <w:pPr>
        <w:ind w:left="4624" w:hanging="601"/>
      </w:pPr>
      <w:rPr>
        <w:rFonts w:hint="default"/>
        <w:lang w:val="zh-CN" w:eastAsia="zh-CN" w:bidi="zh-CN"/>
      </w:rPr>
    </w:lvl>
    <w:lvl w:ilvl="5" w:tentative="0">
      <w:start w:val="0"/>
      <w:numFmt w:val="bullet"/>
      <w:lvlText w:val="•"/>
      <w:lvlJc w:val="left"/>
      <w:pPr>
        <w:ind w:left="5695" w:hanging="601"/>
      </w:pPr>
      <w:rPr>
        <w:rFonts w:hint="default"/>
        <w:lang w:val="zh-CN" w:eastAsia="zh-CN" w:bidi="zh-CN"/>
      </w:rPr>
    </w:lvl>
    <w:lvl w:ilvl="6" w:tentative="0">
      <w:start w:val="0"/>
      <w:numFmt w:val="bullet"/>
      <w:lvlText w:val="•"/>
      <w:lvlJc w:val="left"/>
      <w:pPr>
        <w:ind w:left="6766" w:hanging="601"/>
      </w:pPr>
      <w:rPr>
        <w:rFonts w:hint="default"/>
        <w:lang w:val="zh-CN" w:eastAsia="zh-CN" w:bidi="zh-CN"/>
      </w:rPr>
    </w:lvl>
    <w:lvl w:ilvl="7" w:tentative="0">
      <w:start w:val="0"/>
      <w:numFmt w:val="bullet"/>
      <w:lvlText w:val="•"/>
      <w:lvlJc w:val="left"/>
      <w:pPr>
        <w:ind w:left="7837" w:hanging="601"/>
      </w:pPr>
      <w:rPr>
        <w:rFonts w:hint="default"/>
        <w:lang w:val="zh-CN" w:eastAsia="zh-CN" w:bidi="zh-CN"/>
      </w:rPr>
    </w:lvl>
    <w:lvl w:ilvl="8" w:tentative="0">
      <w:start w:val="0"/>
      <w:numFmt w:val="bullet"/>
      <w:lvlText w:val="•"/>
      <w:lvlJc w:val="left"/>
      <w:pPr>
        <w:ind w:left="8908" w:hanging="601"/>
      </w:pPr>
      <w:rPr>
        <w:rFonts w:hint="default"/>
        <w:lang w:val="zh-CN" w:eastAsia="zh-CN" w:bidi="zh-CN"/>
      </w:rPr>
    </w:lvl>
  </w:abstractNum>
  <w:num w:numId="1">
    <w:abstractNumId w:val="15"/>
  </w:num>
  <w:num w:numId="2">
    <w:abstractNumId w:val="12"/>
  </w:num>
  <w:num w:numId="3">
    <w:abstractNumId w:val="8"/>
  </w:num>
  <w:num w:numId="4">
    <w:abstractNumId w:val="5"/>
  </w:num>
  <w:num w:numId="5">
    <w:abstractNumId w:val="18"/>
  </w:num>
  <w:num w:numId="6">
    <w:abstractNumId w:val="17"/>
  </w:num>
  <w:num w:numId="7">
    <w:abstractNumId w:val="2"/>
  </w:num>
  <w:num w:numId="8">
    <w:abstractNumId w:val="21"/>
  </w:num>
  <w:num w:numId="9">
    <w:abstractNumId w:val="27"/>
  </w:num>
  <w:num w:numId="10">
    <w:abstractNumId w:val="11"/>
  </w:num>
  <w:num w:numId="11">
    <w:abstractNumId w:val="26"/>
  </w:num>
  <w:num w:numId="12">
    <w:abstractNumId w:val="16"/>
  </w:num>
  <w:num w:numId="13">
    <w:abstractNumId w:val="20"/>
  </w:num>
  <w:num w:numId="14">
    <w:abstractNumId w:val="14"/>
  </w:num>
  <w:num w:numId="15">
    <w:abstractNumId w:val="13"/>
  </w:num>
  <w:num w:numId="16">
    <w:abstractNumId w:val="3"/>
  </w:num>
  <w:num w:numId="17">
    <w:abstractNumId w:val="24"/>
  </w:num>
  <w:num w:numId="18">
    <w:abstractNumId w:val="19"/>
  </w:num>
  <w:num w:numId="19">
    <w:abstractNumId w:val="23"/>
  </w:num>
  <w:num w:numId="20">
    <w:abstractNumId w:val="4"/>
  </w:num>
  <w:num w:numId="21">
    <w:abstractNumId w:val="6"/>
  </w:num>
  <w:num w:numId="22">
    <w:abstractNumId w:val="30"/>
  </w:num>
  <w:num w:numId="23">
    <w:abstractNumId w:val="22"/>
  </w:num>
  <w:num w:numId="24">
    <w:abstractNumId w:val="0"/>
  </w:num>
  <w:num w:numId="25">
    <w:abstractNumId w:val="7"/>
  </w:num>
  <w:num w:numId="26">
    <w:abstractNumId w:val="2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9"/>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mFhNTMzZGQ0Mzc0MDEyYjRkMjAyNGZmNTVkMzkifQ=="/>
  </w:docVars>
  <w:rsids>
    <w:rsidRoot w:val="00000000"/>
    <w:rsid w:val="001431BC"/>
    <w:rsid w:val="004E0863"/>
    <w:rsid w:val="00764D02"/>
    <w:rsid w:val="021D4A3E"/>
    <w:rsid w:val="025F2698"/>
    <w:rsid w:val="02F456F2"/>
    <w:rsid w:val="0332109E"/>
    <w:rsid w:val="034F1CBC"/>
    <w:rsid w:val="068D2FE8"/>
    <w:rsid w:val="069B7C33"/>
    <w:rsid w:val="082D7509"/>
    <w:rsid w:val="08C20CCF"/>
    <w:rsid w:val="08D37B58"/>
    <w:rsid w:val="0ADE171C"/>
    <w:rsid w:val="0AFC0FE7"/>
    <w:rsid w:val="0B837613"/>
    <w:rsid w:val="0C3C77C2"/>
    <w:rsid w:val="0CB33646"/>
    <w:rsid w:val="0E344BF5"/>
    <w:rsid w:val="0E541887"/>
    <w:rsid w:val="0ED2440E"/>
    <w:rsid w:val="0ED6488C"/>
    <w:rsid w:val="118E04D4"/>
    <w:rsid w:val="13065632"/>
    <w:rsid w:val="14444C0B"/>
    <w:rsid w:val="156B601C"/>
    <w:rsid w:val="15B14D7D"/>
    <w:rsid w:val="15D26E53"/>
    <w:rsid w:val="16994CA2"/>
    <w:rsid w:val="17EE4066"/>
    <w:rsid w:val="19A50196"/>
    <w:rsid w:val="1A033F8E"/>
    <w:rsid w:val="1BA05167"/>
    <w:rsid w:val="1BBD06D7"/>
    <w:rsid w:val="1C4050AC"/>
    <w:rsid w:val="1CE403CB"/>
    <w:rsid w:val="1DB4365C"/>
    <w:rsid w:val="1DDD2431"/>
    <w:rsid w:val="1E525738"/>
    <w:rsid w:val="20582D3F"/>
    <w:rsid w:val="21007DDF"/>
    <w:rsid w:val="21EF7359"/>
    <w:rsid w:val="220053D5"/>
    <w:rsid w:val="223A3B1E"/>
    <w:rsid w:val="22CD5368"/>
    <w:rsid w:val="23A67E9D"/>
    <w:rsid w:val="23BF0FAD"/>
    <w:rsid w:val="247E7636"/>
    <w:rsid w:val="25523147"/>
    <w:rsid w:val="26720056"/>
    <w:rsid w:val="27194E78"/>
    <w:rsid w:val="27271343"/>
    <w:rsid w:val="273823C4"/>
    <w:rsid w:val="27BA0593"/>
    <w:rsid w:val="27BC0609"/>
    <w:rsid w:val="27D347BD"/>
    <w:rsid w:val="284321AC"/>
    <w:rsid w:val="288050B2"/>
    <w:rsid w:val="2953641F"/>
    <w:rsid w:val="29FB3914"/>
    <w:rsid w:val="2B0B0A59"/>
    <w:rsid w:val="2B11486D"/>
    <w:rsid w:val="2B2A1DBA"/>
    <w:rsid w:val="2CEF24F1"/>
    <w:rsid w:val="2D1B36F8"/>
    <w:rsid w:val="2E8E065F"/>
    <w:rsid w:val="2F041F69"/>
    <w:rsid w:val="2F94153F"/>
    <w:rsid w:val="31163F6E"/>
    <w:rsid w:val="320C4B9C"/>
    <w:rsid w:val="320F4EAD"/>
    <w:rsid w:val="32793D73"/>
    <w:rsid w:val="38FF5DE7"/>
    <w:rsid w:val="3A8723CC"/>
    <w:rsid w:val="3B007A89"/>
    <w:rsid w:val="3BAB74E4"/>
    <w:rsid w:val="3BC97022"/>
    <w:rsid w:val="3EFB27CF"/>
    <w:rsid w:val="415E375B"/>
    <w:rsid w:val="42732603"/>
    <w:rsid w:val="431E31A2"/>
    <w:rsid w:val="438E5124"/>
    <w:rsid w:val="43D61CC4"/>
    <w:rsid w:val="440305EA"/>
    <w:rsid w:val="45C35791"/>
    <w:rsid w:val="462D194E"/>
    <w:rsid w:val="46632A4D"/>
    <w:rsid w:val="46B61944"/>
    <w:rsid w:val="46CC73B9"/>
    <w:rsid w:val="47610176"/>
    <w:rsid w:val="48943F06"/>
    <w:rsid w:val="49BB79E6"/>
    <w:rsid w:val="4A2F1BDF"/>
    <w:rsid w:val="4A315EB1"/>
    <w:rsid w:val="4A7A27F3"/>
    <w:rsid w:val="4B862E2B"/>
    <w:rsid w:val="4BD10A4C"/>
    <w:rsid w:val="4C433C79"/>
    <w:rsid w:val="4CC4707B"/>
    <w:rsid w:val="4D5819A6"/>
    <w:rsid w:val="4D624E8F"/>
    <w:rsid w:val="4EE21D40"/>
    <w:rsid w:val="4F974B6F"/>
    <w:rsid w:val="508E3FFB"/>
    <w:rsid w:val="51FF76D6"/>
    <w:rsid w:val="539809C7"/>
    <w:rsid w:val="53D22848"/>
    <w:rsid w:val="540E1011"/>
    <w:rsid w:val="54BA6AA3"/>
    <w:rsid w:val="55CE71CF"/>
    <w:rsid w:val="56C409D0"/>
    <w:rsid w:val="56D025AE"/>
    <w:rsid w:val="571B57C8"/>
    <w:rsid w:val="57603931"/>
    <w:rsid w:val="59FF5F31"/>
    <w:rsid w:val="5A2A4DA0"/>
    <w:rsid w:val="5A470297"/>
    <w:rsid w:val="5A5448EE"/>
    <w:rsid w:val="5A7C6356"/>
    <w:rsid w:val="5A8C57BB"/>
    <w:rsid w:val="5C1E7A4D"/>
    <w:rsid w:val="5C58107B"/>
    <w:rsid w:val="5F356A51"/>
    <w:rsid w:val="5F4B51FA"/>
    <w:rsid w:val="600124F5"/>
    <w:rsid w:val="61A17ADA"/>
    <w:rsid w:val="62142AE0"/>
    <w:rsid w:val="647E7AED"/>
    <w:rsid w:val="64E5170D"/>
    <w:rsid w:val="64F058F1"/>
    <w:rsid w:val="65807814"/>
    <w:rsid w:val="660D52D7"/>
    <w:rsid w:val="66E92A3D"/>
    <w:rsid w:val="676254A4"/>
    <w:rsid w:val="67B62AEB"/>
    <w:rsid w:val="67C3604B"/>
    <w:rsid w:val="690D487B"/>
    <w:rsid w:val="699E09C7"/>
    <w:rsid w:val="6C2703D2"/>
    <w:rsid w:val="6C9A748E"/>
    <w:rsid w:val="6D2E1F4E"/>
    <w:rsid w:val="6D6550EC"/>
    <w:rsid w:val="6EC052C7"/>
    <w:rsid w:val="6F7C5FBC"/>
    <w:rsid w:val="70205EFC"/>
    <w:rsid w:val="702E12AD"/>
    <w:rsid w:val="71EC42E8"/>
    <w:rsid w:val="725105EF"/>
    <w:rsid w:val="73C44DF0"/>
    <w:rsid w:val="74C417B0"/>
    <w:rsid w:val="7507768A"/>
    <w:rsid w:val="757271FA"/>
    <w:rsid w:val="75E43528"/>
    <w:rsid w:val="75E874BC"/>
    <w:rsid w:val="797C6746"/>
    <w:rsid w:val="7A542E09"/>
    <w:rsid w:val="7B6356E8"/>
    <w:rsid w:val="7B783090"/>
    <w:rsid w:val="7BF918DA"/>
    <w:rsid w:val="7CCD4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right="881"/>
      <w:jc w:val="center"/>
      <w:outlineLvl w:val="1"/>
    </w:pPr>
    <w:rPr>
      <w:rFonts w:ascii="宋体" w:hAnsi="宋体" w:eastAsia="宋体" w:cs="宋体"/>
      <w:b/>
      <w:bCs/>
      <w:sz w:val="72"/>
      <w:szCs w:val="72"/>
      <w:lang w:val="en-US" w:eastAsia="zh-CN" w:bidi="ar-SA"/>
    </w:rPr>
  </w:style>
  <w:style w:type="paragraph" w:styleId="4">
    <w:name w:val="heading 2"/>
    <w:basedOn w:val="1"/>
    <w:next w:val="1"/>
    <w:qFormat/>
    <w:uiPriority w:val="1"/>
    <w:pPr>
      <w:spacing w:before="38"/>
      <w:jc w:val="center"/>
      <w:outlineLvl w:val="2"/>
    </w:pPr>
    <w:rPr>
      <w:rFonts w:ascii="宋体" w:hAnsi="宋体" w:eastAsia="宋体" w:cs="宋体"/>
      <w:b/>
      <w:bCs/>
      <w:sz w:val="44"/>
      <w:szCs w:val="44"/>
      <w:lang w:val="en-US" w:eastAsia="zh-CN" w:bidi="ar-SA"/>
    </w:rPr>
  </w:style>
  <w:style w:type="paragraph" w:styleId="5">
    <w:name w:val="heading 3"/>
    <w:basedOn w:val="1"/>
    <w:next w:val="1"/>
    <w:qFormat/>
    <w:uiPriority w:val="1"/>
    <w:pPr>
      <w:outlineLvl w:val="3"/>
    </w:pPr>
    <w:rPr>
      <w:rFonts w:ascii="黑体" w:hAnsi="黑体" w:eastAsia="黑体" w:cs="黑体"/>
      <w:sz w:val="36"/>
      <w:szCs w:val="36"/>
      <w:lang w:val="en-US" w:eastAsia="zh-CN" w:bidi="ar-SA"/>
    </w:rPr>
  </w:style>
  <w:style w:type="paragraph" w:styleId="6">
    <w:name w:val="heading 4"/>
    <w:basedOn w:val="1"/>
    <w:next w:val="1"/>
    <w:qFormat/>
    <w:uiPriority w:val="1"/>
    <w:pPr>
      <w:ind w:left="458" w:hanging="243"/>
      <w:outlineLvl w:val="4"/>
    </w:pPr>
    <w:rPr>
      <w:rFonts w:ascii="黑体" w:hAnsi="黑体" w:eastAsia="黑体" w:cs="黑体"/>
      <w:b/>
      <w:bCs/>
      <w:sz w:val="32"/>
      <w:szCs w:val="32"/>
      <w:lang w:val="en-US" w:eastAsia="zh-CN" w:bidi="ar-SA"/>
    </w:rPr>
  </w:style>
  <w:style w:type="paragraph" w:styleId="7">
    <w:name w:val="heading 5"/>
    <w:basedOn w:val="1"/>
    <w:next w:val="1"/>
    <w:qFormat/>
    <w:uiPriority w:val="1"/>
    <w:pPr>
      <w:ind w:left="600"/>
      <w:outlineLvl w:val="5"/>
    </w:pPr>
    <w:rPr>
      <w:rFonts w:ascii="宋体" w:hAnsi="宋体" w:eastAsia="宋体" w:cs="宋体"/>
      <w:b/>
      <w:bCs/>
      <w:sz w:val="24"/>
      <w:szCs w:val="24"/>
      <w:lang w:val="en-US" w:eastAsia="zh-CN" w:bidi="ar-SA"/>
    </w:rPr>
  </w:style>
  <w:style w:type="paragraph" w:styleId="8">
    <w:name w:val="heading 7"/>
    <w:basedOn w:val="1"/>
    <w:next w:val="1"/>
    <w:qFormat/>
    <w:uiPriority w:val="1"/>
    <w:pPr>
      <w:ind w:left="941"/>
      <w:outlineLvl w:val="7"/>
    </w:pPr>
    <w:rPr>
      <w:rFonts w:ascii="宋体" w:hAnsi="宋体" w:eastAsia="宋体" w:cs="宋体"/>
      <w:b/>
      <w:bCs/>
      <w:sz w:val="24"/>
      <w:szCs w:val="24"/>
      <w:lang w:val="zh-CN" w:eastAsia="zh-CN" w:bidi="zh-CN"/>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after="120" w:afterLines="0" w:afterAutospacing="0"/>
      <w:ind w:firstLine="420"/>
    </w:pPr>
  </w:style>
  <w:style w:type="paragraph" w:styleId="9">
    <w:name w:val="Body Text"/>
    <w:basedOn w:val="1"/>
    <w:qFormat/>
    <w:uiPriority w:val="1"/>
    <w:rPr>
      <w:rFonts w:ascii="宋体" w:hAnsi="宋体" w:eastAsia="宋体" w:cs="宋体"/>
      <w:sz w:val="21"/>
      <w:szCs w:val="21"/>
      <w:u w:val="single" w:color="000000"/>
      <w:lang w:val="en-US" w:eastAsia="zh-CN" w:bidi="ar-SA"/>
    </w:rPr>
  </w:style>
  <w:style w:type="paragraph" w:styleId="10">
    <w:name w:val="Body Text Indent"/>
    <w:basedOn w:val="1"/>
    <w:next w:val="11"/>
    <w:qFormat/>
    <w:uiPriority w:val="0"/>
    <w:pPr>
      <w:ind w:firstLine="645"/>
    </w:pPr>
    <w:rPr>
      <w:rFonts w:ascii="楷体_GB2312" w:hAnsi="Times New Roman" w:eastAsia="楷体_GB2312" w:cs="Times New Roman"/>
      <w:kern w:val="2"/>
      <w:sz w:val="32"/>
      <w:lang w:val="en-US"/>
    </w:rPr>
  </w:style>
  <w:style w:type="paragraph" w:styleId="11">
    <w:name w:val="envelope return"/>
    <w:basedOn w:val="1"/>
    <w:qFormat/>
    <w:uiPriority w:val="0"/>
    <w:pPr>
      <w:snapToGrid w:val="0"/>
    </w:pPr>
    <w:rPr>
      <w:rFonts w:ascii="Arial" w:hAnsi="Arial" w:cs="Arial"/>
      <w:szCs w:val="24"/>
    </w:rPr>
  </w:style>
  <w:style w:type="paragraph" w:styleId="12">
    <w:name w:val="index 4"/>
    <w:basedOn w:val="1"/>
    <w:next w:val="1"/>
    <w:qFormat/>
    <w:uiPriority w:val="0"/>
    <w:pPr>
      <w:ind w:left="600" w:leftChars="600"/>
    </w:pPr>
    <w:rPr>
      <w:rFonts w:ascii="Calibri" w:hAnsi="Calibri"/>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1"/>
    <w:pPr>
      <w:spacing w:before="120"/>
      <w:ind w:right="879"/>
      <w:jc w:val="center"/>
    </w:pPr>
    <w:rPr>
      <w:rFonts w:ascii="宋体" w:hAnsi="宋体" w:eastAsia="宋体" w:cs="宋体"/>
      <w:b/>
      <w:bCs/>
      <w:sz w:val="82"/>
      <w:szCs w:val="82"/>
      <w:lang w:val="en-US" w:eastAsia="zh-CN" w:bidi="ar-SA"/>
    </w:rPr>
  </w:style>
  <w:style w:type="paragraph" w:styleId="17">
    <w:name w:val="Body Text First Indent"/>
    <w:basedOn w:val="9"/>
    <w:qFormat/>
    <w:uiPriority w:val="99"/>
    <w:pPr>
      <w:ind w:firstLine="420" w:firstLineChars="100"/>
    </w:pPr>
  </w:style>
  <w:style w:type="paragraph" w:styleId="18">
    <w:name w:val="Body Text First Indent 2"/>
    <w:basedOn w:val="10"/>
    <w:qFormat/>
    <w:uiPriority w:val="99"/>
    <w:pPr>
      <w:spacing w:after="120"/>
      <w:ind w:left="420" w:firstLine="210"/>
    </w:pPr>
    <w:rPr>
      <w:rFonts w:ascii="Times New Roman" w:eastAsia="仿宋_GB2312"/>
      <w:sz w:val="30"/>
    </w:r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16" w:firstLine="480"/>
    </w:pPr>
    <w:rPr>
      <w:rFonts w:ascii="宋体" w:hAnsi="宋体" w:eastAsia="宋体" w:cs="宋体"/>
      <w:lang w:val="en-US" w:eastAsia="zh-CN" w:bidi="ar-SA"/>
    </w:rPr>
  </w:style>
  <w:style w:type="paragraph" w:customStyle="1" w:styleId="25">
    <w:name w:val="Table Paragraph"/>
    <w:basedOn w:val="1"/>
    <w:qFormat/>
    <w:uiPriority w:val="1"/>
    <w:rPr>
      <w:rFonts w:ascii="宋体" w:hAnsi="宋体" w:eastAsia="宋体" w:cs="宋体"/>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标题 1_0"/>
    <w:basedOn w:val="28"/>
    <w:next w:val="28"/>
    <w:qFormat/>
    <w:uiPriority w:val="0"/>
    <w:pPr>
      <w:keepNext/>
      <w:keepLines/>
      <w:spacing w:before="340" w:after="330" w:line="578" w:lineRule="auto"/>
      <w:outlineLvl w:val="0"/>
    </w:pPr>
    <w:rPr>
      <w:rFonts w:ascii="Times New Roman" w:hAnsi="Times New Roman" w:eastAsia="Times New Roman"/>
      <w:b/>
      <w:bCs/>
      <w:kern w:val="44"/>
      <w:sz w:val="44"/>
      <w:szCs w:val="44"/>
    </w:rPr>
  </w:style>
  <w:style w:type="paragraph" w:customStyle="1" w:styleId="28">
    <w:name w:val="正文_1"/>
    <w:qFormat/>
    <w:uiPriority w:val="0"/>
    <w:pPr>
      <w:widowControl w:val="0"/>
      <w:jc w:val="both"/>
    </w:pPr>
    <w:rPr>
      <w:rFonts w:ascii="Calibri" w:hAnsi="Calibri" w:eastAsia="宋体" w:cs="Times New Roman"/>
      <w:lang w:val="en-US" w:eastAsia="zh-CN" w:bidi="ar-SA"/>
    </w:rPr>
  </w:style>
  <w:style w:type="paragraph" w:customStyle="1" w:styleId="29">
    <w:name w:val="正文_0_0_0"/>
    <w:qFormat/>
    <w:uiPriority w:val="0"/>
    <w:pPr>
      <w:widowControl w:val="0"/>
      <w:jc w:val="both"/>
    </w:pPr>
    <w:rPr>
      <w:rFonts w:ascii="Times New Roman" w:hAnsi="Times New Roman" w:eastAsia="宋体" w:cs="Times New Roman"/>
      <w:szCs w:val="24"/>
      <w:lang w:val="en-US" w:eastAsia="zh-CN" w:bidi="ar-SA"/>
    </w:rPr>
  </w:style>
  <w:style w:type="paragraph" w:customStyle="1" w:styleId="30">
    <w:name w:val="正文文本缩进 21"/>
    <w:basedOn w:val="28"/>
    <w:qFormat/>
    <w:uiPriority w:val="0"/>
    <w:pPr>
      <w:spacing w:after="120" w:line="480" w:lineRule="auto"/>
      <w:ind w:left="420"/>
    </w:pPr>
    <w:rPr>
      <w:rFonts w:ascii="Times New Roman" w:hAnsi="Times New Roman" w:eastAsia="Times New Roman"/>
      <w:szCs w:val="24"/>
    </w:rPr>
  </w:style>
  <w:style w:type="paragraph" w:customStyle="1" w:styleId="31">
    <w:name w:val="纯文本1"/>
    <w:basedOn w:val="28"/>
    <w:qFormat/>
    <w:uiPriority w:val="0"/>
    <w:rPr>
      <w:rFonts w:ascii="宋体" w:hAnsi="Courier New" w:eastAsia="Times New Roman" w:cs="Courier New"/>
      <w:szCs w:val="21"/>
    </w:rPr>
  </w:style>
  <w:style w:type="paragraph" w:customStyle="1" w:styleId="32">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33">
    <w:name w:val="pa-13"/>
    <w:basedOn w:val="28"/>
    <w:qFormat/>
    <w:uiPriority w:val="0"/>
    <w:pPr>
      <w:widowControl/>
      <w:spacing w:before="100" w:beforeAutospacing="1" w:after="100" w:afterAutospacing="1"/>
      <w:jc w:val="left"/>
    </w:pPr>
    <w:rPr>
      <w:rFonts w:ascii="宋体" w:hAnsi="宋体" w:eastAsia="Times New Roman" w:cs="宋体"/>
      <w:sz w:val="24"/>
      <w:szCs w:val="24"/>
    </w:rPr>
  </w:style>
  <w:style w:type="character" w:customStyle="1" w:styleId="34">
    <w:name w:val="ca-10"/>
    <w:basedOn w:val="20"/>
    <w:qFormat/>
    <w:uiPriority w:val="0"/>
    <w:rPr>
      <w:rFonts w:ascii="Calibri" w:hAnsi="Calibri" w:eastAsia="Times New Roman"/>
    </w:rPr>
  </w:style>
  <w:style w:type="paragraph" w:customStyle="1" w:styleId="35">
    <w:name w:val="pa-14"/>
    <w:basedOn w:val="28"/>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36">
    <w:name w:val="pa-15"/>
    <w:basedOn w:val="28"/>
    <w:qFormat/>
    <w:uiPriority w:val="0"/>
    <w:pPr>
      <w:widowControl/>
      <w:spacing w:before="100" w:beforeAutospacing="1" w:after="100" w:afterAutospacing="1"/>
      <w:jc w:val="left"/>
    </w:pPr>
    <w:rPr>
      <w:rFonts w:ascii="宋体" w:hAnsi="宋体" w:eastAsia="Times New Roman" w:cs="宋体"/>
      <w:sz w:val="24"/>
      <w:szCs w:val="24"/>
    </w:rPr>
  </w:style>
  <w:style w:type="character" w:customStyle="1" w:styleId="37">
    <w:name w:val="ca-2"/>
    <w:basedOn w:val="20"/>
    <w:qFormat/>
    <w:uiPriority w:val="0"/>
    <w:rPr>
      <w:rFonts w:ascii="Calibri" w:hAnsi="Calibri" w:eastAsia="Times New Roman"/>
    </w:rPr>
  </w:style>
  <w:style w:type="paragraph" w:customStyle="1" w:styleId="38">
    <w:name w:val="pa-16"/>
    <w:basedOn w:val="28"/>
    <w:qFormat/>
    <w:uiPriority w:val="0"/>
    <w:pPr>
      <w:widowControl/>
      <w:spacing w:before="100" w:beforeAutospacing="1" w:after="100" w:afterAutospacing="1"/>
      <w:jc w:val="left"/>
    </w:pPr>
    <w:rPr>
      <w:rFonts w:ascii="宋体" w:hAnsi="宋体" w:eastAsia="Times New Roman" w:cs="宋体"/>
      <w:sz w:val="24"/>
      <w:szCs w:val="24"/>
    </w:rPr>
  </w:style>
  <w:style w:type="character" w:customStyle="1" w:styleId="39">
    <w:name w:val="apple-converted-space"/>
    <w:basedOn w:val="20"/>
    <w:qFormat/>
    <w:uiPriority w:val="0"/>
    <w:rPr>
      <w:rFonts w:ascii="Calibri" w:hAnsi="Calibri" w:eastAsia="Times New Roman"/>
    </w:rPr>
  </w:style>
  <w:style w:type="paragraph" w:customStyle="1" w:styleId="40">
    <w:name w:val="Heading 1_0"/>
    <w:basedOn w:val="41"/>
    <w:qFormat/>
    <w:uiPriority w:val="9"/>
    <w:pPr>
      <w:widowControl/>
      <w:spacing w:before="120" w:after="240"/>
      <w:ind w:right="240"/>
      <w:jc w:val="left"/>
      <w:outlineLvl w:val="0"/>
    </w:pPr>
    <w:rPr>
      <w:rFonts w:ascii="宋体" w:hAnsi="宋体" w:eastAsia="宋体"/>
      <w:b/>
      <w:bCs/>
      <w:kern w:val="36"/>
      <w:sz w:val="14"/>
      <w:szCs w:val="14"/>
    </w:rPr>
  </w:style>
  <w:style w:type="paragraph" w:customStyle="1" w:styleId="41">
    <w:name w:val="Normal_2"/>
    <w:qFormat/>
    <w:uiPriority w:val="0"/>
    <w:pPr>
      <w:widowControl w:val="0"/>
      <w:jc w:val="both"/>
    </w:pPr>
    <w:rPr>
      <w:rFonts w:ascii="Times New Roman" w:hAnsi="Times New Roman" w:eastAsia="Times New Roman" w:cs="Times New Roman"/>
      <w:lang w:val="en-US" w:eastAsia="zh-CN" w:bidi="ar-SA"/>
    </w:rPr>
  </w:style>
  <w:style w:type="paragraph" w:customStyle="1" w:styleId="42">
    <w:name w:val="正文1"/>
    <w:qFormat/>
    <w:uiPriority w:val="0"/>
    <w:pPr>
      <w:widowControl w:val="0"/>
      <w:jc w:val="both"/>
    </w:pPr>
    <w:rPr>
      <w:rFonts w:ascii="Calibri" w:hAnsi="Calibri" w:eastAsia="宋体" w:cs="Times New Roman"/>
      <w:lang w:val="en-US" w:eastAsia="zh-CN" w:bidi="ar-SA"/>
    </w:rPr>
  </w:style>
  <w:style w:type="paragraph" w:customStyle="1" w:styleId="43">
    <w:name w:val="Normal"/>
    <w:qFormat/>
    <w:uiPriority w:val="0"/>
    <w:pPr>
      <w:adjustRightInd w:val="0"/>
      <w:snapToGrid w:val="0"/>
      <w:ind w:left="200" w:leftChars="200"/>
    </w:pPr>
    <w:rPr>
      <w:rFonts w:ascii="Tahoma" w:hAnsi="Tahoma" w:eastAsia="微软雅黑" w:cs="Times New Roman"/>
      <w:sz w:val="22"/>
      <w:szCs w:val="22"/>
      <w:lang w:val="en-US" w:eastAsia="zh-CN" w:bidi="ar-SA"/>
    </w:rPr>
  </w:style>
  <w:style w:type="paragraph" w:customStyle="1" w:styleId="44">
    <w:name w:val="[Normal]"/>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70553</Words>
  <Characters>74444</Characters>
  <TotalTime>12</TotalTime>
  <ScaleCrop>false</ScaleCrop>
  <LinksUpToDate>false</LinksUpToDate>
  <CharactersWithSpaces>75863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2021-11-01T07:48:00Z</dcterms:created>
  <dc:creator>Administrator</dc:creator>
  <cp:lastModifiedBy>安之若素</cp:lastModifiedBy>
  <dcterms:modified xsi:type="dcterms:W3CDTF">2022-08-24T03:15:36Z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Aspose Ltd.</vt:lpwstr>
  </property>
  <property fmtid="{D5CDD505-2E9C-101B-9397-08002B2CF9AE}" pid="4" name="LastSaved">
    <vt:filetime>2021-11-01T00:00:00Z</vt:filetime>
  </property>
  <property fmtid="{D5CDD505-2E9C-101B-9397-08002B2CF9AE}" pid="5" name="KSOProductBuildVer">
    <vt:lpwstr>2052-11.1.0.12302</vt:lpwstr>
  </property>
  <property fmtid="{D5CDD505-2E9C-101B-9397-08002B2CF9AE}" pid="6" name="ICV">
    <vt:lpwstr>C53235E64B1E46599BACE7D840043802</vt:lpwstr>
  </property>
</Properties>
</file>