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60" w:leftChars="300" w:right="660" w:rightChars="300"/>
        <w:jc w:val="center"/>
        <w:rPr>
          <w:rFonts w:hint="eastAsia" w:ascii="宋体" w:hAnsi="宋体" w:eastAsia="宋体" w:cs="宋体"/>
          <w:color w:val="auto"/>
          <w:spacing w:val="-1"/>
          <w:sz w:val="48"/>
          <w:szCs w:val="48"/>
          <w:highlight w:val="none"/>
          <w:lang w:eastAsia="zh-CN"/>
        </w:rPr>
      </w:pPr>
      <w:r>
        <w:rPr>
          <w:rFonts w:hint="eastAsia" w:ascii="宋体" w:hAnsi="宋体" w:eastAsia="宋体" w:cs="宋体"/>
          <w:color w:val="auto"/>
          <w:spacing w:val="-1"/>
          <w:sz w:val="48"/>
          <w:szCs w:val="48"/>
          <w:highlight w:val="none"/>
          <w:lang w:eastAsia="zh-CN"/>
        </w:rPr>
        <w:t>高淳区常态化疫情防控核酸检测项目</w:t>
      </w:r>
    </w:p>
    <w:p>
      <w:pPr>
        <w:pStyle w:val="25"/>
        <w:rPr>
          <w:rFonts w:ascii="宋体" w:hAnsi="宋体" w:eastAsia="宋体" w:cs="宋体"/>
          <w:color w:val="auto"/>
          <w:spacing w:val="-1"/>
          <w:sz w:val="48"/>
          <w:szCs w:val="48"/>
          <w:highlight w:val="none"/>
          <w:lang w:val="en-US"/>
        </w:rPr>
      </w:pPr>
    </w:p>
    <w:p>
      <w:pPr>
        <w:rPr>
          <w:rFonts w:ascii="宋体" w:hAnsi="宋体" w:eastAsia="宋体" w:cs="宋体"/>
          <w:color w:val="auto"/>
          <w:spacing w:val="-1"/>
          <w:sz w:val="48"/>
          <w:szCs w:val="48"/>
          <w:highlight w:val="none"/>
          <w:lang w:val="en-US"/>
        </w:rPr>
      </w:pPr>
    </w:p>
    <w:p>
      <w:pPr>
        <w:pStyle w:val="2"/>
        <w:rPr>
          <w:lang w:val="en-US"/>
        </w:rPr>
      </w:pPr>
    </w:p>
    <w:p>
      <w:pPr>
        <w:rPr>
          <w:color w:val="auto"/>
          <w:highlight w:val="none"/>
        </w:rPr>
      </w:pPr>
    </w:p>
    <w:p>
      <w:pPr>
        <w:spacing w:line="360" w:lineRule="auto"/>
        <w:jc w:val="center"/>
        <w:rPr>
          <w:color w:val="auto"/>
          <w:sz w:val="20"/>
          <w:szCs w:val="20"/>
          <w:highlight w:val="none"/>
        </w:rPr>
      </w:pPr>
      <w:r>
        <w:rPr>
          <w:rFonts w:hint="eastAsia" w:ascii="宋体" w:hAnsi="宋体" w:eastAsia="宋体" w:cs="宋体"/>
          <w:color w:val="auto"/>
          <w:sz w:val="75"/>
          <w:szCs w:val="75"/>
          <w:highlight w:val="none"/>
        </w:rPr>
        <w:t>竞争性磋商文件</w:t>
      </w:r>
    </w:p>
    <w:p>
      <w:pPr>
        <w:spacing w:line="360" w:lineRule="auto"/>
        <w:rPr>
          <w:color w:val="auto"/>
          <w:sz w:val="24"/>
          <w:szCs w:val="24"/>
          <w:highlight w:val="none"/>
        </w:rPr>
      </w:pPr>
    </w:p>
    <w:p>
      <w:pPr>
        <w:tabs>
          <w:tab w:val="left" w:pos="3863"/>
        </w:tabs>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before="130" w:line="360" w:lineRule="auto"/>
        <w:ind w:right="1244"/>
        <w:jc w:val="both"/>
        <w:rPr>
          <w:rFonts w:ascii="宋体" w:hAnsi="宋体" w:eastAsia="宋体" w:cs="宋体"/>
          <w:color w:val="auto"/>
          <w:spacing w:val="-15"/>
          <w:sz w:val="36"/>
          <w:szCs w:val="36"/>
          <w:highlight w:val="none"/>
        </w:rPr>
      </w:pPr>
    </w:p>
    <w:p>
      <w:pPr>
        <w:pStyle w:val="25"/>
        <w:rPr>
          <w:color w:val="auto"/>
          <w:highlight w:val="none"/>
        </w:rPr>
      </w:pPr>
    </w:p>
    <w:p>
      <w:pPr>
        <w:spacing w:before="130" w:line="360" w:lineRule="auto"/>
        <w:ind w:right="1244"/>
        <w:jc w:val="both"/>
        <w:rPr>
          <w:rFonts w:ascii="宋体" w:hAnsi="宋体" w:eastAsia="宋体" w:cs="宋体"/>
          <w:color w:val="auto"/>
          <w:spacing w:val="-15"/>
          <w:sz w:val="36"/>
          <w:szCs w:val="36"/>
          <w:highlight w:val="none"/>
        </w:rPr>
      </w:pPr>
    </w:p>
    <w:p>
      <w:pPr>
        <w:tabs>
          <w:tab w:val="left" w:pos="1178"/>
        </w:tabs>
        <w:spacing w:line="360" w:lineRule="auto"/>
        <w:ind w:firstLine="990" w:firstLineChars="300"/>
        <w:rPr>
          <w:rFonts w:ascii="宋体" w:hAnsi="宋体" w:eastAsia="宋体" w:cs="宋体"/>
          <w:color w:val="auto"/>
          <w:spacing w:val="-15"/>
          <w:sz w:val="36"/>
          <w:szCs w:val="36"/>
          <w:highlight w:val="none"/>
          <w:u w:val="single"/>
        </w:rPr>
      </w:pPr>
      <w:r>
        <w:rPr>
          <w:rFonts w:hint="eastAsia" w:ascii="宋体" w:hAnsi="宋体" w:eastAsia="宋体" w:cs="宋体"/>
          <w:color w:val="auto"/>
          <w:spacing w:val="-15"/>
          <w:sz w:val="36"/>
          <w:szCs w:val="36"/>
          <w:highlight w:val="none"/>
        </w:rPr>
        <w:t>项目编号：</w:t>
      </w:r>
      <w:r>
        <w:rPr>
          <w:rFonts w:hint="eastAsia" w:ascii="宋体" w:hAnsi="宋体" w:eastAsia="宋体" w:cs="宋体"/>
          <w:color w:val="auto"/>
          <w:spacing w:val="-15"/>
          <w:sz w:val="36"/>
          <w:szCs w:val="36"/>
          <w:highlight w:val="none"/>
          <w:u w:val="single"/>
        </w:rPr>
        <w:t xml:space="preserve">       NJCH—20221008      </w:t>
      </w:r>
    </w:p>
    <w:p>
      <w:pPr>
        <w:tabs>
          <w:tab w:val="left" w:pos="1178"/>
        </w:tabs>
        <w:spacing w:line="360" w:lineRule="auto"/>
        <w:ind w:firstLine="990" w:firstLineChars="300"/>
        <w:rPr>
          <w:rFonts w:ascii="宋体" w:hAnsi="宋体" w:eastAsia="宋体" w:cs="宋体"/>
          <w:color w:val="auto"/>
          <w:sz w:val="36"/>
          <w:szCs w:val="36"/>
          <w:highlight w:val="none"/>
          <w:u w:val="single"/>
        </w:rPr>
      </w:pPr>
      <w:r>
        <w:rPr>
          <w:rFonts w:hint="eastAsia" w:ascii="宋体" w:hAnsi="宋体" w:eastAsia="宋体" w:cs="宋体"/>
          <w:color w:val="auto"/>
          <w:spacing w:val="-15"/>
          <w:sz w:val="36"/>
          <w:szCs w:val="36"/>
          <w:highlight w:val="none"/>
        </w:rPr>
        <w:t>采购单位：</w:t>
      </w:r>
      <w:r>
        <w:rPr>
          <w:rFonts w:hint="eastAsia" w:ascii="宋体" w:hAnsi="宋体" w:eastAsia="宋体" w:cs="宋体"/>
          <w:color w:val="auto"/>
          <w:spacing w:val="-15"/>
          <w:sz w:val="36"/>
          <w:szCs w:val="36"/>
          <w:highlight w:val="none"/>
          <w:u w:val="single"/>
        </w:rPr>
        <w:t>南京市高淳区卫生健康委员会</w:t>
      </w:r>
    </w:p>
    <w:p>
      <w:pPr>
        <w:spacing w:before="130" w:line="360" w:lineRule="auto"/>
        <w:ind w:right="1244"/>
        <w:jc w:val="center"/>
        <w:rPr>
          <w:rFonts w:ascii="宋体" w:hAnsi="宋体" w:eastAsia="宋体" w:cs="宋体"/>
          <w:color w:val="auto"/>
          <w:sz w:val="36"/>
          <w:szCs w:val="36"/>
          <w:highlight w:val="none"/>
          <w:u w:val="single"/>
        </w:rPr>
      </w:pPr>
      <w:r>
        <w:rPr>
          <w:rFonts w:hint="eastAsia" w:ascii="宋体" w:hAnsi="宋体" w:eastAsia="宋体" w:cs="宋体"/>
          <w:color w:val="auto"/>
          <w:spacing w:val="-1"/>
          <w:sz w:val="36"/>
          <w:szCs w:val="36"/>
          <w:highlight w:val="none"/>
        </w:rPr>
        <w:t>代理机构：</w:t>
      </w:r>
      <w:r>
        <w:rPr>
          <w:rFonts w:hint="eastAsia" w:ascii="宋体" w:hAnsi="宋体" w:eastAsia="宋体" w:cs="宋体"/>
          <w:color w:val="auto"/>
          <w:spacing w:val="-1"/>
          <w:sz w:val="36"/>
          <w:szCs w:val="36"/>
          <w:highlight w:val="none"/>
          <w:u w:val="single"/>
        </w:rPr>
        <w:t>南京淳衡工程项目管理有限公司</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tabs>
          <w:tab w:val="left" w:pos="3563"/>
        </w:tabs>
        <w:spacing w:line="360" w:lineRule="auto"/>
        <w:ind w:firstLine="643" w:firstLineChars="200"/>
        <w:rPr>
          <w:rFonts w:ascii="宋体" w:hAnsi="宋体" w:eastAsia="宋体" w:cs="宋体"/>
          <w:bCs/>
          <w:color w:val="auto"/>
          <w:sz w:val="48"/>
          <w:szCs w:val="48"/>
          <w:highlight w:val="none"/>
        </w:rPr>
      </w:pPr>
      <w:bookmarkStart w:id="0" w:name="page2"/>
      <w:bookmarkEnd w:id="0"/>
      <w:r>
        <w:rPr>
          <w:rFonts w:hint="eastAsia" w:ascii="宋体" w:hAnsi="宋体" w:eastAsia="宋体" w:cs="宋体"/>
          <w:b/>
          <w:color w:val="auto"/>
          <w:sz w:val="32"/>
          <w:szCs w:val="32"/>
          <w:highlight w:val="none"/>
        </w:rPr>
        <w:tab/>
      </w:r>
      <w:r>
        <w:rPr>
          <w:rFonts w:hint="eastAsia" w:ascii="宋体" w:hAnsi="宋体" w:eastAsia="宋体" w:cs="宋体"/>
          <w:color w:val="auto"/>
          <w:spacing w:val="-1"/>
          <w:sz w:val="36"/>
          <w:szCs w:val="36"/>
          <w:highlight w:val="none"/>
        </w:rPr>
        <w:t>2022年4月</w:t>
      </w:r>
    </w:p>
    <w:p>
      <w:r>
        <w:rPr>
          <w:rFonts w:ascii="宋体" w:hAnsi="宋体" w:eastAsia="宋体" w:cs="宋体"/>
          <w:b/>
          <w:color w:val="auto"/>
          <w:sz w:val="32"/>
          <w:szCs w:val="32"/>
          <w:highlight w:val="none"/>
        </w:rPr>
        <w:br w:type="page"/>
      </w:r>
    </w:p>
    <w:p>
      <w:pPr>
        <w:spacing w:line="360" w:lineRule="auto"/>
        <w:jc w:val="center"/>
        <w:rPr>
          <w:rFonts w:asciiTheme="minorEastAsia" w:hAnsiTheme="minorEastAsia"/>
          <w:color w:val="auto"/>
          <w:sz w:val="24"/>
          <w:szCs w:val="24"/>
          <w:highlight w:val="none"/>
        </w:rPr>
      </w:pPr>
      <w:r>
        <w:rPr>
          <w:rFonts w:ascii="宋体" w:hAnsi="宋体" w:eastAsia="宋体" w:cs="宋体"/>
          <w:b/>
          <w:color w:val="auto"/>
          <w:sz w:val="32"/>
          <w:szCs w:val="32"/>
          <w:highlight w:val="none"/>
        </w:rPr>
        <w:t>第一章 竞争性磋商</w:t>
      </w:r>
      <w:r>
        <w:rPr>
          <w:rFonts w:hint="eastAsia" w:ascii="宋体" w:hAnsi="宋体" w:eastAsia="宋体" w:cs="宋体"/>
          <w:b/>
          <w:color w:val="auto"/>
          <w:sz w:val="32"/>
          <w:szCs w:val="32"/>
          <w:highlight w:val="none"/>
        </w:rPr>
        <w:t>公告</w:t>
      </w:r>
    </w:p>
    <w:p>
      <w:pPr>
        <w:spacing w:line="360" w:lineRule="auto"/>
        <w:ind w:firstLine="482" w:firstLineChars="200"/>
        <w:rPr>
          <w:rFonts w:asciiTheme="minorEastAsia" w:hAnsiTheme="minorEastAsia"/>
          <w:b/>
          <w:bCs/>
          <w:color w:val="auto"/>
          <w:sz w:val="24"/>
          <w:szCs w:val="24"/>
          <w:highlight w:val="none"/>
        </w:rPr>
      </w:pPr>
      <w:bookmarkStart w:id="1" w:name="page4"/>
      <w:bookmarkEnd w:id="1"/>
      <w:r>
        <w:rPr>
          <w:rFonts w:hint="eastAsia" w:asciiTheme="minorEastAsia" w:hAnsiTheme="minorEastAsia"/>
          <w:b/>
          <w:bCs/>
          <w:color w:val="auto"/>
          <w:sz w:val="24"/>
          <w:szCs w:val="24"/>
          <w:highlight w:val="none"/>
        </w:rPr>
        <w:t>项目概况</w:t>
      </w:r>
    </w:p>
    <w:p>
      <w:pPr>
        <w:spacing w:line="360" w:lineRule="auto"/>
        <w:ind w:firstLine="480" w:firstLineChars="200"/>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u w:val="single"/>
          <w:lang w:eastAsia="zh-CN"/>
        </w:rPr>
        <w:t>高淳区常态化疫情防控核酸检测项目</w:t>
      </w:r>
      <w:r>
        <w:rPr>
          <w:rFonts w:hint="eastAsia" w:asciiTheme="minorEastAsia" w:hAnsiTheme="minorEastAsia"/>
          <w:bCs/>
          <w:color w:val="auto"/>
          <w:sz w:val="24"/>
          <w:szCs w:val="24"/>
          <w:highlight w:val="none"/>
        </w:rPr>
        <w:t>的潜在供应商应在</w:t>
      </w:r>
      <w:r>
        <w:rPr>
          <w:rFonts w:hint="eastAsia" w:asciiTheme="minorEastAsia" w:hAnsiTheme="minorEastAsia"/>
          <w:bCs/>
          <w:color w:val="auto"/>
          <w:sz w:val="24"/>
          <w:szCs w:val="24"/>
          <w:highlight w:val="none"/>
          <w:u w:val="single"/>
        </w:rPr>
        <w:t>南京市高淳区宝塔路258号苏宁雅居38栋1005室</w:t>
      </w:r>
      <w:r>
        <w:rPr>
          <w:rFonts w:hint="eastAsia" w:asciiTheme="minorEastAsia" w:hAnsiTheme="minorEastAsia"/>
          <w:bCs/>
          <w:color w:val="auto"/>
          <w:sz w:val="24"/>
          <w:szCs w:val="24"/>
          <w:highlight w:val="none"/>
        </w:rPr>
        <w:t>获取采购文件，并于</w:t>
      </w:r>
      <w:r>
        <w:rPr>
          <w:rFonts w:hint="eastAsia" w:asciiTheme="minorEastAsia" w:hAnsiTheme="minorEastAsia"/>
          <w:bCs/>
          <w:color w:val="auto"/>
          <w:sz w:val="24"/>
          <w:szCs w:val="24"/>
          <w:highlight w:val="none"/>
          <w:u w:val="single"/>
        </w:rPr>
        <w:t>2022年04月1</w:t>
      </w:r>
      <w:r>
        <w:rPr>
          <w:rFonts w:hint="eastAsia" w:asciiTheme="minorEastAsia" w:hAnsiTheme="minorEastAsia"/>
          <w:bCs/>
          <w:color w:val="auto"/>
          <w:sz w:val="24"/>
          <w:szCs w:val="24"/>
          <w:highlight w:val="none"/>
          <w:u w:val="single"/>
          <w:lang w:val="en-US" w:eastAsia="zh-CN"/>
        </w:rPr>
        <w:t>9</w:t>
      </w:r>
      <w:r>
        <w:rPr>
          <w:rFonts w:hint="eastAsia" w:asciiTheme="minorEastAsia" w:hAnsiTheme="minorEastAsia"/>
          <w:bCs/>
          <w:color w:val="auto"/>
          <w:sz w:val="24"/>
          <w:szCs w:val="24"/>
          <w:highlight w:val="none"/>
          <w:u w:val="single"/>
        </w:rPr>
        <w:t>日</w:t>
      </w:r>
      <w:r>
        <w:rPr>
          <w:rFonts w:hint="eastAsia" w:asciiTheme="minorEastAsia" w:hAnsiTheme="minorEastAsia"/>
          <w:bCs/>
          <w:color w:val="auto"/>
          <w:sz w:val="24"/>
          <w:szCs w:val="24"/>
          <w:highlight w:val="none"/>
          <w:u w:val="single"/>
          <w:lang w:val="en-US" w:eastAsia="zh-CN"/>
        </w:rPr>
        <w:t>10</w:t>
      </w:r>
      <w:r>
        <w:rPr>
          <w:rFonts w:hint="eastAsia" w:asciiTheme="minorEastAsia" w:hAnsiTheme="minorEastAsia"/>
          <w:bCs/>
          <w:color w:val="auto"/>
          <w:sz w:val="24"/>
          <w:szCs w:val="24"/>
          <w:highlight w:val="none"/>
          <w:u w:val="single"/>
        </w:rPr>
        <w:t>点</w:t>
      </w:r>
      <w:r>
        <w:rPr>
          <w:rFonts w:hint="eastAsia" w:asciiTheme="minorEastAsia" w:hAnsiTheme="minorEastAsia"/>
          <w:bCs/>
          <w:color w:val="auto"/>
          <w:sz w:val="24"/>
          <w:szCs w:val="24"/>
          <w:highlight w:val="none"/>
          <w:u w:val="single"/>
          <w:lang w:val="en-US" w:eastAsia="zh-CN"/>
        </w:rPr>
        <w:t>00</w:t>
      </w:r>
      <w:r>
        <w:rPr>
          <w:rFonts w:hint="eastAsia" w:asciiTheme="minorEastAsia" w:hAnsiTheme="minorEastAsia"/>
          <w:bCs/>
          <w:color w:val="auto"/>
          <w:sz w:val="24"/>
          <w:szCs w:val="24"/>
          <w:highlight w:val="none"/>
          <w:u w:val="single"/>
        </w:rPr>
        <w:t>分（北京时间）</w:t>
      </w:r>
      <w:r>
        <w:rPr>
          <w:rFonts w:hint="eastAsia" w:asciiTheme="minorEastAsia" w:hAnsiTheme="minorEastAsia"/>
          <w:bCs/>
          <w:color w:val="auto"/>
          <w:sz w:val="24"/>
          <w:szCs w:val="24"/>
          <w:highlight w:val="none"/>
        </w:rPr>
        <w:t>前提交响应文件。</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一、项目基本情况</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1.1项目编号：</w:t>
      </w:r>
      <w:r>
        <w:rPr>
          <w:rFonts w:hint="eastAsia" w:asciiTheme="minorEastAsia" w:hAnsiTheme="minorEastAsia"/>
          <w:color w:val="auto"/>
          <w:sz w:val="24"/>
          <w:szCs w:val="24"/>
          <w:highlight w:val="none"/>
        </w:rPr>
        <w:t>NJCH—20221008</w:t>
      </w:r>
    </w:p>
    <w:p>
      <w:pPr>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1.2项目名称：</w:t>
      </w:r>
      <w:r>
        <w:rPr>
          <w:rFonts w:hint="eastAsia" w:asciiTheme="minorEastAsia" w:hAnsiTheme="minorEastAsia"/>
          <w:color w:val="auto"/>
          <w:sz w:val="24"/>
          <w:szCs w:val="24"/>
          <w:highlight w:val="none"/>
          <w:lang w:eastAsia="zh-CN"/>
        </w:rPr>
        <w:t>高淳区常态化疫情防控核酸检测项目</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1.3</w:t>
      </w:r>
      <w:r>
        <w:rPr>
          <w:rFonts w:hint="eastAsia" w:asciiTheme="minorEastAsia" w:hAnsiTheme="minorEastAsia"/>
          <w:color w:val="auto"/>
          <w:sz w:val="24"/>
          <w:szCs w:val="24"/>
          <w:highlight w:val="none"/>
        </w:rPr>
        <w:t>采购</w:t>
      </w:r>
      <w:r>
        <w:rPr>
          <w:rFonts w:asciiTheme="minorEastAsia" w:hAnsiTheme="minorEastAsia"/>
          <w:color w:val="auto"/>
          <w:sz w:val="24"/>
          <w:szCs w:val="24"/>
          <w:highlight w:val="none"/>
        </w:rPr>
        <w:t>方式：竞争性</w:t>
      </w:r>
      <w:r>
        <w:rPr>
          <w:rFonts w:hint="eastAsia" w:asciiTheme="minorEastAsia" w:hAnsiTheme="minorEastAsia"/>
          <w:color w:val="auto"/>
          <w:sz w:val="24"/>
          <w:szCs w:val="24"/>
          <w:highlight w:val="none"/>
        </w:rPr>
        <w:t>磋</w:t>
      </w:r>
      <w:r>
        <w:rPr>
          <w:rFonts w:asciiTheme="minorEastAsia" w:hAnsiTheme="minorEastAsia"/>
          <w:color w:val="auto"/>
          <w:sz w:val="24"/>
          <w:szCs w:val="24"/>
          <w:highlight w:val="none"/>
        </w:rPr>
        <w:t>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1.4项目内容：</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鉴于目前新冠疫情防控进入常态化，核酸检测预计在未来一段时间内也将成为常态化趋势，南京市高淳区卫生健康委员会根据疫情防控检测需求，需要相应的医疗检验机构按时上门提供多个地点的新冠病毒核酸检测服务（含新冠肺炎核酸检测、新冠肺炎抗体检测等），并按要求及时出具检查报告。</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检测对象：主要包括冷冻冷藏类、水产生产加工企业、集中交易市场、住院病人及家属、医护人员、冷藏冷冻仓库、商场超市和餐饮服务单位、冷链物流、外卖快递等行业从业人员，实际检测任务按采购人指令完成。</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1.5项目预算：</w:t>
      </w:r>
      <w:r>
        <w:rPr>
          <w:rFonts w:hint="eastAsia" w:asciiTheme="minorEastAsia" w:hAnsiTheme="minorEastAsia"/>
          <w:b/>
          <w:bCs/>
          <w:color w:val="auto"/>
          <w:sz w:val="24"/>
          <w:szCs w:val="24"/>
          <w:highlight w:val="none"/>
        </w:rPr>
        <w:t>本次核酸检测费用最高限制单价：28元/人次（单管），8</w:t>
      </w:r>
      <w:r>
        <w:rPr>
          <w:rFonts w:hint="eastAsia" w:asciiTheme="minorEastAsia" w:hAnsiTheme="minorEastAsia"/>
          <w:b/>
          <w:bCs/>
          <w:color w:val="auto"/>
          <w:sz w:val="24"/>
          <w:szCs w:val="24"/>
          <w:highlight w:val="none"/>
          <w:lang w:val="en-US" w:eastAsia="zh-CN"/>
        </w:rPr>
        <w:t>0</w:t>
      </w:r>
      <w:r>
        <w:rPr>
          <w:rFonts w:hint="eastAsia" w:asciiTheme="minorEastAsia" w:hAnsiTheme="minorEastAsia"/>
          <w:b/>
          <w:bCs/>
          <w:color w:val="auto"/>
          <w:sz w:val="24"/>
          <w:szCs w:val="24"/>
          <w:highlight w:val="none"/>
        </w:rPr>
        <w:t>元/</w:t>
      </w:r>
      <w:r>
        <w:rPr>
          <w:rFonts w:hint="eastAsia" w:asciiTheme="minorEastAsia" w:hAnsiTheme="minorEastAsia"/>
          <w:b/>
          <w:bCs/>
          <w:color w:val="auto"/>
          <w:sz w:val="24"/>
          <w:szCs w:val="24"/>
          <w:highlight w:val="none"/>
          <w:lang w:val="en-US" w:eastAsia="zh-CN"/>
        </w:rPr>
        <w:t>管</w:t>
      </w:r>
      <w:r>
        <w:rPr>
          <w:rFonts w:hint="eastAsia" w:asciiTheme="minorEastAsia" w:hAnsiTheme="minorEastAsia"/>
          <w:b/>
          <w:bCs/>
          <w:color w:val="auto"/>
          <w:sz w:val="24"/>
          <w:szCs w:val="24"/>
          <w:highlight w:val="none"/>
        </w:rPr>
        <w:t>（</w:t>
      </w:r>
      <w:r>
        <w:rPr>
          <w:rFonts w:hint="eastAsia" w:asciiTheme="minorEastAsia" w:hAnsiTheme="minorEastAsia"/>
          <w:b/>
          <w:bCs/>
          <w:color w:val="auto"/>
          <w:sz w:val="24"/>
          <w:szCs w:val="24"/>
          <w:highlight w:val="none"/>
          <w:lang w:val="en-US" w:eastAsia="zh-CN"/>
        </w:rPr>
        <w:t>10</w:t>
      </w:r>
      <w:r>
        <w:rPr>
          <w:rFonts w:hint="eastAsia" w:asciiTheme="minorEastAsia" w:hAnsiTheme="minorEastAsia"/>
          <w:b/>
          <w:bCs/>
          <w:color w:val="auto"/>
          <w:sz w:val="24"/>
          <w:szCs w:val="24"/>
          <w:highlight w:val="none"/>
        </w:rPr>
        <w:t>人管）</w:t>
      </w: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100</w:t>
      </w:r>
      <w:r>
        <w:rPr>
          <w:rFonts w:hint="eastAsia" w:asciiTheme="minorEastAsia" w:hAnsiTheme="minorEastAsia"/>
          <w:b/>
          <w:bCs/>
          <w:color w:val="auto"/>
          <w:sz w:val="24"/>
          <w:szCs w:val="24"/>
          <w:highlight w:val="none"/>
        </w:rPr>
        <w:t>元/</w:t>
      </w:r>
      <w:r>
        <w:rPr>
          <w:rFonts w:hint="eastAsia" w:asciiTheme="minorEastAsia" w:hAnsiTheme="minorEastAsia"/>
          <w:b/>
          <w:bCs/>
          <w:color w:val="auto"/>
          <w:sz w:val="24"/>
          <w:szCs w:val="24"/>
          <w:highlight w:val="none"/>
          <w:lang w:val="en-US" w:eastAsia="zh-CN"/>
        </w:rPr>
        <w:t>管</w:t>
      </w:r>
      <w:r>
        <w:rPr>
          <w:rFonts w:hint="eastAsia" w:asciiTheme="minorEastAsia" w:hAnsiTheme="minorEastAsia"/>
          <w:b/>
          <w:bCs/>
          <w:color w:val="auto"/>
          <w:sz w:val="24"/>
          <w:szCs w:val="24"/>
          <w:highlight w:val="none"/>
        </w:rPr>
        <w:t>（</w:t>
      </w:r>
      <w:r>
        <w:rPr>
          <w:rFonts w:hint="eastAsia" w:asciiTheme="minorEastAsia" w:hAnsiTheme="minorEastAsia"/>
          <w:b/>
          <w:bCs/>
          <w:color w:val="auto"/>
          <w:sz w:val="24"/>
          <w:szCs w:val="24"/>
          <w:highlight w:val="none"/>
          <w:lang w:val="en-US" w:eastAsia="zh-CN"/>
        </w:rPr>
        <w:t>20</w:t>
      </w:r>
      <w:r>
        <w:rPr>
          <w:rFonts w:hint="eastAsia" w:asciiTheme="minorEastAsia" w:hAnsiTheme="minorEastAsia"/>
          <w:b/>
          <w:bCs/>
          <w:color w:val="auto"/>
          <w:sz w:val="24"/>
          <w:szCs w:val="24"/>
          <w:highlight w:val="none"/>
        </w:rPr>
        <w:t>人管）</w:t>
      </w:r>
      <w:r>
        <w:rPr>
          <w:rFonts w:hint="eastAsia" w:asciiTheme="minorEastAsia" w:hAnsiTheme="minorEastAsia"/>
          <w:b/>
          <w:bCs/>
          <w:color w:val="auto"/>
          <w:sz w:val="24"/>
          <w:szCs w:val="24"/>
          <w:highlight w:val="none"/>
          <w:lang w:eastAsia="zh-CN"/>
        </w:rPr>
        <w:t>，</w:t>
      </w:r>
      <w:r>
        <w:rPr>
          <w:rFonts w:hint="eastAsia" w:asciiTheme="minorEastAsia" w:hAnsiTheme="minorEastAsia"/>
          <w:color w:val="auto"/>
          <w:sz w:val="24"/>
          <w:szCs w:val="24"/>
          <w:highlight w:val="none"/>
        </w:rPr>
        <w:t>以上价格含从采样到出报告全过程费用。核酸检测费用单价最后报价超过最高限制单价的为无效响应文件。如在合同服务期内检测服务金额达到政府采购审批金额</w:t>
      </w:r>
      <w:r>
        <w:rPr>
          <w:rFonts w:hint="eastAsia" w:asciiTheme="minorEastAsia" w:hAnsiTheme="minorEastAsia"/>
          <w:b/>
          <w:bCs/>
          <w:color w:val="auto"/>
          <w:sz w:val="24"/>
          <w:szCs w:val="24"/>
          <w:highlight w:val="none"/>
        </w:rPr>
        <w:t>390万元</w:t>
      </w:r>
      <w:r>
        <w:rPr>
          <w:rFonts w:hint="eastAsia" w:asciiTheme="minorEastAsia" w:hAnsiTheme="minorEastAsia"/>
          <w:color w:val="auto"/>
          <w:sz w:val="24"/>
          <w:szCs w:val="24"/>
          <w:highlight w:val="none"/>
        </w:rPr>
        <w:t>，则甲方有权终止合同。</w:t>
      </w:r>
    </w:p>
    <w:p>
      <w:pPr>
        <w:spacing w:line="360" w:lineRule="auto"/>
        <w:ind w:firstLine="480" w:firstLineChars="200"/>
        <w:rPr>
          <w:color w:val="auto"/>
          <w:highlight w:val="none"/>
        </w:rPr>
      </w:pPr>
      <w:r>
        <w:rPr>
          <w:rFonts w:hint="eastAsia" w:asciiTheme="minorEastAsia" w:hAnsiTheme="minorEastAsia"/>
          <w:color w:val="auto"/>
          <w:sz w:val="24"/>
          <w:szCs w:val="24"/>
          <w:highlight w:val="none"/>
        </w:rPr>
        <w:t>1.6服务期限：</w:t>
      </w:r>
      <w:r>
        <w:rPr>
          <w:rFonts w:hint="eastAsia" w:asciiTheme="minorEastAsia" w:hAnsiTheme="minorEastAsia"/>
          <w:b/>
          <w:bCs/>
          <w:color w:val="auto"/>
          <w:sz w:val="24"/>
          <w:szCs w:val="24"/>
          <w:highlight w:val="none"/>
        </w:rPr>
        <w:t>本项目最终结算</w:t>
      </w:r>
      <w:r>
        <w:rPr>
          <w:rFonts w:hint="eastAsia" w:asciiTheme="minorEastAsia" w:hAnsiTheme="minorEastAsia"/>
          <w:b/>
          <w:bCs/>
          <w:color w:val="auto"/>
          <w:sz w:val="24"/>
          <w:szCs w:val="24"/>
          <w:highlight w:val="none"/>
          <w:lang w:val="en-US" w:eastAsia="zh-CN"/>
        </w:rPr>
        <w:t>以</w:t>
      </w:r>
      <w:r>
        <w:rPr>
          <w:rFonts w:hint="eastAsia" w:asciiTheme="minorEastAsia" w:hAnsiTheme="minorEastAsia"/>
          <w:b/>
          <w:bCs/>
          <w:color w:val="auto"/>
          <w:sz w:val="24"/>
          <w:szCs w:val="24"/>
          <w:highlight w:val="none"/>
        </w:rPr>
        <w:t>全年实际检测人次</w:t>
      </w:r>
      <w:r>
        <w:rPr>
          <w:rFonts w:hint="eastAsia" w:asciiTheme="minorEastAsia" w:hAnsiTheme="minorEastAsia"/>
          <w:b/>
          <w:bCs/>
          <w:color w:val="auto"/>
          <w:sz w:val="24"/>
          <w:szCs w:val="24"/>
          <w:highlight w:val="none"/>
          <w:lang w:val="en-US" w:eastAsia="zh-CN"/>
        </w:rPr>
        <w:t>按实</w:t>
      </w:r>
      <w:r>
        <w:rPr>
          <w:rFonts w:hint="eastAsia" w:asciiTheme="minorEastAsia" w:hAnsiTheme="minorEastAsia"/>
          <w:b/>
          <w:bCs/>
          <w:color w:val="auto"/>
          <w:sz w:val="24"/>
          <w:szCs w:val="24"/>
          <w:highlight w:val="none"/>
        </w:rPr>
        <w:t>结算，合作期限由采购人确定，最长一年（具体时间可根据采购人要求进行调整）。</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 采购项目保证金数额及交纳办法：无需缴纳。</w:t>
      </w:r>
    </w:p>
    <w:p>
      <w:pPr>
        <w:spacing w:line="360" w:lineRule="auto"/>
        <w:ind w:firstLine="476" w:firstLineChars="200"/>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 本项目不接受联合体。</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二、申请人的资格要求</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1、满足《中华人民共和国政府采购法》第二十二条规定，并依照政府采购法实施条例第十七条规定提供材料：</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（1）具有独立承担民事责任的能力；（提供法人或者其他组织的营业执照，供应商为自然人的，提供其身份证）</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（2）具有良好的商业信誉和健全的财务会计制度；（提供参加本次政府采购活动前至少一个月的会计报表）</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（3）具有履行合同所必需的设备和专业技术能力；（根据项目需求提供履行合同所必需的设备和专业技术能力的证明材料或相关加盖公章的承诺函，格式见附件）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（4）有依法缴纳税收和社会保障资金的良好记录（提供参加本次政府采购活动前半年内至少一个月缴纳增值税，或营业税，或企业所得税的凭据，及缴纳社会保险的凭据（专用收据，或社会保险缴纳清单））；</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（5）参加政府采购活动前三年内，在经营活动中没有重大违法记录；（提供参加本次政府采购活动前 3 年内在经营活动中没有重大违法记录的书面声明，格式见附件）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（6）法律、行政法规规定的其他条件。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2、落实政府采购政策需满足的资格要求：供应商如为中小微企业、监狱企业、残疾人福利性单位、节能环保产品须提供相关证明材料。</w:t>
      </w:r>
    </w:p>
    <w:p>
      <w:pPr>
        <w:pStyle w:val="2"/>
        <w:ind w:firstLine="480" w:firstLineChars="200"/>
        <w:rPr>
          <w:rFonts w:asciiTheme="minorEastAsia" w:hAnsiTheme="minorEastAsia" w:eastAsiaTheme="minorEastAsia"/>
          <w:color w:val="auto"/>
          <w:kern w:val="0"/>
          <w:szCs w:val="24"/>
          <w:highlight w:val="none"/>
        </w:rPr>
      </w:pPr>
      <w:r>
        <w:rPr>
          <w:rFonts w:hint="eastAsia" w:asciiTheme="minorEastAsia" w:hAnsiTheme="minorEastAsia" w:eastAsiaTheme="minorEastAsia"/>
          <w:color w:val="auto"/>
          <w:kern w:val="0"/>
          <w:szCs w:val="24"/>
          <w:highlight w:val="none"/>
        </w:rPr>
        <w:t>3、采购人根据采购项目的特殊要求规定的特定条件：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（1）投标供应商须具备《医疗机构执业许可证》（响应文件中提供有效期内的证书复印件并加盖公章）；</w:t>
      </w:r>
    </w:p>
    <w:p>
      <w:pPr>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rPr>
        <w:t>（2）投标供应商需经二级病原微生物安全实验室生物安全备案、须经省级临床基因扩增检验实验室备案且同时须具有生物安全三级实验室防护装备储备（响应文件中提供相关证明材料复印件并加盖公章）</w:t>
      </w:r>
      <w:r>
        <w:rPr>
          <w:rFonts w:hint="eastAsia" w:asciiTheme="minorEastAsia" w:hAnsiTheme="minorEastAsia"/>
          <w:color w:val="auto"/>
          <w:sz w:val="24"/>
          <w:szCs w:val="24"/>
          <w:highlight w:val="none"/>
          <w:lang w:eastAsia="zh-CN"/>
        </w:rPr>
        <w:t>。</w:t>
      </w:r>
    </w:p>
    <w:p>
      <w:pPr>
        <w:pStyle w:val="2"/>
        <w:ind w:firstLine="480" w:firstLineChars="200"/>
        <w:rPr>
          <w:color w:val="auto"/>
          <w:highlight w:val="none"/>
        </w:rPr>
      </w:pPr>
      <w:r>
        <w:rPr>
          <w:rFonts w:hint="eastAsia" w:asciiTheme="minorEastAsia" w:hAnsiTheme="minorEastAsia" w:eastAsiaTheme="minorEastAsia"/>
          <w:color w:val="auto"/>
          <w:kern w:val="0"/>
          <w:szCs w:val="24"/>
          <w:highlight w:val="none"/>
        </w:rPr>
        <w:t>4、</w:t>
      </w:r>
      <w:r>
        <w:rPr>
          <w:rFonts w:hint="eastAsia"/>
          <w:color w:val="auto"/>
          <w:highlight w:val="none"/>
        </w:rPr>
        <w:t xml:space="preserve">拒绝下述供应商参加本次采购活动： </w:t>
      </w:r>
    </w:p>
    <w:p>
      <w:pPr>
        <w:pStyle w:val="2"/>
        <w:ind w:firstLine="480" w:firstLineChars="200"/>
        <w:rPr>
          <w:rFonts w:asciiTheme="minorEastAsia" w:hAnsiTheme="minorEastAsia" w:eastAsiaTheme="minorEastAsia"/>
          <w:color w:val="auto"/>
          <w:kern w:val="0"/>
          <w:szCs w:val="24"/>
          <w:highlight w:val="none"/>
        </w:rPr>
      </w:pPr>
      <w:r>
        <w:rPr>
          <w:rFonts w:hint="eastAsia" w:asciiTheme="minorEastAsia" w:hAnsiTheme="minorEastAsia" w:eastAsiaTheme="minorEastAsia"/>
          <w:color w:val="auto"/>
          <w:kern w:val="0"/>
          <w:szCs w:val="24"/>
          <w:highlight w:val="none"/>
        </w:rPr>
        <w:t xml:space="preserve">（1）供应商单位负责人为同一人或者存在直接控股、管理关系的不同供应商，不得参加同一合同项下的政府采购活动。 </w:t>
      </w:r>
    </w:p>
    <w:p>
      <w:pPr>
        <w:pStyle w:val="2"/>
        <w:ind w:firstLine="480" w:firstLineChars="200"/>
        <w:rPr>
          <w:rFonts w:asciiTheme="minorEastAsia" w:hAnsiTheme="minorEastAsia" w:eastAsiaTheme="minorEastAsia"/>
          <w:color w:val="auto"/>
          <w:kern w:val="0"/>
          <w:szCs w:val="24"/>
          <w:highlight w:val="none"/>
        </w:rPr>
      </w:pPr>
      <w:r>
        <w:rPr>
          <w:rFonts w:hint="eastAsia" w:asciiTheme="minorEastAsia" w:hAnsiTheme="minorEastAsia" w:eastAsiaTheme="minorEastAsia"/>
          <w:color w:val="auto"/>
          <w:kern w:val="0"/>
          <w:szCs w:val="24"/>
          <w:highlight w:val="none"/>
        </w:rPr>
        <w:t xml:space="preserve">（2）凡为采购项目提供整体设计、规范编制或者项目管理、监理、检测等服务的供应商，不得再参加本项目的采购活动。 </w:t>
      </w:r>
    </w:p>
    <w:p>
      <w:pPr>
        <w:pStyle w:val="2"/>
        <w:ind w:firstLine="480" w:firstLineChars="200"/>
        <w:rPr>
          <w:color w:val="auto"/>
          <w:highlight w:val="none"/>
        </w:rPr>
      </w:pPr>
      <w:r>
        <w:rPr>
          <w:rFonts w:hint="eastAsia" w:asciiTheme="minorEastAsia" w:hAnsiTheme="minorEastAsia" w:eastAsiaTheme="minorEastAsia"/>
          <w:color w:val="auto"/>
          <w:kern w:val="0"/>
          <w:szCs w:val="24"/>
          <w:highlight w:val="none"/>
        </w:rPr>
        <w:t>（3）供应商被“信用中国”网站、“中国政府采购网"列入失信被执行人、重大税收违法案件当事人名单、政府采购严重违法失信行为记录名单。</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三、磋商文件获取</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时间：2022年04月</w:t>
      </w:r>
      <w:r>
        <w:rPr>
          <w:rFonts w:hint="eastAsia" w:asciiTheme="minorEastAsia" w:hAnsiTheme="minorEastAsia"/>
          <w:color w:val="auto"/>
          <w:sz w:val="24"/>
          <w:szCs w:val="24"/>
          <w:highlight w:val="none"/>
          <w:lang w:val="en-US" w:eastAsia="zh-CN"/>
        </w:rPr>
        <w:t>08</w:t>
      </w:r>
      <w:r>
        <w:rPr>
          <w:rFonts w:hint="eastAsia" w:asciiTheme="minorEastAsia" w:hAnsiTheme="minorEastAsia"/>
          <w:color w:val="auto"/>
          <w:sz w:val="24"/>
          <w:szCs w:val="24"/>
          <w:highlight w:val="none"/>
        </w:rPr>
        <w:t>日起至2022年04月13日，每天上午9:00—11:30时，下午2:00—17：00（北京时间，法定节假日除外 ）。</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地点：南京市高淳区宝塔路258号苏宁雅居38栋1005室。</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获取方式：因疫情影响，采用以下方式报名:请提供法定代表人授权委托书原件盖章扫描件、委托代理人的身份证复印件盖章扫描件、营业执照复印件盖章扫描件、报名费汇款凭据的截图发送至邮箱138515980@qq.com,邮件主题为“项目名称+单位全称+联系人+联系电话”。售价：100元/标段（收款支付宝账号：870327264@qq.com），转账请备注项目及供应商单位全称，采购文件售后不退。代理公司在核实报名手续完成后，采购文件通过邮箱发送至报名人提供的邮箱，报名人在收到采购文件后通过邮箱予以确认回复。</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四、响应文件提交</w:t>
      </w:r>
    </w:p>
    <w:p>
      <w:pPr>
        <w:pStyle w:val="2"/>
        <w:ind w:firstLine="480" w:firstLineChars="200"/>
        <w:rPr>
          <w:color w:val="auto"/>
          <w:highlight w:val="none"/>
        </w:rPr>
      </w:pPr>
      <w:r>
        <w:rPr>
          <w:rFonts w:hint="eastAsia"/>
          <w:color w:val="auto"/>
          <w:highlight w:val="none"/>
        </w:rPr>
        <w:t>响应文件份数：纸质版响应文件一式叁份（壹份正本、贰份副本），电子版响应文件壹份（一般应为PDF格式、U盘形式，随纸质正本文件一并提交）。当纸质正本文件与副本、电子版文件不一致时，以纸质正本文件为准。电子版文件用于存档，供应商须承担前述不一致造成的不利后果。每份纸质文件须清楚标明“正本”或“副本”字样。</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开始时间：2022年04月</w:t>
      </w:r>
      <w:r>
        <w:rPr>
          <w:rFonts w:hint="eastAsia" w:asciiTheme="minorEastAsia" w:hAnsiTheme="minorEastAsia"/>
          <w:color w:val="auto"/>
          <w:sz w:val="24"/>
          <w:szCs w:val="24"/>
          <w:highlight w:val="none"/>
          <w:lang w:val="en-US" w:eastAsia="zh-CN"/>
        </w:rPr>
        <w:t>19</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09</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30</w:t>
      </w:r>
      <w:r>
        <w:rPr>
          <w:rFonts w:hint="eastAsia" w:asciiTheme="minorEastAsia" w:hAnsiTheme="minorEastAsia"/>
          <w:color w:val="auto"/>
          <w:sz w:val="24"/>
          <w:szCs w:val="24"/>
          <w:highlight w:val="none"/>
        </w:rPr>
        <w:t>分（北京时间）</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截止时间：2022年04月</w:t>
      </w:r>
      <w:r>
        <w:rPr>
          <w:rFonts w:hint="eastAsia" w:asciiTheme="minorEastAsia" w:hAnsiTheme="minorEastAsia"/>
          <w:color w:val="auto"/>
          <w:sz w:val="24"/>
          <w:szCs w:val="24"/>
          <w:highlight w:val="none"/>
          <w:lang w:val="en-US" w:eastAsia="zh-CN"/>
        </w:rPr>
        <w:t>19</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10</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00</w:t>
      </w:r>
      <w:r>
        <w:rPr>
          <w:rFonts w:hint="eastAsia" w:asciiTheme="minorEastAsia" w:hAnsiTheme="minorEastAsia"/>
          <w:color w:val="auto"/>
          <w:sz w:val="24"/>
          <w:szCs w:val="24"/>
          <w:highlight w:val="none"/>
        </w:rPr>
        <w:t>分（北京时间）</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地点：南京市高淳区宝塔路258号苏宁雅居38栋1005室。</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供应商应当在要求的响应文件递交截止时间前，将响应文件密封送达指定地点。在截止时间后送达的响应文件将拒收。</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五、开启</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时间：2022年04月</w:t>
      </w:r>
      <w:r>
        <w:rPr>
          <w:rFonts w:hint="eastAsia" w:asciiTheme="minorEastAsia" w:hAnsiTheme="minorEastAsia"/>
          <w:color w:val="auto"/>
          <w:sz w:val="24"/>
          <w:szCs w:val="24"/>
          <w:highlight w:val="none"/>
          <w:lang w:val="en-US" w:eastAsia="zh-CN"/>
        </w:rPr>
        <w:t>19</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10</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00</w:t>
      </w:r>
      <w:r>
        <w:rPr>
          <w:rFonts w:hint="eastAsia" w:asciiTheme="minorEastAsia" w:hAnsiTheme="minorEastAsia"/>
          <w:color w:val="auto"/>
          <w:sz w:val="24"/>
          <w:szCs w:val="24"/>
          <w:highlight w:val="none"/>
        </w:rPr>
        <w:t>分（北京时间）</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地点：南京市高淳区宝塔路258号苏宁雅居38栋1005室</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六、公告期限</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自本公告发布之日起5个工作日。</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七、其他补充事宜</w:t>
      </w:r>
    </w:p>
    <w:p>
      <w:pPr>
        <w:shd w:val="clear" w:color="auto" w:fill="FFFFFF"/>
        <w:spacing w:line="440" w:lineRule="atLeas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1、公告媒体：</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（1）本公告在南京公共采购信息网（https://njgc.jfh.com/）和江苏政府采购网（http://www.ccgp-jiangsu.gov.cn/）公示发布，敬请各投标人关注；</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（2）若有关本次招标存在变动或修改，敬请各供应商及时关注南京公共采购信息网（https://njgc.jfh.com/）和江苏政府采购网（http://www.ccgp-jiangsu.gov.cn/）发布的关于本项目的信息更正公告。</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2、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磋商文件进行仔细认真地阅读，在随后的采购中，对磋商文件所作出的推论、解释和结论及由此造成的后果由投标供应商负责。</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3、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投标截止时间前2天内办理登记注册手续。</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4、供应商申请网上注册的，应当按以下程序进行：</w:t>
      </w:r>
    </w:p>
    <w:p>
      <w:pPr>
        <w:shd w:val="clear" w:color="auto" w:fill="FFFFFF"/>
        <w:spacing w:line="440" w:lineRule="atLeast"/>
        <w:ind w:firstLine="480"/>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（1）登陆“信用南京”或“南京公共采购信息网”网站，点击“政府采购供应商诚信档案”图标，在弹出的用户登录界面，点击“新用户注册”；</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（2）在“新用户注册”界面，供应商自行设置用户名、登录密码，如实填写“南京市政府采购供应商诚信档案注册登记表”，根据网站注册要求如实上传相关资料，并进行信用承诺确认后，提交注册申请；</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（3）系统审核后，供应商即可登录系统进行相关功能操作。</w:t>
      </w:r>
    </w:p>
    <w:p>
      <w:pPr>
        <w:shd w:val="clear" w:color="auto" w:fill="FFFFFF"/>
        <w:spacing w:line="360" w:lineRule="auto"/>
        <w:ind w:firstLine="480"/>
        <w:rPr>
          <w:color w:val="auto"/>
          <w:highlight w:val="none"/>
        </w:rPr>
      </w:pPr>
      <w:r>
        <w:rPr>
          <w:rFonts w:hint="eastAsia" w:ascii="宋体" w:hAnsi="宋体" w:eastAsia="宋体" w:cs="宋体"/>
          <w:color w:val="auto"/>
          <w:sz w:val="24"/>
          <w:highlight w:val="none"/>
          <w:shd w:val="clear" w:color="auto" w:fill="FFFFFF"/>
        </w:rPr>
        <w:t>5、供应商参加本项目政府采购活动时，无论是新用户注册或已注册成功的，均应在采购文件发布之日起至投标截止时间前，登录“信用南京”或“南京公共采购信息网”在线打印其“</w:t>
      </w:r>
      <w:r>
        <w:rPr>
          <w:rFonts w:hint="eastAsia" w:ascii="宋体" w:hAnsi="宋体" w:eastAsia="宋体" w:cs="宋体"/>
          <w:color w:val="auto"/>
          <w:sz w:val="24"/>
          <w:highlight w:val="none"/>
          <w:shd w:val="clear" w:color="auto" w:fill="FFFFFF"/>
          <w:lang w:eastAsia="zh-CN"/>
        </w:rPr>
        <w:t>南京市政府采购供应商信用记录表暨信用承诺书</w:t>
      </w:r>
      <w:r>
        <w:rPr>
          <w:rFonts w:hint="eastAsia" w:ascii="宋体" w:hAnsi="宋体" w:eastAsia="宋体" w:cs="宋体"/>
          <w:color w:val="auto"/>
          <w:sz w:val="24"/>
          <w:highlight w:val="none"/>
          <w:shd w:val="clear" w:color="auto" w:fill="FFFFFF"/>
        </w:rPr>
        <w:t>”，经法定代表人签名盖章后作为响应文件的有效组成部分，“</w:t>
      </w:r>
      <w:r>
        <w:rPr>
          <w:rFonts w:hint="eastAsia" w:ascii="宋体" w:hAnsi="宋体" w:eastAsia="宋体" w:cs="宋体"/>
          <w:color w:val="auto"/>
          <w:sz w:val="24"/>
          <w:highlight w:val="none"/>
          <w:shd w:val="clear" w:color="auto" w:fill="FFFFFF"/>
          <w:lang w:eastAsia="zh-CN"/>
        </w:rPr>
        <w:t>南京市政府采购供应商信用记录表暨信用承诺书</w:t>
      </w:r>
      <w:r>
        <w:rPr>
          <w:rFonts w:hint="eastAsia" w:ascii="宋体" w:hAnsi="宋体" w:eastAsia="宋体" w:cs="宋体"/>
          <w:color w:val="auto"/>
          <w:sz w:val="24"/>
          <w:highlight w:val="none"/>
          <w:shd w:val="clear" w:color="auto" w:fill="FFFFFF"/>
        </w:rPr>
        <w:t>”是其参加本次政府采购活动的必备材料。</w:t>
      </w:r>
    </w:p>
    <w:p>
      <w:pPr>
        <w:pStyle w:val="66"/>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6、“</w:t>
      </w:r>
      <w:r>
        <w:rPr>
          <w:rFonts w:hint="eastAsia" w:ascii="宋体" w:hAnsi="宋体" w:eastAsia="宋体" w:cs="宋体"/>
          <w:color w:val="auto"/>
          <w:sz w:val="24"/>
          <w:highlight w:val="none"/>
          <w:shd w:val="clear" w:color="auto" w:fill="FFFFFF"/>
          <w:lang w:eastAsia="zh-CN"/>
        </w:rPr>
        <w:t>南京市政府采购供应商信用记录表暨信用承诺书</w:t>
      </w:r>
      <w:r>
        <w:rPr>
          <w:rFonts w:hint="eastAsia" w:ascii="宋体" w:hAnsi="宋体" w:eastAsia="宋体" w:cs="宋体"/>
          <w:color w:val="auto"/>
          <w:sz w:val="24"/>
          <w:highlight w:val="none"/>
          <w:shd w:val="clear" w:color="auto" w:fill="FFFFFF"/>
        </w:rPr>
        <w:t>”一式两份，一份装订在响应文件中，一份用封套单独加以密封，并在封套上注明“信用记录表”字样，随响应文件一并递交。未按上述要求提供信用记录表的，响应文件将被拒绝接收。</w:t>
      </w:r>
    </w:p>
    <w:p>
      <w:pPr>
        <w:pStyle w:val="66"/>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7、南京市政府采购供应商诚信档案管理系统客服电话：025-52718366；供应商可就用户注册与打印“</w:t>
      </w:r>
      <w:r>
        <w:rPr>
          <w:rFonts w:hint="eastAsia" w:ascii="宋体" w:hAnsi="宋体" w:eastAsia="宋体" w:cs="宋体"/>
          <w:color w:val="auto"/>
          <w:sz w:val="24"/>
          <w:highlight w:val="none"/>
          <w:shd w:val="clear" w:color="auto" w:fill="FFFFFF"/>
          <w:lang w:eastAsia="zh-CN"/>
        </w:rPr>
        <w:t>南京市政府采购供应商信用记录表暨信用承诺书</w:t>
      </w:r>
      <w:r>
        <w:rPr>
          <w:rFonts w:hint="eastAsia" w:ascii="宋体" w:hAnsi="宋体" w:eastAsia="宋体" w:cs="宋体"/>
          <w:color w:val="auto"/>
          <w:sz w:val="24"/>
          <w:highlight w:val="none"/>
          <w:shd w:val="clear" w:color="auto" w:fill="FFFFFF"/>
        </w:rPr>
        <w:t>”等事宜进行咨询。</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8、</w:t>
      </w:r>
      <w:r>
        <w:rPr>
          <w:rFonts w:hint="eastAsia" w:ascii="宋体" w:hAnsi="宋体" w:eastAsia="宋体" w:cs="宋体"/>
          <w:color w:val="auto"/>
          <w:sz w:val="24"/>
          <w:highlight w:val="none"/>
          <w:shd w:val="clear" w:color="auto" w:fill="FFFFFF"/>
        </w:rPr>
        <w:t>根据《关于在政府采购活动中推行信用承诺制的通知》宁财购通〔2021〕5号规定，在政府采购活动中，供应商只需在资格审查环节提供满足本项目相应条件的书面承诺书，不再需要提供以下证明材料：（承诺书格式见招标文件第六章附件）</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（1）符合国家相关规定的财务状况报告；</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（2）依法缴纳税收的证明材料；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（3）依法缴纳社会保障资金的证明材料；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（4）具备履行政府采购合同所必需的设备和专业技术能力的证明材料；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（5）参加政府采购活动前三年内在经营活动中没有重大违法记录的证明材料；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（6）未被列入失信被执行人、重大税收违法案件当事人名单、政府采购严重违法失信行为记录名单的证明材料。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供应商在中标（成交）后，应按采购文件要求，将上述由信用承诺书替代的证明材料（一式叁份），材料须加盖公章并按采购文件要求胶装提交采购人或采购代理机构核验。经核验无误后，由采购人或采购代理机构发出中标（成交）通知书。</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供应商涉及以下情形的，不适用信用承诺，仍须提供上述证明材料：</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（1）供应商被列入严重失信主体名单；</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（2）南京市政府采购供应商诚信档案管理系统中诚信档案分在40分以下；</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（3）被相关监管部门作出行政处罚且尚在处罚有效期内；</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（4）其他法律、行政法规规定的不适用信用承诺的情形。</w:t>
      </w:r>
    </w:p>
    <w:p>
      <w:pPr>
        <w:shd w:val="clear" w:color="auto" w:fill="FFFFFF"/>
        <w:spacing w:line="360" w:lineRule="auto"/>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响应人对信用承诺内容的真实性、合法性、有效性负责。如作出虚假信用承诺，视同为“提供虚假材料谋取中标、成交”的违法行为。</w:t>
      </w:r>
    </w:p>
    <w:p>
      <w:pPr>
        <w:spacing w:line="360" w:lineRule="auto"/>
        <w:ind w:firstLine="482"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八、凡对本次采购提出询问，请按以下方式联系。</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1、采购人信息</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    称：南京市高淳区卫生健康委员会</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    址：南京市高淳区淳溪街道丹阳湖北路11号</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联 系 人：周主任   </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    话：/</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2、采购代理机构信息</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    称：南京淳衡工程项目管理有限公司</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　　址：南京市高淳区宝塔路258号苏宁雅居38栋1005室</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项目联系人：葛工</w:t>
      </w:r>
    </w:p>
    <w:p>
      <w:pPr>
        <w:spacing w:line="33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联系方式：025-56865980</w:t>
      </w:r>
      <w:r>
        <w:rPr>
          <w:rFonts w:asciiTheme="minorEastAsia" w:hAnsiTheme="minorEastAsia"/>
          <w:color w:val="auto"/>
          <w:sz w:val="24"/>
          <w:szCs w:val="24"/>
          <w:highlight w:val="none"/>
        </w:rPr>
        <w:br w:type="page"/>
      </w:r>
    </w:p>
    <w:p>
      <w:pPr>
        <w:numPr>
          <w:ilvl w:val="0"/>
          <w:numId w:val="2"/>
        </w:numPr>
        <w:spacing w:line="360" w:lineRule="auto"/>
        <w:jc w:val="center"/>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t>竞争性磋商须知</w:t>
      </w:r>
    </w:p>
    <w:p>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供应商须知前附表</w:t>
      </w:r>
    </w:p>
    <w:tbl>
      <w:tblPr>
        <w:tblStyle w:val="28"/>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468"/>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8" w:type="pct"/>
            <w:noWrap/>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序号</w:t>
            </w:r>
          </w:p>
        </w:tc>
        <w:tc>
          <w:tcPr>
            <w:tcW w:w="1219" w:type="pct"/>
            <w:noWrap/>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名 称</w:t>
            </w:r>
          </w:p>
        </w:tc>
        <w:tc>
          <w:tcPr>
            <w:tcW w:w="3302" w:type="pct"/>
            <w:noWrap/>
            <w:vAlign w:val="center"/>
          </w:tcPr>
          <w:p>
            <w:pPr>
              <w:spacing w:line="360" w:lineRule="auto"/>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c>
          <w:tcPr>
            <w:tcW w:w="3302" w:type="pct"/>
            <w:noWrap/>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NJCH—20221008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302" w:type="pct"/>
            <w:noWrap/>
          </w:tcPr>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高淳区常态化疫情防控核酸检测项目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采购人</w:t>
            </w:r>
          </w:p>
        </w:tc>
        <w:tc>
          <w:tcPr>
            <w:tcW w:w="3302" w:type="pct"/>
            <w:noWrap/>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名称：南京市高淳区卫生健康委员会</w:t>
            </w:r>
          </w:p>
          <w:p>
            <w:pPr>
              <w:spacing w:line="360" w:lineRule="auto"/>
              <w:rPr>
                <w:rFonts w:ascii="宋体" w:hAnsi="宋体"/>
                <w:color w:val="auto"/>
                <w:sz w:val="24"/>
                <w:szCs w:val="24"/>
                <w:highlight w:val="none"/>
              </w:rPr>
            </w:pPr>
            <w:r>
              <w:rPr>
                <w:rFonts w:hint="eastAsia" w:ascii="宋体" w:hAnsi="宋体" w:eastAsia="宋体"/>
                <w:color w:val="auto"/>
                <w:sz w:val="24"/>
                <w:szCs w:val="24"/>
                <w:highlight w:val="none"/>
              </w:rPr>
              <w:t>联系人：</w:t>
            </w:r>
            <w:r>
              <w:rPr>
                <w:rFonts w:hint="eastAsia" w:asciiTheme="minorEastAsia" w:hAnsiTheme="minorEastAsia"/>
                <w:color w:val="auto"/>
                <w:sz w:val="24"/>
                <w:szCs w:val="24"/>
                <w:highlight w:val="none"/>
              </w:rPr>
              <w:t>周主任</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联系电话：</w:t>
            </w:r>
            <w:r>
              <w:rPr>
                <w:rFonts w:hint="eastAsia" w:eastAsia="宋体" w:asciiTheme="minorEastAsia" w:hAnsi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c>
          <w:tcPr>
            <w:tcW w:w="3302" w:type="pct"/>
            <w:noWrap/>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名称：南京淳衡工程项目管理有限公司</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地址：南京市高淳区宝塔路258号苏宁雅居38栋1005室</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联系人：葛工</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联系电话：025-56865980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磋商文件获取</w:t>
            </w:r>
          </w:p>
        </w:tc>
        <w:tc>
          <w:tcPr>
            <w:tcW w:w="3302" w:type="pct"/>
            <w:noWrap/>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1、获取时间：2022年04月</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日起至2022年04月13日为止，每天9：00-11：30，14：00-17：00（北京时间，节假日除外）；</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2、磋商文件获取方式：详见磋商公告。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项目预算</w:t>
            </w:r>
          </w:p>
        </w:tc>
        <w:tc>
          <w:tcPr>
            <w:tcW w:w="3302" w:type="pct"/>
            <w:noWrap/>
            <w:vAlign w:val="center"/>
          </w:tcPr>
          <w:p>
            <w:pPr>
              <w:spacing w:line="360" w:lineRule="auto"/>
              <w:rPr>
                <w:rFonts w:ascii="宋体" w:hAnsi="宋体" w:eastAsia="宋体"/>
                <w:b/>
                <w:color w:val="auto"/>
                <w:sz w:val="24"/>
                <w:szCs w:val="24"/>
                <w:highlight w:val="none"/>
              </w:rPr>
            </w:pPr>
            <w:r>
              <w:rPr>
                <w:rFonts w:hint="eastAsia" w:ascii="宋体" w:hAnsi="宋体" w:eastAsia="宋体"/>
                <w:color w:val="auto"/>
                <w:sz w:val="24"/>
                <w:szCs w:val="24"/>
                <w:highlight w:val="none"/>
              </w:rPr>
              <w:t>本次核酸检测费用最高限制单价：28元/人次（单管），</w:t>
            </w:r>
            <w:r>
              <w:rPr>
                <w:rFonts w:hint="eastAsia" w:asciiTheme="minorEastAsia" w:hAnsiTheme="minorEastAsia"/>
                <w:b w:val="0"/>
                <w:bCs w:val="0"/>
                <w:color w:val="auto"/>
                <w:sz w:val="24"/>
                <w:szCs w:val="24"/>
                <w:highlight w:val="none"/>
              </w:rPr>
              <w:t>8</w:t>
            </w:r>
            <w:r>
              <w:rPr>
                <w:rFonts w:hint="eastAsia" w:asciiTheme="minorEastAsia" w:hAnsiTheme="minorEastAsia"/>
                <w:b w:val="0"/>
                <w:bCs w:val="0"/>
                <w:color w:val="auto"/>
                <w:sz w:val="24"/>
                <w:szCs w:val="24"/>
                <w:highlight w:val="none"/>
                <w:lang w:val="en-US" w:eastAsia="zh-CN"/>
              </w:rPr>
              <w:t>0</w:t>
            </w:r>
            <w:r>
              <w:rPr>
                <w:rFonts w:hint="eastAsia" w:asciiTheme="minorEastAsia" w:hAnsiTheme="minorEastAsia"/>
                <w:b w:val="0"/>
                <w:bCs w:val="0"/>
                <w:color w:val="auto"/>
                <w:sz w:val="24"/>
                <w:szCs w:val="24"/>
                <w:highlight w:val="none"/>
              </w:rPr>
              <w:t>元/</w:t>
            </w:r>
            <w:r>
              <w:rPr>
                <w:rFonts w:hint="eastAsia" w:asciiTheme="minorEastAsia" w:hAnsiTheme="minorEastAsia"/>
                <w:b w:val="0"/>
                <w:bCs w:val="0"/>
                <w:color w:val="auto"/>
                <w:sz w:val="24"/>
                <w:szCs w:val="24"/>
                <w:highlight w:val="none"/>
                <w:lang w:val="en-US" w:eastAsia="zh-CN"/>
              </w:rPr>
              <w:t>管</w:t>
            </w:r>
            <w:r>
              <w:rPr>
                <w:rFonts w:hint="eastAsia" w:asciiTheme="minorEastAsia" w:hAnsiTheme="minorEastAsia"/>
                <w:b w:val="0"/>
                <w:bCs w:val="0"/>
                <w:color w:val="auto"/>
                <w:sz w:val="24"/>
                <w:szCs w:val="24"/>
                <w:highlight w:val="none"/>
              </w:rPr>
              <w:t>（</w:t>
            </w:r>
            <w:r>
              <w:rPr>
                <w:rFonts w:hint="eastAsia" w:asciiTheme="minorEastAsia" w:hAnsiTheme="minorEastAsia"/>
                <w:b w:val="0"/>
                <w:bCs w:val="0"/>
                <w:color w:val="auto"/>
                <w:sz w:val="24"/>
                <w:szCs w:val="24"/>
                <w:highlight w:val="none"/>
                <w:lang w:val="en-US" w:eastAsia="zh-CN"/>
              </w:rPr>
              <w:t>10</w:t>
            </w:r>
            <w:r>
              <w:rPr>
                <w:rFonts w:hint="eastAsia" w:asciiTheme="minorEastAsia" w:hAnsiTheme="minorEastAsia"/>
                <w:b w:val="0"/>
                <w:bCs w:val="0"/>
                <w:color w:val="auto"/>
                <w:sz w:val="24"/>
                <w:szCs w:val="24"/>
                <w:highlight w:val="none"/>
              </w:rPr>
              <w:t>人管）</w:t>
            </w:r>
            <w:r>
              <w:rPr>
                <w:rFonts w:hint="eastAsia" w:ascii="宋体" w:hAnsi="宋体" w:eastAsia="宋体"/>
                <w:b w:val="0"/>
                <w:bCs w:val="0"/>
                <w:color w:val="auto"/>
                <w:sz w:val="24"/>
                <w:szCs w:val="24"/>
                <w:highlight w:val="none"/>
                <w:lang w:eastAsia="zh-CN"/>
              </w:rPr>
              <w:t>，100元/管（20人管），</w:t>
            </w:r>
            <w:r>
              <w:rPr>
                <w:rFonts w:hint="eastAsia" w:ascii="宋体" w:hAnsi="宋体" w:eastAsia="宋体"/>
                <w:b w:val="0"/>
                <w:bCs w:val="0"/>
                <w:color w:val="auto"/>
                <w:sz w:val="24"/>
                <w:szCs w:val="24"/>
                <w:highlight w:val="none"/>
              </w:rPr>
              <w:t>以</w:t>
            </w:r>
            <w:r>
              <w:rPr>
                <w:rFonts w:hint="eastAsia" w:ascii="宋体" w:hAnsi="宋体" w:eastAsia="宋体"/>
                <w:color w:val="auto"/>
                <w:sz w:val="24"/>
                <w:szCs w:val="24"/>
                <w:highlight w:val="none"/>
              </w:rPr>
              <w:t>上价格含从采样到出报告全过程费用。核酸检测费用单价最后报价超过最高限制单价的为无效响应文件。如在合同服务期内检测服务收费达到政府采购审批金额390万元，则甲方有权终止合同。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履约保证金</w:t>
            </w:r>
          </w:p>
        </w:tc>
        <w:tc>
          <w:tcPr>
            <w:tcW w:w="3302" w:type="pct"/>
            <w:noWrap/>
            <w:vAlign w:val="center"/>
          </w:tcPr>
          <w:p>
            <w:pPr>
              <w:spacing w:line="360" w:lineRule="auto"/>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资金来源</w:t>
            </w:r>
          </w:p>
        </w:tc>
        <w:tc>
          <w:tcPr>
            <w:tcW w:w="3302" w:type="pct"/>
            <w:noWrap/>
            <w:vAlign w:val="center"/>
          </w:tcPr>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服务期限</w:t>
            </w:r>
          </w:p>
        </w:tc>
        <w:tc>
          <w:tcPr>
            <w:tcW w:w="3302" w:type="pct"/>
            <w:noWrap/>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本项目最终结算</w:t>
            </w:r>
            <w:r>
              <w:rPr>
                <w:rFonts w:hint="eastAsia" w:ascii="宋体" w:hAnsi="宋体" w:eastAsia="宋体"/>
                <w:color w:val="auto"/>
                <w:sz w:val="24"/>
                <w:szCs w:val="24"/>
                <w:highlight w:val="none"/>
                <w:lang w:val="en-US" w:eastAsia="zh-CN"/>
              </w:rPr>
              <w:t>以</w:t>
            </w:r>
            <w:r>
              <w:rPr>
                <w:rFonts w:hint="eastAsia" w:ascii="宋体" w:hAnsi="宋体" w:eastAsia="宋体"/>
                <w:color w:val="auto"/>
                <w:sz w:val="24"/>
                <w:szCs w:val="24"/>
                <w:highlight w:val="none"/>
              </w:rPr>
              <w:t>全年实际检测人次</w:t>
            </w:r>
            <w:r>
              <w:rPr>
                <w:rFonts w:hint="eastAsia" w:ascii="宋体" w:hAnsi="宋体" w:eastAsia="宋体"/>
                <w:color w:val="auto"/>
                <w:sz w:val="24"/>
                <w:szCs w:val="24"/>
                <w:highlight w:val="none"/>
                <w:lang w:val="en-US" w:eastAsia="zh-CN"/>
              </w:rPr>
              <w:t>按实</w:t>
            </w:r>
            <w:r>
              <w:rPr>
                <w:rFonts w:hint="eastAsia" w:ascii="宋体" w:hAnsi="宋体" w:eastAsia="宋体"/>
                <w:color w:val="auto"/>
                <w:sz w:val="24"/>
                <w:szCs w:val="24"/>
                <w:highlight w:val="none"/>
              </w:rPr>
              <w:t>结算，合作期限由采购人确定，最长一年（具体时间可根据采购人要求进行调整，详见公告）。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付款方式</w:t>
            </w:r>
          </w:p>
        </w:tc>
        <w:tc>
          <w:tcPr>
            <w:tcW w:w="3302" w:type="pct"/>
            <w:noWrap/>
            <w:vAlign w:val="center"/>
          </w:tcPr>
          <w:p>
            <w:pPr>
              <w:pStyle w:val="25"/>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（一）自合同签订后每月结算一次，采购人向成交供应商支付本月已</w:t>
            </w:r>
            <w:r>
              <w:rPr>
                <w:rFonts w:hint="eastAsia" w:ascii="宋体" w:hAnsi="宋体" w:eastAsia="宋体" w:cs="宋体"/>
                <w:color w:val="auto"/>
                <w:sz w:val="24"/>
                <w:szCs w:val="24"/>
                <w:highlight w:val="none"/>
                <w:lang w:val="en-US" w:eastAsia="zh-CN"/>
              </w:rPr>
              <w:t>完成检测费</w:t>
            </w:r>
            <w:r>
              <w:rPr>
                <w:rFonts w:hint="eastAsia" w:ascii="宋体" w:hAnsi="宋体" w:eastAsia="宋体" w:cs="宋体"/>
                <w:color w:val="auto"/>
                <w:sz w:val="24"/>
                <w:szCs w:val="24"/>
                <w:highlight w:val="none"/>
                <w:lang w:val="en-US"/>
              </w:rPr>
              <w:t>金额的60%；</w:t>
            </w:r>
          </w:p>
          <w:p>
            <w:pPr>
              <w:pStyle w:val="25"/>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（二）项目履行6个月后，采购人向成交供应商支付前6个月的</w:t>
            </w:r>
            <w:r>
              <w:rPr>
                <w:rFonts w:hint="eastAsia" w:ascii="宋体" w:hAnsi="宋体" w:eastAsia="宋体" w:cs="宋体"/>
                <w:color w:val="auto"/>
                <w:sz w:val="24"/>
                <w:szCs w:val="24"/>
                <w:highlight w:val="none"/>
                <w:lang w:val="en-US" w:eastAsia="zh-CN"/>
              </w:rPr>
              <w:t>检测费</w:t>
            </w:r>
            <w:r>
              <w:rPr>
                <w:rFonts w:hint="eastAsia" w:ascii="宋体" w:hAnsi="宋体" w:eastAsia="宋体" w:cs="宋体"/>
                <w:color w:val="auto"/>
                <w:sz w:val="24"/>
                <w:szCs w:val="24"/>
                <w:highlight w:val="none"/>
                <w:lang w:val="en-US"/>
              </w:rPr>
              <w:t xml:space="preserve">余额。以此类推直至合同结束一次性付清。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代理费</w:t>
            </w:r>
          </w:p>
        </w:tc>
        <w:tc>
          <w:tcPr>
            <w:tcW w:w="3302" w:type="pct"/>
            <w:noWrap/>
            <w:vAlign w:val="center"/>
          </w:tcPr>
          <w:p>
            <w:pPr>
              <w:pStyle w:val="25"/>
              <w:jc w:val="both"/>
              <w:rPr>
                <w:rFonts w:ascii="宋体" w:hAnsi="宋体" w:cs="宋体"/>
                <w:color w:val="auto"/>
                <w:sz w:val="22"/>
                <w:highlight w:val="none"/>
                <w:u w:val="single"/>
                <w:lang w:val="en-US"/>
              </w:rPr>
            </w:pPr>
            <w:r>
              <w:rPr>
                <w:rFonts w:ascii="宋体" w:hAnsi="宋体" w:eastAsia="宋体" w:cs="宋体"/>
                <w:b w:val="0"/>
                <w:color w:val="auto"/>
                <w:sz w:val="24"/>
                <w:szCs w:val="24"/>
                <w:highlight w:val="none"/>
                <w:lang w:val="en-US"/>
              </w:rPr>
              <w:t>本次采购项目代理费及专家评</w:t>
            </w:r>
            <w:r>
              <w:rPr>
                <w:rFonts w:hint="eastAsia" w:ascii="宋体" w:hAnsi="宋体" w:eastAsia="宋体" w:cs="宋体"/>
                <w:b w:val="0"/>
                <w:color w:val="auto"/>
                <w:sz w:val="24"/>
                <w:szCs w:val="24"/>
                <w:highlight w:val="none"/>
                <w:lang w:val="en-US"/>
              </w:rPr>
              <w:t>审</w:t>
            </w:r>
            <w:r>
              <w:rPr>
                <w:rFonts w:ascii="宋体" w:hAnsi="宋体" w:eastAsia="宋体" w:cs="宋体"/>
                <w:b w:val="0"/>
                <w:color w:val="auto"/>
                <w:sz w:val="24"/>
                <w:szCs w:val="24"/>
                <w:highlight w:val="none"/>
                <w:lang w:val="en-US"/>
              </w:rPr>
              <w:t>费由供应商支付</w:t>
            </w:r>
            <w:r>
              <w:rPr>
                <w:rFonts w:hint="eastAsia" w:ascii="宋体" w:hAnsi="宋体" w:eastAsia="宋体" w:cs="宋体"/>
                <w:b w:val="0"/>
                <w:color w:val="auto"/>
                <w:sz w:val="24"/>
                <w:szCs w:val="24"/>
                <w:highlight w:val="none"/>
                <w:lang w:val="en-US"/>
              </w:rPr>
              <w:t>。</w:t>
            </w:r>
            <w:r>
              <w:rPr>
                <w:rFonts w:ascii="宋体" w:hAnsi="宋体" w:eastAsia="宋体" w:cs="宋体"/>
                <w:b w:val="0"/>
                <w:color w:val="auto"/>
                <w:sz w:val="24"/>
                <w:szCs w:val="24"/>
                <w:highlight w:val="none"/>
                <w:lang w:val="en-US"/>
              </w:rPr>
              <w:t>代理费</w:t>
            </w:r>
            <w:r>
              <w:rPr>
                <w:rFonts w:hint="eastAsia" w:ascii="宋体" w:hAnsi="宋体" w:eastAsia="宋体" w:cs="宋体"/>
                <w:b w:val="0"/>
                <w:color w:val="auto"/>
                <w:sz w:val="24"/>
                <w:szCs w:val="24"/>
                <w:highlight w:val="none"/>
                <w:lang w:val="en-US"/>
              </w:rPr>
              <w:t>参照苏招协</w:t>
            </w:r>
            <w:r>
              <w:rPr>
                <w:rFonts w:ascii="宋体" w:hAnsi="宋体" w:eastAsia="宋体" w:cs="宋体"/>
                <w:b w:val="0"/>
                <w:color w:val="auto"/>
                <w:sz w:val="24"/>
                <w:szCs w:val="24"/>
                <w:highlight w:val="none"/>
                <w:lang w:val="en-US"/>
              </w:rPr>
              <w:t>[</w:t>
            </w:r>
            <w:r>
              <w:rPr>
                <w:rFonts w:hint="eastAsia" w:ascii="宋体" w:hAnsi="宋体" w:eastAsia="宋体" w:cs="宋体"/>
                <w:b w:val="0"/>
                <w:color w:val="auto"/>
                <w:sz w:val="24"/>
                <w:szCs w:val="24"/>
                <w:highlight w:val="none"/>
                <w:lang w:val="en-US"/>
              </w:rPr>
              <w:t>2022</w:t>
            </w:r>
            <w:r>
              <w:rPr>
                <w:rFonts w:ascii="宋体" w:hAnsi="宋体" w:eastAsia="宋体" w:cs="宋体"/>
                <w:b w:val="0"/>
                <w:color w:val="auto"/>
                <w:sz w:val="24"/>
                <w:szCs w:val="24"/>
                <w:highlight w:val="none"/>
                <w:lang w:val="en-US"/>
              </w:rPr>
              <w:t>]</w:t>
            </w:r>
            <w:r>
              <w:rPr>
                <w:rFonts w:hint="eastAsia" w:ascii="宋体" w:hAnsi="宋体" w:eastAsia="宋体" w:cs="宋体"/>
                <w:b w:val="0"/>
                <w:color w:val="auto"/>
                <w:sz w:val="24"/>
                <w:szCs w:val="24"/>
                <w:highlight w:val="none"/>
                <w:lang w:val="en-US"/>
              </w:rPr>
              <w:t>002</w:t>
            </w:r>
            <w:r>
              <w:rPr>
                <w:rFonts w:ascii="宋体" w:hAnsi="宋体" w:eastAsia="宋体" w:cs="宋体"/>
                <w:b w:val="0"/>
                <w:color w:val="auto"/>
                <w:sz w:val="24"/>
                <w:szCs w:val="24"/>
                <w:highlight w:val="none"/>
                <w:lang w:val="en-US"/>
              </w:rPr>
              <w:t>文</w:t>
            </w:r>
            <w:r>
              <w:rPr>
                <w:rFonts w:hint="eastAsia" w:ascii="宋体" w:hAnsi="宋体" w:eastAsia="宋体" w:cs="宋体"/>
                <w:b w:val="0"/>
                <w:color w:val="auto"/>
                <w:sz w:val="24"/>
                <w:szCs w:val="24"/>
                <w:highlight w:val="none"/>
                <w:lang w:val="en-US"/>
              </w:rPr>
              <w:t>件</w:t>
            </w:r>
            <w:r>
              <w:rPr>
                <w:rFonts w:ascii="宋体" w:hAnsi="宋体" w:eastAsia="宋体" w:cs="宋体"/>
                <w:b w:val="0"/>
                <w:color w:val="auto"/>
                <w:sz w:val="24"/>
                <w:szCs w:val="24"/>
                <w:highlight w:val="none"/>
                <w:lang w:val="en-US"/>
              </w:rPr>
              <w:t>的规定标准计取</w:t>
            </w:r>
            <w:r>
              <w:rPr>
                <w:rFonts w:hint="eastAsia" w:ascii="宋体" w:hAnsi="宋体" w:eastAsia="宋体" w:cs="宋体"/>
                <w:b w:val="0"/>
                <w:color w:val="auto"/>
                <w:sz w:val="24"/>
                <w:szCs w:val="24"/>
                <w:highlight w:val="none"/>
                <w:lang w:val="en-US"/>
              </w:rPr>
              <w:t>，</w:t>
            </w:r>
            <w:r>
              <w:rPr>
                <w:rFonts w:ascii="宋体" w:hAnsi="宋体" w:eastAsia="宋体" w:cs="宋体"/>
                <w:b w:val="0"/>
                <w:color w:val="auto"/>
                <w:sz w:val="24"/>
                <w:szCs w:val="24"/>
                <w:highlight w:val="none"/>
                <w:lang w:val="en-US"/>
              </w:rPr>
              <w:t>专家评委费按实收取。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磋商有效期</w:t>
            </w:r>
          </w:p>
        </w:tc>
        <w:tc>
          <w:tcPr>
            <w:tcW w:w="3302" w:type="pct"/>
            <w:noWrap/>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磋商之日起90天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响应文件开启</w:t>
            </w:r>
          </w:p>
        </w:tc>
        <w:tc>
          <w:tcPr>
            <w:tcW w:w="3302" w:type="pct"/>
            <w:noWrap/>
            <w:vAlign w:val="center"/>
          </w:tcPr>
          <w:p>
            <w:pPr>
              <w:pStyle w:val="64"/>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时间：2022年</w:t>
            </w:r>
            <w:r>
              <w:rPr>
                <w:rFonts w:hint="eastAsia" w:ascii="宋体" w:hAnsi="宋体" w:eastAsia="宋体" w:cs="宋体"/>
                <w:color w:val="auto"/>
                <w:sz w:val="24"/>
                <w:szCs w:val="24"/>
                <w:highlight w:val="none"/>
                <w:lang w:val="en-US"/>
              </w:rPr>
              <w:t>04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地点：南京市高淳区宝塔路258号苏宁雅居38栋1005室。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供应商企业信用信息</w:t>
            </w:r>
          </w:p>
        </w:tc>
        <w:tc>
          <w:tcPr>
            <w:tcW w:w="3302" w:type="pct"/>
            <w:noWrap/>
            <w:vAlign w:val="center"/>
          </w:tcPr>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（1）查询人：采购代理机构或采购人</w:t>
            </w:r>
            <w:r>
              <w:rPr>
                <w:rFonts w:hint="eastAsia" w:ascii="宋体" w:hAnsi="宋体" w:eastAsia="宋体"/>
                <w:color w:val="auto"/>
                <w:sz w:val="24"/>
                <w:szCs w:val="24"/>
                <w:highlight w:val="none"/>
                <w:lang w:eastAsia="zh-CN"/>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（2）查询渠道：“信用中国”网站（www.creditchina.gov.cn）、“中国政府采购网”网站（www.ccgp.gov.cn）；</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（3）查询截止时间：提交响应文件截止时间前三个日历日内；</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（4）查询记录留存方式：由采购代理机构负责将供应商各网站信用记录截图打印保存，并作为本项目档案资料留存；</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（5）查询结果处理：</w:t>
            </w:r>
            <w:r>
              <w:rPr>
                <w:rFonts w:hint="eastAsia" w:ascii="宋体" w:hAnsi="宋体" w:eastAsia="宋体" w:cs="宋体"/>
                <w:color w:val="auto"/>
                <w:sz w:val="24"/>
                <w:szCs w:val="24"/>
                <w:highlight w:val="none"/>
              </w:rPr>
              <w:t>对具有失信记录的供应商进行书面或电子邮箱形式通知，并要求拒绝其参加本次采购活动。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响应文件拒收情形</w:t>
            </w:r>
          </w:p>
        </w:tc>
        <w:tc>
          <w:tcPr>
            <w:tcW w:w="3302" w:type="pct"/>
            <w:noWrap/>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（1）未按竞争性磋商邀请规定的要求提供“</w:t>
            </w:r>
            <w:r>
              <w:rPr>
                <w:rFonts w:hint="eastAsia" w:ascii="宋体" w:hAnsi="宋体" w:eastAsia="宋体" w:cs="宋体"/>
                <w:color w:val="auto"/>
                <w:sz w:val="24"/>
                <w:szCs w:val="24"/>
                <w:highlight w:val="none"/>
                <w:lang w:eastAsia="zh-CN"/>
              </w:rPr>
              <w:t>南京市政府采购供应商信用记录表暨信用承诺书</w:t>
            </w:r>
            <w:r>
              <w:rPr>
                <w:rFonts w:hint="eastAsia" w:ascii="宋体" w:hAnsi="宋体" w:eastAsia="宋体" w:cs="宋体"/>
                <w:color w:val="auto"/>
                <w:sz w:val="24"/>
                <w:szCs w:val="24"/>
                <w:highlight w:val="none"/>
              </w:rPr>
              <w:t>”的；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（2）在磋商文件要求提交响应文件的截止时间之后送达的。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无效响应文件情形</w:t>
            </w:r>
          </w:p>
        </w:tc>
        <w:tc>
          <w:tcPr>
            <w:tcW w:w="3302" w:type="pct"/>
            <w:noWrap/>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（1）本章7.2、7.3加</w:t>
            </w:r>
            <w:r>
              <w:rPr>
                <w:rFonts w:hint="eastAsia" w:cs="宋体" w:asciiTheme="minorEastAsia" w:hAnsiTheme="minorEastAsia"/>
                <w:color w:val="auto"/>
                <w:sz w:val="24"/>
                <w:szCs w:val="24"/>
                <w:highlight w:val="none"/>
              </w:rPr>
              <w:t>★</w:t>
            </w:r>
            <w:r>
              <w:rPr>
                <w:rFonts w:hint="eastAsia" w:ascii="宋体" w:hAnsi="宋体" w:eastAsia="宋体" w:cs="宋体"/>
                <w:color w:val="auto"/>
                <w:sz w:val="24"/>
                <w:szCs w:val="24"/>
                <w:highlight w:val="none"/>
              </w:rPr>
              <w:t>项要求提供的证明材料缺失或无效的；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（2）响应文件中未响应采购项目需求中规定的实质性要求的；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（3）最后报价超过磋商文件中规定的采购项目最高限价的；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（4）供应商具有《南京市政府采购供应商信用管理工作暂行办法》宁财规[2018]10号第十一条、十二条所列严重失信行为的；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（5）不符合法律、法规和磋商文件规定的其他实质性要求的。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8" w:type="pct"/>
            <w:noWrap/>
            <w:vAlign w:val="center"/>
          </w:tcPr>
          <w:p>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盖章要求</w:t>
            </w:r>
          </w:p>
        </w:tc>
        <w:tc>
          <w:tcPr>
            <w:tcW w:w="3302" w:type="pct"/>
            <w:noWrap/>
            <w:vAlign w:val="center"/>
          </w:tcPr>
          <w:p>
            <w:pPr>
              <w:spacing w:line="360" w:lineRule="auto"/>
              <w:rPr>
                <w:rFonts w:ascii="仿宋" w:hAnsi="仿宋" w:eastAsia="仿宋" w:cs="仿宋"/>
                <w:color w:val="auto"/>
                <w:sz w:val="24"/>
                <w:szCs w:val="24"/>
                <w:highlight w:val="none"/>
              </w:rPr>
            </w:pPr>
            <w:r>
              <w:rPr>
                <w:rFonts w:hint="eastAsia" w:ascii="宋体" w:hAnsi="宋体" w:eastAsia="宋体" w:cs="宋体"/>
                <w:color w:val="auto"/>
                <w:sz w:val="24"/>
                <w:szCs w:val="24"/>
                <w:highlight w:val="none"/>
              </w:rPr>
              <w:t>供应商响应文件中加盖的公章仅能使用与供应商名称一致的标准公章，不得使用其他形式（如带有“专用章”、“合同章”、“财务章”、“业务章”等字样）的印章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478" w:type="pct"/>
            <w:noWrap/>
            <w:vAlign w:val="center"/>
          </w:tcPr>
          <w:p>
            <w:pPr>
              <w:spacing w:line="360" w:lineRule="auto"/>
              <w:jc w:val="center"/>
              <w:rPr>
                <w:color w:val="auto"/>
                <w:highlight w:val="none"/>
              </w:rPr>
            </w:pPr>
            <w:r>
              <w:rPr>
                <w:rFonts w:hint="eastAsia"/>
                <w:color w:val="auto"/>
                <w:highlight w:val="none"/>
              </w:rPr>
              <w:t>18</w:t>
            </w:r>
          </w:p>
          <w:p>
            <w:pPr>
              <w:pStyle w:val="25"/>
              <w:rPr>
                <w:color w:val="auto"/>
                <w:highlight w:val="none"/>
                <w:lang w:val="en-US"/>
              </w:rPr>
            </w:pPr>
          </w:p>
        </w:tc>
        <w:tc>
          <w:tcPr>
            <w:tcW w:w="1219" w:type="pct"/>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其他</w:t>
            </w:r>
          </w:p>
        </w:tc>
        <w:tc>
          <w:tcPr>
            <w:tcW w:w="3302" w:type="pct"/>
            <w:noWrap/>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为有效做好疫情防控，各投标单位仅授权委托人一人出席开标会，按南京市及高淳区疫情防控要求：</w:t>
            </w:r>
          </w:p>
          <w:p>
            <w:pPr>
              <w:numPr>
                <w:ilvl w:val="0"/>
                <w:numId w:val="3"/>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须全程自觉佩戴口罩，做好个人防护措施；</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（2）出示健康码、行程码、48小时核酸检测证明；</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（3）保持1米以上距离错开就坐，尽量减少停留时间； </w:t>
            </w:r>
          </w:p>
          <w:p>
            <w:pPr>
              <w:spacing w:line="360" w:lineRule="auto"/>
              <w:rPr>
                <w:rFonts w:ascii="仿宋" w:hAnsi="仿宋" w:eastAsia="仿宋" w:cs="仿宋"/>
                <w:color w:val="auto"/>
                <w:sz w:val="24"/>
                <w:szCs w:val="24"/>
                <w:highlight w:val="none"/>
              </w:rPr>
            </w:pPr>
            <w:r>
              <w:rPr>
                <w:rFonts w:hint="eastAsia" w:ascii="宋体" w:hAnsi="宋体" w:eastAsia="宋体" w:cs="宋体"/>
                <w:color w:val="auto"/>
                <w:sz w:val="24"/>
                <w:szCs w:val="24"/>
                <w:highlight w:val="none"/>
              </w:rPr>
              <w:t>（4）因个人原因导致无法参加现场开标的，责任由供应商自行承担。</w:t>
            </w:r>
          </w:p>
        </w:tc>
      </w:tr>
    </w:tbl>
    <w:p>
      <w:pPr>
        <w:pStyle w:val="2"/>
        <w:ind w:firstLine="0"/>
        <w:rPr>
          <w:color w:val="auto"/>
          <w:highlight w:val="none"/>
        </w:rPr>
      </w:pPr>
    </w:p>
    <w:p>
      <w:pPr>
        <w:rPr>
          <w:rFonts w:asciiTheme="minorEastAsia" w:hAnsiTheme="minorEastAsia"/>
          <w:color w:val="auto"/>
          <w:sz w:val="24"/>
          <w:szCs w:val="24"/>
          <w:highlight w:val="none"/>
        </w:rPr>
      </w:pPr>
      <w:r>
        <w:rPr>
          <w:rFonts w:asciiTheme="minorEastAsia" w:hAnsiTheme="minorEastAsia"/>
          <w:color w:val="auto"/>
          <w:sz w:val="24"/>
          <w:szCs w:val="24"/>
          <w:highlight w:val="none"/>
        </w:rPr>
        <w:br w:type="page"/>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一、总则</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1、适用法律</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1.1 《中华人民共和国政府采购法》、《中华人民共和国政府采购法实施条例》、《政府采购非招标方式管理办法》</w:t>
      </w:r>
      <w:r>
        <w:rPr>
          <w:rFonts w:hint="eastAsia" w:asciiTheme="minorEastAsia" w:hAnsiTheme="minorEastAsia"/>
          <w:color w:val="auto"/>
          <w:sz w:val="24"/>
          <w:szCs w:val="24"/>
          <w:highlight w:val="none"/>
        </w:rPr>
        <w:t>、《政府采购竞争性磋商采购方式管理暂行办法》</w:t>
      </w:r>
      <w:r>
        <w:rPr>
          <w:rFonts w:asciiTheme="minorEastAsia" w:hAnsiTheme="minorEastAsia"/>
          <w:color w:val="auto"/>
          <w:sz w:val="24"/>
          <w:szCs w:val="24"/>
          <w:highlight w:val="none"/>
        </w:rPr>
        <w:t>等有关法律、规章和规定等。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2、定义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2.1 “供应商”是指参加磋商竞争，并符合采购文件规定资格条件的法人、其他组织或者自然人。</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2.2 </w:t>
      </w:r>
      <w:r>
        <w:rPr>
          <w:rFonts w:hint="eastAsia" w:asciiTheme="minorEastAsia" w:hAnsiTheme="minorEastAsia"/>
          <w:color w:val="auto"/>
          <w:sz w:val="24"/>
          <w:szCs w:val="24"/>
          <w:highlight w:val="none"/>
        </w:rPr>
        <w:t>“服务”指本招标文件中所述相关服务。</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2.3 </w:t>
      </w:r>
      <w:r>
        <w:rPr>
          <w:rFonts w:hint="eastAsia" w:asciiTheme="minorEastAsia" w:hAnsiTheme="minorEastAsia"/>
          <w:color w:val="auto"/>
          <w:sz w:val="24"/>
          <w:szCs w:val="24"/>
          <w:highlight w:val="none"/>
        </w:rPr>
        <w:t>“采购人或使用单位”是指使用服务的单位</w:t>
      </w:r>
      <w:r>
        <w:rPr>
          <w:rFonts w:asciiTheme="minorEastAsia" w:hAnsiTheme="minorEastAsia"/>
          <w:color w:val="auto"/>
          <w:sz w:val="24"/>
          <w:szCs w:val="24"/>
          <w:highlight w:val="none"/>
        </w:rPr>
        <w:t>。</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3、政策功能</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3.5提供的产品属于信息安全产品的，供应商应当选择经国家认证的信息安全产品投标，并提供由中国信息安全认证中心按国家标准认证颁发的有效认证证书复印件。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3.6提供的产品属于政府强制采购节能产品的，供应商应当选择经过认证的节能产品投标，并提供有效的节能产品认证证书复印件。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3.7提供的产品属于环境标志产品的,供应商应当选择经过认证的环境标志产品投标,并提供有效的环境标志产品认证证书复印件。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4、磋商费用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4.1 供应商应承担所有与准备和参加竞争性磋商有关的费用，无论采购结果如何，代理单位和采购人在任何情况下均无义务和责任承担这些费用。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4.2 本次</w:t>
      </w:r>
      <w:r>
        <w:rPr>
          <w:rFonts w:hint="eastAsia" w:asciiTheme="minorEastAsia" w:hAnsiTheme="minorEastAsia"/>
          <w:color w:val="auto"/>
          <w:sz w:val="24"/>
          <w:szCs w:val="24"/>
          <w:highlight w:val="none"/>
        </w:rPr>
        <w:t>采购项目</w:t>
      </w:r>
      <w:r>
        <w:rPr>
          <w:rFonts w:asciiTheme="minorEastAsia" w:hAnsiTheme="minorEastAsia"/>
          <w:color w:val="auto"/>
          <w:sz w:val="24"/>
          <w:szCs w:val="24"/>
          <w:highlight w:val="none"/>
        </w:rPr>
        <w:t>代理费及</w:t>
      </w:r>
      <w:r>
        <w:rPr>
          <w:rFonts w:hint="eastAsia" w:asciiTheme="minorEastAsia" w:hAnsiTheme="minorEastAsia"/>
          <w:color w:val="auto"/>
          <w:sz w:val="24"/>
          <w:szCs w:val="24"/>
          <w:highlight w:val="none"/>
        </w:rPr>
        <w:t>专家</w:t>
      </w:r>
      <w:r>
        <w:rPr>
          <w:rFonts w:asciiTheme="minorEastAsia" w:hAnsiTheme="minorEastAsia"/>
          <w:color w:val="auto"/>
          <w:sz w:val="24"/>
          <w:szCs w:val="24"/>
          <w:highlight w:val="none"/>
        </w:rPr>
        <w:t>评委费由</w:t>
      </w:r>
      <w:r>
        <w:rPr>
          <w:rFonts w:hint="eastAsia" w:asciiTheme="minorEastAsia" w:hAnsiTheme="minorEastAsia"/>
          <w:color w:val="auto"/>
          <w:sz w:val="24"/>
          <w:szCs w:val="24"/>
          <w:highlight w:val="none"/>
        </w:rPr>
        <w:t>供应商</w:t>
      </w:r>
      <w:r>
        <w:rPr>
          <w:rFonts w:asciiTheme="minorEastAsia" w:hAnsiTheme="minorEastAsia"/>
          <w:color w:val="auto"/>
          <w:sz w:val="24"/>
          <w:szCs w:val="24"/>
          <w:highlight w:val="none"/>
        </w:rPr>
        <w:t>支付</w:t>
      </w:r>
      <w:r>
        <w:rPr>
          <w:rFonts w:hint="eastAsia" w:asciiTheme="minorEastAsia" w:hAnsiTheme="minorEastAsia"/>
          <w:color w:val="auto"/>
          <w:sz w:val="24"/>
          <w:szCs w:val="24"/>
          <w:highlight w:val="none"/>
        </w:rPr>
        <w:t>，代理费按苏招协[2022]002号文的规定标准计取；专家评委费按实收取，代理机构先行垫付。（上述费用由中标人领取中标通知书时支付。以上费用均已包含在投标报价中，不单独列项，结算时不予另计。请投标供应商充分考虑综合在投标报价中。）</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w:t>
      </w:r>
      <w:r>
        <w:rPr>
          <w:rFonts w:asciiTheme="minorEastAsia" w:hAnsiTheme="minorEastAsia"/>
          <w:color w:val="auto"/>
          <w:sz w:val="24"/>
          <w:szCs w:val="24"/>
          <w:highlight w:val="none"/>
        </w:rPr>
        <w:t>、响应文件编制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5、供应商应当按照磋商文件的要求编制响应文件，并对其提交的响应文件真实性、合法性承担法律责任。</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6、响应文件的语言、计量单位、货币和编制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6.1 提交的响应文件、技术文件和资料，包括图纸中的说明应使用中文。响应文件中若有英文或其他语言文字的资料，应提供相应的中文翻译资料。对不同文本响应文件的解释发生异议的，以中文文本为准。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6.2供应商所使用的计量单位应为国家法定计量单位。</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6.3供应商所使用的币种位应为人民币，单位为“元”。</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6.4供应商所使用的技术标准应遵循国家最新标准及规范。</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7、响应文件的组成</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7.1 供应商应当根据磋商文件要求编制响应文件，并根据自己的商务能力、技术水平对磋商文件提出的要求和条件逐条标明是否响应。响应文件由商务部分、技术部分、价格部分，以及其他部分组成。</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7.2 响应文件的商务部分。商务部分是证明供应商有资格参加磋商和成交后有能力履行合同的文件，这些文件应能满足竞争性磋商采购文件的要求，包括但不限于下列文件，其中加“</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”项目不得有缺失或无效：</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 xml:space="preserve"> 竞争性磋商申请及声明；</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 xml:space="preserve"> 法定代表人授权委托书及委托代理人的身份证复印件；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 xml:space="preserve"> 第一章竞争性磋商</w:t>
      </w:r>
      <w:r>
        <w:rPr>
          <w:rFonts w:hint="eastAsia" w:asciiTheme="minorEastAsia" w:hAnsiTheme="minorEastAsia"/>
          <w:color w:val="auto"/>
          <w:sz w:val="24"/>
          <w:szCs w:val="24"/>
          <w:highlight w:val="none"/>
        </w:rPr>
        <w:t>公告</w:t>
      </w:r>
      <w:r>
        <w:rPr>
          <w:rFonts w:asciiTheme="minorEastAsia" w:hAnsiTheme="minorEastAsia"/>
          <w:color w:val="auto"/>
          <w:sz w:val="24"/>
          <w:szCs w:val="24"/>
          <w:highlight w:val="none"/>
        </w:rPr>
        <w:t>中 《中华人民共和国政府采购法》规定的资格条件证明文件；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 xml:space="preserve"> 第一章竞争性磋商</w:t>
      </w:r>
      <w:r>
        <w:rPr>
          <w:rFonts w:hint="eastAsia" w:asciiTheme="minorEastAsia" w:hAnsiTheme="minorEastAsia"/>
          <w:color w:val="auto"/>
          <w:sz w:val="24"/>
          <w:szCs w:val="24"/>
          <w:highlight w:val="none"/>
        </w:rPr>
        <w:t>公告</w:t>
      </w:r>
      <w:r>
        <w:rPr>
          <w:rFonts w:asciiTheme="minorEastAsia" w:hAnsiTheme="minorEastAsia"/>
          <w:color w:val="auto"/>
          <w:sz w:val="24"/>
          <w:szCs w:val="24"/>
          <w:highlight w:val="none"/>
        </w:rPr>
        <w:t>中采购人根据采购项目的特殊要求规定的特定条件证明文件；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（5）</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南京市政府采购供应商信用记录表暨信用承诺书</w:t>
      </w:r>
      <w:r>
        <w:rPr>
          <w:rFonts w:asciiTheme="minorEastAsia" w:hAnsiTheme="minorEastAsia"/>
          <w:color w:val="auto"/>
          <w:sz w:val="24"/>
          <w:szCs w:val="24"/>
          <w:highlight w:val="none"/>
        </w:rPr>
        <w:t>》；</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6</w:t>
      </w:r>
      <w:r>
        <w:rPr>
          <w:rFonts w:asciiTheme="minorEastAsia" w:hAnsiTheme="minorEastAsia"/>
          <w:color w:val="auto"/>
          <w:sz w:val="24"/>
          <w:szCs w:val="24"/>
          <w:highlight w:val="none"/>
        </w:rPr>
        <w:t>）合同草案条款</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）供应商认为需要提供的其他资格证明文件和商务资料。</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7.3 响应文件的技术部分。技术部分是证明供应商提供的</w:t>
      </w:r>
      <w:r>
        <w:rPr>
          <w:rFonts w:hint="eastAsia" w:asciiTheme="minorEastAsia" w:hAnsiTheme="minorEastAsia"/>
          <w:color w:val="auto"/>
          <w:sz w:val="24"/>
          <w:szCs w:val="24"/>
          <w:highlight w:val="none"/>
        </w:rPr>
        <w:t>施工</w:t>
      </w:r>
      <w:r>
        <w:rPr>
          <w:rFonts w:asciiTheme="minorEastAsia" w:hAnsiTheme="minorEastAsia"/>
          <w:color w:val="auto"/>
          <w:sz w:val="24"/>
          <w:szCs w:val="24"/>
          <w:highlight w:val="none"/>
        </w:rPr>
        <w:t>服务是合格的，并符合磋商文件要求的证明文件，以及对</w:t>
      </w:r>
      <w:r>
        <w:rPr>
          <w:rFonts w:hint="eastAsia" w:asciiTheme="minorEastAsia" w:hAnsiTheme="minorEastAsia"/>
          <w:color w:val="auto"/>
          <w:sz w:val="24"/>
          <w:szCs w:val="24"/>
          <w:highlight w:val="none"/>
        </w:rPr>
        <w:t>施工</w:t>
      </w:r>
      <w:r>
        <w:rPr>
          <w:rFonts w:asciiTheme="minorEastAsia" w:hAnsiTheme="minorEastAsia"/>
          <w:color w:val="auto"/>
          <w:sz w:val="24"/>
          <w:szCs w:val="24"/>
          <w:highlight w:val="none"/>
        </w:rPr>
        <w:t>服务的详细说明，这些文件可以是文字资料、图纸和数据等。提供的</w:t>
      </w:r>
      <w:r>
        <w:rPr>
          <w:rFonts w:hint="eastAsia" w:asciiTheme="minorEastAsia" w:hAnsiTheme="minorEastAsia"/>
          <w:color w:val="auto"/>
          <w:sz w:val="24"/>
          <w:szCs w:val="24"/>
          <w:highlight w:val="none"/>
        </w:rPr>
        <w:t>施工服务</w:t>
      </w:r>
      <w:r>
        <w:rPr>
          <w:rFonts w:asciiTheme="minorEastAsia" w:hAnsiTheme="minorEastAsia"/>
          <w:color w:val="auto"/>
          <w:sz w:val="24"/>
          <w:szCs w:val="24"/>
          <w:highlight w:val="none"/>
        </w:rPr>
        <w:t>如与磋商文件要求有不符之处，应说明其差别之所在。包括但不限于下列文件，其中加“</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”项目不得有缺失或无效：</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rPr>
        <w:t>项目实施方案；</w:t>
      </w:r>
    </w:p>
    <w:p>
      <w:pPr>
        <w:pStyle w:val="2"/>
        <w:rPr>
          <w:color w:val="auto"/>
          <w:highlight w:val="none"/>
        </w:rPr>
      </w:pPr>
      <w:r>
        <w:rPr>
          <w:rFonts w:hint="eastAsia" w:asciiTheme="minorEastAsia" w:hAnsiTheme="minorEastAsia"/>
          <w:color w:val="auto"/>
          <w:szCs w:val="24"/>
          <w:highlight w:val="none"/>
        </w:rPr>
        <w:t>（2）项目组成员一览表；</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（3）供应商业绩一览表；</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（4）供应商认为需要提供的其他技术资料；</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7.4 响应文件的价格部分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（1）价格部分是对所提供服务价格构成的说明，磋商文件如没有特别说明的话，对每一项服务仅接受一个价格。</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w:t>
      </w:r>
      <w:r>
        <w:rPr>
          <w:rFonts w:hint="eastAsia" w:asciiTheme="minorEastAsia" w:hAnsiTheme="minorEastAsia"/>
          <w:color w:val="auto"/>
          <w:sz w:val="24"/>
          <w:szCs w:val="24"/>
          <w:highlight w:val="none"/>
        </w:rPr>
        <w:t>磋商报价应包括并不限于前期勘查数据取得、项目实施、检查验收、设备费用、专用工具费、材料和人工费、配套设施水费电费及各项创建、复查费、措施费、安全文明施工费、各种税费、劳保、支付给员工的工资和国家强制缴纳的各种社会保障资金以及政策性文件规定市场风险、政策调整风险的各项应有费用以及供应商认为需要的其他费用等，不论其在采购文件中是否有提及。投标供应商应根据上述因素自行考虑含入磋商总价。</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（3）供应商应在《报价总表》、《分项报价表》等中标明拟提供项目实施的单价、总价以及分项报价。</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供应商应仔细阅读和理解磋商文件中有关项目需求、义务、付款方式、付款条件和时间进度安排，充分考虑到市场价格变动以及项目实施过程中的不可预见因素，结合企业自身条件进行报价，一旦成交，单价不变。如果有漏项，视同让利。</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（5）经磋商后，如果成交价高于或低于供应商在磋商响应文件报价的话，分项报价同比例调整。</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（6）报价表必须由供应商法人代表或委托授权人签字、或加盖单位公章。如有优惠条款，请单独列明，但不得影响报价。</w:t>
      </w:r>
    </w:p>
    <w:p>
      <w:pPr>
        <w:spacing w:line="360" w:lineRule="auto"/>
        <w:ind w:firstLine="480" w:firstLineChars="200"/>
        <w:rPr>
          <w:rFonts w:asciiTheme="minorEastAsia" w:hAnsiTheme="minorEastAsia"/>
          <w:color w:val="auto"/>
          <w:sz w:val="24"/>
          <w:szCs w:val="24"/>
          <w:highlight w:val="none"/>
        </w:rPr>
      </w:pPr>
      <w:bookmarkStart w:id="2" w:name="page6"/>
      <w:bookmarkEnd w:id="2"/>
      <w:r>
        <w:rPr>
          <w:rFonts w:asciiTheme="minorEastAsia" w:hAnsiTheme="minorEastAsia"/>
          <w:color w:val="auto"/>
          <w:sz w:val="24"/>
          <w:szCs w:val="24"/>
          <w:highlight w:val="none"/>
        </w:rPr>
        <w:t>7.5 响应文件的其他部分。其他部分由供应商根据编制响应文件需要提供的其他相关文件。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三、响应文件签署与提交</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8.响应文件签署</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8.1 供应商应按照</w:t>
      </w:r>
      <w:r>
        <w:rPr>
          <w:rFonts w:hint="eastAsia" w:asciiTheme="minorEastAsia" w:hAnsiTheme="minorEastAsia"/>
          <w:color w:val="auto"/>
          <w:sz w:val="24"/>
          <w:szCs w:val="24"/>
          <w:highlight w:val="none"/>
        </w:rPr>
        <w:t>磋商</w:t>
      </w:r>
      <w:r>
        <w:rPr>
          <w:rFonts w:asciiTheme="minorEastAsia" w:hAnsiTheme="minorEastAsia"/>
          <w:color w:val="auto"/>
          <w:sz w:val="24"/>
          <w:szCs w:val="24"/>
          <w:highlight w:val="none"/>
        </w:rPr>
        <w:t>文件要求，</w:t>
      </w:r>
      <w:r>
        <w:rPr>
          <w:rFonts w:hint="eastAsia" w:asciiTheme="minorEastAsia" w:hAnsiTheme="minorEastAsia"/>
          <w:color w:val="auto"/>
          <w:sz w:val="24"/>
          <w:szCs w:val="24"/>
          <w:highlight w:val="none"/>
        </w:rPr>
        <w:t>在响应文件中提供</w:t>
      </w:r>
      <w:r>
        <w:rPr>
          <w:rFonts w:asciiTheme="minorEastAsia" w:hAnsiTheme="minorEastAsia"/>
          <w:color w:val="auto"/>
          <w:sz w:val="24"/>
          <w:szCs w:val="24"/>
          <w:highlight w:val="none"/>
        </w:rPr>
        <w:t>加盖供应商公章的证明文件复印件。</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8.2 供应商应在</w:t>
      </w:r>
      <w:r>
        <w:rPr>
          <w:rFonts w:hint="eastAsia" w:asciiTheme="minorEastAsia" w:hAnsiTheme="minorEastAsia"/>
          <w:color w:val="auto"/>
          <w:sz w:val="24"/>
          <w:szCs w:val="24"/>
          <w:highlight w:val="none"/>
        </w:rPr>
        <w:t>响应</w:t>
      </w:r>
      <w:r>
        <w:rPr>
          <w:rFonts w:asciiTheme="minorEastAsia" w:hAnsiTheme="minorEastAsia"/>
          <w:color w:val="auto"/>
          <w:sz w:val="24"/>
          <w:szCs w:val="24"/>
          <w:highlight w:val="none"/>
        </w:rPr>
        <w:t>文件指定位置加盖</w:t>
      </w:r>
      <w:r>
        <w:rPr>
          <w:rFonts w:hint="eastAsia" w:asciiTheme="minorEastAsia" w:hAnsiTheme="minorEastAsia"/>
          <w:color w:val="auto"/>
          <w:sz w:val="24"/>
          <w:szCs w:val="24"/>
          <w:highlight w:val="none"/>
        </w:rPr>
        <w:t>公章</w:t>
      </w:r>
      <w:r>
        <w:rPr>
          <w:rFonts w:asciiTheme="minorEastAsia" w:hAnsiTheme="minorEastAsia"/>
          <w:color w:val="auto"/>
          <w:sz w:val="24"/>
          <w:szCs w:val="24"/>
          <w:highlight w:val="none"/>
        </w:rPr>
        <w:t>。</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8.3 有下列情形之一的响应文件将拒收： </w:t>
      </w:r>
    </w:p>
    <w:p>
      <w:pPr>
        <w:autoSpaceDE w:val="0"/>
        <w:autoSpaceDN w:val="0"/>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（1）在磋商文件要求提交响应文件的截止时间之后送达的；</w:t>
      </w:r>
    </w:p>
    <w:p>
      <w:pPr>
        <w:autoSpaceDE w:val="0"/>
        <w:autoSpaceDN w:val="0"/>
        <w:adjustRightInd w:val="0"/>
        <w:snapToGrid w:val="0"/>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（2）未按竞争性磋商邀请规定的份数递交磋商响应文件的。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四、磋商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.磋商组织及程序</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.1 在</w:t>
      </w:r>
      <w:r>
        <w:rPr>
          <w:rFonts w:hint="eastAsia" w:asciiTheme="minorEastAsia" w:hAnsiTheme="minorEastAsia"/>
          <w:color w:val="auto"/>
          <w:sz w:val="24"/>
          <w:szCs w:val="24"/>
          <w:highlight w:val="none"/>
        </w:rPr>
        <w:t>递交</w:t>
      </w:r>
      <w:r>
        <w:rPr>
          <w:rFonts w:asciiTheme="minorEastAsia" w:hAnsiTheme="minorEastAsia"/>
          <w:color w:val="auto"/>
          <w:sz w:val="24"/>
          <w:szCs w:val="24"/>
          <w:highlight w:val="none"/>
        </w:rPr>
        <w:t>响应文件时间截止后，代理单位在规定的时间和地点组织磋商小组分别与供应商进行磋商。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.2 磋商工作由代理单位负责组织，具体磋商事务由依法组建的磋商小组负责。磋商小组</w:t>
      </w:r>
      <w:r>
        <w:rPr>
          <w:rFonts w:hint="eastAsia" w:asciiTheme="minorEastAsia" w:hAnsiTheme="minorEastAsia"/>
          <w:color w:val="auto"/>
          <w:sz w:val="24"/>
          <w:szCs w:val="24"/>
          <w:highlight w:val="none"/>
        </w:rPr>
        <w:t>（3人以上、含3人）将由采购代理机构依法组织相关专家评委及采购人代表组成。</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.3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 xml:space="preserve">.4 </w:t>
      </w:r>
      <w:r>
        <w:rPr>
          <w:rFonts w:hint="eastAsia" w:asciiTheme="minorEastAsia" w:hAnsiTheme="minorEastAsia"/>
          <w:color w:val="auto"/>
          <w:sz w:val="24"/>
          <w:szCs w:val="24"/>
          <w:highlight w:val="none"/>
        </w:rPr>
        <w:t>磋商小组所有成员集中与单一供应商分别就竞争性磋商采购项目的技术、商务和价格进行磋商，磋商的轮次由磋商小组决定。</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.5 磋商过程中，磋商小组根据磋商文件和磋商情况可能实质性变动采购需求中的技术、服务要求以及合同草案条款。实质性变动是磋商文件的有效组成部分，磋商小组将以书面形式通知所有参加磋商的供应商。用“</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”加注或特别说明的内容为实质性要求。</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.6  磋商结束后，磋商小组将要求所有继续参加磋商的供应商在规定时间内提交最</w:t>
      </w:r>
      <w:r>
        <w:rPr>
          <w:rFonts w:hint="eastAsia" w:asciiTheme="minorEastAsia" w:hAnsiTheme="minorEastAsia"/>
          <w:color w:val="auto"/>
          <w:sz w:val="24"/>
          <w:szCs w:val="24"/>
          <w:highlight w:val="none"/>
        </w:rPr>
        <w:t>终</w:t>
      </w:r>
      <w:r>
        <w:rPr>
          <w:rFonts w:asciiTheme="minorEastAsia" w:hAnsiTheme="minorEastAsia"/>
          <w:color w:val="auto"/>
          <w:sz w:val="24"/>
          <w:szCs w:val="24"/>
          <w:highlight w:val="none"/>
        </w:rPr>
        <w:t>报价，最</w:t>
      </w:r>
      <w:r>
        <w:rPr>
          <w:rFonts w:hint="eastAsia" w:asciiTheme="minorEastAsia" w:hAnsiTheme="minorEastAsia"/>
          <w:color w:val="auto"/>
          <w:sz w:val="24"/>
          <w:szCs w:val="24"/>
          <w:highlight w:val="none"/>
        </w:rPr>
        <w:t>终</w:t>
      </w:r>
      <w:r>
        <w:rPr>
          <w:rFonts w:asciiTheme="minorEastAsia" w:hAnsiTheme="minorEastAsia"/>
          <w:color w:val="auto"/>
          <w:sz w:val="24"/>
          <w:szCs w:val="24"/>
          <w:highlight w:val="none"/>
        </w:rPr>
        <w:t>报价是供应商响应文件的有效组成部分。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已提交响应文件的供应商，在提交最</w:t>
      </w:r>
      <w:r>
        <w:rPr>
          <w:rFonts w:hint="eastAsia" w:asciiTheme="minorEastAsia" w:hAnsiTheme="minorEastAsia"/>
          <w:color w:val="auto"/>
          <w:sz w:val="24"/>
          <w:szCs w:val="24"/>
          <w:highlight w:val="none"/>
        </w:rPr>
        <w:t>终</w:t>
      </w:r>
      <w:r>
        <w:rPr>
          <w:rFonts w:asciiTheme="minorEastAsia" w:hAnsiTheme="minorEastAsia"/>
          <w:color w:val="auto"/>
          <w:sz w:val="24"/>
          <w:szCs w:val="24"/>
          <w:highlight w:val="none"/>
        </w:rPr>
        <w:t>报价之前，可以根据磋商情况退出磋商。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8</w:t>
      </w:r>
      <w:r>
        <w:rPr>
          <w:rFonts w:asciiTheme="minorEastAsia" w:hAnsiTheme="minorEastAsia"/>
          <w:color w:val="auto"/>
          <w:sz w:val="24"/>
          <w:szCs w:val="24"/>
          <w:highlight w:val="none"/>
        </w:rPr>
        <w:t>出现下列情形之一的响应文件按照无效处理：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（1）不具备磋商文件中规定资格条件的；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w:t>
      </w:r>
      <w:bookmarkStart w:id="3" w:name="page7"/>
      <w:bookmarkEnd w:id="3"/>
      <w:r>
        <w:rPr>
          <w:rFonts w:asciiTheme="minorEastAsia" w:hAnsiTheme="minorEastAsia"/>
          <w:color w:val="auto"/>
          <w:sz w:val="24"/>
          <w:szCs w:val="24"/>
          <w:highlight w:val="none"/>
        </w:rPr>
        <w:t>，以一个供应商的身份共同参加政府采购活动的，联合体成员存在不良信用记录的，视同联合体存在不良信用记录；</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（3）未实质性响应磋商文件要求的；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（4）没有详细说明完成本项目所提供的服务方案、服务响应的，而是直接拷贝采购文件服务要求的；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lang w:eastAsia="zh-CN"/>
        </w:rPr>
        <w:t>南京市政府采购供应商信用记录表暨信用承诺书</w:t>
      </w:r>
      <w:r>
        <w:rPr>
          <w:rFonts w:asciiTheme="minorEastAsia" w:hAnsiTheme="minorEastAsia"/>
          <w:color w:val="auto"/>
          <w:sz w:val="24"/>
          <w:szCs w:val="24"/>
          <w:highlight w:val="none"/>
        </w:rPr>
        <w:t>》中载明的诚信指数为零分。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（7）不符合法律、法规和采购文件规定的其他实质性要求的。</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9</w:t>
      </w:r>
      <w:r>
        <w:rPr>
          <w:rFonts w:asciiTheme="minorEastAsia" w:hAnsiTheme="minorEastAsia"/>
          <w:color w:val="auto"/>
          <w:sz w:val="24"/>
          <w:szCs w:val="24"/>
          <w:highlight w:val="none"/>
        </w:rPr>
        <w:t>出现下列情形之一的，磋商终止：</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（1）因情况变化，不再符合规定的竞争性磋商采购方式适用情形的；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（2）所有供应商的响应文件被磋商小组认定为无效的；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（3）出现影响采购公正的违法、违规行为的；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（4）所有供应商的最终报价超过采购预算的；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（5）因重大变故，采购任务取消的；</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（6）采购人需求发生重大变化暂时不能确定或供应商提供的货物和服务不能满足需求等。</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r>
        <w:rPr>
          <w:rFonts w:asciiTheme="minorEastAsia" w:hAnsiTheme="minorEastAsia"/>
          <w:color w:val="auto"/>
          <w:sz w:val="24"/>
          <w:szCs w:val="24"/>
          <w:highlight w:val="none"/>
        </w:rPr>
        <w:t>.评定成交方法和标准</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r>
        <w:rPr>
          <w:rFonts w:asciiTheme="minorEastAsia" w:hAnsiTheme="minorEastAsia"/>
          <w:color w:val="auto"/>
          <w:sz w:val="24"/>
          <w:szCs w:val="24"/>
          <w:highlight w:val="none"/>
        </w:rPr>
        <w:t>.1 采用综合评分法。即在最大限度地满足竞争性磋商文件实质性要求前提下，按照磋商文件中规定的各项因素及诚信记录进行综合评审后，以评审总得分最高的供应商作为成交候选供应商或者成交供应商的评审方法。评分统计方法采用百分制，将全部评委评分直接进行算数平均，小数点后保留</w:t>
      </w: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位。</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0</w:t>
      </w:r>
      <w:r>
        <w:rPr>
          <w:rFonts w:asciiTheme="minorEastAsia" w:hAnsiTheme="minorEastAsia"/>
          <w:color w:val="auto"/>
          <w:sz w:val="24"/>
          <w:szCs w:val="24"/>
          <w:highlight w:val="none"/>
        </w:rPr>
        <w:t>.2 综合评分的主要因素是：价格、</w:t>
      </w:r>
      <w:r>
        <w:rPr>
          <w:rFonts w:hint="eastAsia" w:asciiTheme="minorEastAsia" w:hAnsiTheme="minorEastAsia"/>
          <w:color w:val="auto"/>
          <w:sz w:val="24"/>
          <w:szCs w:val="24"/>
          <w:highlight w:val="none"/>
        </w:rPr>
        <w:t>方案、业绩</w:t>
      </w:r>
      <w:r>
        <w:rPr>
          <w:rFonts w:asciiTheme="minorEastAsia" w:hAnsiTheme="minorEastAsia"/>
          <w:color w:val="auto"/>
          <w:sz w:val="24"/>
          <w:szCs w:val="24"/>
          <w:highlight w:val="none"/>
        </w:rPr>
        <w:t>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0</w:t>
      </w:r>
      <w:r>
        <w:rPr>
          <w:rFonts w:asciiTheme="minorEastAsia" w:hAnsiTheme="minorEastAsia"/>
          <w:color w:val="auto"/>
          <w:sz w:val="24"/>
          <w:szCs w:val="24"/>
          <w:highlight w:val="none"/>
        </w:rPr>
        <w:t>.3 根据《南京市政府采购供应商信用管理工作暂行办法》有关规定，将供应商诚信档案记录在政府采购活动中进行运用并计入评分。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0</w:t>
      </w:r>
      <w:r>
        <w:rPr>
          <w:rFonts w:asciiTheme="minorEastAsia" w:hAnsiTheme="minorEastAsia"/>
          <w:color w:val="auto"/>
          <w:sz w:val="24"/>
          <w:szCs w:val="24"/>
          <w:highlight w:val="none"/>
        </w:rPr>
        <w:t>.4 评定方法，详见磋商文件第三章。</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.确定成交供应商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.1 综合比较与评价后按照得分高低顺序对供应商进行排列。得分相同的，按投标报价由低到高顺序排列。得分且投标报价相同的，按技术指标优劣顺序排列。评标委员会确定排名第一供应商为中标供应商。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 xml:space="preserve"> 综合比较与评价后按照政府采购政策功能的价格扣除后的评审价由低到高排序，价格相同的按照性能参数指标优劣排序。评标委员会确定评审价最低、技术性能参数最优的供应商为中标供应商。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中标供应商确定之日起2个工作日内，将在财政部门指定的政府采购信息发布媒体上公告，中标供应商及时到</w:t>
      </w:r>
      <w:r>
        <w:rPr>
          <w:rFonts w:hint="eastAsia" w:asciiTheme="minorEastAsia" w:hAnsiTheme="minorEastAsia"/>
          <w:color w:val="auto"/>
          <w:sz w:val="24"/>
          <w:szCs w:val="24"/>
          <w:highlight w:val="none"/>
        </w:rPr>
        <w:t>采购人</w:t>
      </w:r>
      <w:r>
        <w:rPr>
          <w:rFonts w:asciiTheme="minorEastAsia" w:hAnsiTheme="minorEastAsia"/>
          <w:color w:val="auto"/>
          <w:sz w:val="24"/>
          <w:szCs w:val="24"/>
          <w:highlight w:val="none"/>
        </w:rPr>
        <w:t>处领取中标通知书。</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.编写评审报告</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.1 磋商小组根据磋商过程和结果编写评审报告。</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.签订合同</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.1 成交供应商应当自成交通知书发出之日起三十日内，与采购人签订政府采购合同，所签订的合同不得对磋商文件和响应文件作实质性修改。</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.2 采购人不得向成交供应商提出任何不合理的要求作为签订合同的条件，不得与成交供应商私下订立背离合同实质性内容的协议。</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.3 除不可抗力等因素外，成交通知书发出后，采购人改变成交结果，或者成交供应商拒绝签订政府采购合同的，应当承担相应的法律责任。</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.4 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.5成交供应商拒绝签订政府采购合同的，或因不可抗力或者自身原因不能履行政府采购合同的，采购人可以视情与排位在成交供应商之</w:t>
      </w:r>
      <w:bookmarkStart w:id="4" w:name="page8"/>
      <w:bookmarkEnd w:id="4"/>
      <w:r>
        <w:rPr>
          <w:rFonts w:asciiTheme="minorEastAsia" w:hAnsiTheme="minorEastAsia"/>
          <w:color w:val="auto"/>
          <w:sz w:val="24"/>
          <w:szCs w:val="24"/>
          <w:highlight w:val="none"/>
        </w:rPr>
        <w:t>后第一位的成交候选供应商签订政府采购合同，也可以重新开展采购活动。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.6 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六、询问、质疑、投诉和诚实信用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、询问</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.1 供应商对采购活动事项有疑问的，可以向代理单位提出询问，代理单位将在两个工作日内作出答复，但答复的内容不涉及商业秘密。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、质疑</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.1 供应商认为采购文件、采购过程和中标结果使自己的合法权益受到损害的，可以在知道或者应当知道其权益受到损害之日起七个工作日内，</w:t>
      </w:r>
      <w:r>
        <w:rPr>
          <w:rFonts w:hint="eastAsia" w:asciiTheme="minorEastAsia" w:hAnsiTheme="minorEastAsia"/>
          <w:color w:val="auto"/>
          <w:sz w:val="24"/>
          <w:szCs w:val="24"/>
          <w:highlight w:val="none"/>
        </w:rPr>
        <w:t>以书面</w:t>
      </w:r>
      <w:r>
        <w:rPr>
          <w:rFonts w:asciiTheme="minorEastAsia" w:hAnsiTheme="minorEastAsia"/>
          <w:color w:val="auto"/>
          <w:sz w:val="24"/>
          <w:szCs w:val="24"/>
          <w:highlight w:val="none"/>
        </w:rPr>
        <w:t>方式向采购人或代理单位提出。</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w:t>
      </w:r>
      <w:r>
        <w:rPr>
          <w:rFonts w:asciiTheme="minorEastAsia" w:hAnsiTheme="minorEastAsia"/>
          <w:color w:val="auto"/>
          <w:sz w:val="24"/>
          <w:szCs w:val="24"/>
          <w:highlight w:val="none"/>
        </w:rPr>
        <w:t>.2 质疑供应商的质疑行为和质疑函的主要内容应符合财政部94号令相关规定，未参加采购活动的供应商或在采购活动中自身权益未受到损害的供应商所提出的质疑不予受理。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.3 上述应知其权益受到损害之日是指：</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（1）对采购文件提出质疑的，为采购文件公告期限届满之日起计算；</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（2）对采购过程提出质疑的，自采购程序环节结束之日起计算；</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（3）对采购结果提出质疑的，自采购结果公告期限届满之日起计算。</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.4 质疑供应商在法定质疑期内应当一次性提出针对同一采购环节的质疑事项。</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.5 代理单位在收到供应商的质疑后将及时组织调查核实，在七个工作日内作出答复，答复的内容不涉及商业秘密。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.6遵循“谁过错谁负担”的原则，有过错的一方承担调查论证费用。违规质疑或多次质疑不成立的，将被列入不良行为记录。</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6</w:t>
      </w:r>
      <w:r>
        <w:rPr>
          <w:rFonts w:asciiTheme="minorEastAsia" w:hAnsiTheme="minorEastAsia"/>
          <w:color w:val="auto"/>
          <w:sz w:val="24"/>
          <w:szCs w:val="24"/>
          <w:highlight w:val="none"/>
        </w:rPr>
        <w:t>、投诉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6</w:t>
      </w:r>
      <w:r>
        <w:rPr>
          <w:rFonts w:asciiTheme="minorEastAsia" w:hAnsiTheme="minorEastAsia"/>
          <w:color w:val="auto"/>
          <w:sz w:val="24"/>
          <w:szCs w:val="24"/>
          <w:highlight w:val="none"/>
        </w:rPr>
        <w:t>.1 质疑供应商对代理单位的答复不满意，或代理单位未在规定的时间内作出答复的，可以在答复期满后十五个工作日内向采购项目财政部门投诉。</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、诚实信用</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.1 供应商之间不得相互串通报价，不得妨碍其他供应商的公平竞争，不得损害采购人和其他供应商的合法权益。</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.2 供应商不得以向代理单位工作人员、磋商小组成员行贿或者采取其他不正当手段谋取成交。经查实供应商有此行为的，政府采购管理部门将供应商列入不良行为记录名单，按照《政府采购法》有关规定处理。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.3 供应商不得虚假质疑和恶意质疑，并对质疑内容的真实性承担责任。供应商或者其他利害关系人通过捏造事实、伪造证明材料等方式提出异议或投诉，阻碍政府采购活动正常进行的，属于严重不良行为，代理单位将提请财政部门将其列入不良行为记录名单，并依法予以处罚。</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.4 供应商不得虚假承诺，否则，按照提供虚假材料谋取成交处理。</w:t>
      </w:r>
    </w:p>
    <w:p>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.5 供应商应自觉遵守磋商、评审纪律，扰乱磋商、评审现场秩序的，属于失信行为，根据《江苏省政府采购供应商监督管理暂行办法》，失信行为将被记入供应商诚信档案。</w:t>
      </w:r>
    </w:p>
    <w:p>
      <w:pPr>
        <w:spacing w:line="360" w:lineRule="auto"/>
        <w:ind w:firstLine="480" w:firstLineChars="200"/>
        <w:rPr>
          <w:rFonts w:asciiTheme="minorEastAsia" w:hAnsiTheme="minorEastAsia"/>
          <w:color w:val="auto"/>
          <w:sz w:val="24"/>
          <w:szCs w:val="24"/>
          <w:highlight w:val="none"/>
        </w:rPr>
        <w:sectPr>
          <w:pgSz w:w="12240" w:h="15840"/>
          <w:pgMar w:top="1440" w:right="1080" w:bottom="1440" w:left="1080" w:header="0" w:footer="0" w:gutter="0"/>
          <w:cols w:equalWidth="0" w:num="1">
            <w:col w:w="10440"/>
          </w:cols>
        </w:sectPr>
      </w:pPr>
    </w:p>
    <w:p>
      <w:pPr>
        <w:spacing w:line="360" w:lineRule="auto"/>
        <w:jc w:val="center"/>
        <w:rPr>
          <w:b/>
          <w:bCs/>
          <w:color w:val="auto"/>
          <w:sz w:val="32"/>
          <w:szCs w:val="32"/>
          <w:highlight w:val="none"/>
        </w:rPr>
      </w:pPr>
      <w:bookmarkStart w:id="5" w:name="page9"/>
      <w:bookmarkEnd w:id="5"/>
      <w:r>
        <w:rPr>
          <w:rFonts w:ascii="宋体" w:hAnsi="宋体" w:eastAsia="宋体" w:cs="宋体"/>
          <w:b/>
          <w:bCs/>
          <w:color w:val="auto"/>
          <w:sz w:val="32"/>
          <w:szCs w:val="32"/>
          <w:highlight w:val="none"/>
        </w:rPr>
        <w:t>第三章 评标办法和标准</w:t>
      </w:r>
    </w:p>
    <w:p>
      <w:pPr>
        <w:spacing w:line="312" w:lineRule="auto"/>
        <w:ind w:firstLine="480" w:firstLineChars="200"/>
        <w:jc w:val="both"/>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采用综合评分法。综合评分法是指在满足磋商文件实质性要求前提下，按照磋商文件中规定的各项因素进行综合评审后，以评标总得分最高的投标人作为中标供应商的评标方法。评审得分最高者为中标供应商，第二名及后续名次为备选供应商，当中标供应商不能履行其义务时，由备选供应商依次顶替，成为新的中标供应商，也可重新组织采购。</w:t>
      </w:r>
    </w:p>
    <w:tbl>
      <w:tblPr>
        <w:tblStyle w:val="29"/>
        <w:tblW w:w="10740" w:type="dxa"/>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763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spacing w:before="120" w:beforeLines="50" w:after="120" w:afterLines="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r>
              <w:rPr>
                <w:rFonts w:hint="eastAsia" w:ascii="宋体" w:hAnsi="宋体" w:eastAsia="宋体" w:cs="宋体"/>
                <w:b/>
                <w:color w:val="auto"/>
                <w:sz w:val="22"/>
                <w:szCs w:val="22"/>
                <w:highlight w:val="none"/>
              </w:rPr>
              <w:t>序号</w:t>
            </w:r>
          </w:p>
        </w:tc>
        <w:tc>
          <w:tcPr>
            <w:tcW w:w="1559" w:type="dxa"/>
            <w:vAlign w:val="center"/>
          </w:tcPr>
          <w:p>
            <w:pPr>
              <w:spacing w:before="120" w:beforeLines="50" w:after="120" w:afterLines="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7634" w:type="dxa"/>
            <w:vAlign w:val="center"/>
          </w:tcPr>
          <w:p>
            <w:pPr>
              <w:spacing w:before="120" w:beforeLines="50" w:after="120" w:afterLines="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c>
          <w:tcPr>
            <w:tcW w:w="730" w:type="dxa"/>
            <w:vAlign w:val="center"/>
          </w:tcPr>
          <w:p>
            <w:pPr>
              <w:spacing w:before="120" w:beforeLines="50" w:after="120" w:afterLines="5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 1</w:t>
            </w:r>
          </w:p>
        </w:tc>
        <w:tc>
          <w:tcPr>
            <w:tcW w:w="1559"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价格</w:t>
            </w:r>
          </w:p>
          <w:p>
            <w:pPr>
              <w:spacing w:before="120" w:beforeLines="50" w:after="120" w:afterLines="50"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（10分）</w:t>
            </w:r>
          </w:p>
        </w:tc>
        <w:tc>
          <w:tcPr>
            <w:tcW w:w="7634" w:type="dxa"/>
            <w:vAlign w:val="center"/>
          </w:tcPr>
          <w:p>
            <w:pPr>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价格分采用低价优先法计算，即满足竞争性磋商文件要求且最后报价最低的为评标基准价，其价格分为满分，其中单管</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全流程</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报价占</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0%，</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人管</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全流程</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报价占</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0%</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20</w:t>
            </w:r>
            <w:r>
              <w:rPr>
                <w:rFonts w:hint="eastAsia" w:ascii="宋体" w:hAnsi="宋体" w:eastAsia="宋体" w:cs="宋体"/>
                <w:b w:val="0"/>
                <w:bCs/>
                <w:color w:val="auto"/>
                <w:sz w:val="22"/>
                <w:szCs w:val="22"/>
                <w:highlight w:val="none"/>
              </w:rPr>
              <w:t>人管</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全流程</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报价占</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%。供应商的价格分统一按照下列公式计算（小数点保留两位）：</w:t>
            </w:r>
          </w:p>
          <w:p>
            <w:pP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报价得分=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(单管评标基准价／</w:t>
            </w:r>
            <w:r>
              <w:rPr>
                <w:rFonts w:hint="eastAsia" w:ascii="宋体" w:hAnsi="宋体" w:eastAsia="宋体" w:cs="宋体"/>
                <w:b w:val="0"/>
                <w:bCs/>
                <w:color w:val="auto"/>
                <w:sz w:val="22"/>
                <w:szCs w:val="22"/>
                <w:highlight w:val="none"/>
                <w:lang w:val="en-US" w:eastAsia="zh-CN"/>
              </w:rPr>
              <w:t>最后响应报价</w:t>
            </w:r>
            <w:r>
              <w:rPr>
                <w:rFonts w:hint="eastAsia" w:ascii="宋体" w:hAnsi="宋体" w:eastAsia="宋体" w:cs="宋体"/>
                <w:b w:val="0"/>
                <w:bCs/>
                <w:color w:val="auto"/>
                <w:sz w:val="22"/>
                <w:szCs w:val="22"/>
                <w:highlight w:val="none"/>
              </w:rPr>
              <w:t>)×0.</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+(10人管</w:t>
            </w:r>
            <w:r>
              <w:rPr>
                <w:rFonts w:hint="eastAsia" w:ascii="宋体" w:hAnsi="宋体" w:eastAsia="宋体" w:cs="宋体"/>
                <w:b w:val="0"/>
                <w:bCs/>
                <w:color w:val="auto"/>
                <w:sz w:val="22"/>
                <w:szCs w:val="22"/>
                <w:highlight w:val="none"/>
                <w:lang w:val="en-US" w:eastAsia="zh-CN"/>
              </w:rPr>
              <w:t>程</w:t>
            </w:r>
            <w:r>
              <w:rPr>
                <w:rFonts w:hint="eastAsia" w:ascii="宋体" w:hAnsi="宋体" w:eastAsia="宋体" w:cs="宋体"/>
                <w:b w:val="0"/>
                <w:bCs/>
                <w:color w:val="auto"/>
                <w:sz w:val="22"/>
                <w:szCs w:val="22"/>
                <w:highlight w:val="none"/>
              </w:rPr>
              <w:t>评标基准价／</w:t>
            </w:r>
            <w:r>
              <w:rPr>
                <w:rFonts w:hint="eastAsia" w:ascii="宋体" w:hAnsi="宋体" w:eastAsia="宋体" w:cs="宋体"/>
                <w:b w:val="0"/>
                <w:bCs/>
                <w:color w:val="auto"/>
                <w:sz w:val="22"/>
                <w:szCs w:val="22"/>
                <w:highlight w:val="none"/>
                <w:lang w:val="en-US" w:eastAsia="zh-CN"/>
              </w:rPr>
              <w:t>最后响应报价</w:t>
            </w:r>
            <w:r>
              <w:rPr>
                <w:rFonts w:hint="eastAsia" w:ascii="宋体" w:hAnsi="宋体" w:eastAsia="宋体" w:cs="宋体"/>
                <w:b w:val="0"/>
                <w:bCs/>
                <w:color w:val="auto"/>
                <w:sz w:val="22"/>
                <w:szCs w:val="22"/>
                <w:highlight w:val="none"/>
              </w:rPr>
              <w:t>)×0.</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0人管评标基准价／</w:t>
            </w:r>
            <w:r>
              <w:rPr>
                <w:rFonts w:hint="eastAsia" w:ascii="宋体" w:hAnsi="宋体" w:eastAsia="宋体" w:cs="宋体"/>
                <w:b w:val="0"/>
                <w:bCs/>
                <w:color w:val="auto"/>
                <w:sz w:val="22"/>
                <w:szCs w:val="22"/>
                <w:highlight w:val="none"/>
                <w:lang w:val="en-US" w:eastAsia="zh-CN"/>
              </w:rPr>
              <w:t>最后响应报价</w:t>
            </w:r>
            <w:r>
              <w:rPr>
                <w:rFonts w:hint="eastAsia" w:ascii="宋体" w:hAnsi="宋体" w:eastAsia="宋体" w:cs="宋体"/>
                <w:b w:val="0"/>
                <w:bCs/>
                <w:color w:val="auto"/>
                <w:sz w:val="22"/>
                <w:szCs w:val="22"/>
                <w:highlight w:val="none"/>
              </w:rPr>
              <w:t>)×0.</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10</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2.1</w:t>
            </w:r>
          </w:p>
        </w:tc>
        <w:tc>
          <w:tcPr>
            <w:tcW w:w="1559" w:type="dxa"/>
            <w:vMerge w:val="restart"/>
            <w:vAlign w:val="center"/>
          </w:tcPr>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技术服务</w:t>
            </w:r>
          </w:p>
          <w:p>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针对本项目实际核酸检测服务需求的理解认知程度，针对重难点内容的把握程度以及整体方案思路等方面进行综合评分，对项目实际服务需求的理解认知全面、深刻，对重难点内容的把握准确到位，整体方案思路完整、清晰的得5分；对项目实际服务需求的理解认知较全面，对重难点内容的把握较准确，整体方案思路较完整的得3分；对项目实际服务需求的理解认知片面，对重难点内容的把握不准确，整体方案思路不够完整、清晰的得1分；未提供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2.2</w:t>
            </w:r>
          </w:p>
        </w:tc>
        <w:tc>
          <w:tcPr>
            <w:tcW w:w="1559" w:type="dxa"/>
            <w:vMerge w:val="continue"/>
            <w:vAlign w:val="center"/>
          </w:tcPr>
          <w:p>
            <w:pPr>
              <w:jc w:val="center"/>
              <w:rPr>
                <w:rFonts w:hint="eastAsia" w:ascii="宋体" w:hAnsi="宋体" w:eastAsia="宋体" w:cs="宋体"/>
                <w:color w:val="auto"/>
                <w:sz w:val="22"/>
                <w:szCs w:val="22"/>
                <w:highlight w:val="none"/>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供应商提供的新冠病毒核酸检测流程安排方案进行综合评分，提供的新冠病毒核酸检测流程内容全面，流程安排科学合理的9分；提供的新冠病毒核酸检测流程内容较全面，流程安排合理性一般的得6分；提供的新冠病毒核酸检测流程内容简单，流程安排不合理的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分；未提供新冠病毒核酸检测流程安排方案的不得分。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2.3</w:t>
            </w:r>
          </w:p>
        </w:tc>
        <w:tc>
          <w:tcPr>
            <w:tcW w:w="1559" w:type="dxa"/>
            <w:vMerge w:val="continue"/>
            <w:vAlign w:val="center"/>
          </w:tcPr>
          <w:p>
            <w:pPr>
              <w:jc w:val="center"/>
              <w:rPr>
                <w:rFonts w:hint="eastAsia" w:ascii="宋体" w:hAnsi="宋体" w:eastAsia="宋体" w:cs="宋体"/>
                <w:color w:val="auto"/>
                <w:sz w:val="22"/>
                <w:szCs w:val="22"/>
                <w:highlight w:val="none"/>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根据供应商提供的采样、检测服务人员安排等方案进行综合评分，人员安排科学合理，工作人员疫情防控到位，针对性强的得9分； 检测服务人员安排的合理性、针对性较强的得6分；检测服务人员安排的合理性、针对性一般的得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分；未提供检测服务人员安排方案的不得分。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2.4</w:t>
            </w:r>
          </w:p>
        </w:tc>
        <w:tc>
          <w:tcPr>
            <w:tcW w:w="1559" w:type="dxa"/>
            <w:vMerge w:val="continue"/>
            <w:vAlign w:val="center"/>
          </w:tcPr>
          <w:p>
            <w:pPr>
              <w:jc w:val="center"/>
              <w:rPr>
                <w:rFonts w:hint="eastAsia" w:ascii="宋体" w:hAnsi="宋体" w:eastAsia="宋体" w:cs="宋体"/>
                <w:color w:val="auto"/>
                <w:sz w:val="22"/>
                <w:szCs w:val="22"/>
                <w:highlight w:val="none"/>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出报告时间控制方案进行综合评分，上述内容全面合理、科学可行且优于项目需求的得5分；上述内容较全面、较合理、较科学可行且能够满足项目需求的得3分；上述内容一般且低于项目需求的得1分；未提供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2.5</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numPr>
                <w:ilvl w:val="0"/>
                <w:numId w:val="0"/>
              </w:num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供应商提供的避免医源性交叉污染和感染方案及应对措施进行综合评分：</w:t>
            </w:r>
          </w:p>
          <w:p>
            <w:pPr>
              <w:numPr>
                <w:ilvl w:val="0"/>
                <w:numId w:val="0"/>
              </w:num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（1）避免医源性交叉污染和感染方案种类分析全面、方案内容完善的得</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分；方案分析较全面、内容较完善的得3分；方案分析和内容有所欠缺的得1分；未提供方案的不得分。</w:t>
            </w:r>
          </w:p>
          <w:p>
            <w:pPr>
              <w:numPr>
                <w:ilvl w:val="0"/>
                <w:numId w:val="0"/>
              </w:num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（2）若有交叉污染和感染的应对措施处理得当、科学合理得的得</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分；应对措施处理合理性一般的得3分；处理措施合理性有所欠缺的得1分，未提供应对措施的不得分。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2.6</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供应商提供的突发事件处理经验和应急处理方案进行综合评分，对突发事件的</w:t>
            </w:r>
            <w:r>
              <w:rPr>
                <w:rFonts w:hint="eastAsia" w:ascii="宋体" w:hAnsi="宋体" w:eastAsia="宋体" w:cs="宋体"/>
                <w:b w:val="0"/>
                <w:bCs w:val="0"/>
                <w:color w:val="auto"/>
                <w:sz w:val="22"/>
                <w:szCs w:val="22"/>
                <w:highlight w:val="none"/>
                <w:lang w:val="en-US" w:eastAsia="zh-CN"/>
              </w:rPr>
              <w:t>处置预案</w:t>
            </w:r>
            <w:r>
              <w:rPr>
                <w:rFonts w:hint="eastAsia" w:ascii="宋体" w:hAnsi="宋体" w:eastAsia="宋体" w:cs="宋体"/>
                <w:b w:val="0"/>
                <w:bCs w:val="0"/>
                <w:color w:val="auto"/>
                <w:sz w:val="22"/>
                <w:szCs w:val="22"/>
                <w:highlight w:val="none"/>
              </w:rPr>
              <w:t>全面，提供的应急处理方案可行、处置得当的得</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分；对突发事件提供的应急处理方案较可行、处置较得当的得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分；对突发事件的应急处理方案可行性一般的得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分；未提供应急处理方案的不得分。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2.7</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的质量保证措施方案（包括但不限于新冠病毒核酸检测结果准确率及检测有误后处理方案等内容）进行综合评分，检测结果准确率高，检测有误后处理方案科学合理可行的，得5分；检测结果准确率较高，检测有误后处理方案较合理可行的得3分；检测结果准确率低，检测有误后处理方案合理可行性一般的得1分；未提供质量保证措施方案的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w:t>
            </w:r>
          </w:p>
        </w:tc>
        <w:tc>
          <w:tcPr>
            <w:tcW w:w="1559" w:type="dxa"/>
            <w:vMerge w:val="restart"/>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履约能力</w:t>
            </w:r>
          </w:p>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w:t>
            </w:r>
            <w:bookmarkStart w:id="37" w:name="_GoBack"/>
            <w:bookmarkEnd w:id="37"/>
            <w:r>
              <w:rPr>
                <w:rFonts w:hint="eastAsia" w:ascii="宋体" w:hAnsi="宋体" w:eastAsia="宋体" w:cs="宋体"/>
                <w:color w:val="auto"/>
                <w:sz w:val="22"/>
                <w:szCs w:val="22"/>
                <w:highlight w:val="none"/>
                <w:lang w:val="en-US" w:eastAsia="zh-CN"/>
              </w:rPr>
              <w:t>分）</w:t>
            </w:r>
          </w:p>
        </w:tc>
        <w:tc>
          <w:tcPr>
            <w:tcW w:w="7634" w:type="dxa"/>
            <w:vAlign w:val="center"/>
          </w:tcPr>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供应商承诺：</w:t>
            </w:r>
          </w:p>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能提供现场报告解读的得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分；能对提供新冠病毒核酸检测异常结果的人员进行跟进的得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 能提供日检测数量能力证明的</w:t>
            </w:r>
            <w:r>
              <w:rPr>
                <w:rFonts w:hint="eastAsia" w:ascii="宋体" w:hAnsi="宋体" w:eastAsia="宋体" w:cs="宋体"/>
                <w:b w:val="0"/>
                <w:bCs w:val="0"/>
                <w:color w:val="auto"/>
                <w:sz w:val="22"/>
                <w:szCs w:val="22"/>
                <w:highlight w:val="none"/>
                <w:lang w:val="en-US" w:eastAsia="zh-CN"/>
              </w:rPr>
              <w:t>得</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 分；不满足的不得分。本项最高得</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分（响应文件中提供承诺函或相关证明材料并加盖公章）。</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新冠病毒核酸采样环境：</w:t>
            </w:r>
          </w:p>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对</w:t>
            </w:r>
            <w:r>
              <w:rPr>
                <w:rFonts w:hint="eastAsia" w:ascii="宋体" w:hAnsi="宋体" w:eastAsia="宋体" w:cs="宋体"/>
                <w:b w:val="0"/>
                <w:bCs w:val="0"/>
                <w:color w:val="auto"/>
                <w:sz w:val="22"/>
                <w:szCs w:val="22"/>
                <w:highlight w:val="none"/>
              </w:rPr>
              <w:t>供应商拟用于开展本项目的新冠病毒核酸检测环境进行综合评分，在</w:t>
            </w:r>
            <w:r>
              <w:rPr>
                <w:rFonts w:hint="eastAsia" w:ascii="宋体" w:hAnsi="宋体" w:eastAsia="宋体" w:cs="宋体"/>
                <w:b w:val="0"/>
                <w:bCs w:val="0"/>
                <w:color w:val="auto"/>
                <w:sz w:val="22"/>
                <w:szCs w:val="22"/>
                <w:highlight w:val="none"/>
                <w:lang w:val="en-US" w:eastAsia="zh-CN"/>
              </w:rPr>
              <w:t>服务区</w:t>
            </w:r>
            <w:r>
              <w:rPr>
                <w:rFonts w:hint="eastAsia" w:ascii="宋体" w:hAnsi="宋体" w:eastAsia="宋体" w:cs="宋体"/>
                <w:b w:val="0"/>
                <w:bCs w:val="0"/>
                <w:color w:val="auto"/>
                <w:sz w:val="22"/>
                <w:szCs w:val="22"/>
                <w:highlight w:val="none"/>
              </w:rPr>
              <w:t xml:space="preserve">设采样点，流程合理、环境宽敞、整洁、舒适，等候区宽敞有序，各功能区标识明确，分布合理的得5分；采样点环境较宽敞整洁，等候环境较舒适，标识较明确，分布一般的得3分；采样点环境狭小，无较大等候区，无法满足较多人检测的得1分；未提供相关检测场所环境的说明材料的不得分。 </w:t>
            </w:r>
          </w:p>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注：供应商需提供新冠病毒核酸检测环境照片，建筑平面设计图，按比例绘制，标明房间长度、宽度、面积、用途、室内物品摆放等。</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实验室检测设备、检测能力：对本项目提供的实验室检测设备清单进行综合评分，根据投标人提供的检测系统设备配置情况及与检测能力配套是否合理进行比较评分，全面的得5分；检测系统设备配套较合理、较全面的得3分；检测系统设备配套不能满足检测能力需要，或欠缺的得1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未提供不得分。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w:t>
            </w:r>
          </w:p>
        </w:tc>
        <w:tc>
          <w:tcPr>
            <w:tcW w:w="1559" w:type="dxa"/>
            <w:vMerge w:val="continue"/>
            <w:vAlign w:val="center"/>
          </w:tcPr>
          <w:p>
            <w:pPr>
              <w:jc w:val="center"/>
              <w:rPr>
                <w:rFonts w:hint="eastAsia" w:ascii="宋体" w:hAnsi="宋体" w:eastAsia="宋体" w:cs="宋体"/>
                <w:color w:val="auto"/>
                <w:sz w:val="22"/>
                <w:szCs w:val="22"/>
                <w:highlight w:val="none"/>
                <w:lang w:val="en-US" w:eastAsia="zh-CN"/>
              </w:rPr>
            </w:pP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车辆及样品的保存、运输条件：</w:t>
            </w:r>
            <w:r>
              <w:rPr>
                <w:rFonts w:hint="eastAsia" w:ascii="宋体" w:hAnsi="宋体" w:eastAsia="宋体" w:cs="宋体"/>
                <w:b w:val="0"/>
                <w:bCs w:val="0"/>
                <w:color w:val="auto"/>
                <w:sz w:val="22"/>
                <w:szCs w:val="22"/>
                <w:highlight w:val="none"/>
                <w:lang w:val="en-US" w:eastAsia="zh-CN"/>
              </w:rPr>
              <w:t>对</w:t>
            </w:r>
            <w:r>
              <w:rPr>
                <w:rFonts w:hint="eastAsia" w:ascii="宋体" w:hAnsi="宋体" w:eastAsia="宋体" w:cs="宋体"/>
                <w:b w:val="0"/>
                <w:bCs w:val="0"/>
                <w:color w:val="auto"/>
                <w:sz w:val="22"/>
                <w:szCs w:val="22"/>
                <w:highlight w:val="none"/>
              </w:rPr>
              <w:t>供应商提供车辆及样品的保存、运输条件进行综合评分，车辆及样品的保存、运输条件良好、完备、全面的得</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分；车辆及样品的保存、运输条件较良好、较完备、较全面的得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分；车辆及样品的保存、运输条件有所欠缺的得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分；未提供不得分。</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1559" w:type="dxa"/>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人员配置</w:t>
            </w:r>
          </w:p>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（6分）</w:t>
            </w:r>
          </w:p>
        </w:tc>
        <w:tc>
          <w:tcPr>
            <w:tcW w:w="7634" w:type="dxa"/>
            <w:vAlign w:val="center"/>
          </w:tcPr>
          <w:p>
            <w:pPr>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）投标供应商针对本项目拟投入的采样服务人员</w:t>
            </w:r>
            <w:r>
              <w:rPr>
                <w:rFonts w:hint="eastAsia" w:ascii="宋体" w:hAnsi="宋体" w:eastAsia="宋体" w:cs="宋体"/>
                <w:b w:val="0"/>
                <w:bCs w:val="0"/>
                <w:color w:val="auto"/>
                <w:sz w:val="22"/>
                <w:szCs w:val="22"/>
                <w:highlight w:val="none"/>
                <w:lang w:val="en-US" w:eastAsia="zh-CN"/>
              </w:rPr>
              <w:t>须</w:t>
            </w:r>
            <w:r>
              <w:rPr>
                <w:rFonts w:hint="eastAsia" w:ascii="宋体" w:hAnsi="宋体" w:eastAsia="宋体" w:cs="宋体"/>
                <w:b w:val="0"/>
                <w:bCs w:val="0"/>
                <w:color w:val="auto"/>
                <w:sz w:val="22"/>
                <w:szCs w:val="22"/>
                <w:highlight w:val="none"/>
              </w:rPr>
              <w:t>取得市级及以上的病原微生物实验室生物安全培训证书（响应文件提供有效期内的证书或相关证明材料复印件并加盖公章）</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否则不得分。</w:t>
            </w:r>
          </w:p>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）供应商针对本项目投入的相关实验室检测技术人员</w:t>
            </w:r>
            <w:r>
              <w:rPr>
                <w:rFonts w:hint="eastAsia" w:ascii="宋体" w:hAnsi="宋体" w:eastAsia="宋体" w:cs="宋体"/>
                <w:b w:val="0"/>
                <w:bCs w:val="0"/>
                <w:color w:val="auto"/>
                <w:sz w:val="22"/>
                <w:szCs w:val="22"/>
                <w:highlight w:val="none"/>
                <w:lang w:val="en-US" w:eastAsia="zh-CN"/>
              </w:rPr>
              <w:t>须</w:t>
            </w:r>
            <w:r>
              <w:rPr>
                <w:rFonts w:hint="eastAsia" w:ascii="宋体" w:hAnsi="宋体" w:eastAsia="宋体" w:cs="宋体"/>
                <w:b w:val="0"/>
                <w:bCs w:val="0"/>
                <w:color w:val="auto"/>
                <w:sz w:val="22"/>
                <w:szCs w:val="22"/>
                <w:highlight w:val="none"/>
              </w:rPr>
              <w:t>具备2年（含）以上实验室工作经历并取得市级及以上的病原微生物实验室生物安全培训证书且同时经过新型冠状病毒核酸检测培训（响应文件提供有效期内的证书或相关证明材料复印件并加盖公章）</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得3分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否则不得分</w:t>
            </w:r>
            <w:r>
              <w:rPr>
                <w:rFonts w:hint="eastAsia" w:ascii="宋体" w:hAnsi="宋体" w:eastAsia="宋体" w:cs="宋体"/>
                <w:b w:val="0"/>
                <w:bCs w:val="0"/>
                <w:color w:val="auto"/>
                <w:sz w:val="22"/>
                <w:szCs w:val="22"/>
                <w:highlight w:val="none"/>
              </w:rPr>
              <w:t>。</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1559" w:type="dxa"/>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（3分）</w:t>
            </w:r>
          </w:p>
        </w:tc>
        <w:tc>
          <w:tcPr>
            <w:tcW w:w="7634" w:type="dxa"/>
            <w:vAlign w:val="center"/>
          </w:tcPr>
          <w:p>
            <w:pPr>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2019年4月1日以来，供应商有类似检测项目的，每提供一个类似业绩</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合同金额为200万元及以上的</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得1分，本项最高得3分（响应文件中提供合同复印件等证明材料并加盖公章，合同应能反映相关信息，未提供或提供不全不得分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原件备查</w:t>
            </w:r>
            <w:r>
              <w:rPr>
                <w:rFonts w:hint="eastAsia" w:ascii="宋体" w:hAnsi="宋体" w:eastAsia="宋体" w:cs="宋体"/>
                <w:b w:val="0"/>
                <w:bCs w:val="0"/>
                <w:color w:val="auto"/>
                <w:sz w:val="22"/>
                <w:szCs w:val="22"/>
                <w:highlight w:val="none"/>
              </w:rPr>
              <w:t>）。</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559" w:type="dxa"/>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信用等级</w:t>
            </w:r>
          </w:p>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7634" w:type="dxa"/>
            <w:vAlign w:val="center"/>
          </w:tcPr>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南京市政府采购供应商信用管理工作暂行办法》宁财规[2018]10号文件规定，如供应商诚信档案为三星级的得1分，四星级的得2分，五星级的得3分，被评为南京市政府采购“重诚信政府采购供应商”的得5分，本项最多得5分（响应文件中提供“</w:t>
            </w:r>
            <w:r>
              <w:rPr>
                <w:rFonts w:hint="eastAsia" w:ascii="宋体" w:hAnsi="宋体" w:eastAsia="宋体" w:cs="宋体"/>
                <w:b w:val="0"/>
                <w:bCs w:val="0"/>
                <w:color w:val="auto"/>
                <w:sz w:val="22"/>
                <w:szCs w:val="22"/>
                <w:highlight w:val="none"/>
                <w:lang w:eastAsia="zh-CN"/>
              </w:rPr>
              <w:t>南京市政府采购供应商信用记录表暨信用承诺书</w:t>
            </w:r>
            <w:r>
              <w:rPr>
                <w:rFonts w:hint="eastAsia" w:ascii="宋体" w:hAnsi="宋体" w:eastAsia="宋体" w:cs="宋体"/>
                <w:b w:val="0"/>
                <w:bCs w:val="0"/>
                <w:color w:val="auto"/>
                <w:sz w:val="22"/>
                <w:szCs w:val="22"/>
                <w:highlight w:val="none"/>
              </w:rPr>
              <w:t>”）。</w:t>
            </w:r>
          </w:p>
        </w:tc>
        <w:tc>
          <w:tcPr>
            <w:tcW w:w="730" w:type="dxa"/>
            <w:vAlign w:val="center"/>
          </w:tcPr>
          <w:p>
            <w:pPr>
              <w:spacing w:before="120" w:beforeLines="50" w:after="120" w:afterLines="50" w:line="36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bl>
    <w:p>
      <w:pPr>
        <w:pStyle w:val="2"/>
        <w:ind w:left="0" w:leftChars="0" w:firstLine="0" w:firstLineChars="0"/>
        <w:rPr>
          <w:color w:val="auto"/>
          <w:highlight w:val="none"/>
        </w:rPr>
      </w:pPr>
    </w:p>
    <w:p>
      <w:pPr>
        <w:spacing w:line="288" w:lineRule="auto"/>
        <w:ind w:right="660" w:rightChars="300" w:firstLine="480" w:firstLineChars="200"/>
        <w:rPr>
          <w:color w:val="auto"/>
          <w:sz w:val="24"/>
          <w:szCs w:val="24"/>
          <w:highlight w:val="none"/>
        </w:rPr>
      </w:pPr>
      <w:bookmarkStart w:id="6" w:name="page12"/>
      <w:bookmarkEnd w:id="6"/>
      <w:bookmarkStart w:id="7" w:name="page10"/>
      <w:bookmarkEnd w:id="7"/>
      <w:r>
        <w:rPr>
          <w:rFonts w:hint="eastAsia" w:ascii="宋体" w:hAnsi="宋体" w:eastAsia="宋体" w:cs="宋体"/>
          <w:color w:val="auto"/>
          <w:sz w:val="24"/>
          <w:szCs w:val="24"/>
          <w:highlight w:val="none"/>
        </w:rPr>
        <w:t xml:space="preserve">说明: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1、评审评分标准涉及到的所有材料需按要求提供相应的证明材料在磋商响应文件中，需提供 原件核查的另需提供原件，未按要求提供的均不得分。提供的证明材料必须真实可靠，如发现弄虚作假者，将向政府采购管理部门汇报，将供应商列入不良行为记录名单，并依法予以处罚。 </w:t>
      </w:r>
    </w:p>
    <w:p>
      <w:pPr>
        <w:spacing w:line="288" w:lineRule="auto"/>
        <w:ind w:left="660" w:leftChars="300" w:right="660" w:right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2、政策功能：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（1）对国家认定的节能产品和环保产品分别给予投标价的5%、5%价格扣除，用扣除后的价格参与评审；</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（2）小微企业的价格扣除。</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2.1 对小微企业生产的产品给予投标价的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%价格扣除，用扣除后的价格参与评审。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2.2 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联合体各方均为中小型、微型企业（监狱企业、残疾人福利单位）的，联合体视同为小型、微型企业享受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%价格扣除，用扣除后的价格参与评审。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2.3 小企业（含小型、微型企业）应当同时符合以下条件：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2.3.1 供应商为小企业，且符合中小企业划分标准；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2.3.2 提供本企业制造的货物、承担的工程或者服务，或者提供其他小企业制造的货物。如果提供的货物为大中型企业注册商标的货物，视同大中型企业。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3、监狱和戒毒企业的价格扣除</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3.1 本项目对监狱和戒毒企业（简称监狱企业）视同小型、微型企业，给予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%的价格扣除，用扣除后的价格参与评审。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3.2 监狱企业需提供由省级以上监狱管理局、戒毒管理局（含新疆生产建设兵团）出具的属于监狱企业的证明文件。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3.3 监狱企业标准请参照《关于政府采购支持监狱企业发展有关问题的通知》（财库[2014]68号）。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4、残疾人福利性单位的价格扣除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4.1 本项目对残疾人福利性单位视同小型、微型企业，给予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%的价格扣除，用扣除后的价格参与评审。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4.2残疾人福利单位需按照采购文件的要求提供《残疾人福利性单位声明函》。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 xml:space="preserve">4.3残疾人福利单位标准请参照《关于促进残疾人就业政府采购政策的通知》（财库〔2017〕141号）。 </w:t>
      </w:r>
    </w:p>
    <w:p>
      <w:pPr>
        <w:spacing w:line="288" w:lineRule="auto"/>
        <w:ind w:left="660" w:leftChars="300" w:right="660" w:rightChars="300"/>
        <w:rPr>
          <w:color w:val="auto"/>
          <w:sz w:val="24"/>
          <w:szCs w:val="24"/>
          <w:highlight w:val="none"/>
        </w:rPr>
      </w:pPr>
      <w:r>
        <w:rPr>
          <w:rFonts w:hint="eastAsia" w:ascii="宋体" w:hAnsi="宋体" w:eastAsia="宋体" w:cs="宋体"/>
          <w:color w:val="auto"/>
          <w:sz w:val="24"/>
          <w:szCs w:val="24"/>
          <w:highlight w:val="none"/>
        </w:rPr>
        <w:t>5、监狱企业、残疾人福利单位属于小型、微型企业的，不重复享受政策</w:t>
      </w:r>
      <w:r>
        <w:rPr>
          <w:rFonts w:ascii="仿宋" w:hAnsi="仿宋" w:eastAsia="仿宋" w:cs="仿宋"/>
          <w:color w:val="auto"/>
          <w:sz w:val="24"/>
          <w:szCs w:val="24"/>
          <w:highlight w:val="none"/>
        </w:rPr>
        <w:t xml:space="preserve">。 </w:t>
      </w:r>
    </w:p>
    <w:p>
      <w:pPr>
        <w:spacing w:line="288" w:lineRule="auto"/>
        <w:ind w:left="660" w:leftChars="300" w:right="660" w:rightChars="300"/>
        <w:rPr>
          <w:b/>
          <w:bCs/>
          <w:color w:val="auto"/>
          <w:sz w:val="24"/>
          <w:szCs w:val="24"/>
          <w:highlight w:val="none"/>
        </w:rPr>
      </w:pPr>
      <w:r>
        <w:rPr>
          <w:rFonts w:hint="eastAsia" w:ascii="宋体" w:hAnsi="宋体" w:eastAsia="宋体" w:cs="宋体"/>
          <w:b/>
          <w:bCs/>
          <w:color w:val="auto"/>
          <w:sz w:val="24"/>
          <w:szCs w:val="24"/>
          <w:highlight w:val="none"/>
        </w:rPr>
        <w:t>6、所有认证、证明和业绩均以有效的证明文件的复印件为依据。</w:t>
      </w:r>
    </w:p>
    <w:p>
      <w:pPr>
        <w:rPr>
          <w:rFonts w:ascii="宋体" w:hAnsi="宋体" w:eastAsia="宋体" w:cs="宋体"/>
          <w:color w:val="auto"/>
          <w:sz w:val="27"/>
          <w:szCs w:val="27"/>
          <w:highlight w:val="none"/>
        </w:rPr>
      </w:pPr>
      <w:r>
        <w:rPr>
          <w:rFonts w:ascii="宋体" w:hAnsi="宋体" w:eastAsia="宋体" w:cs="宋体"/>
          <w:color w:val="auto"/>
          <w:sz w:val="27"/>
          <w:szCs w:val="27"/>
          <w:highlight w:val="none"/>
        </w:rPr>
        <w:br w:type="page"/>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r>
        <w:rPr>
          <w:rFonts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rPr>
        <w:t>项目</w:t>
      </w:r>
      <w:r>
        <w:rPr>
          <w:rFonts w:ascii="宋体" w:hAnsi="宋体" w:eastAsia="宋体" w:cs="宋体"/>
          <w:b/>
          <w:bCs/>
          <w:color w:val="auto"/>
          <w:sz w:val="32"/>
          <w:szCs w:val="32"/>
          <w:highlight w:val="none"/>
        </w:rPr>
        <w:t>需求</w:t>
      </w:r>
    </w:p>
    <w:p>
      <w:pPr>
        <w:adjustRightInd w:val="0"/>
        <w:snapToGrid w:val="0"/>
        <w:spacing w:line="360" w:lineRule="auto"/>
        <w:ind w:firstLine="241" w:firstLineChars="100"/>
        <w:rPr>
          <w:rFonts w:ascii="宋体" w:hAnsi="宋体" w:eastAsia="宋体"/>
          <w:color w:val="auto"/>
          <w:sz w:val="24"/>
          <w:szCs w:val="24"/>
          <w:highlight w:val="none"/>
        </w:rPr>
      </w:pPr>
      <w:bookmarkStart w:id="8" w:name="page23"/>
      <w:bookmarkEnd w:id="8"/>
      <w:bookmarkStart w:id="9" w:name="page25"/>
      <w:bookmarkEnd w:id="9"/>
      <w:bookmarkStart w:id="10" w:name="page24"/>
      <w:bookmarkEnd w:id="10"/>
      <w:r>
        <w:rPr>
          <w:rFonts w:hint="eastAsia" w:ascii="宋体" w:hAnsi="宋体" w:eastAsia="宋体"/>
          <w:b/>
          <w:bCs/>
          <w:color w:val="auto"/>
          <w:sz w:val="24"/>
          <w:szCs w:val="24"/>
          <w:highlight w:val="none"/>
        </w:rPr>
        <w:t>一、项目名称：</w:t>
      </w:r>
      <w:r>
        <w:rPr>
          <w:rFonts w:hint="eastAsia" w:ascii="宋体" w:hAnsi="宋体" w:eastAsia="宋体"/>
          <w:color w:val="auto"/>
          <w:sz w:val="24"/>
          <w:szCs w:val="24"/>
          <w:highlight w:val="none"/>
        </w:rPr>
        <w:t>南京市高淳区新冠病毒核酸检测服务项目</w:t>
      </w:r>
    </w:p>
    <w:p>
      <w:pPr>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二、项目背景</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一）鉴于目前新冠疫情防控进入常态化，核酸检测预计在未来一段时间内也将成为常态化趋势，南京市高淳区卫生健康委员会根据相关核酸检测管理要求以及相关人员疫情防控检测需求，需要相应的医学检验机构按时上门提供多个地点的新冠病毒核酸检测服务（含新冠肺炎核酸检测、新冠肺炎抗体检测等），并及时出具检查报告。</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二）主要包括冷冻冷藏类、水产生产加工企业、集中交易市场、住院病人及家属、医护人员、冷藏冷冻仓库、商场超市和餐饮服务单位、冷链物流、涉外产品接触、外卖、邮政、快递等特种行业从业人员，实际检测任务及对象按采购人指令完成。</w:t>
      </w:r>
    </w:p>
    <w:p>
      <w:pPr>
        <w:pStyle w:val="64"/>
        <w:spacing w:line="360" w:lineRule="auto"/>
        <w:ind w:firstLine="241" w:firstLineChars="100"/>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三、服务期限</w:t>
      </w:r>
    </w:p>
    <w:p>
      <w:pPr>
        <w:pStyle w:val="64"/>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本项目服务期限由采购人确定，供应商中标后合同文本签订期限为一年，但出现以下情况也可以提前终止，即除成交供应商违反招标文件约定甲方有权终止合同外，如成交供应商在一年内</w:t>
      </w:r>
      <w:r>
        <w:rPr>
          <w:rFonts w:hint="eastAsia" w:ascii="宋体" w:hAnsi="宋体" w:eastAsia="宋体"/>
          <w:color w:val="auto"/>
          <w:sz w:val="24"/>
          <w:szCs w:val="24"/>
          <w:highlight w:val="none"/>
          <w:lang w:val="en-US" w:eastAsia="zh-CN"/>
        </w:rPr>
        <w:t>检测收费</w:t>
      </w:r>
      <w:r>
        <w:rPr>
          <w:rFonts w:hint="eastAsia" w:ascii="宋体" w:hAnsi="宋体" w:eastAsia="宋体"/>
          <w:color w:val="auto"/>
          <w:sz w:val="24"/>
          <w:szCs w:val="24"/>
          <w:highlight w:val="none"/>
          <w:lang w:val="en-US"/>
        </w:rPr>
        <w:t>达</w:t>
      </w:r>
      <w:r>
        <w:rPr>
          <w:rFonts w:hint="eastAsia" w:ascii="宋体" w:hAnsi="宋体" w:eastAsia="宋体"/>
          <w:color w:val="auto"/>
          <w:sz w:val="24"/>
          <w:szCs w:val="24"/>
          <w:highlight w:val="none"/>
          <w:lang w:val="en-US" w:eastAsia="zh-CN"/>
        </w:rPr>
        <w:t>到</w:t>
      </w:r>
      <w:r>
        <w:rPr>
          <w:rFonts w:hint="eastAsia" w:ascii="宋体" w:hAnsi="宋体" w:eastAsia="宋体"/>
          <w:color w:val="auto"/>
          <w:sz w:val="24"/>
          <w:szCs w:val="24"/>
          <w:highlight w:val="none"/>
          <w:lang w:val="en-US"/>
        </w:rPr>
        <w:t>390万元，则视为合同提前结束。</w:t>
      </w:r>
    </w:p>
    <w:p>
      <w:pPr>
        <w:pStyle w:val="64"/>
        <w:spacing w:line="360" w:lineRule="auto"/>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在合作期内，如因疫情防控需要，需短时间多人群开展筛查工作，产生的工作量及费用不作为本合同期内金额统计范围。同时，甲方可根据供应商实际检测能力另外增派其他检测机构共同完成筛查检测工作。</w:t>
      </w:r>
    </w:p>
    <w:p>
      <w:pPr>
        <w:autoSpaceDE w:val="0"/>
        <w:autoSpaceDN w:val="0"/>
        <w:adjustRightInd w:val="0"/>
        <w:spacing w:line="360" w:lineRule="auto"/>
        <w:ind w:firstLine="241" w:firstLineChars="100"/>
        <w:rPr>
          <w:rFonts w:hint="eastAsia" w:ascii="宋体" w:hAnsi="宋体" w:eastAsia="宋体"/>
          <w:color w:val="auto"/>
          <w:sz w:val="24"/>
          <w:szCs w:val="24"/>
          <w:highlight w:val="none"/>
          <w:lang w:val="en-US"/>
        </w:rPr>
      </w:pPr>
      <w:r>
        <w:rPr>
          <w:rFonts w:hint="eastAsia" w:ascii="宋体" w:hAnsi="宋体" w:eastAsia="宋体"/>
          <w:b/>
          <w:color w:val="auto"/>
          <w:sz w:val="24"/>
          <w:szCs w:val="24"/>
          <w:highlight w:val="none"/>
        </w:rPr>
        <w:t>四、</w:t>
      </w:r>
      <w:r>
        <w:rPr>
          <w:rFonts w:hint="eastAsia" w:ascii="宋体" w:hAnsi="宋体" w:eastAsia="宋体"/>
          <w:b/>
          <w:color w:val="auto"/>
          <w:sz w:val="24"/>
          <w:szCs w:val="24"/>
          <w:highlight w:val="none"/>
          <w:lang w:val="en-US" w:eastAsia="zh-CN"/>
        </w:rPr>
        <w:t>采购需求</w:t>
      </w:r>
    </w:p>
    <w:tbl>
      <w:tblPr>
        <w:tblStyle w:val="28"/>
        <w:tblW w:w="95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992"/>
        <w:gridCol w:w="5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26"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992"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称</w:t>
            </w:r>
          </w:p>
        </w:tc>
        <w:tc>
          <w:tcPr>
            <w:tcW w:w="5726" w:type="dxa"/>
            <w:noWrap/>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 购 需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0"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1</w:t>
            </w:r>
          </w:p>
        </w:tc>
        <w:tc>
          <w:tcPr>
            <w:tcW w:w="2992" w:type="dxa"/>
            <w:noWrap/>
            <w:vAlign w:val="center"/>
          </w:tcPr>
          <w:p>
            <w:pPr>
              <w:spacing w:line="360" w:lineRule="auto"/>
              <w:jc w:val="center"/>
              <w:rPr>
                <w:rFonts w:hint="eastAsia" w:ascii="宋体" w:hAnsi="宋体" w:eastAsia="宋体"/>
                <w:color w:val="auto"/>
                <w:spacing w:val="-2"/>
                <w:sz w:val="20"/>
                <w:szCs w:val="20"/>
                <w:highlight w:val="none"/>
              </w:rPr>
            </w:pPr>
            <w:r>
              <w:rPr>
                <w:rFonts w:hint="eastAsia" w:ascii="宋体" w:hAnsi="宋体" w:eastAsia="宋体"/>
                <w:color w:val="auto"/>
                <w:spacing w:val="-2"/>
                <w:sz w:val="21"/>
                <w:szCs w:val="21"/>
                <w:highlight w:val="none"/>
              </w:rPr>
              <w:t>核酸检测费用单管报价</w:t>
            </w:r>
          </w:p>
        </w:tc>
        <w:tc>
          <w:tcPr>
            <w:tcW w:w="5726" w:type="dxa"/>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单管报价不允许超过其最高限价</w:t>
            </w:r>
            <w:r>
              <w:rPr>
                <w:rFonts w:hint="eastAsia" w:ascii="宋体" w:hAnsi="宋体" w:eastAsia="宋体"/>
                <w:color w:val="auto"/>
                <w:spacing w:val="-2"/>
                <w:sz w:val="21"/>
                <w:szCs w:val="21"/>
                <w:highlight w:val="none"/>
              </w:rPr>
              <w:t>28元/人次</w:t>
            </w:r>
            <w:r>
              <w:rPr>
                <w:rFonts w:hint="eastAsia" w:ascii="宋体" w:hAnsi="宋体" w:eastAsia="宋体"/>
                <w:color w:val="auto"/>
                <w:sz w:val="21"/>
                <w:szCs w:val="21"/>
                <w:highlight w:val="none"/>
              </w:rPr>
              <w:t>，否则为无效响应文件。此报价含扩增试剂、提取试剂、采样器具等耗材、标本运输直至发出报告的全部费用。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2</w:t>
            </w:r>
          </w:p>
        </w:tc>
        <w:tc>
          <w:tcPr>
            <w:tcW w:w="2992" w:type="dxa"/>
            <w:noWrap/>
            <w:vAlign w:val="center"/>
          </w:tcPr>
          <w:p>
            <w:pPr>
              <w:spacing w:line="360" w:lineRule="auto"/>
              <w:jc w:val="center"/>
              <w:rPr>
                <w:rFonts w:hint="eastAsia"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核酸检测费用10人管报价</w:t>
            </w:r>
          </w:p>
        </w:tc>
        <w:tc>
          <w:tcPr>
            <w:tcW w:w="5726" w:type="dxa"/>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10人管报价不允许超过其最高限价</w:t>
            </w:r>
            <w:r>
              <w:rPr>
                <w:rFonts w:hint="eastAsia" w:ascii="宋体" w:hAnsi="宋体" w:eastAsia="宋体"/>
                <w:color w:val="auto"/>
                <w:spacing w:val="-2"/>
                <w:sz w:val="21"/>
                <w:szCs w:val="21"/>
                <w:highlight w:val="none"/>
              </w:rPr>
              <w:t>8</w:t>
            </w:r>
            <w:r>
              <w:rPr>
                <w:rFonts w:hint="eastAsia" w:ascii="宋体" w:hAnsi="宋体" w:eastAsia="宋体"/>
                <w:color w:val="auto"/>
                <w:spacing w:val="-2"/>
                <w:sz w:val="21"/>
                <w:szCs w:val="21"/>
                <w:highlight w:val="none"/>
                <w:lang w:val="en-US" w:eastAsia="zh-CN"/>
              </w:rPr>
              <w:t>0</w:t>
            </w:r>
            <w:r>
              <w:rPr>
                <w:rFonts w:hint="eastAsia" w:ascii="宋体" w:hAnsi="宋体" w:eastAsia="宋体"/>
                <w:color w:val="auto"/>
                <w:spacing w:val="-2"/>
                <w:sz w:val="21"/>
                <w:szCs w:val="21"/>
                <w:highlight w:val="none"/>
              </w:rPr>
              <w:t>元/</w:t>
            </w:r>
            <w:r>
              <w:rPr>
                <w:rFonts w:hint="eastAsia" w:ascii="宋体" w:hAnsi="宋体" w:eastAsia="宋体"/>
                <w:color w:val="auto"/>
                <w:spacing w:val="-2"/>
                <w:sz w:val="21"/>
                <w:szCs w:val="21"/>
                <w:highlight w:val="none"/>
                <w:lang w:val="en-US" w:eastAsia="zh-CN"/>
              </w:rPr>
              <w:t>管（10人管）</w:t>
            </w:r>
            <w:r>
              <w:rPr>
                <w:rFonts w:hint="eastAsia" w:ascii="宋体" w:hAnsi="宋体" w:eastAsia="宋体"/>
                <w:color w:val="auto"/>
                <w:sz w:val="21"/>
                <w:szCs w:val="21"/>
                <w:highlight w:val="none"/>
              </w:rPr>
              <w:t>，否则为无效响应文件。此报价含扩增试剂、提取试剂、采样器具等耗材、标本运输直至发出报告的全部费用。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826" w:type="dxa"/>
            <w:noWrap/>
            <w:vAlign w:val="center"/>
          </w:tcPr>
          <w:p>
            <w:pPr>
              <w:spacing w:line="360" w:lineRule="auto"/>
              <w:jc w:val="center"/>
              <w:rPr>
                <w:rFonts w:ascii="宋体" w:hAnsi="宋体" w:eastAsia="宋体"/>
                <w:color w:val="auto"/>
                <w:spacing w:val="-2"/>
                <w:sz w:val="21"/>
                <w:szCs w:val="21"/>
                <w:highlight w:val="none"/>
              </w:rPr>
            </w:pPr>
            <w:r>
              <w:rPr>
                <w:rFonts w:hint="eastAsia" w:ascii="宋体" w:hAnsi="宋体" w:eastAsia="宋体"/>
                <w:color w:val="auto"/>
                <w:spacing w:val="-2"/>
                <w:sz w:val="21"/>
                <w:szCs w:val="21"/>
                <w:highlight w:val="none"/>
                <w:lang w:val="en-US" w:eastAsia="zh-CN"/>
              </w:rPr>
              <w:t>3</w:t>
            </w:r>
          </w:p>
        </w:tc>
        <w:tc>
          <w:tcPr>
            <w:tcW w:w="2992" w:type="dxa"/>
            <w:noWrap/>
            <w:vAlign w:val="center"/>
          </w:tcPr>
          <w:p>
            <w:pPr>
              <w:spacing w:line="360" w:lineRule="auto"/>
              <w:jc w:val="center"/>
              <w:rPr>
                <w:rFonts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w:t>
            </w:r>
            <w:r>
              <w:rPr>
                <w:rFonts w:hint="eastAsia" w:ascii="宋体" w:hAnsi="宋体" w:eastAsia="宋体"/>
                <w:color w:val="auto"/>
                <w:spacing w:val="-2"/>
                <w:sz w:val="20"/>
                <w:szCs w:val="20"/>
                <w:highlight w:val="none"/>
                <w:lang w:val="en-US" w:eastAsia="zh-CN"/>
              </w:rPr>
              <w:t>20</w:t>
            </w:r>
            <w:r>
              <w:rPr>
                <w:rFonts w:hint="eastAsia" w:ascii="宋体" w:hAnsi="宋体" w:eastAsia="宋体"/>
                <w:color w:val="auto"/>
                <w:spacing w:val="-2"/>
                <w:sz w:val="20"/>
                <w:szCs w:val="20"/>
                <w:highlight w:val="none"/>
              </w:rPr>
              <w:t>人管报价</w:t>
            </w:r>
          </w:p>
        </w:tc>
        <w:tc>
          <w:tcPr>
            <w:tcW w:w="5726" w:type="dxa"/>
            <w:noWrap/>
            <w:vAlign w:val="center"/>
          </w:tcPr>
          <w:p>
            <w:pPr>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0人管报价不允许超过其最高限价</w:t>
            </w:r>
            <w:r>
              <w:rPr>
                <w:rFonts w:hint="eastAsia" w:ascii="宋体" w:hAnsi="宋体" w:eastAsia="宋体"/>
                <w:color w:val="auto"/>
                <w:spacing w:val="-2"/>
                <w:sz w:val="21"/>
                <w:szCs w:val="21"/>
                <w:highlight w:val="none"/>
                <w:lang w:val="en-US" w:eastAsia="zh-CN"/>
              </w:rPr>
              <w:t>100</w:t>
            </w:r>
            <w:r>
              <w:rPr>
                <w:rFonts w:hint="eastAsia" w:ascii="宋体" w:hAnsi="宋体" w:eastAsia="宋体"/>
                <w:color w:val="auto"/>
                <w:spacing w:val="-2"/>
                <w:sz w:val="21"/>
                <w:szCs w:val="21"/>
                <w:highlight w:val="none"/>
              </w:rPr>
              <w:t>元/</w:t>
            </w:r>
            <w:r>
              <w:rPr>
                <w:rFonts w:hint="eastAsia" w:ascii="宋体" w:hAnsi="宋体" w:eastAsia="宋体"/>
                <w:color w:val="auto"/>
                <w:spacing w:val="-2"/>
                <w:sz w:val="21"/>
                <w:szCs w:val="21"/>
                <w:highlight w:val="none"/>
                <w:lang w:val="en-US" w:eastAsia="zh-CN"/>
              </w:rPr>
              <w:t>管（20人管）</w:t>
            </w:r>
            <w:r>
              <w:rPr>
                <w:rFonts w:hint="eastAsia" w:ascii="宋体" w:hAnsi="宋体" w:eastAsia="宋体"/>
                <w:color w:val="auto"/>
                <w:sz w:val="21"/>
                <w:szCs w:val="21"/>
                <w:highlight w:val="none"/>
              </w:rPr>
              <w:t>，否则为无效响应文件。此报价含扩增试剂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eastAsia="zh-CN"/>
              </w:rPr>
            </w:pPr>
            <w:r>
              <w:rPr>
                <w:rFonts w:hint="eastAsia" w:ascii="宋体" w:hAnsi="宋体" w:eastAsia="宋体"/>
                <w:color w:val="auto"/>
                <w:spacing w:val="-2"/>
                <w:sz w:val="21"/>
                <w:szCs w:val="21"/>
                <w:highlight w:val="none"/>
                <w:lang w:val="en-US" w:eastAsia="zh-CN"/>
              </w:rPr>
              <w:t>4</w:t>
            </w:r>
          </w:p>
        </w:tc>
        <w:tc>
          <w:tcPr>
            <w:tcW w:w="2992"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核酸检测费用单管报价</w:t>
            </w:r>
          </w:p>
        </w:tc>
        <w:tc>
          <w:tcPr>
            <w:tcW w:w="5726" w:type="dxa"/>
            <w:noWrap/>
            <w:vAlign w:val="center"/>
          </w:tcPr>
          <w:p>
            <w:pPr>
              <w:spacing w:line="360" w:lineRule="auto"/>
              <w:jc w:val="left"/>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此项由投标人自主报价。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eastAsia="zh-CN"/>
              </w:rPr>
            </w:pPr>
            <w:r>
              <w:rPr>
                <w:rFonts w:hint="eastAsia" w:ascii="宋体" w:hAnsi="宋体" w:eastAsia="宋体"/>
                <w:color w:val="auto"/>
                <w:spacing w:val="-2"/>
                <w:sz w:val="21"/>
                <w:szCs w:val="21"/>
                <w:highlight w:val="none"/>
                <w:lang w:val="en-US" w:eastAsia="zh-CN"/>
              </w:rPr>
              <w:t>5</w:t>
            </w:r>
          </w:p>
        </w:tc>
        <w:tc>
          <w:tcPr>
            <w:tcW w:w="2992" w:type="dxa"/>
            <w:noWrap/>
            <w:vAlign w:val="center"/>
          </w:tcPr>
          <w:p>
            <w:pPr>
              <w:spacing w:line="360" w:lineRule="auto"/>
              <w:jc w:val="center"/>
              <w:rPr>
                <w:rFonts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核酸检测费用10人管报价</w:t>
            </w:r>
          </w:p>
        </w:tc>
        <w:tc>
          <w:tcPr>
            <w:tcW w:w="5726" w:type="dxa"/>
            <w:noWrap/>
            <w:vAlign w:val="center"/>
          </w:tcPr>
          <w:p>
            <w:pPr>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此项由投标人自主报价。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val="en-US" w:eastAsia="zh-CN"/>
              </w:rPr>
            </w:pPr>
            <w:r>
              <w:rPr>
                <w:rFonts w:hint="eastAsia" w:ascii="宋体" w:hAnsi="宋体" w:eastAsia="宋体"/>
                <w:color w:val="auto"/>
                <w:spacing w:val="-2"/>
                <w:sz w:val="21"/>
                <w:szCs w:val="21"/>
                <w:highlight w:val="none"/>
                <w:lang w:val="en-US" w:eastAsia="zh-CN"/>
              </w:rPr>
              <w:t>6</w:t>
            </w:r>
          </w:p>
        </w:tc>
        <w:tc>
          <w:tcPr>
            <w:tcW w:w="2992"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0"/>
                <w:szCs w:val="20"/>
                <w:highlight w:val="none"/>
              </w:rPr>
              <w:t>核酸检测费用</w:t>
            </w:r>
            <w:r>
              <w:rPr>
                <w:rFonts w:hint="eastAsia" w:ascii="宋体" w:hAnsi="宋体" w:eastAsia="宋体"/>
                <w:color w:val="auto"/>
                <w:spacing w:val="-2"/>
                <w:sz w:val="20"/>
                <w:szCs w:val="20"/>
                <w:highlight w:val="none"/>
                <w:lang w:val="en-US" w:eastAsia="zh-CN"/>
              </w:rPr>
              <w:t>20</w:t>
            </w:r>
            <w:r>
              <w:rPr>
                <w:rFonts w:hint="eastAsia" w:ascii="宋体" w:hAnsi="宋体" w:eastAsia="宋体"/>
                <w:color w:val="auto"/>
                <w:spacing w:val="-2"/>
                <w:sz w:val="20"/>
                <w:szCs w:val="20"/>
                <w:highlight w:val="none"/>
              </w:rPr>
              <w:t>人管报价</w:t>
            </w:r>
          </w:p>
        </w:tc>
        <w:tc>
          <w:tcPr>
            <w:tcW w:w="5726" w:type="dxa"/>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此项由投标人自主报价。</w:t>
            </w:r>
          </w:p>
        </w:tc>
      </w:tr>
    </w:tbl>
    <w:p>
      <w:pPr>
        <w:pStyle w:val="64"/>
        <w:spacing w:line="360" w:lineRule="auto"/>
        <w:ind w:left="0" w:leftChars="0" w:firstLine="0" w:firstLineChars="0"/>
        <w:rPr>
          <w:rFonts w:hint="eastAsia" w:ascii="宋体" w:hAnsi="宋体" w:eastAsia="宋体"/>
          <w:color w:val="auto"/>
          <w:sz w:val="24"/>
          <w:szCs w:val="24"/>
          <w:highlight w:val="none"/>
          <w:lang w:val="en-US"/>
        </w:rPr>
      </w:pPr>
    </w:p>
    <w:p>
      <w:pPr>
        <w:autoSpaceDE w:val="0"/>
        <w:autoSpaceDN w:val="0"/>
        <w:adjustRightInd w:val="0"/>
        <w:spacing w:line="360" w:lineRule="auto"/>
        <w:ind w:firstLine="241" w:firstLineChars="1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五</w:t>
      </w:r>
      <w:r>
        <w:rPr>
          <w:rFonts w:hint="eastAsia" w:ascii="宋体" w:hAnsi="宋体" w:eastAsia="宋体"/>
          <w:b/>
          <w:color w:val="auto"/>
          <w:sz w:val="24"/>
          <w:szCs w:val="24"/>
          <w:highlight w:val="none"/>
        </w:rPr>
        <w:t>、检测服务要求</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（一）供应商（核酸检测机构）可按时上门提供多个地点的新型冠状病毒采样服务（新冠肺炎核酸检测、新冠肺炎抗体检测等），采样人员需符合本采购文件规定，一经发现使用无资质人员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采购人有权终止合同并报卫生执法部门严格执法。</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二）供应商（核酸检测机构）需严格执行国家、江苏省、南京市卫健委关于开展新型冠状病毒相关检测、生物安全防护、生物样本资源管理的有关规定；对样本实际运输不符合行业或国家规范要求，一经发现采购人有权终止合同。</w:t>
      </w:r>
    </w:p>
    <w:p>
      <w:pPr>
        <w:spacing w:line="360" w:lineRule="auto"/>
        <w:ind w:firstLine="240" w:firstLineChars="1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（三）供应商（核酸检测机构）采购使用的新型冠状病毒相关检测试剂盒符合国家相关规定或采购人指定的检测试剂盒</w:t>
      </w:r>
      <w:r>
        <w:rPr>
          <w:rFonts w:hint="eastAsia" w:ascii="宋体" w:hAnsi="宋体" w:eastAsia="宋体"/>
          <w:color w:val="auto"/>
          <w:sz w:val="24"/>
          <w:szCs w:val="24"/>
          <w:highlight w:val="none"/>
          <w:lang w:eastAsia="zh-CN"/>
        </w:rPr>
        <w:t>。</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四）供应商（核酸检测机构）需按照约定的时间自行组织上门提供核酸检测采样服务；6小时内出具检测结果电子版，12小时内出具纸质版并送至指定地点。成交供应商如在实际运行中达不到出报告时间要求或数据泄密，采购人有权终止合同。</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五）有序组织、分散安排核酸检测，避免人员聚集。在合作期间，成交供应商针对本项目投入的相关人员配置及防护要求符合国家或行业相关规范，如成交供应商违法违规造成人员感染，此后果由成交供应商自行承担，采购人有权终止合同。</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（六）检测发现阳性结果的供应商应第一时间向采购人指定联络员报告，因成交供应商延误报告或漏检阳性病人，采购人将追究相关责任及经济损失直至法律责任。</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七）成交供应商应当在耗材和试剂市场价格下调时作相应的价格下调并执行新的价格，如耗材和试剂市场价格上调，作为对采购人的优惠，价格不再调整。如市场价格下调或政府相关部门已明文指导价格下调，成交供应商拒不执行下调的，按成交供应商违约处理，采购人有权终止合同，取消成交供应商合作资格。</w:t>
      </w:r>
    </w:p>
    <w:p>
      <w:pPr>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（八）特别强调</w:t>
      </w:r>
    </w:p>
    <w:p>
      <w:pPr>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成交供应商应当充分理解当前疫情防控（核酸检测）的重要意义，认清自己承担的社会责任和政治责任。如成交供应商在实际合作运行中不遵守响应文件（投标文件）的承诺，采购人随时有权终止合同并上报政府采购监督部门，由此造成的损失</w:t>
      </w:r>
      <w:r>
        <w:rPr>
          <w:rFonts w:hint="eastAsia" w:ascii="宋体" w:hAnsi="宋体" w:eastAsia="宋体"/>
          <w:b/>
          <w:bCs/>
          <w:color w:val="auto"/>
          <w:sz w:val="24"/>
          <w:szCs w:val="24"/>
          <w:highlight w:val="none"/>
          <w:lang w:val="en-US" w:eastAsia="zh-CN"/>
        </w:rPr>
        <w:t>由供应商承担</w:t>
      </w:r>
      <w:r>
        <w:rPr>
          <w:rFonts w:hint="eastAsia" w:ascii="宋体" w:hAnsi="宋体" w:eastAsia="宋体"/>
          <w:b/>
          <w:bCs/>
          <w:color w:val="auto"/>
          <w:sz w:val="24"/>
          <w:szCs w:val="24"/>
          <w:highlight w:val="none"/>
        </w:rPr>
        <w:t>。</w:t>
      </w:r>
    </w:p>
    <w:p>
      <w:pPr>
        <w:tabs>
          <w:tab w:val="left" w:pos="0"/>
        </w:tabs>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六</w:t>
      </w:r>
      <w:r>
        <w:rPr>
          <w:rFonts w:hint="eastAsia" w:ascii="宋体" w:hAnsi="宋体" w:eastAsia="宋体"/>
          <w:b/>
          <w:bCs/>
          <w:color w:val="auto"/>
          <w:sz w:val="24"/>
          <w:szCs w:val="24"/>
          <w:highlight w:val="none"/>
        </w:rPr>
        <w:t>、付款方式</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（一）自合同签订后每月结算一次，采购人向成交供应商支付本月已</w:t>
      </w:r>
      <w:r>
        <w:rPr>
          <w:rFonts w:hint="eastAsia" w:ascii="宋体" w:hAnsi="宋体" w:eastAsia="宋体"/>
          <w:color w:val="auto"/>
          <w:sz w:val="24"/>
          <w:szCs w:val="24"/>
          <w:highlight w:val="none"/>
          <w:lang w:val="en-US" w:eastAsia="zh-CN"/>
        </w:rPr>
        <w:t>完成检测费</w:t>
      </w:r>
      <w:r>
        <w:rPr>
          <w:rFonts w:hint="eastAsia" w:ascii="宋体" w:hAnsi="宋体" w:eastAsia="宋体"/>
          <w:color w:val="auto"/>
          <w:sz w:val="24"/>
          <w:szCs w:val="24"/>
          <w:highlight w:val="none"/>
        </w:rPr>
        <w:t>金额的60%；</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（二）项目履行6个月后，采购人向成交供应商支付前6个月</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lang w:val="en-US" w:eastAsia="zh-CN"/>
        </w:rPr>
        <w:t>检测费余额</w:t>
      </w:r>
      <w:r>
        <w:rPr>
          <w:rFonts w:hint="eastAsia" w:ascii="宋体" w:hAnsi="宋体" w:eastAsia="宋体"/>
          <w:color w:val="auto"/>
          <w:sz w:val="24"/>
          <w:szCs w:val="24"/>
          <w:highlight w:val="none"/>
        </w:rPr>
        <w:t>。以此类推直至合同结束一次性付清。</w:t>
      </w:r>
    </w:p>
    <w:p>
      <w:pPr>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七</w:t>
      </w:r>
      <w:r>
        <w:rPr>
          <w:rFonts w:hint="eastAsia" w:ascii="宋体" w:hAnsi="宋体" w:eastAsia="宋体"/>
          <w:b/>
          <w:bCs/>
          <w:color w:val="auto"/>
          <w:sz w:val="24"/>
          <w:szCs w:val="24"/>
          <w:highlight w:val="none"/>
        </w:rPr>
        <w:t>、其他要求</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（一）在本项目的实施过程中，项目负责人要专职于本项目，核心人员要百分之百地投入到本项目中，并且整个项目团队的人员要相对稳定。</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（二）供应商应提供本项目实际的项目管理与实施人员组织结构图以及项目组人员的相关情况说明。</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供应商应充分考虑该项目国家已多次调整降价，具有较大风险，本项目如遇政策降价调整，出现成交价格高于政策降调整的价格时，无条件执行政策调整价格，当出现政策调整价格高于成交价格时，将不执行价格调整。供应商不能因无利润而消极配合，如出现此情景采购人有权终止合同或追究相关经济责任直至法律责任。</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（四）供应商报价的任何错漏、优惠不得作为减轻责任、减少服务、增加收费、降低质量的理由。</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（五）供应商的报价经磋商小组审核、测算，发现低于成本价</w:t>
      </w:r>
      <w:r>
        <w:rPr>
          <w:rFonts w:hint="eastAsia" w:ascii="宋体" w:hAnsi="宋体" w:eastAsia="宋体"/>
          <w:color w:val="auto"/>
          <w:sz w:val="24"/>
          <w:szCs w:val="24"/>
          <w:highlight w:val="none"/>
          <w:lang w:val="en-US" w:eastAsia="zh-CN"/>
        </w:rPr>
        <w:t>者</w:t>
      </w:r>
      <w:r>
        <w:rPr>
          <w:rFonts w:hint="eastAsia" w:ascii="宋体" w:hAnsi="宋体" w:eastAsia="宋体"/>
          <w:color w:val="auto"/>
          <w:sz w:val="24"/>
          <w:szCs w:val="24"/>
          <w:highlight w:val="none"/>
        </w:rPr>
        <w:t>按照未响应招标文件作废标处理。</w:t>
      </w:r>
    </w:p>
    <w:p>
      <w:pPr>
        <w:spacing w:line="360"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（六）本次项目未经采购人同意，不得</w:t>
      </w:r>
      <w:r>
        <w:rPr>
          <w:rFonts w:hint="eastAsia" w:ascii="宋体" w:hAnsi="宋体" w:eastAsia="宋体"/>
          <w:bCs/>
          <w:color w:val="auto"/>
          <w:sz w:val="24"/>
          <w:szCs w:val="24"/>
          <w:highlight w:val="none"/>
        </w:rPr>
        <w:t>转包或分包。</w:t>
      </w:r>
    </w:p>
    <w:p>
      <w:pPr>
        <w:adjustRightInd w:val="0"/>
        <w:snapToGrid w:val="0"/>
        <w:spacing w:line="360" w:lineRule="auto"/>
        <w:ind w:firstLine="241" w:firstLineChars="1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八</w:t>
      </w:r>
      <w:r>
        <w:rPr>
          <w:rFonts w:hint="eastAsia" w:ascii="宋体" w:hAnsi="宋体" w:eastAsia="宋体"/>
          <w:b/>
          <w:color w:val="auto"/>
          <w:sz w:val="24"/>
          <w:szCs w:val="24"/>
          <w:highlight w:val="none"/>
        </w:rPr>
        <w:t>、备注</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（一）本章所有要求均为实质性要求，否则作为无效报价。</w:t>
      </w:r>
    </w:p>
    <w:p>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（二）所有实质性要求在竞争性磋商中经采购人代表或磋商小组确认</w:t>
      </w:r>
      <w:r>
        <w:rPr>
          <w:rFonts w:hint="eastAsia" w:ascii="宋体" w:hAnsi="宋体" w:eastAsia="宋体"/>
          <w:color w:val="auto"/>
          <w:sz w:val="24"/>
          <w:szCs w:val="24"/>
          <w:highlight w:val="none"/>
          <w:lang w:val="en-US" w:eastAsia="zh-CN"/>
        </w:rPr>
        <w:t>同意后可</w:t>
      </w:r>
      <w:r>
        <w:rPr>
          <w:rFonts w:hint="eastAsia" w:ascii="宋体" w:hAnsi="宋体" w:eastAsia="宋体"/>
          <w:color w:val="auto"/>
          <w:sz w:val="24"/>
          <w:szCs w:val="24"/>
          <w:highlight w:val="none"/>
        </w:rPr>
        <w:t>进行实质性变动。</w:t>
      </w:r>
    </w:p>
    <w:p>
      <w:pPr>
        <w:rPr>
          <w:rFonts w:hint="eastAsia" w:ascii="宋体" w:hAnsi="宋体" w:eastAsia="宋体" w:cs="宋体"/>
          <w:b/>
          <w:bCs/>
          <w:color w:val="auto"/>
          <w:sz w:val="32"/>
          <w:szCs w:val="32"/>
          <w:highlight w:val="none"/>
        </w:rPr>
      </w:pPr>
      <w:bookmarkStart w:id="11" w:name="page27"/>
      <w:bookmarkEnd w:id="11"/>
      <w:r>
        <w:rPr>
          <w:rFonts w:hint="eastAsia" w:ascii="宋体" w:hAnsi="宋体" w:eastAsia="宋体" w:cs="宋体"/>
          <w:b/>
          <w:bCs/>
          <w:color w:val="auto"/>
          <w:sz w:val="32"/>
          <w:szCs w:val="32"/>
          <w:highlight w:val="none"/>
        </w:rPr>
        <w:br w:type="page"/>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合同条款</w:t>
      </w:r>
    </w:p>
    <w:p>
      <w:pPr>
        <w:rPr>
          <w:color w:val="auto"/>
          <w:highlight w:val="none"/>
        </w:rPr>
      </w:pPr>
      <w:bookmarkStart w:id="12" w:name="_Toc381716888"/>
    </w:p>
    <w:p>
      <w:pPr>
        <w:spacing w:line="360" w:lineRule="auto"/>
        <w:ind w:left="660" w:leftChars="300" w:right="660" w:rightChars="300"/>
        <w:jc w:val="center"/>
        <w:rPr>
          <w:rFonts w:hint="eastAsia" w:ascii="宋体" w:hAnsi="宋体" w:eastAsia="宋体" w:cs="宋体"/>
          <w:color w:val="auto"/>
          <w:spacing w:val="-1"/>
          <w:sz w:val="40"/>
          <w:szCs w:val="40"/>
          <w:highlight w:val="none"/>
          <w:lang w:eastAsia="zh-CN"/>
        </w:rPr>
      </w:pPr>
      <w:r>
        <w:rPr>
          <w:rFonts w:hint="eastAsia" w:ascii="宋体" w:hAnsi="宋体" w:eastAsia="宋体" w:cs="宋体"/>
          <w:color w:val="auto"/>
          <w:spacing w:val="-1"/>
          <w:sz w:val="40"/>
          <w:szCs w:val="40"/>
          <w:highlight w:val="none"/>
          <w:lang w:eastAsia="zh-CN"/>
        </w:rPr>
        <w:t>高淳区常态化疫情防控核酸检测项目</w:t>
      </w:r>
    </w:p>
    <w:p>
      <w:pPr>
        <w:spacing w:line="360" w:lineRule="auto"/>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pStyle w:val="2"/>
        <w:rPr>
          <w:rFonts w:ascii="宋体" w:hAnsi="宋体"/>
          <w:color w:val="auto"/>
          <w:szCs w:val="21"/>
          <w:highlight w:val="none"/>
        </w:rPr>
      </w:pPr>
    </w:p>
    <w:p>
      <w:pPr>
        <w:pStyle w:val="3"/>
        <w:rPr>
          <w:color w:val="auto"/>
          <w:highlight w:val="none"/>
        </w:rPr>
      </w:pPr>
    </w:p>
    <w:p>
      <w:pPr>
        <w:pStyle w:val="3"/>
        <w:rPr>
          <w:color w:val="auto"/>
          <w:highlight w:val="none"/>
        </w:rPr>
      </w:pPr>
    </w:p>
    <w:p>
      <w:pPr>
        <w:spacing w:line="360" w:lineRule="auto"/>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政府采购合同</w:t>
      </w:r>
    </w:p>
    <w:p>
      <w:pPr>
        <w:spacing w:line="360" w:lineRule="auto"/>
        <w:rPr>
          <w:rFonts w:ascii="宋体" w:hAnsi="宋体"/>
          <w:b/>
          <w:bCs/>
          <w:color w:val="auto"/>
          <w:sz w:val="36"/>
          <w:szCs w:val="36"/>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1918"/>
        <w:rPr>
          <w:rFonts w:ascii="宋体" w:hAnsi="宋体" w:eastAsia="宋体"/>
          <w:color w:val="auto"/>
          <w:sz w:val="30"/>
          <w:szCs w:val="30"/>
          <w:highlight w:val="none"/>
        </w:rPr>
      </w:pPr>
      <w:r>
        <w:rPr>
          <w:rFonts w:hint="eastAsia" w:ascii="宋体" w:hAnsi="宋体" w:eastAsia="宋体"/>
          <w:b/>
          <w:bCs/>
          <w:color w:val="auto"/>
          <w:sz w:val="30"/>
          <w:szCs w:val="30"/>
          <w:highlight w:val="none"/>
        </w:rPr>
        <w:t>合同编号 ：</w:t>
      </w:r>
      <w:r>
        <w:rPr>
          <w:rFonts w:hint="eastAsia" w:ascii="宋体" w:hAnsi="宋体" w:eastAsia="宋体"/>
          <w:b/>
          <w:bCs/>
          <w:color w:val="auto"/>
          <w:sz w:val="30"/>
          <w:szCs w:val="30"/>
          <w:highlight w:val="none"/>
          <w:u w:val="single"/>
        </w:rPr>
        <w:t>          </w:t>
      </w:r>
    </w:p>
    <w:p>
      <w:pPr>
        <w:spacing w:line="360" w:lineRule="auto"/>
        <w:ind w:firstLine="1918"/>
        <w:rPr>
          <w:rFonts w:ascii="宋体" w:hAnsi="宋体" w:eastAsia="宋体"/>
          <w:color w:val="auto"/>
          <w:sz w:val="30"/>
          <w:szCs w:val="30"/>
          <w:highlight w:val="none"/>
        </w:rPr>
      </w:pPr>
      <w:r>
        <w:rPr>
          <w:rFonts w:hint="eastAsia" w:ascii="宋体" w:hAnsi="宋体" w:eastAsia="宋体"/>
          <w:b/>
          <w:bCs/>
          <w:color w:val="auto"/>
          <w:sz w:val="30"/>
          <w:szCs w:val="30"/>
          <w:highlight w:val="none"/>
        </w:rPr>
        <w:t>项目名称 ：</w:t>
      </w:r>
      <w:r>
        <w:rPr>
          <w:rFonts w:hint="eastAsia" w:ascii="宋体" w:hAnsi="宋体" w:eastAsia="宋体"/>
          <w:b/>
          <w:bCs/>
          <w:color w:val="auto"/>
          <w:sz w:val="30"/>
          <w:szCs w:val="30"/>
          <w:highlight w:val="none"/>
          <w:u w:val="single"/>
        </w:rPr>
        <w:t>          </w:t>
      </w:r>
    </w:p>
    <w:p>
      <w:pPr>
        <w:spacing w:line="360" w:lineRule="auto"/>
        <w:ind w:firstLine="1918"/>
        <w:rPr>
          <w:rFonts w:ascii="宋体" w:hAnsi="宋体" w:eastAsia="宋体"/>
          <w:color w:val="auto"/>
          <w:sz w:val="30"/>
          <w:szCs w:val="30"/>
          <w:highlight w:val="none"/>
        </w:rPr>
      </w:pPr>
      <w:r>
        <w:rPr>
          <w:rFonts w:hint="eastAsia" w:ascii="宋体" w:hAnsi="宋体" w:eastAsia="宋体"/>
          <w:b/>
          <w:bCs/>
          <w:color w:val="auto"/>
          <w:sz w:val="30"/>
          <w:szCs w:val="30"/>
          <w:highlight w:val="none"/>
        </w:rPr>
        <w:t>采购人 ：</w:t>
      </w:r>
      <w:r>
        <w:rPr>
          <w:rFonts w:hint="eastAsia" w:ascii="宋体" w:hAnsi="宋体" w:eastAsia="宋体"/>
          <w:b/>
          <w:bCs/>
          <w:color w:val="auto"/>
          <w:sz w:val="30"/>
          <w:szCs w:val="30"/>
          <w:highlight w:val="none"/>
          <w:u w:val="single"/>
        </w:rPr>
        <w:t>          </w:t>
      </w:r>
    </w:p>
    <w:p>
      <w:pPr>
        <w:spacing w:line="360" w:lineRule="auto"/>
        <w:ind w:firstLine="1916"/>
        <w:rPr>
          <w:rFonts w:ascii="宋体" w:hAnsi="宋体" w:eastAsia="宋体"/>
          <w:color w:val="auto"/>
          <w:sz w:val="30"/>
          <w:szCs w:val="30"/>
          <w:highlight w:val="none"/>
        </w:rPr>
      </w:pPr>
      <w:r>
        <w:rPr>
          <w:rFonts w:hint="eastAsia" w:ascii="宋体" w:hAnsi="宋体" w:eastAsia="宋体"/>
          <w:b/>
          <w:bCs/>
          <w:color w:val="auto"/>
          <w:sz w:val="30"/>
          <w:szCs w:val="30"/>
          <w:highlight w:val="none"/>
        </w:rPr>
        <w:t>供应商 ：</w:t>
      </w:r>
      <w:r>
        <w:rPr>
          <w:rFonts w:hint="eastAsia" w:ascii="宋体" w:hAnsi="宋体" w:eastAsia="宋体"/>
          <w:b/>
          <w:bCs/>
          <w:color w:val="auto"/>
          <w:sz w:val="30"/>
          <w:szCs w:val="30"/>
          <w:highlight w:val="none"/>
          <w:u w:val="single"/>
        </w:rPr>
        <w:t>          </w:t>
      </w:r>
    </w:p>
    <w:p>
      <w:pPr>
        <w:spacing w:line="360" w:lineRule="auto"/>
        <w:ind w:firstLine="1916"/>
        <w:rPr>
          <w:rFonts w:ascii="宋体" w:hAnsi="宋体" w:eastAsia="宋体"/>
          <w:color w:val="auto"/>
          <w:sz w:val="30"/>
          <w:szCs w:val="30"/>
          <w:highlight w:val="none"/>
        </w:rPr>
      </w:pPr>
      <w:r>
        <w:rPr>
          <w:rFonts w:hint="eastAsia" w:ascii="宋体" w:hAnsi="宋体" w:eastAsia="宋体"/>
          <w:b/>
          <w:bCs/>
          <w:color w:val="auto"/>
          <w:sz w:val="30"/>
          <w:szCs w:val="30"/>
          <w:highlight w:val="none"/>
        </w:rPr>
        <w:t>签订日期 ：</w:t>
      </w:r>
      <w:r>
        <w:rPr>
          <w:rFonts w:hint="eastAsia" w:ascii="宋体" w:hAnsi="宋体" w:eastAsia="宋体"/>
          <w:b/>
          <w:bCs/>
          <w:color w:val="auto"/>
          <w:sz w:val="30"/>
          <w:szCs w:val="30"/>
          <w:highlight w:val="none"/>
          <w:u w:val="single"/>
        </w:rPr>
        <w:t>          </w:t>
      </w:r>
    </w:p>
    <w:p>
      <w:pPr>
        <w:spacing w:line="360" w:lineRule="auto"/>
        <w:rPr>
          <w:rFonts w:ascii="宋体" w:hAnsi="宋体"/>
          <w:color w:val="auto"/>
          <w:sz w:val="30"/>
          <w:szCs w:val="30"/>
          <w:highlight w:val="none"/>
        </w:rPr>
      </w:pPr>
      <w:r>
        <w:rPr>
          <w:rFonts w:hint="eastAsia" w:ascii="宋体" w:hAnsi="宋体"/>
          <w:color w:val="auto"/>
          <w:sz w:val="30"/>
          <w:szCs w:val="30"/>
          <w:highlight w:val="none"/>
        </w:rPr>
        <w:t>      </w:t>
      </w:r>
    </w:p>
    <w:p>
      <w:pPr>
        <w:spacing w:line="360" w:lineRule="auto"/>
        <w:rPr>
          <w:rFonts w:ascii="宋体" w:hAnsi="宋体"/>
          <w:color w:val="auto"/>
          <w:sz w:val="30"/>
          <w:szCs w:val="30"/>
          <w:highlight w:val="none"/>
        </w:rPr>
      </w:pPr>
    </w:p>
    <w:p>
      <w:pPr>
        <w:jc w:val="center"/>
        <w:rPr>
          <w:rFonts w:ascii="宋体" w:hAnsi="宋体" w:eastAsia="宋体"/>
          <w:b/>
          <w:bCs/>
          <w:color w:val="auto"/>
          <w:w w:val="105"/>
          <w:sz w:val="32"/>
          <w:szCs w:val="32"/>
          <w:highlight w:val="none"/>
        </w:rPr>
      </w:pPr>
      <w:r>
        <w:rPr>
          <w:rFonts w:hint="eastAsia" w:ascii="宋体" w:hAnsi="宋体" w:eastAsia="宋体"/>
          <w:b/>
          <w:bCs/>
          <w:color w:val="auto"/>
          <w:w w:val="105"/>
          <w:sz w:val="32"/>
          <w:szCs w:val="32"/>
          <w:highlight w:val="none"/>
        </w:rPr>
        <w:t>南京市市场监督管理局</w:t>
      </w:r>
    </w:p>
    <w:p>
      <w:pPr>
        <w:jc w:val="center"/>
        <w:rPr>
          <w:rFonts w:ascii="宋体" w:hAnsi="宋体" w:eastAsia="宋体"/>
          <w:b/>
          <w:bCs/>
          <w:color w:val="auto"/>
          <w:w w:val="105"/>
          <w:sz w:val="32"/>
          <w:szCs w:val="32"/>
          <w:highlight w:val="none"/>
        </w:rPr>
      </w:pPr>
    </w:p>
    <w:p>
      <w:pPr>
        <w:jc w:val="center"/>
        <w:rPr>
          <w:rFonts w:ascii="宋体" w:hAnsi="宋体" w:eastAsia="宋体"/>
          <w:b/>
          <w:bCs/>
          <w:color w:val="auto"/>
          <w:w w:val="105"/>
          <w:sz w:val="32"/>
          <w:szCs w:val="32"/>
          <w:highlight w:val="none"/>
        </w:rPr>
      </w:pPr>
      <w:r>
        <w:rPr>
          <w:rFonts w:hint="eastAsia" w:ascii="宋体" w:hAnsi="宋体" w:eastAsia="宋体"/>
          <w:b/>
          <w:bCs/>
          <w:color w:val="auto"/>
          <w:w w:val="105"/>
          <w:sz w:val="32"/>
          <w:szCs w:val="32"/>
          <w:highlight w:val="none"/>
        </w:rPr>
        <w:t>南京市财政局  监制</w:t>
      </w:r>
    </w:p>
    <w:p>
      <w:pPr>
        <w:jc w:val="center"/>
        <w:rPr>
          <w:rFonts w:ascii="宋体" w:hAnsi="宋体" w:eastAsia="宋体"/>
          <w:b/>
          <w:bCs/>
          <w:color w:val="auto"/>
          <w:w w:val="105"/>
          <w:sz w:val="32"/>
          <w:szCs w:val="32"/>
          <w:highlight w:val="none"/>
        </w:rPr>
      </w:pPr>
    </w:p>
    <w:p>
      <w:pPr>
        <w:spacing w:line="360" w:lineRule="auto"/>
        <w:rPr>
          <w:rFonts w:ascii="宋体" w:hAnsi="宋体" w:eastAsia="宋体"/>
          <w:color w:val="auto"/>
          <w:sz w:val="24"/>
          <w:szCs w:val="24"/>
          <w:highlight w:val="none"/>
        </w:rPr>
      </w:pP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合同编号：</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政府采购计划号：</w:t>
      </w:r>
    </w:p>
    <w:tbl>
      <w:tblPr>
        <w:tblStyle w:val="28"/>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tcPr>
          <w:p>
            <w:pPr>
              <w:autoSpaceDE w:val="0"/>
              <w:autoSpaceDN w:val="0"/>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采购人：（以下称甲方）</w:t>
            </w:r>
          </w:p>
        </w:tc>
        <w:tc>
          <w:tcPr>
            <w:tcW w:w="4643" w:type="dxa"/>
            <w:tcBorders>
              <w:top w:val="nil"/>
              <w:left w:val="nil"/>
              <w:bottom w:val="nil"/>
              <w:right w:val="nil"/>
            </w:tcBorders>
            <w:noWrap/>
          </w:tcPr>
          <w:p>
            <w:pPr>
              <w:autoSpaceDE w:val="0"/>
              <w:autoSpaceDN w:val="0"/>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noWrap/>
          </w:tcPr>
          <w:p>
            <w:pPr>
              <w:autoSpaceDE w:val="0"/>
              <w:autoSpaceDN w:val="0"/>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p>
        </w:tc>
        <w:tc>
          <w:tcPr>
            <w:tcW w:w="4643" w:type="dxa"/>
            <w:tcBorders>
              <w:top w:val="nil"/>
              <w:left w:val="nil"/>
              <w:bottom w:val="nil"/>
              <w:right w:val="nil"/>
            </w:tcBorders>
            <w:noWrap/>
          </w:tcPr>
          <w:p>
            <w:pPr>
              <w:autoSpaceDE w:val="0"/>
              <w:autoSpaceDN w:val="0"/>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p>
        </w:tc>
      </w:tr>
    </w:tbl>
    <w:p>
      <w:pPr>
        <w:autoSpaceDE w:val="0"/>
        <w:autoSpaceDN w:val="0"/>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根据《中华人民共和国政府采购法》、《中华人民共和国合同法》等法律法规的规定，甲乙双方按照采购代理机构的竞争性磋商结果签订本合同。</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第一条 合同标的</w:t>
      </w:r>
    </w:p>
    <w:p>
      <w:pPr>
        <w:autoSpaceDE w:val="0"/>
        <w:autoSpaceDN w:val="0"/>
        <w:adjustRightInd w:val="0"/>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1、乙方根据甲方需求提供下列服务：。</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2、具体服务执行要求详见乙方响应文件。</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第二条 合同总价款</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1、本合同项下服务单价为___________（大写）元/人次，分项价款在乙方“分项报价表”中有明确规定。</w:t>
      </w:r>
    </w:p>
    <w:p>
      <w:pPr>
        <w:spacing w:line="360"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szCs w:val="24"/>
          <w:highlight w:val="none"/>
        </w:rPr>
        <w:t>2、本合同总价款是完成本项目所发生的所有含税费用、支付给员工的工资和国家强制缴纳的各种社会保障资金</w:t>
      </w:r>
      <w:r>
        <w:rPr>
          <w:rFonts w:hint="eastAsia" w:ascii="宋体" w:hAnsi="宋体" w:eastAsia="宋体"/>
          <w:bCs/>
          <w:color w:val="auto"/>
          <w:sz w:val="24"/>
          <w:szCs w:val="24"/>
          <w:highlight w:val="none"/>
        </w:rPr>
        <w:t>，以</w:t>
      </w:r>
      <w:r>
        <w:rPr>
          <w:rFonts w:hint="eastAsia" w:ascii="宋体" w:hAnsi="宋体" w:eastAsia="宋体"/>
          <w:color w:val="auto"/>
          <w:sz w:val="24"/>
          <w:szCs w:val="24"/>
          <w:highlight w:val="none"/>
        </w:rPr>
        <w:t>及乙方认为需要的其他费用等。</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3、本合同执行期间以总价款390万元为上限按实结算，合同期限一年，如在合同服务期内检测服务收费达到政府采购审批金额390万元，则</w:t>
      </w:r>
      <w:r>
        <w:rPr>
          <w:rFonts w:hint="eastAsia" w:ascii="宋体" w:hAnsi="宋体" w:eastAsia="宋体"/>
          <w:color w:val="auto"/>
          <w:sz w:val="24"/>
          <w:szCs w:val="24"/>
          <w:highlight w:val="none"/>
          <w:lang w:val="en-US" w:eastAsia="zh-CN"/>
        </w:rPr>
        <w:t>合同终止</w:t>
      </w:r>
      <w:r>
        <w:rPr>
          <w:rFonts w:hint="eastAsia" w:ascii="宋体" w:hAnsi="宋体" w:eastAsia="宋体"/>
          <w:color w:val="auto"/>
          <w:sz w:val="24"/>
          <w:szCs w:val="24"/>
          <w:highlight w:val="none"/>
        </w:rPr>
        <w:t>。</w:t>
      </w:r>
    </w:p>
    <w:p>
      <w:pPr>
        <w:autoSpaceDE w:val="0"/>
        <w:autoSpaceDN w:val="0"/>
        <w:adjustRightInd w:val="0"/>
        <w:spacing w:line="360" w:lineRule="auto"/>
        <w:ind w:firstLine="482" w:firstLineChars="200"/>
        <w:rPr>
          <w:rFonts w:ascii="宋体" w:hAnsi="宋体" w:eastAsia="宋体"/>
          <w:color w:val="auto"/>
          <w:sz w:val="24"/>
          <w:szCs w:val="24"/>
          <w:highlight w:val="none"/>
        </w:rPr>
      </w:pPr>
      <w:r>
        <w:rPr>
          <w:rFonts w:hint="eastAsia" w:ascii="宋体" w:hAnsi="宋体" w:eastAsia="宋体"/>
          <w:b/>
          <w:bCs/>
          <w:color w:val="auto"/>
          <w:sz w:val="24"/>
          <w:szCs w:val="24"/>
          <w:highlight w:val="none"/>
        </w:rPr>
        <w:t>第三条 组成本合同的有关文件</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竞争性磋商文件、供应商响应文件，或与本次采购活动方式相适应的文件，以及有关附件是本合同不可分割的组成部分，与本合同具有同等法律效力，这些文件包括但不限于：</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1、乙方提供的响应文件和报价表；</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3、磋商承诺/服务承诺；</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4、成交通知书；</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5、甲乙双方商定的其他文件等。</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第四条 权利保证</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第五条 质量保证</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乙方所提供的服务的技术规格应与采购文件规定的技术规格及响应文件所附的“技术条款偏离表”相一致；若技术性能无特殊说明，则按国家有关部门最新颁布的标准及规范为准。</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第六条 交付和验收</w:t>
      </w:r>
    </w:p>
    <w:p>
      <w:pPr>
        <w:autoSpaceDE w:val="0"/>
        <w:autoSpaceDN w:val="0"/>
        <w:adjustRightInd w:val="0"/>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1、乙方应当在</w:t>
      </w:r>
      <w:r>
        <w:rPr>
          <w:rFonts w:hint="eastAsia" w:ascii="宋体" w:hAnsi="宋体" w:eastAsia="宋体"/>
          <w:bCs/>
          <w:color w:val="auto"/>
          <w:sz w:val="24"/>
          <w:szCs w:val="24"/>
          <w:highlight w:val="none"/>
        </w:rPr>
        <w:t>合同签订后天内</w:t>
      </w:r>
      <w:r>
        <w:rPr>
          <w:rFonts w:hint="eastAsia" w:ascii="宋体" w:hAnsi="宋体" w:eastAsia="宋体"/>
          <w:color w:val="auto"/>
          <w:sz w:val="24"/>
          <w:szCs w:val="24"/>
          <w:highlight w:val="none"/>
        </w:rPr>
        <w:t>完成服务事项。</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2、验收标准：按行业通行标准和乙方响应文件的承诺（不低于国家相关标准）。</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第七条 履约保证金</w:t>
      </w:r>
    </w:p>
    <w:p>
      <w:pPr>
        <w:autoSpaceDE w:val="0"/>
        <w:autoSpaceDN w:val="0"/>
        <w:adjustRightInd w:val="0"/>
        <w:spacing w:line="360" w:lineRule="auto"/>
        <w:ind w:firstLine="480" w:firstLineChars="200"/>
        <w:rPr>
          <w:rFonts w:ascii="宋体" w:hAnsi="宋体" w:eastAsia="宋体"/>
          <w:i/>
          <w:iCs/>
          <w:color w:val="auto"/>
          <w:sz w:val="24"/>
          <w:szCs w:val="24"/>
          <w:highlight w:val="none"/>
        </w:rPr>
      </w:pPr>
      <w:r>
        <w:rPr>
          <w:rFonts w:hint="eastAsia" w:ascii="宋体" w:hAnsi="宋体" w:eastAsia="宋体"/>
          <w:color w:val="auto"/>
          <w:sz w:val="24"/>
          <w:szCs w:val="24"/>
          <w:highlight w:val="none"/>
        </w:rPr>
        <w:t>1、无。</w:t>
      </w:r>
    </w:p>
    <w:p>
      <w:pPr>
        <w:autoSpaceDE w:val="0"/>
        <w:autoSpaceDN w:val="0"/>
        <w:adjustRightInd w:val="0"/>
        <w:spacing w:line="360" w:lineRule="auto"/>
        <w:ind w:firstLine="482" w:firstLineChars="200"/>
        <w:rPr>
          <w:rFonts w:ascii="宋体" w:hAnsi="宋体" w:eastAsia="宋体"/>
          <w:b/>
          <w:bCs/>
          <w:i/>
          <w:iCs/>
          <w:color w:val="auto"/>
          <w:sz w:val="24"/>
          <w:szCs w:val="24"/>
          <w:highlight w:val="none"/>
        </w:rPr>
      </w:pPr>
      <w:r>
        <w:rPr>
          <w:rFonts w:hint="eastAsia" w:ascii="宋体" w:hAnsi="宋体" w:eastAsia="宋体"/>
          <w:b/>
          <w:bCs/>
          <w:color w:val="auto"/>
          <w:sz w:val="24"/>
          <w:szCs w:val="24"/>
          <w:highlight w:val="none"/>
        </w:rPr>
        <w:t>第八条 合同款支付</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pPr>
        <w:autoSpaceDE w:val="0"/>
        <w:autoSpaceDN w:val="0"/>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2、本合同项下的采购资金由国库集中支付或甲方自行支付，乙方向甲方开具发票。</w:t>
      </w:r>
    </w:p>
    <w:p>
      <w:pPr>
        <w:autoSpaceDE w:val="0"/>
        <w:autoSpaceDN w:val="0"/>
        <w:adjustRightIn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3、付款条件：</w:t>
      </w:r>
    </w:p>
    <w:p>
      <w:pPr>
        <w:autoSpaceDE w:val="0"/>
        <w:autoSpaceDN w:val="0"/>
        <w:adjustRightInd w:val="0"/>
        <w:spacing w:line="360" w:lineRule="auto"/>
        <w:ind w:firstLine="482" w:firstLineChars="20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（一）自合同签订后每月结算一次，采购人向成交供应商支付本月已完成检测费金额的60%；</w:t>
      </w:r>
    </w:p>
    <w:p>
      <w:pPr>
        <w:autoSpaceDE w:val="0"/>
        <w:autoSpaceDN w:val="0"/>
        <w:adjustRightInd w:val="0"/>
        <w:spacing w:line="360" w:lineRule="auto"/>
        <w:ind w:firstLine="482" w:firstLineChars="20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（二）项目履行6个月后，采购人向成交供应商支付前6个月的检测费余额。以此类推直至合同结束一次性付清。 </w:t>
      </w:r>
    </w:p>
    <w:p>
      <w:pPr>
        <w:autoSpaceDE w:val="0"/>
        <w:autoSpaceDN w:val="0"/>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第九条 违约责任</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1、甲方无正当理由拒收服务、拒付服务款的，甲方向乙方偿付合同总价的5%违约金。</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2、甲方未按合同规定的期限向乙方支付货款的，每逾期1天甲方向乙方偿付欠款总额的5‰滞纳金，但累计滞纳金总额不超过欠款总额的5%。</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3、如乙方不能交付服务的，乙方应向甲方支付合同总价5%的违约金。</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4、乙方逾期交付的，每逾期1天，乙方向甲方偿付合同总额的5‰的滞纳金。如乙方逾期交付达10天，甲方有权解除合同，解除合同的通知自到达乙方时生效。</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5、乙方所交付的服务不符合合同规定的，甲方有权拒收。甲方拒收的，乙方应向甲方支付合同总款5%的违约金。甲方未拒收的，采购代理机构发现后将向有关部门反映，并责成乙方按照采购结果提供服务。</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6、在乙方承诺的或国家规定的质量保证期内（取两者中最长的期限），如经乙方两次整改仍不能达到合同约定的质量标准，乙方应退回全部合同价款，并按第3款处理，同时，乙方还须赔偿甲方因此遭受的损失。</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7、乙方未按本合同的规定和“服务承诺”提供伴随服务/售后服务的，应按合同总价款的5%向甲方承担违约责任。</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8、乙方在承担上述4-7款一项或多项违约责任后，仍应继续履行合同规定的义务（甲方解除合同的除外）。甲方未能及时追究乙方的任何一项违约责任并不表明甲方放弃追究乙方该项或其他违约责任。</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9、乙方响应属虚假承诺，或经权威部门监测提供的服务不能满足竞争性磋商文件要求，或是由于乙方的过错造成合同无法继续履行的，乙方应向甲方支付不少于合同总价30%赔偿金。</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第十条 项目履约验收</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pPr>
        <w:adjustRightInd w:val="0"/>
        <w:spacing w:line="360" w:lineRule="auto"/>
        <w:ind w:firstLine="480" w:firstLineChars="200"/>
        <w:rPr>
          <w:rFonts w:ascii="宋体" w:hAnsi="宋体" w:eastAsia="宋体"/>
          <w:b/>
          <w:bCs/>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第十一条 合同的变更和终止</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1、除《政府采购法》第50条第二款规定的情形外，本合同一经签订，甲乙双方不得擅自变更、中止或终止合同。</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第十二条 合同的转让</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第十三条 争议的解决</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如没有约定，默认采取第2种方式解决争议。</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第十四条 诚实信用 </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乙方应诚实信用，严格按照采购文件要求和服务承诺履行合同，不向甲方进行商业贿赂或者提供不正当利益。</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第十五条 合同生效及其他</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2、本合同一式伍份，甲乙双方各执贰份，壹份交采购代理机构存档备案。</w:t>
      </w:r>
    </w:p>
    <w:p>
      <w:pPr>
        <w:adjustRightIn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pPr>
        <w:adjustRightInd w:val="0"/>
        <w:spacing w:line="360" w:lineRule="auto"/>
        <w:rPr>
          <w:rFonts w:ascii="宋体" w:hAnsi="宋体" w:eastAsia="宋体"/>
          <w:color w:val="auto"/>
          <w:sz w:val="24"/>
          <w:szCs w:val="24"/>
          <w:highlight w:val="none"/>
        </w:rPr>
      </w:pPr>
    </w:p>
    <w:tbl>
      <w:tblPr>
        <w:tblStyle w:val="28"/>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乙方（供应商）：（盖章）</w:t>
            </w:r>
          </w:p>
        </w:tc>
      </w:tr>
      <w:tr>
        <w:tblPrEx>
          <w:tblCellMar>
            <w:top w:w="0" w:type="dxa"/>
            <w:left w:w="0" w:type="dxa"/>
            <w:bottom w:w="0" w:type="dxa"/>
            <w:right w:w="0" w:type="dxa"/>
          </w:tblCellMar>
        </w:tblPrEx>
        <w:trPr>
          <w:trHeight w:val="460" w:hRule="atLeast"/>
        </w:trPr>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法定</w:t>
            </w: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lang w:val="en-US" w:eastAsia="zh-CN"/>
              </w:rPr>
              <w:t>或委托代理人</w:t>
            </w:r>
            <w:r>
              <w:rPr>
                <w:rFonts w:hint="eastAsia" w:ascii="宋体" w:hAnsi="宋体" w:eastAsia="宋体"/>
                <w:color w:val="auto"/>
                <w:sz w:val="24"/>
                <w:szCs w:val="24"/>
                <w:highlight w:val="none"/>
              </w:rPr>
              <w:t>：</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法定</w:t>
            </w: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lang w:val="en-US" w:eastAsia="zh-CN"/>
              </w:rPr>
              <w:t>或委托代理人</w:t>
            </w:r>
            <w:r>
              <w:rPr>
                <w:rFonts w:hint="eastAsia" w:ascii="宋体" w:hAnsi="宋体" w:eastAsia="宋体"/>
                <w:color w:val="auto"/>
                <w:sz w:val="24"/>
                <w:szCs w:val="24"/>
                <w:highlight w:val="none"/>
              </w:rPr>
              <w:t>：</w:t>
            </w:r>
          </w:p>
        </w:tc>
      </w:tr>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r>
      <w:tr>
        <w:trPr>
          <w:trHeight w:val="460" w:hRule="atLeast"/>
        </w:trPr>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p>
        </w:tc>
      </w:tr>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r>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日期：     年    月    日</w:t>
            </w:r>
          </w:p>
        </w:tc>
        <w:tc>
          <w:tcPr>
            <w:tcW w:w="4643" w:type="dxa"/>
            <w:tcBorders>
              <w:top w:val="nil"/>
              <w:left w:val="nil"/>
              <w:bottom w:val="nil"/>
              <w:right w:val="nil"/>
            </w:tcBorders>
            <w:noWrap/>
          </w:tcPr>
          <w:p>
            <w:pPr>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日期：     年    月    日</w:t>
            </w:r>
          </w:p>
        </w:tc>
      </w:tr>
    </w:tbl>
    <w:p>
      <w:pPr>
        <w:rPr>
          <w:color w:val="auto"/>
          <w:highlight w:val="none"/>
        </w:rPr>
      </w:pPr>
      <w:r>
        <w:rPr>
          <w:rFonts w:hint="eastAsia" w:ascii="宋体" w:hAnsi="宋体" w:eastAsia="宋体" w:cs="宋体"/>
          <w:b/>
          <w:bCs/>
          <w:color w:val="auto"/>
          <w:sz w:val="32"/>
          <w:szCs w:val="32"/>
          <w:highlight w:val="none"/>
        </w:rPr>
        <w:br w:type="page"/>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第六章响应文件格式</w:t>
      </w:r>
      <w:bookmarkEnd w:id="12"/>
    </w:p>
    <w:p>
      <w:pPr>
        <w:spacing w:line="360" w:lineRule="auto"/>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正本（副本）</w:t>
      </w:r>
    </w:p>
    <w:p>
      <w:pPr>
        <w:spacing w:line="360" w:lineRule="auto"/>
        <w:jc w:val="both"/>
        <w:rPr>
          <w:rFonts w:ascii="黑体" w:hAnsi="宋体" w:eastAsia="黑体"/>
          <w:bCs/>
          <w:color w:val="auto"/>
          <w:sz w:val="36"/>
          <w:szCs w:val="36"/>
          <w:highlight w:val="none"/>
        </w:rPr>
      </w:pPr>
    </w:p>
    <w:p>
      <w:pPr>
        <w:spacing w:line="360" w:lineRule="auto"/>
        <w:ind w:left="660" w:leftChars="300" w:right="660" w:rightChars="300"/>
        <w:jc w:val="center"/>
        <w:rPr>
          <w:rFonts w:hint="eastAsia" w:ascii="黑体" w:hAnsi="宋体" w:eastAsia="黑体"/>
          <w:bCs/>
          <w:color w:val="auto"/>
          <w:sz w:val="32"/>
          <w:szCs w:val="32"/>
          <w:highlight w:val="none"/>
          <w:lang w:eastAsia="zh-CN"/>
        </w:rPr>
      </w:pPr>
      <w:r>
        <w:rPr>
          <w:rFonts w:hint="eastAsia" w:ascii="黑体" w:hAnsi="宋体" w:eastAsia="黑体"/>
          <w:bCs/>
          <w:color w:val="auto"/>
          <w:sz w:val="36"/>
          <w:szCs w:val="36"/>
          <w:highlight w:val="none"/>
          <w:lang w:eastAsia="zh-CN"/>
        </w:rPr>
        <w:t>高淳区常态化疫情防控核酸检测项目</w:t>
      </w: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pStyle w:val="2"/>
        <w:rPr>
          <w:color w:val="auto"/>
          <w:highlight w:val="none"/>
        </w:rPr>
      </w:pPr>
    </w:p>
    <w:p>
      <w:pPr>
        <w:jc w:val="center"/>
        <w:rPr>
          <w:rFonts w:ascii="黑体" w:hAnsi="宋体" w:eastAsia="黑体"/>
          <w:color w:val="auto"/>
          <w:sz w:val="32"/>
          <w:szCs w:val="32"/>
          <w:highlight w:val="none"/>
        </w:rPr>
      </w:pPr>
      <w:r>
        <w:rPr>
          <w:rFonts w:hint="eastAsia" w:ascii="黑体" w:hAnsi="宋体" w:eastAsia="黑体"/>
          <w:color w:val="auto"/>
          <w:sz w:val="72"/>
          <w:szCs w:val="72"/>
          <w:highlight w:val="none"/>
        </w:rPr>
        <w:t>响应文件</w:t>
      </w: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ind w:firstLine="1280" w:firstLineChars="400"/>
        <w:rPr>
          <w:rFonts w:hint="eastAsia" w:ascii="黑体" w:hAnsi="宋体" w:eastAsia="黑体"/>
          <w:bCs/>
          <w:color w:val="auto"/>
          <w:sz w:val="32"/>
          <w:szCs w:val="32"/>
          <w:highlight w:val="none"/>
          <w:u w:val="none"/>
          <w:lang w:val="en-US" w:eastAsia="zh-CN"/>
        </w:rPr>
      </w:pPr>
      <w:r>
        <w:rPr>
          <w:rFonts w:hint="eastAsia" w:ascii="黑体" w:hAnsi="宋体" w:eastAsia="黑体"/>
          <w:color w:val="auto"/>
          <w:sz w:val="32"/>
          <w:szCs w:val="32"/>
          <w:highlight w:val="none"/>
          <w:lang w:eastAsia="zh-CN"/>
        </w:rPr>
        <w:t>项目</w:t>
      </w:r>
      <w:r>
        <w:rPr>
          <w:rFonts w:hint="eastAsia" w:ascii="黑体" w:hAnsi="宋体" w:eastAsia="黑体"/>
          <w:color w:val="auto"/>
          <w:sz w:val="32"/>
          <w:szCs w:val="32"/>
          <w:highlight w:val="none"/>
        </w:rPr>
        <w:t>编号：</w:t>
      </w:r>
      <w:r>
        <w:rPr>
          <w:rFonts w:hint="eastAsia" w:ascii="黑体" w:hAnsi="宋体" w:eastAsia="黑体"/>
          <w:color w:val="auto"/>
          <w:sz w:val="32"/>
          <w:szCs w:val="32"/>
          <w:highlight w:val="none"/>
          <w:u w:val="single"/>
          <w:lang w:val="en-US" w:eastAsia="zh-CN"/>
        </w:rPr>
        <w:t xml:space="preserve">                     </w:t>
      </w:r>
      <w:r>
        <w:rPr>
          <w:rFonts w:hint="eastAsia" w:ascii="黑体" w:hAnsi="宋体" w:eastAsia="黑体"/>
          <w:bCs/>
          <w:color w:val="auto"/>
          <w:sz w:val="32"/>
          <w:szCs w:val="32"/>
          <w:highlight w:val="none"/>
          <w:u w:val="none"/>
          <w:lang w:val="en-US" w:eastAsia="zh-CN"/>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供 应 商：</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（单位公章）</w:t>
      </w:r>
    </w:p>
    <w:p>
      <w:pPr>
        <w:spacing w:line="360" w:lineRule="auto"/>
        <w:ind w:firstLine="1280" w:firstLineChars="400"/>
        <w:rPr>
          <w:rFonts w:ascii="黑体" w:hAnsi="宋体" w:eastAsia="黑体"/>
          <w:bCs/>
          <w:color w:val="auto"/>
          <w:sz w:val="32"/>
          <w:szCs w:val="32"/>
          <w:highlight w:val="none"/>
        </w:rPr>
      </w:pPr>
      <w:r>
        <w:rPr>
          <w:rFonts w:hint="eastAsia" w:ascii="黑体" w:hAnsi="宋体" w:eastAsia="黑体"/>
          <w:color w:val="auto"/>
          <w:sz w:val="32"/>
          <w:szCs w:val="32"/>
          <w:highlight w:val="none"/>
        </w:rPr>
        <w:t>联</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系</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人：</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联系方式：</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单位地址：</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3200" w:firstLineChars="1000"/>
        <w:rPr>
          <w:rFonts w:ascii="黑体" w:hAnsi="仿宋_GB2312" w:eastAsia="黑体" w:cs="仿宋_GB2312"/>
          <w:color w:val="auto"/>
          <w:sz w:val="32"/>
          <w:szCs w:val="32"/>
          <w:highlight w:val="none"/>
          <w:u w:val="single"/>
        </w:rPr>
      </w:pP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日</w:t>
      </w:r>
    </w:p>
    <w:p>
      <w:pPr>
        <w:numPr>
          <w:ilvl w:val="0"/>
          <w:numId w:val="4"/>
        </w:numPr>
        <w:spacing w:line="360" w:lineRule="auto"/>
        <w:jc w:val="center"/>
        <w:rPr>
          <w:rFonts w:ascii="宋体" w:hAnsi="宋体" w:eastAsia="宋体" w:cs="宋体"/>
          <w:b/>
          <w:bCs/>
          <w:color w:val="auto"/>
          <w:sz w:val="32"/>
          <w:szCs w:val="32"/>
          <w:highlight w:val="none"/>
        </w:rPr>
      </w:pPr>
      <w:r>
        <w:rPr>
          <w:rFonts w:ascii="仿宋_GB2312" w:eastAsia="仿宋_GB2312"/>
          <w:color w:val="auto"/>
          <w:sz w:val="24"/>
          <w:highlight w:val="none"/>
        </w:rPr>
        <w:br w:type="page"/>
      </w:r>
    </w:p>
    <w:p>
      <w:pPr>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评分索引表（可按需调整）</w:t>
      </w:r>
    </w:p>
    <w:tbl>
      <w:tblPr>
        <w:tblStyle w:val="28"/>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noWrap/>
            <w:vAlign w:val="center"/>
          </w:tcPr>
          <w:p>
            <w:pPr>
              <w:pStyle w:val="68"/>
              <w:shd w:val="clear" w:color="auto" w:fill="FFFFFF"/>
              <w:spacing w:before="120" w:after="120" w:line="265" w:lineRule="atLeast"/>
              <w:jc w:val="center"/>
              <w:rPr>
                <w:rFonts w:ascii="宋体" w:hAnsi="宋体" w:eastAsia="宋体"/>
                <w:b/>
                <w:bCs/>
                <w:color w:val="auto"/>
                <w:highlight w:val="none"/>
                <w:lang w:eastAsia="zh-CN"/>
              </w:rPr>
            </w:pPr>
            <w:r>
              <w:rPr>
                <w:rFonts w:hint="eastAsia" w:ascii="宋体" w:hAnsi="宋体" w:eastAsia="宋体"/>
                <w:b/>
                <w:color w:val="auto"/>
                <w:highlight w:val="none"/>
                <w:lang w:eastAsia="zh-CN"/>
              </w:rPr>
              <w:t>评分项目</w:t>
            </w:r>
          </w:p>
        </w:tc>
        <w:tc>
          <w:tcPr>
            <w:tcW w:w="3570" w:type="dxa"/>
            <w:noWrap/>
            <w:vAlign w:val="center"/>
          </w:tcPr>
          <w:p>
            <w:pPr>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noWrap/>
            <w:vAlign w:val="center"/>
          </w:tcPr>
          <w:p>
            <w:pPr>
              <w:pStyle w:val="68"/>
              <w:shd w:val="clear" w:color="auto" w:fill="FFFFFF"/>
              <w:spacing w:before="120" w:after="120" w:line="265" w:lineRule="atLeast"/>
              <w:ind w:left="1442" w:firstLine="422"/>
              <w:jc w:val="center"/>
              <w:rPr>
                <w:rFonts w:ascii="宋体" w:hAnsi="宋体" w:eastAsia="宋体"/>
                <w:b/>
                <w:color w:val="auto"/>
                <w:highlight w:val="none"/>
                <w:lang w:eastAsia="zh-CN"/>
              </w:rPr>
            </w:pPr>
          </w:p>
        </w:tc>
        <w:tc>
          <w:tcPr>
            <w:tcW w:w="3570" w:type="dxa"/>
            <w:noWrap/>
            <w:vAlign w:val="center"/>
          </w:tcPr>
          <w:p>
            <w:pPr>
              <w:jc w:val="center"/>
              <w:rPr>
                <w:rFonts w:ascii="宋体" w:hAnsi="宋体" w:eastAsia="宋体"/>
                <w:b/>
                <w:color w:val="auto"/>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670" w:type="dxa"/>
            <w:noWrap/>
            <w:vAlign w:val="center"/>
          </w:tcPr>
          <w:p>
            <w:pPr>
              <w:pStyle w:val="68"/>
              <w:shd w:val="clear" w:color="auto" w:fill="FFFFFF"/>
              <w:spacing w:before="120" w:after="120" w:line="265" w:lineRule="atLeast"/>
              <w:ind w:left="1442" w:firstLine="422"/>
              <w:jc w:val="center"/>
              <w:rPr>
                <w:rFonts w:ascii="宋体" w:hAnsi="宋体" w:eastAsia="宋体"/>
                <w:b/>
                <w:bCs/>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noWrap/>
            <w:vAlign w:val="center"/>
          </w:tcPr>
          <w:p>
            <w:pPr>
              <w:pStyle w:val="68"/>
              <w:shd w:val="clear" w:color="auto" w:fill="FFFFFF"/>
              <w:spacing w:before="120" w:after="120" w:line="265" w:lineRule="atLeast"/>
              <w:ind w:left="1440" w:firstLine="420"/>
              <w:jc w:val="center"/>
              <w:rPr>
                <w:rFonts w:ascii="宋体" w:hAnsi="宋体" w:eastAsia="宋体"/>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670" w:type="dxa"/>
            <w:noWrap/>
            <w:vAlign w:val="center"/>
          </w:tcPr>
          <w:p>
            <w:pPr>
              <w:pStyle w:val="68"/>
              <w:shd w:val="clear" w:color="auto" w:fill="FFFFFF"/>
              <w:spacing w:before="120" w:after="120" w:line="265" w:lineRule="atLeast"/>
              <w:ind w:left="1442" w:firstLine="422"/>
              <w:jc w:val="center"/>
              <w:rPr>
                <w:rFonts w:ascii="宋体" w:hAnsi="宋体" w:eastAsia="宋体"/>
                <w:b/>
                <w:bCs/>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670" w:type="dxa"/>
            <w:noWrap/>
            <w:vAlign w:val="center"/>
          </w:tcPr>
          <w:p>
            <w:pPr>
              <w:pStyle w:val="68"/>
              <w:shd w:val="clear" w:color="auto" w:fill="FFFFFF"/>
              <w:spacing w:before="120" w:after="120" w:line="265" w:lineRule="atLeast"/>
              <w:ind w:left="1442" w:firstLine="422"/>
              <w:jc w:val="center"/>
              <w:rPr>
                <w:rFonts w:ascii="宋体" w:hAnsi="宋体" w:eastAsia="宋体"/>
                <w:b/>
                <w:bCs/>
                <w:color w:val="auto"/>
                <w:highlight w:val="none"/>
                <w:lang w:eastAsia="zh-CN"/>
              </w:rPr>
            </w:pPr>
          </w:p>
        </w:tc>
        <w:tc>
          <w:tcPr>
            <w:tcW w:w="3570" w:type="dxa"/>
            <w:noWrap/>
            <w:vAlign w:val="center"/>
          </w:tcPr>
          <w:p>
            <w:pPr>
              <w:jc w:val="center"/>
              <w:rPr>
                <w:rFonts w:ascii="宋体" w:hAnsi="宋体" w:eastAsia="宋体"/>
                <w:color w:val="auto"/>
                <w:sz w:val="24"/>
                <w:szCs w:val="24"/>
                <w:highlight w:val="none"/>
              </w:rPr>
            </w:pPr>
          </w:p>
        </w:tc>
      </w:tr>
    </w:tbl>
    <w:p>
      <w:pPr>
        <w:spacing w:line="360" w:lineRule="auto"/>
        <w:rPr>
          <w:rFonts w:ascii="黑体" w:hAnsi="宋体" w:eastAsia="黑体"/>
          <w:color w:val="auto"/>
          <w:sz w:val="32"/>
          <w:szCs w:val="32"/>
          <w:highlight w:val="none"/>
        </w:rPr>
      </w:pPr>
    </w:p>
    <w:p>
      <w:pPr>
        <w:spacing w:line="360" w:lineRule="auto"/>
        <w:rPr>
          <w:rFonts w:ascii="黑体" w:hAnsi="宋体" w:eastAsia="黑体"/>
          <w:color w:val="auto"/>
          <w:sz w:val="32"/>
          <w:szCs w:val="32"/>
          <w:highlight w:val="none"/>
        </w:rPr>
      </w:pPr>
    </w:p>
    <w:p>
      <w:pPr>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注：各投标人可根据企业自身实际情况以及对招标公告文件的响应程度进行编制响应文件，其中商务、技术、价格部分可编制在一份响应文件中，也可单独装订成册。</w:t>
      </w:r>
    </w:p>
    <w:p>
      <w:pPr>
        <w:spacing w:line="360" w:lineRule="auto"/>
        <w:rPr>
          <w:rFonts w:ascii="宋体" w:hAnsi="宋体" w:eastAsia="宋体"/>
          <w:color w:val="auto"/>
          <w:sz w:val="24"/>
          <w:szCs w:val="24"/>
          <w:highlight w:val="none"/>
        </w:rPr>
      </w:pPr>
    </w:p>
    <w:p>
      <w:pPr>
        <w:spacing w:line="360" w:lineRule="auto"/>
        <w:jc w:val="right"/>
        <w:rPr>
          <w:rFonts w:ascii="黑体" w:hAnsi="宋体" w:eastAsia="黑体"/>
          <w:color w:val="auto"/>
          <w:sz w:val="32"/>
          <w:szCs w:val="32"/>
          <w:highlight w:val="none"/>
        </w:rPr>
      </w:pPr>
    </w:p>
    <w:p>
      <w:pPr>
        <w:spacing w:line="360" w:lineRule="auto"/>
        <w:jc w:val="right"/>
        <w:rPr>
          <w:rFonts w:ascii="黑体" w:hAnsi="宋体" w:eastAsia="黑体"/>
          <w:color w:val="auto"/>
          <w:sz w:val="32"/>
          <w:szCs w:val="32"/>
          <w:highlight w:val="none"/>
        </w:rPr>
      </w:pPr>
    </w:p>
    <w:p>
      <w:pPr>
        <w:spacing w:line="360" w:lineRule="auto"/>
        <w:jc w:val="both"/>
        <w:rPr>
          <w:rFonts w:ascii="黑体" w:hAnsi="宋体"/>
          <w:bCs/>
          <w:color w:val="auto"/>
          <w:sz w:val="36"/>
          <w:szCs w:val="36"/>
          <w:highlight w:val="none"/>
        </w:rPr>
      </w:pPr>
    </w:p>
    <w:p>
      <w:pPr>
        <w:spacing w:line="360" w:lineRule="auto"/>
        <w:ind w:left="660" w:leftChars="300" w:right="660" w:rightChars="300"/>
        <w:jc w:val="center"/>
        <w:rPr>
          <w:rFonts w:hint="eastAsia" w:ascii="黑体" w:hAnsi="宋体" w:eastAsia="黑体"/>
          <w:bCs/>
          <w:color w:val="auto"/>
          <w:sz w:val="32"/>
          <w:szCs w:val="32"/>
          <w:highlight w:val="none"/>
          <w:lang w:eastAsia="zh-CN"/>
        </w:rPr>
      </w:pPr>
      <w:r>
        <w:rPr>
          <w:rFonts w:hint="eastAsia" w:ascii="黑体" w:hAnsi="宋体" w:eastAsia="黑体"/>
          <w:bCs/>
          <w:color w:val="auto"/>
          <w:sz w:val="36"/>
          <w:szCs w:val="36"/>
          <w:highlight w:val="none"/>
          <w:lang w:eastAsia="zh-CN"/>
        </w:rPr>
        <w:t>高淳区常态化疫情防控核酸检测项目</w:t>
      </w: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商务部分</w:t>
      </w:r>
    </w:p>
    <w:p>
      <w:pPr>
        <w:jc w:val="center"/>
        <w:rPr>
          <w:rFonts w:ascii="黑体" w:hAnsi="宋体" w:eastAsia="黑体"/>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rPr>
          <w:rFonts w:ascii="黑体" w:hAnsi="宋体" w:eastAsia="黑体"/>
          <w:bCs/>
          <w:color w:val="auto"/>
          <w:sz w:val="32"/>
          <w:szCs w:val="32"/>
          <w:highlight w:val="none"/>
        </w:rPr>
      </w:pPr>
    </w:p>
    <w:p>
      <w:pPr>
        <w:spacing w:line="360" w:lineRule="auto"/>
        <w:rPr>
          <w:rFonts w:ascii="黑体" w:hAnsi="宋体" w:eastAsia="黑体"/>
          <w:bCs/>
          <w:color w:val="auto"/>
          <w:sz w:val="32"/>
          <w:szCs w:val="32"/>
          <w:highlight w:val="none"/>
        </w:rPr>
      </w:pPr>
    </w:p>
    <w:p>
      <w:pPr>
        <w:spacing w:line="360" w:lineRule="auto"/>
        <w:ind w:firstLine="1280" w:firstLineChars="400"/>
        <w:rPr>
          <w:rFonts w:hint="eastAsia" w:ascii="黑体" w:hAnsi="宋体" w:eastAsia="黑体"/>
          <w:bCs/>
          <w:color w:val="auto"/>
          <w:sz w:val="32"/>
          <w:szCs w:val="32"/>
          <w:highlight w:val="none"/>
          <w:u w:val="none"/>
          <w:lang w:val="en-US" w:eastAsia="zh-CN"/>
        </w:rPr>
      </w:pPr>
      <w:r>
        <w:rPr>
          <w:rFonts w:hint="eastAsia" w:ascii="黑体" w:hAnsi="宋体" w:eastAsia="黑体"/>
          <w:color w:val="auto"/>
          <w:sz w:val="32"/>
          <w:szCs w:val="32"/>
          <w:highlight w:val="none"/>
          <w:lang w:eastAsia="zh-CN"/>
        </w:rPr>
        <w:t>项目</w:t>
      </w:r>
      <w:r>
        <w:rPr>
          <w:rFonts w:hint="eastAsia" w:ascii="黑体" w:hAnsi="宋体" w:eastAsia="黑体"/>
          <w:color w:val="auto"/>
          <w:sz w:val="32"/>
          <w:szCs w:val="32"/>
          <w:highlight w:val="none"/>
        </w:rPr>
        <w:t>编号：</w:t>
      </w:r>
      <w:r>
        <w:rPr>
          <w:rFonts w:hint="eastAsia" w:ascii="黑体" w:hAnsi="宋体" w:eastAsia="黑体"/>
          <w:color w:val="auto"/>
          <w:sz w:val="32"/>
          <w:szCs w:val="32"/>
          <w:highlight w:val="none"/>
          <w:u w:val="single"/>
          <w:lang w:val="en-US" w:eastAsia="zh-CN"/>
        </w:rPr>
        <w:t xml:space="preserve">                     </w:t>
      </w:r>
      <w:r>
        <w:rPr>
          <w:rFonts w:hint="eastAsia" w:ascii="黑体" w:hAnsi="宋体" w:eastAsia="黑体"/>
          <w:bCs/>
          <w:color w:val="auto"/>
          <w:sz w:val="32"/>
          <w:szCs w:val="32"/>
          <w:highlight w:val="none"/>
          <w:u w:val="none"/>
          <w:lang w:val="en-US" w:eastAsia="zh-CN"/>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供 应 商：</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（单位公章）</w:t>
      </w:r>
    </w:p>
    <w:p>
      <w:pPr>
        <w:spacing w:line="360" w:lineRule="auto"/>
        <w:ind w:firstLine="1280" w:firstLineChars="400"/>
        <w:rPr>
          <w:rFonts w:ascii="黑体" w:hAnsi="宋体" w:eastAsia="黑体"/>
          <w:bCs/>
          <w:color w:val="auto"/>
          <w:sz w:val="32"/>
          <w:szCs w:val="32"/>
          <w:highlight w:val="none"/>
        </w:rPr>
      </w:pPr>
      <w:r>
        <w:rPr>
          <w:rFonts w:hint="eastAsia" w:ascii="黑体" w:hAnsi="宋体" w:eastAsia="黑体"/>
          <w:color w:val="auto"/>
          <w:sz w:val="32"/>
          <w:szCs w:val="32"/>
          <w:highlight w:val="none"/>
        </w:rPr>
        <w:t>联</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系</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人：</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联系方式：</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单位地址：</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3200" w:firstLineChars="1000"/>
        <w:rPr>
          <w:rFonts w:ascii="黑体" w:hAnsi="仿宋_GB2312" w:eastAsia="黑体" w:cs="仿宋_GB2312"/>
          <w:color w:val="auto"/>
          <w:sz w:val="32"/>
          <w:szCs w:val="32"/>
          <w:highlight w:val="none"/>
          <w:u w:val="single"/>
        </w:rPr>
      </w:pP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日</w:t>
      </w:r>
    </w:p>
    <w:p>
      <w:pPr>
        <w:spacing w:before="100" w:beforeAutospacing="1" w:after="100" w:afterAutospacing="1"/>
        <w:rPr>
          <w:rFonts w:ascii="仿宋_GB2312" w:eastAsia="仿宋_GB2312"/>
          <w:color w:val="auto"/>
          <w:sz w:val="24"/>
          <w:highlight w:val="none"/>
        </w:rPr>
        <w:sectPr>
          <w:headerReference r:id="rId3" w:type="default"/>
          <w:footerReference r:id="rId4" w:type="default"/>
          <w:pgSz w:w="11906" w:h="16838"/>
          <w:pgMar w:top="1418" w:right="1418" w:bottom="1418" w:left="1418" w:header="851" w:footer="680" w:gutter="0"/>
          <w:cols w:space="720" w:num="1"/>
          <w:docGrid w:linePitch="290" w:charSpace="0"/>
        </w:sectPr>
      </w:pPr>
    </w:p>
    <w:p>
      <w:pPr>
        <w:wordWrap w:val="0"/>
        <w:spacing w:before="100" w:beforeAutospacing="1" w:after="100" w:afterAutospacing="1"/>
        <w:jc w:val="center"/>
        <w:rPr>
          <w:rFonts w:ascii="黑体" w:eastAsia="黑体"/>
          <w:color w:val="auto"/>
          <w:sz w:val="32"/>
          <w:szCs w:val="32"/>
          <w:highlight w:val="none"/>
        </w:rPr>
      </w:pPr>
      <w:r>
        <w:rPr>
          <w:rFonts w:hint="eastAsia" w:ascii="黑体" w:eastAsia="黑体"/>
          <w:color w:val="auto"/>
          <w:sz w:val="32"/>
          <w:szCs w:val="32"/>
          <w:highlight w:val="none"/>
        </w:rPr>
        <w:t>目  录</w:t>
      </w:r>
    </w:p>
    <w:p>
      <w:pPr>
        <w:pStyle w:val="25"/>
        <w:rPr>
          <w:rFonts w:ascii="黑体" w:hAnsi="黑体"/>
          <w:color w:val="auto"/>
          <w:highlight w:val="none"/>
        </w:rPr>
      </w:pPr>
    </w:p>
    <w:p>
      <w:pPr>
        <w:numPr>
          <w:ilvl w:val="0"/>
          <w:numId w:val="5"/>
        </w:numPr>
        <w:rPr>
          <w:color w:val="auto"/>
          <w:sz w:val="28"/>
          <w:szCs w:val="28"/>
          <w:highlight w:val="none"/>
        </w:rPr>
      </w:pPr>
      <w:r>
        <w:rPr>
          <w:rFonts w:hint="eastAsia"/>
          <w:color w:val="auto"/>
          <w:sz w:val="28"/>
          <w:szCs w:val="28"/>
          <w:highlight w:val="none"/>
        </w:rPr>
        <w:t>磋商申请（磋商申请及声明格式）</w:t>
      </w:r>
    </w:p>
    <w:p>
      <w:pPr>
        <w:pStyle w:val="25"/>
        <w:jc w:val="both"/>
        <w:rPr>
          <w:color w:val="auto"/>
          <w:highlight w:val="none"/>
          <w:lang w:val="en-US"/>
        </w:rPr>
      </w:pPr>
    </w:p>
    <w:p>
      <w:pPr>
        <w:numPr>
          <w:ilvl w:val="0"/>
          <w:numId w:val="5"/>
        </w:numPr>
        <w:rPr>
          <w:color w:val="auto"/>
          <w:sz w:val="28"/>
          <w:szCs w:val="28"/>
          <w:highlight w:val="none"/>
        </w:rPr>
      </w:pPr>
      <w:r>
        <w:rPr>
          <w:rFonts w:hint="eastAsia"/>
          <w:color w:val="auto"/>
          <w:sz w:val="28"/>
          <w:szCs w:val="28"/>
          <w:highlight w:val="none"/>
        </w:rPr>
        <w:t>法定代表人授权委托书及委托代理人的身份证明文件的复印件</w:t>
      </w:r>
    </w:p>
    <w:p>
      <w:pPr>
        <w:pStyle w:val="25"/>
        <w:jc w:val="both"/>
        <w:rPr>
          <w:color w:val="auto"/>
          <w:highlight w:val="none"/>
          <w:lang w:val="en-US"/>
        </w:rPr>
      </w:pPr>
    </w:p>
    <w:p>
      <w:pPr>
        <w:numPr>
          <w:ilvl w:val="0"/>
          <w:numId w:val="5"/>
        </w:numPr>
        <w:rPr>
          <w:color w:val="auto"/>
          <w:sz w:val="28"/>
          <w:szCs w:val="28"/>
          <w:highlight w:val="none"/>
        </w:rPr>
      </w:pPr>
      <w:r>
        <w:rPr>
          <w:rFonts w:hint="eastAsia"/>
          <w:color w:val="auto"/>
          <w:sz w:val="28"/>
          <w:szCs w:val="28"/>
          <w:highlight w:val="none"/>
        </w:rPr>
        <w:t>不存在与参加本项目的其他投标人单位负责人为同一人或者存在直接控股、管理关系承诺</w:t>
      </w:r>
    </w:p>
    <w:p>
      <w:pPr>
        <w:rPr>
          <w:color w:val="auto"/>
          <w:sz w:val="28"/>
          <w:szCs w:val="28"/>
          <w:highlight w:val="none"/>
        </w:rPr>
      </w:pPr>
    </w:p>
    <w:p>
      <w:pPr>
        <w:numPr>
          <w:ilvl w:val="0"/>
          <w:numId w:val="5"/>
        </w:numPr>
        <w:rPr>
          <w:color w:val="auto"/>
          <w:sz w:val="28"/>
          <w:szCs w:val="28"/>
          <w:highlight w:val="none"/>
        </w:rPr>
      </w:pPr>
      <w:r>
        <w:rPr>
          <w:rFonts w:hint="eastAsia"/>
          <w:color w:val="auto"/>
          <w:sz w:val="28"/>
          <w:szCs w:val="28"/>
          <w:highlight w:val="none"/>
        </w:rPr>
        <w:t>第一章竞争性磋商公告第二条中要求的资格证明文件</w:t>
      </w:r>
    </w:p>
    <w:p>
      <w:pPr>
        <w:pStyle w:val="25"/>
        <w:jc w:val="both"/>
        <w:rPr>
          <w:color w:val="auto"/>
          <w:highlight w:val="none"/>
          <w:lang w:val="en-US"/>
        </w:rPr>
      </w:pPr>
    </w:p>
    <w:p>
      <w:pPr>
        <w:numPr>
          <w:ilvl w:val="0"/>
          <w:numId w:val="5"/>
        </w:numPr>
        <w:rPr>
          <w:color w:val="auto"/>
          <w:sz w:val="28"/>
          <w:szCs w:val="28"/>
          <w:highlight w:val="none"/>
        </w:rPr>
      </w:pPr>
      <w:r>
        <w:rPr>
          <w:rFonts w:hint="eastAsia"/>
          <w:color w:val="auto"/>
          <w:sz w:val="28"/>
          <w:szCs w:val="28"/>
          <w:highlight w:val="none"/>
        </w:rPr>
        <w:t>供应商认为需要提供的其他资格证明文件和商务资料</w:t>
      </w:r>
    </w:p>
    <w:p>
      <w:pPr>
        <w:rPr>
          <w:color w:val="auto"/>
          <w:sz w:val="28"/>
          <w:szCs w:val="28"/>
          <w:highlight w:val="none"/>
        </w:rPr>
      </w:pPr>
    </w:p>
    <w:p>
      <w:pPr>
        <w:rPr>
          <w:color w:val="auto"/>
          <w:sz w:val="28"/>
          <w:szCs w:val="28"/>
          <w:highlight w:val="none"/>
        </w:rPr>
      </w:pPr>
      <w:r>
        <w:rPr>
          <w:rFonts w:hint="eastAsia"/>
          <w:color w:val="auto"/>
          <w:sz w:val="28"/>
          <w:szCs w:val="28"/>
          <w:highlight w:val="none"/>
        </w:rPr>
        <w:t>六、</w:t>
      </w:r>
      <w:r>
        <w:rPr>
          <w:rFonts w:hint="eastAsia"/>
          <w:color w:val="auto"/>
          <w:sz w:val="28"/>
          <w:szCs w:val="28"/>
          <w:highlight w:val="none"/>
          <w:lang w:eastAsia="zh-CN"/>
        </w:rPr>
        <w:t>南京市政府采购供应商信用记录表暨信用承诺书</w:t>
      </w:r>
    </w:p>
    <w:p>
      <w:pPr>
        <w:rPr>
          <w:color w:val="auto"/>
          <w:sz w:val="28"/>
          <w:szCs w:val="28"/>
          <w:highlight w:val="none"/>
        </w:rPr>
        <w:sectPr>
          <w:pgSz w:w="11906" w:h="16838"/>
          <w:pgMar w:top="1418" w:right="1418" w:bottom="1418" w:left="1418" w:header="851" w:footer="680" w:gutter="0"/>
          <w:cols w:space="720" w:num="1"/>
          <w:docGrid w:linePitch="290" w:charSpace="0"/>
        </w:sectPr>
      </w:pPr>
    </w:p>
    <w:p>
      <w:pPr>
        <w:widowControl/>
        <w:shd w:val="clear" w:color="auto" w:fill="FFFFFF"/>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磋商申请</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磋商</w:t>
      </w:r>
      <w:r>
        <w:rPr>
          <w:rFonts w:hint="eastAsia" w:ascii="黑体" w:hAnsi="黑体" w:eastAsia="黑体" w:cs="黑体"/>
          <w:color w:val="auto"/>
          <w:sz w:val="32"/>
          <w:szCs w:val="32"/>
          <w:highlight w:val="none"/>
        </w:rPr>
        <w:t>申请及声明）格式</w:t>
      </w:r>
    </w:p>
    <w:p>
      <w:pPr>
        <w:widowControl/>
        <w:shd w:val="clear" w:color="auto" w:fill="FFFFFF"/>
        <w:spacing w:line="360" w:lineRule="auto"/>
        <w:rPr>
          <w:rFonts w:hint="eastAsia" w:ascii="黑体" w:hAnsi="黑体" w:eastAsia="黑体" w:cs="黑体"/>
          <w:color w:val="auto"/>
          <w:sz w:val="24"/>
          <w:szCs w:val="24"/>
          <w:highlight w:val="none"/>
        </w:rPr>
      </w:pPr>
    </w:p>
    <w:p>
      <w:pPr>
        <w:widowControl/>
        <w:shd w:val="clear" w:color="auto" w:fill="FFFFFF"/>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eastAsia="zh-CN"/>
        </w:rPr>
        <w:t>磋商</w:t>
      </w:r>
      <w:r>
        <w:rPr>
          <w:rFonts w:hint="eastAsia" w:ascii="宋体" w:hAnsi="宋体" w:eastAsia="宋体"/>
          <w:b/>
          <w:bCs/>
          <w:color w:val="auto"/>
          <w:sz w:val="24"/>
          <w:szCs w:val="24"/>
          <w:highlight w:val="none"/>
        </w:rPr>
        <w:t>申请及声明</w:t>
      </w:r>
    </w:p>
    <w:p>
      <w:pPr>
        <w:widowControl/>
        <w:shd w:val="clear" w:color="auto" w:fill="FFFFFF"/>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致：</w:t>
      </w:r>
      <w:r>
        <w:rPr>
          <w:rFonts w:hint="eastAsia" w:ascii="宋体" w:hAnsi="宋体"/>
          <w:color w:val="auto"/>
          <w:sz w:val="24"/>
          <w:szCs w:val="24"/>
          <w:highlight w:val="none"/>
          <w:lang w:eastAsia="zh-CN"/>
        </w:rPr>
        <w:t>南京市高淳区卫生健康委员会</w:t>
      </w:r>
    </w:p>
    <w:p>
      <w:pPr>
        <w:widowControl/>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南京淳衡工程项目管理有限公司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（项目名称） </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（项目编号）</w:t>
      </w:r>
      <w:r>
        <w:rPr>
          <w:rFonts w:hint="eastAsia" w:ascii="宋体" w:hAnsi="宋体" w:eastAsia="宋体"/>
          <w:color w:val="auto"/>
          <w:sz w:val="24"/>
          <w:szCs w:val="24"/>
          <w:highlight w:val="none"/>
          <w:lang w:eastAsia="zh-CN"/>
        </w:rPr>
        <w:t>采购公告</w:t>
      </w:r>
      <w:r>
        <w:rPr>
          <w:rFonts w:hint="eastAsia" w:ascii="宋体" w:hAnsi="宋体" w:eastAsia="宋体"/>
          <w:color w:val="auto"/>
          <w:sz w:val="24"/>
          <w:szCs w:val="24"/>
          <w:highlight w:val="none"/>
        </w:rPr>
        <w:t>，正式授权下述签字人</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(姓名和职务)代表</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none"/>
          <w:lang w:val="en-US" w:eastAsia="zh-CN"/>
        </w:rPr>
        <w:t>（供应商名称）提交响应文件并参加磋商。</w:t>
      </w:r>
    </w:p>
    <w:p>
      <w:pPr>
        <w:widowControl/>
        <w:shd w:val="clear" w:color="auto" w:fill="FFFFFF"/>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据此函，签字人兹宣布声明和承诺如下：</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1、我们的资格条件完全符合政府采购法和本次采购要求，我们同意并向贵方提供了与本次采购活动有关的所有证据和资料。</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2、项目名称：</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  。</w:t>
      </w:r>
    </w:p>
    <w:p>
      <w:pPr>
        <w:widowControl/>
        <w:shd w:val="clear" w:color="auto" w:fill="FFFFFF"/>
        <w:spacing w:line="360" w:lineRule="auto"/>
        <w:ind w:firstLine="420"/>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zh-CN"/>
        </w:rPr>
        <w:t>我们的投标报价</w:t>
      </w:r>
      <w:r>
        <w:rPr>
          <w:rFonts w:hint="eastAsia" w:ascii="宋体" w:hAnsi="宋体" w:eastAsia="宋体" w:cs="Times New Roman"/>
          <w:color w:val="auto"/>
          <w:sz w:val="24"/>
          <w:szCs w:val="24"/>
          <w:highlight w:val="none"/>
        </w:rPr>
        <w:t>响应磋商文件要求，</w:t>
      </w:r>
      <w:r>
        <w:rPr>
          <w:rFonts w:hint="eastAsia" w:ascii="宋体" w:hAnsi="宋体" w:eastAsia="宋体" w:cs="Times New Roman"/>
          <w:color w:val="auto"/>
          <w:sz w:val="24"/>
          <w:szCs w:val="24"/>
          <w:highlight w:val="none"/>
          <w:lang w:val="en-US" w:eastAsia="zh-CN"/>
        </w:rPr>
        <w:t>报价明细详见附表</w:t>
      </w:r>
      <w:r>
        <w:rPr>
          <w:rFonts w:hint="eastAsia" w:ascii="宋体" w:hAnsi="宋体" w:eastAsia="宋体" w:cs="Times New Roman"/>
          <w:color w:val="auto"/>
          <w:sz w:val="24"/>
          <w:szCs w:val="24"/>
          <w:highlight w:val="none"/>
          <w:lang w:val="zh-CN"/>
        </w:rPr>
        <w:t>。</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我们已详细审核全部磋商文件及其有效补充文件，我们放弃对磋商文件任何误解的权利，提交响应文件后，不对磋商文件本身提出质疑。否则，属于不诚信和故意扰乱政府采购活动行为，我们将无条件接受处罚。</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5、一旦我方成交，我方将根据磋商文件的规定，严格履行合同。</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7、本公司郑重声明，根据《政府采购促进中小企业发展暂行办法》（财库[2011]181号）的规定，本公司为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企业。</w:t>
      </w:r>
    </w:p>
    <w:p>
      <w:pPr>
        <w:widowControl/>
        <w:shd w:val="clear" w:color="auto" w:fill="FFFFFF"/>
        <w:spacing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8、我方正式通讯方式为：</w:t>
      </w:r>
    </w:p>
    <w:p>
      <w:pPr>
        <w:widowControl/>
        <w:shd w:val="clear" w:color="auto" w:fill="FFFFFF"/>
        <w:spacing w:line="360" w:lineRule="auto"/>
        <w:ind w:firstLine="42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地   址：</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电   话：</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传   真：</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8、我方正式开户银行和帐号为：</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开户银行：</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帐    号：</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供应商授权代表姓名（签字）：</w:t>
      </w:r>
      <w:r>
        <w:rPr>
          <w:rFonts w:hint="eastAsia" w:ascii="宋体" w:hAnsi="宋体" w:eastAsia="宋体" w:cs="Times New Roman"/>
          <w:color w:val="auto"/>
          <w:sz w:val="24"/>
          <w:szCs w:val="24"/>
          <w:highlight w:val="none"/>
          <w:u w:val="single"/>
          <w:lang w:val="en-US" w:eastAsia="zh-CN"/>
        </w:rPr>
        <w:t xml:space="preserve">                              </w:t>
      </w:r>
    </w:p>
    <w:p>
      <w:pPr>
        <w:widowControl/>
        <w:shd w:val="clear" w:color="auto" w:fill="FFFFFF"/>
        <w:spacing w:line="360" w:lineRule="auto"/>
        <w:ind w:firstLine="42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供应商名称（公章）：</w:t>
      </w:r>
      <w:r>
        <w:rPr>
          <w:rFonts w:hint="eastAsia" w:ascii="宋体" w:hAnsi="宋体" w:eastAsia="宋体" w:cs="Times New Roman"/>
          <w:color w:val="auto"/>
          <w:sz w:val="24"/>
          <w:szCs w:val="24"/>
          <w:highlight w:val="none"/>
          <w:u w:val="single"/>
          <w:lang w:val="en-US" w:eastAsia="zh-CN"/>
        </w:rPr>
        <w:t xml:space="preserve">                                      </w:t>
      </w:r>
    </w:p>
    <w:p>
      <w:pPr>
        <w:pStyle w:val="2"/>
        <w:rPr>
          <w:color w:val="auto"/>
          <w:highlight w:val="none"/>
        </w:rPr>
        <w:sectPr>
          <w:pgSz w:w="11906" w:h="16838"/>
          <w:pgMar w:top="1418" w:right="1418" w:bottom="1418" w:left="1418" w:header="851" w:footer="680" w:gutter="0"/>
          <w:cols w:space="720" w:num="1"/>
          <w:docGrid w:linePitch="290" w:charSpace="0"/>
        </w:sectPr>
      </w:pPr>
      <w:r>
        <w:rPr>
          <w:rFonts w:hint="eastAsia" w:ascii="宋体" w:hAnsi="宋体" w:eastAsia="宋体" w:cs="Times New Roman"/>
          <w:color w:val="auto"/>
          <w:sz w:val="24"/>
          <w:szCs w:val="24"/>
          <w:highlight w:val="none"/>
        </w:rPr>
        <w:t>日    期：</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  年</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  月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 日</w:t>
      </w:r>
    </w:p>
    <w:p>
      <w:pPr>
        <w:adjustRightIn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二、法定代表人授权委托书及委托代理人的</w:t>
      </w:r>
    </w:p>
    <w:p>
      <w:pPr>
        <w:adjustRightIn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身份证明文件的复印件</w:t>
      </w:r>
    </w:p>
    <w:p>
      <w:pPr>
        <w:shd w:val="clear" w:color="auto" w:fill="FFFFFF"/>
        <w:spacing w:line="360" w:lineRule="auto"/>
        <w:ind w:firstLine="720"/>
        <w:jc w:val="center"/>
        <w:rPr>
          <w:rFonts w:ascii="宋体" w:hAnsi="宋体" w:eastAsia="宋体"/>
          <w:color w:val="auto"/>
          <w:sz w:val="24"/>
          <w:szCs w:val="24"/>
          <w:highlight w:val="none"/>
        </w:rPr>
      </w:pPr>
    </w:p>
    <w:p>
      <w:pPr>
        <w:shd w:val="clear" w:color="auto" w:fill="FFFFFF"/>
        <w:spacing w:line="36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pPr>
        <w:shd w:val="clear" w:color="auto" w:fill="FFFFFF"/>
        <w:spacing w:line="360" w:lineRule="auto"/>
        <w:rPr>
          <w:rFonts w:ascii="宋体" w:hAnsi="宋体" w:eastAsia="宋体"/>
          <w:color w:val="auto"/>
          <w:sz w:val="24"/>
          <w:szCs w:val="24"/>
          <w:highlight w:val="none"/>
        </w:rPr>
      </w:pPr>
    </w:p>
    <w:p>
      <w:pPr>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color w:val="auto"/>
          <w:sz w:val="24"/>
          <w:szCs w:val="24"/>
          <w:highlight w:val="none"/>
        </w:rPr>
        <w:t>南京市高淳区卫生健康委员会</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南京淳衡工程项目管理有限公司</w:t>
      </w:r>
    </w:p>
    <w:p>
      <w:pPr>
        <w:shd w:val="clear" w:color="auto" w:fill="FFFFFF"/>
        <w:spacing w:line="360" w:lineRule="auto"/>
        <w:rPr>
          <w:rFonts w:ascii="宋体" w:hAnsi="宋体" w:eastAsia="宋体"/>
          <w:color w:val="auto"/>
          <w:sz w:val="24"/>
          <w:szCs w:val="24"/>
          <w:highlight w:val="none"/>
        </w:rPr>
      </w:pPr>
    </w:p>
    <w:p>
      <w:pPr>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本授权书声明：注册于</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（供应商住址）的</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（供应商名称）法定代表人</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（法定代表人姓名、职务）代表本公司授权在下面签字的</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（供应商代表姓名、职务）为本公司的合法代理人，就贵方组织的</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（项目编号）磋商，以本公司名义处理一切与之有关的事务。</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本授权书于</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日签字生效，特此声明。</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u w:val="single"/>
        </w:rPr>
        <w:t>      </w:t>
      </w:r>
    </w:p>
    <w:p>
      <w:pPr>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授权委托人签字：</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             </w:t>
      </w:r>
    </w:p>
    <w:p>
      <w:pPr>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日</w:t>
      </w:r>
    </w:p>
    <w:p>
      <w:pPr>
        <w:shd w:val="clear" w:color="auto" w:fill="FFFFFF"/>
        <w:spacing w:line="360" w:lineRule="auto"/>
        <w:jc w:val="center"/>
        <w:rPr>
          <w:rFonts w:ascii="宋体" w:hAnsi="宋体" w:eastAsia="宋体"/>
          <w:color w:val="auto"/>
          <w:sz w:val="24"/>
          <w:szCs w:val="24"/>
          <w:highlight w:val="none"/>
        </w:rPr>
      </w:pPr>
    </w:p>
    <w:p>
      <w:pPr>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委托代理人的身份证明文件的复印件：</w:t>
      </w:r>
    </w:p>
    <w:p>
      <w:pPr>
        <w:tabs>
          <w:tab w:val="left" w:pos="1440"/>
        </w:tabs>
        <w:adjustRightInd w:val="0"/>
        <w:spacing w:line="360" w:lineRule="auto"/>
        <w:ind w:firstLine="420"/>
        <w:rPr>
          <w:rFonts w:ascii="宋体" w:hAnsi="宋体" w:eastAsia="宋体"/>
          <w:color w:val="auto"/>
          <w:sz w:val="24"/>
          <w:szCs w:val="24"/>
          <w:highlight w:val="none"/>
        </w:rPr>
      </w:pPr>
    </w:p>
    <w:p>
      <w:pPr>
        <w:adjustRightInd w:val="0"/>
        <w:spacing w:line="360" w:lineRule="auto"/>
        <w:rPr>
          <w:rFonts w:ascii="宋体" w:hAnsi="宋体" w:eastAsia="宋体"/>
          <w:b/>
          <w:color w:val="auto"/>
          <w:sz w:val="24"/>
          <w:szCs w:val="24"/>
          <w:highlight w:val="none"/>
        </w:rPr>
      </w:pPr>
    </w:p>
    <w:p>
      <w:pPr>
        <w:adjustRightInd w:val="0"/>
        <w:spacing w:line="360" w:lineRule="auto"/>
        <w:rPr>
          <w:rFonts w:ascii="宋体" w:hAnsi="宋体" w:eastAsia="宋体"/>
          <w:b/>
          <w:color w:val="auto"/>
          <w:sz w:val="24"/>
          <w:szCs w:val="24"/>
          <w:highlight w:val="none"/>
        </w:rPr>
      </w:pPr>
    </w:p>
    <w:p>
      <w:pPr>
        <w:adjustRightInd w:val="0"/>
        <w:spacing w:line="360" w:lineRule="auto"/>
        <w:rPr>
          <w:rFonts w:ascii="宋体" w:hAnsi="宋体" w:eastAsia="宋体"/>
          <w:b/>
          <w:color w:val="auto"/>
          <w:sz w:val="24"/>
          <w:szCs w:val="24"/>
          <w:highlight w:val="none"/>
        </w:rPr>
      </w:pPr>
    </w:p>
    <w:p>
      <w:pPr>
        <w:adjustRightInd w:val="0"/>
        <w:spacing w:line="360" w:lineRule="auto"/>
        <w:rPr>
          <w:rFonts w:ascii="宋体" w:hAnsi="宋体" w:eastAsia="宋体"/>
          <w:b/>
          <w:color w:val="auto"/>
          <w:sz w:val="24"/>
          <w:szCs w:val="24"/>
          <w:highlight w:val="none"/>
        </w:rPr>
      </w:pPr>
    </w:p>
    <w:p>
      <w:pPr>
        <w:adjustRightInd w:val="0"/>
        <w:spacing w:line="360" w:lineRule="auto"/>
        <w:rPr>
          <w:rFonts w:ascii="宋体" w:hAnsi="宋体" w:eastAsia="宋体"/>
          <w:b/>
          <w:color w:val="auto"/>
          <w:sz w:val="24"/>
          <w:szCs w:val="24"/>
          <w:highlight w:val="none"/>
        </w:rPr>
      </w:pPr>
    </w:p>
    <w:p>
      <w:pPr>
        <w:adjustRightInd w:val="0"/>
        <w:spacing w:line="360" w:lineRule="auto"/>
        <w:rPr>
          <w:rFonts w:ascii="宋体" w:hAnsi="宋体" w:eastAsia="宋体"/>
          <w:b/>
          <w:color w:val="auto"/>
          <w:sz w:val="24"/>
          <w:szCs w:val="24"/>
          <w:highlight w:val="none"/>
        </w:rPr>
      </w:pPr>
    </w:p>
    <w:p>
      <w:pPr>
        <w:spacing w:line="420" w:lineRule="auto"/>
        <w:jc w:val="center"/>
        <w:rPr>
          <w:rFonts w:ascii="黑体" w:hAnsi="黑体" w:eastAsia="黑体" w:cs="黑体"/>
          <w:color w:val="auto"/>
          <w:sz w:val="32"/>
          <w:szCs w:val="32"/>
          <w:highlight w:val="none"/>
        </w:rPr>
      </w:pPr>
      <w:r>
        <w:rPr>
          <w:rFonts w:hint="eastAsia" w:ascii="宋体" w:hAnsi="宋体" w:eastAsia="宋体"/>
          <w:b/>
          <w:color w:val="auto"/>
          <w:sz w:val="24"/>
          <w:szCs w:val="24"/>
          <w:highlight w:val="none"/>
        </w:rPr>
        <w:br w:type="page"/>
      </w:r>
      <w:r>
        <w:rPr>
          <w:rFonts w:hint="eastAsia" w:ascii="黑体" w:hAnsi="黑体" w:eastAsia="黑体" w:cs="黑体"/>
          <w:color w:val="auto"/>
          <w:sz w:val="32"/>
          <w:szCs w:val="32"/>
          <w:highlight w:val="none"/>
        </w:rPr>
        <w:t>三、不存在与参加本项目的其他投标人单位负责人为同一人或者存在直接控股、管理关系承诺</w:t>
      </w:r>
    </w:p>
    <w:p>
      <w:pPr>
        <w:spacing w:line="360" w:lineRule="auto"/>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承诺函</w:t>
      </w:r>
    </w:p>
    <w:p>
      <w:pPr>
        <w:spacing w:line="360" w:lineRule="auto"/>
        <w:rPr>
          <w:rFonts w:ascii="宋体" w:hAnsi="宋体" w:eastAsia="宋体"/>
          <w:color w:val="auto"/>
          <w:sz w:val="24"/>
          <w:szCs w:val="24"/>
          <w:highlight w:val="none"/>
        </w:rPr>
      </w:pPr>
    </w:p>
    <w:p>
      <w:pPr>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color w:val="auto"/>
          <w:sz w:val="24"/>
          <w:szCs w:val="24"/>
          <w:highlight w:val="none"/>
        </w:rPr>
        <w:t>南京市高淳区卫生健康委员会</w:t>
      </w:r>
    </w:p>
    <w:p>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南京淳衡工程项目管理有限公司</w:t>
      </w:r>
    </w:p>
    <w:p>
      <w:pPr>
        <w:snapToGrid w:val="0"/>
        <w:spacing w:line="360" w:lineRule="auto"/>
        <w:rPr>
          <w:rFonts w:ascii="宋体" w:hAnsi="宋体" w:eastAsia="宋体"/>
          <w:color w:val="auto"/>
          <w:sz w:val="24"/>
          <w:szCs w:val="24"/>
          <w:highlight w:val="none"/>
        </w:rPr>
      </w:pPr>
    </w:p>
    <w:p>
      <w:pPr>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根据贵方</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（项目名称） </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（项目编号）</w:t>
      </w:r>
      <w:r>
        <w:rPr>
          <w:rFonts w:hint="eastAsia" w:ascii="宋体" w:hAnsi="宋体"/>
          <w:color w:val="auto"/>
          <w:sz w:val="24"/>
          <w:szCs w:val="24"/>
          <w:highlight w:val="none"/>
        </w:rPr>
        <w:t>磋商公告</w:t>
      </w:r>
      <w:r>
        <w:rPr>
          <w:rFonts w:hint="eastAsia" w:ascii="宋体" w:hAnsi="宋体" w:eastAsia="宋体"/>
          <w:color w:val="auto"/>
          <w:sz w:val="24"/>
          <w:szCs w:val="24"/>
          <w:highlight w:val="none"/>
        </w:rPr>
        <w:t>，我公司郑重承诺：在参加本次政府</w:t>
      </w:r>
      <w:r>
        <w:rPr>
          <w:rFonts w:hint="eastAsia" w:ascii="宋体" w:hAnsi="宋体"/>
          <w:color w:val="auto"/>
          <w:sz w:val="24"/>
          <w:szCs w:val="24"/>
          <w:highlight w:val="none"/>
        </w:rPr>
        <w:t>采购</w:t>
      </w:r>
      <w:r>
        <w:rPr>
          <w:rFonts w:hint="eastAsia" w:ascii="宋体" w:hAnsi="宋体" w:eastAsia="宋体"/>
          <w:color w:val="auto"/>
          <w:sz w:val="24"/>
          <w:szCs w:val="24"/>
          <w:highlight w:val="none"/>
        </w:rPr>
        <w:t>活动不存在与参加本项目的其他</w:t>
      </w:r>
      <w:r>
        <w:rPr>
          <w:rFonts w:hint="eastAsia" w:ascii="宋体" w:hAnsi="宋体"/>
          <w:color w:val="auto"/>
          <w:sz w:val="24"/>
          <w:szCs w:val="24"/>
          <w:highlight w:val="none"/>
        </w:rPr>
        <w:t>供应商</w:t>
      </w:r>
      <w:r>
        <w:rPr>
          <w:rFonts w:hint="eastAsia" w:ascii="宋体" w:hAnsi="宋体" w:eastAsia="宋体"/>
          <w:color w:val="auto"/>
          <w:sz w:val="24"/>
          <w:szCs w:val="24"/>
          <w:highlight w:val="none"/>
        </w:rPr>
        <w:t>单位负责人为同一人或者存在直接控股、管理关系情形。本公司对上述承诺的真实性负责。如有虚假，将依法承担相应责任。</w:t>
      </w:r>
    </w:p>
    <w:p>
      <w:pPr>
        <w:snapToGrid w:val="0"/>
        <w:spacing w:line="360" w:lineRule="auto"/>
        <w:rPr>
          <w:rFonts w:ascii="宋体" w:hAnsi="宋体" w:eastAsia="宋体"/>
          <w:color w:val="auto"/>
          <w:sz w:val="24"/>
          <w:szCs w:val="24"/>
          <w:highlight w:val="none"/>
        </w:rPr>
      </w:pPr>
    </w:p>
    <w:p>
      <w:pPr>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特此承诺！</w:t>
      </w:r>
    </w:p>
    <w:p>
      <w:pPr>
        <w:spacing w:line="360" w:lineRule="auto"/>
        <w:ind w:firstLine="470" w:firstLineChars="196"/>
        <w:outlineLvl w:val="1"/>
        <w:rPr>
          <w:rFonts w:ascii="宋体" w:hAnsi="宋体" w:eastAsia="宋体"/>
          <w:color w:val="auto"/>
          <w:sz w:val="24"/>
          <w:szCs w:val="24"/>
          <w:highlight w:val="none"/>
        </w:rPr>
      </w:pPr>
    </w:p>
    <w:p>
      <w:pPr>
        <w:spacing w:line="360" w:lineRule="auto"/>
        <w:ind w:firstLine="480" w:firstLineChars="200"/>
        <w:jc w:val="right"/>
        <w:rPr>
          <w:rFonts w:ascii="宋体" w:hAnsi="宋体" w:eastAsia="宋体"/>
          <w:color w:val="auto"/>
          <w:sz w:val="24"/>
          <w:szCs w:val="24"/>
          <w:highlight w:val="none"/>
        </w:rPr>
      </w:pPr>
      <w:r>
        <w:rPr>
          <w:rFonts w:hint="eastAsia" w:ascii="宋体" w:hAnsi="宋体"/>
          <w:color w:val="auto"/>
          <w:sz w:val="24"/>
          <w:szCs w:val="24"/>
          <w:highlight w:val="none"/>
        </w:rPr>
        <w:t>供应商</w:t>
      </w:r>
      <w:r>
        <w:rPr>
          <w:rFonts w:hint="eastAsia" w:ascii="宋体" w:hAnsi="宋体" w:eastAsia="宋体"/>
          <w:color w:val="auto"/>
          <w:sz w:val="24"/>
          <w:szCs w:val="24"/>
          <w:highlight w:val="none"/>
        </w:rPr>
        <w:t>名称：</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（盖章）</w:t>
      </w:r>
    </w:p>
    <w:p>
      <w:pPr>
        <w:spacing w:line="360" w:lineRule="auto"/>
        <w:ind w:firstLine="470" w:firstLineChars="196"/>
        <w:jc w:val="center"/>
        <w:outlineLvl w:val="1"/>
        <w:rPr>
          <w:rFonts w:ascii="宋体" w:hAnsi="宋体" w:eastAsia="宋体"/>
          <w:color w:val="auto"/>
          <w:sz w:val="24"/>
          <w:szCs w:val="24"/>
          <w:highlight w:val="none"/>
        </w:rPr>
      </w:pPr>
      <w:bookmarkStart w:id="13" w:name="_Toc5915"/>
      <w:bookmarkStart w:id="14" w:name="_Toc13450"/>
      <w:r>
        <w:rPr>
          <w:rFonts w:hint="eastAsia" w:ascii="宋体" w:hAnsi="宋体" w:eastAsia="宋体"/>
          <w:color w:val="auto"/>
          <w:sz w:val="24"/>
          <w:szCs w:val="24"/>
          <w:highlight w:val="none"/>
        </w:rPr>
        <w:t>法定代表人或授权代表（签字或签章）：</w:t>
      </w:r>
      <w:bookmarkEnd w:id="13"/>
      <w:bookmarkEnd w:id="14"/>
    </w:p>
    <w:p>
      <w:pPr>
        <w:tabs>
          <w:tab w:val="left" w:pos="2248"/>
          <w:tab w:val="center" w:pos="4595"/>
        </w:tabs>
        <w:adjustRightInd w:val="0"/>
        <w:spacing w:line="360" w:lineRule="auto"/>
        <w:rPr>
          <w:rFonts w:ascii="宋体" w:hAnsi="宋体" w:eastAsia="宋体"/>
          <w:b/>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w:t>
      </w:r>
      <w:r>
        <w:rPr>
          <w:rFonts w:hint="eastAsia" w:ascii="宋体" w:hAnsi="宋体" w:eastAsia="宋体"/>
          <w:color w:val="auto"/>
          <w:sz w:val="24"/>
          <w:szCs w:val="24"/>
          <w:highlight w:val="none"/>
        </w:rPr>
        <w:t>日</w:t>
      </w:r>
    </w:p>
    <w:p>
      <w:pPr>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2"/>
          <w:szCs w:val="32"/>
          <w:highlight w:val="none"/>
        </w:rPr>
        <w:t>四、第一章磋商公告第二条中要求的资格证明文件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1、满足《中华人民共和国政府采购法》第二十二条规定，并依照政府采购法实施条例第十七条规定提供材料：</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（1）具有独立承担民事责任的能力；（提供法人或者其他组织的营业执照，供应商为自然人的，提供其身份证）</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（2）具有良好的商业信誉和健全的财务会计制度；（提供参加本次政府采购活动前（至少一个月）的会计报表）</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（3）具有履行合同所必需的设备和专业技术能力；（根据项目需求提供履行合同所必需的设备和专业技术能力的证明材料或相关加盖公章的承诺函，格式见附件）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（4）有依法缴纳税收和社会保障资金的良好记录（提供参加本次政府采购活动前半年内至少一个月缴纳增值税，或营业税，或企业所得税的凭据，及缴纳社会保险的凭据（专用收据，或社会保险缴纳清单））；</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（5）参加政府采购活动前三年内，在经营活动中没有重大违法记录；（提供参加本次政府采购活动前 3 年内在经营活动中没有重大违法记录的书面声明，格式见附件）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（6）法律、行政法规规定的其他条件。</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2、落实政府采购政策需满足的资格要求：供应商如为中小微企业、监狱企业、残疾人福利性单位、节能环保产品须提供相关证明材料。</w:t>
      </w:r>
    </w:p>
    <w:p>
      <w:pPr>
        <w:pStyle w:val="2"/>
        <w:ind w:firstLine="480" w:firstLineChars="200"/>
        <w:rPr>
          <w:rFonts w:asciiTheme="minorEastAsia" w:hAnsiTheme="minorEastAsia" w:eastAsiaTheme="minorEastAsia"/>
          <w:color w:val="auto"/>
          <w:kern w:val="0"/>
          <w:szCs w:val="24"/>
          <w:highlight w:val="none"/>
        </w:rPr>
      </w:pPr>
      <w:r>
        <w:rPr>
          <w:rFonts w:hint="eastAsia" w:asciiTheme="minorEastAsia" w:hAnsiTheme="minorEastAsia" w:eastAsiaTheme="minorEastAsia"/>
          <w:color w:val="auto"/>
          <w:kern w:val="0"/>
          <w:szCs w:val="24"/>
          <w:highlight w:val="none"/>
        </w:rPr>
        <w:t>3、采购人根据采购项目的特殊要求规定的特定条件：</w:t>
      </w:r>
    </w:p>
    <w:p>
      <w:pPr>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rPr>
        <w:t>（1）投标供应商须具备《医疗机构执业许可证》（响应文件中提供有效期内的证书复印件并加盖公章）</w:t>
      </w:r>
      <w:r>
        <w:rPr>
          <w:rFonts w:hint="eastAsia" w:asciiTheme="minorEastAsia" w:hAnsi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rPr>
        <w:t>（2）投标供应商需经二级病原微生物安全实验室生物安全备案、须经省级临床基因扩增检验实验室备案且同时须具有生物安全三级实验室防护装备储备（响应文件中提供相关证明材料复印件并加盖公章）</w:t>
      </w:r>
      <w:r>
        <w:rPr>
          <w:rFonts w:hint="eastAsia" w:asciiTheme="minorEastAsia" w:hAnsiTheme="minorEastAsia"/>
          <w:color w:val="auto"/>
          <w:sz w:val="24"/>
          <w:szCs w:val="24"/>
          <w:highlight w:val="none"/>
          <w:lang w:eastAsia="zh-CN"/>
        </w:rPr>
        <w:t>。</w:t>
      </w:r>
    </w:p>
    <w:p>
      <w:pPr>
        <w:rPr>
          <w:color w:val="auto"/>
          <w:highlight w:val="none"/>
        </w:rPr>
      </w:pPr>
    </w:p>
    <w:p>
      <w:pPr>
        <w:adjustRightIn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五、投标人认为需要提供的其他资格证明文件和商务资料</w:t>
      </w:r>
    </w:p>
    <w:p>
      <w:pPr>
        <w:adjustRightInd w:val="0"/>
        <w:spacing w:line="360" w:lineRule="auto"/>
        <w:ind w:firstLine="480" w:firstLineChars="200"/>
        <w:rPr>
          <w:rFonts w:ascii="宋体" w:hAnsi="宋体" w:eastAsia="宋体"/>
          <w:bCs/>
          <w:color w:val="auto"/>
          <w:sz w:val="24"/>
          <w:szCs w:val="24"/>
          <w:highlight w:val="none"/>
        </w:rPr>
      </w:pPr>
    </w:p>
    <w:p>
      <w:pPr>
        <w:adjustRightInd w:val="0"/>
        <w:spacing w:line="360" w:lineRule="auto"/>
        <w:rPr>
          <w:rFonts w:ascii="宋体" w:hAnsi="宋体" w:eastAsia="宋体"/>
          <w:b/>
          <w:color w:val="auto"/>
          <w:sz w:val="24"/>
          <w:szCs w:val="24"/>
          <w:highlight w:val="none"/>
        </w:rPr>
      </w:pPr>
      <w:r>
        <w:rPr>
          <w:rFonts w:hint="eastAsia" w:ascii="宋体" w:hAnsi="宋体" w:eastAsia="宋体"/>
          <w:bCs/>
          <w:color w:val="auto"/>
          <w:sz w:val="24"/>
          <w:szCs w:val="24"/>
          <w:highlight w:val="none"/>
        </w:rPr>
        <w:t>注：各投标人根据企业自身实际情况可提供其他资格证明文件和商务资料，格式自拟。</w:t>
      </w:r>
    </w:p>
    <w:p>
      <w:pPr>
        <w:rPr>
          <w:color w:val="auto"/>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w:t>
      </w:r>
      <w:r>
        <w:rPr>
          <w:rFonts w:hint="eastAsia" w:ascii="黑体" w:hAnsi="黑体" w:eastAsia="黑体" w:cs="黑体"/>
          <w:color w:val="auto"/>
          <w:sz w:val="32"/>
          <w:szCs w:val="32"/>
          <w:highlight w:val="none"/>
          <w:lang w:eastAsia="zh-CN"/>
        </w:rPr>
        <w:t>南京市政府采购供应商信用记录表暨信用承诺书</w:t>
      </w:r>
    </w:p>
    <w:p>
      <w:pPr>
        <w:rPr>
          <w:color w:val="auto"/>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098"/>
        <w:gridCol w:w="271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0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单位名称</w:t>
            </w:r>
          </w:p>
        </w:tc>
        <w:tc>
          <w:tcPr>
            <w:tcW w:w="2098" w:type="dxa"/>
            <w:noWrap/>
            <w:vAlign w:val="center"/>
          </w:tcPr>
          <w:p>
            <w:pPr>
              <w:spacing w:line="360" w:lineRule="auto"/>
              <w:rPr>
                <w:rFonts w:ascii="宋体" w:hAnsi="宋体" w:eastAsia="宋体" w:cs="宋体"/>
                <w:b/>
                <w:color w:val="auto"/>
                <w:szCs w:val="21"/>
                <w:highlight w:val="none"/>
              </w:rPr>
            </w:pPr>
          </w:p>
        </w:tc>
        <w:tc>
          <w:tcPr>
            <w:tcW w:w="2712"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统一社会信用代码</w:t>
            </w:r>
          </w:p>
        </w:tc>
        <w:tc>
          <w:tcPr>
            <w:tcW w:w="1824" w:type="dxa"/>
            <w:noWrap/>
            <w:vAlign w:val="center"/>
          </w:tcPr>
          <w:p>
            <w:pPr>
              <w:spacing w:line="360" w:lineRule="auto"/>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0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tc>
        <w:tc>
          <w:tcPr>
            <w:tcW w:w="2098" w:type="dxa"/>
            <w:noWrap/>
            <w:vAlign w:val="center"/>
          </w:tcPr>
          <w:p>
            <w:pPr>
              <w:spacing w:line="360" w:lineRule="auto"/>
              <w:rPr>
                <w:rFonts w:ascii="宋体" w:hAnsi="宋体" w:eastAsia="宋体" w:cs="宋体"/>
                <w:b/>
                <w:color w:val="auto"/>
                <w:szCs w:val="21"/>
                <w:highlight w:val="none"/>
              </w:rPr>
            </w:pPr>
          </w:p>
        </w:tc>
        <w:tc>
          <w:tcPr>
            <w:tcW w:w="2712"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联系人</w:t>
            </w:r>
          </w:p>
        </w:tc>
        <w:tc>
          <w:tcPr>
            <w:tcW w:w="1824" w:type="dxa"/>
            <w:noWrap/>
            <w:vAlign w:val="center"/>
          </w:tcPr>
          <w:p>
            <w:pPr>
              <w:spacing w:line="360" w:lineRule="auto"/>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0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联系地址</w:t>
            </w:r>
          </w:p>
        </w:tc>
        <w:tc>
          <w:tcPr>
            <w:tcW w:w="2098" w:type="dxa"/>
            <w:noWrap/>
            <w:vAlign w:val="center"/>
          </w:tcPr>
          <w:p>
            <w:pPr>
              <w:spacing w:line="360" w:lineRule="auto"/>
              <w:rPr>
                <w:rFonts w:ascii="宋体" w:hAnsi="宋体" w:eastAsia="宋体" w:cs="宋体"/>
                <w:b/>
                <w:color w:val="auto"/>
                <w:szCs w:val="21"/>
                <w:highlight w:val="none"/>
              </w:rPr>
            </w:pPr>
          </w:p>
        </w:tc>
        <w:tc>
          <w:tcPr>
            <w:tcW w:w="2712"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联系电话</w:t>
            </w:r>
          </w:p>
        </w:tc>
        <w:tc>
          <w:tcPr>
            <w:tcW w:w="1824" w:type="dxa"/>
            <w:noWrap/>
            <w:vAlign w:val="center"/>
          </w:tcPr>
          <w:p>
            <w:pPr>
              <w:spacing w:line="360" w:lineRule="auto"/>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0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信用得分</w:t>
            </w:r>
          </w:p>
        </w:tc>
        <w:tc>
          <w:tcPr>
            <w:tcW w:w="2098" w:type="dxa"/>
            <w:noWrap/>
            <w:vAlign w:val="center"/>
          </w:tcPr>
          <w:p>
            <w:pPr>
              <w:spacing w:line="360" w:lineRule="auto"/>
              <w:rPr>
                <w:rFonts w:ascii="宋体" w:hAnsi="宋体" w:eastAsia="宋体" w:cs="宋体"/>
                <w:b/>
                <w:color w:val="auto"/>
                <w:szCs w:val="21"/>
                <w:highlight w:val="none"/>
              </w:rPr>
            </w:pPr>
          </w:p>
        </w:tc>
        <w:tc>
          <w:tcPr>
            <w:tcW w:w="2712"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星级</w:t>
            </w:r>
          </w:p>
        </w:tc>
        <w:tc>
          <w:tcPr>
            <w:tcW w:w="1824" w:type="dxa"/>
            <w:noWrap/>
            <w:vAlign w:val="center"/>
          </w:tcPr>
          <w:p>
            <w:pPr>
              <w:spacing w:line="360" w:lineRule="auto"/>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40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诚信档案记录情况</w:t>
            </w:r>
          </w:p>
        </w:tc>
        <w:tc>
          <w:tcPr>
            <w:tcW w:w="6634" w:type="dxa"/>
            <w:gridSpan w:val="3"/>
            <w:noWrap/>
            <w:vAlign w:val="center"/>
          </w:tcPr>
          <w:p>
            <w:pPr>
              <w:spacing w:line="360" w:lineRule="auto"/>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ign w:val="center"/>
          </w:tcPr>
          <w:p>
            <w:pPr>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信用承诺</w:t>
            </w:r>
          </w:p>
        </w:tc>
        <w:tc>
          <w:tcPr>
            <w:tcW w:w="6634" w:type="dxa"/>
            <w:gridSpan w:val="3"/>
            <w:noWrap/>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供应商名称（盖章）：</w:t>
            </w:r>
          </w:p>
          <w:p>
            <w:pPr>
              <w:pStyle w:val="2"/>
              <w:rPr>
                <w:color w:val="auto"/>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法定代表人（签字）：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二〇    年  月  日</w:t>
            </w:r>
          </w:p>
        </w:tc>
      </w:tr>
    </w:tbl>
    <w:p>
      <w:pPr>
        <w:pStyle w:val="2"/>
        <w:ind w:left="0" w:leftChars="0" w:firstLine="0" w:firstLineChars="0"/>
        <w:rPr>
          <w:color w:val="auto"/>
          <w:highlight w:val="none"/>
        </w:rPr>
      </w:pPr>
    </w:p>
    <w:p>
      <w:pPr>
        <w:spacing w:line="360" w:lineRule="auto"/>
        <w:ind w:right="-159" w:firstLine="480" w:firstLineChars="200"/>
        <w:rPr>
          <w:rFonts w:ascii="宋体" w:hAnsi="宋体" w:eastAsia="宋体"/>
          <w:color w:val="auto"/>
          <w:sz w:val="24"/>
          <w:szCs w:val="24"/>
          <w:highlight w:val="none"/>
        </w:rPr>
        <w:sectPr>
          <w:pgSz w:w="11906" w:h="16838"/>
          <w:pgMar w:top="1418" w:right="1418" w:bottom="1418" w:left="1418" w:header="851" w:footer="680" w:gutter="0"/>
          <w:cols w:space="720" w:num="1"/>
          <w:docGrid w:linePitch="290" w:charSpace="0"/>
        </w:sect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南京市政府采购供应商信用记录表暨信用承诺书</w:t>
      </w:r>
      <w:r>
        <w:rPr>
          <w:rFonts w:hint="eastAsia" w:ascii="宋体" w:hAnsi="宋体" w:eastAsia="宋体"/>
          <w:color w:val="auto"/>
          <w:sz w:val="24"/>
          <w:szCs w:val="24"/>
          <w:highlight w:val="none"/>
        </w:rPr>
        <w:t>”一式两份，一份装订在响应文件中，一份用封套单独加以密封，并在封套上注明“信用记录表”字样，随响应文件一并递交。未按上述要求提供信用</w:t>
      </w:r>
      <w:r>
        <w:rPr>
          <w:rFonts w:hint="eastAsia" w:ascii="宋体" w:hAnsi="宋体" w:eastAsia="宋体"/>
          <w:color w:val="auto"/>
          <w:sz w:val="24"/>
          <w:szCs w:val="24"/>
          <w:highlight w:val="none"/>
          <w:lang w:val="en-US" w:eastAsia="zh-CN"/>
        </w:rPr>
        <w:t>承诺</w:t>
      </w:r>
      <w:r>
        <w:rPr>
          <w:rFonts w:hint="eastAsia" w:ascii="宋体" w:hAnsi="宋体" w:eastAsia="宋体"/>
          <w:color w:val="auto"/>
          <w:sz w:val="24"/>
          <w:szCs w:val="24"/>
          <w:highlight w:val="none"/>
        </w:rPr>
        <w:t>的，响应文件将被拒绝接收。</w:t>
      </w:r>
    </w:p>
    <w:p>
      <w:pPr>
        <w:pStyle w:val="2"/>
        <w:ind w:firstLine="0"/>
        <w:rPr>
          <w:color w:val="auto"/>
          <w:highlight w:val="none"/>
        </w:rPr>
      </w:pPr>
    </w:p>
    <w:p>
      <w:pPr>
        <w:spacing w:line="360" w:lineRule="auto"/>
        <w:ind w:left="660" w:leftChars="300" w:right="660" w:rightChars="300"/>
        <w:jc w:val="center"/>
        <w:rPr>
          <w:rFonts w:hint="eastAsia" w:ascii="黑体" w:hAnsi="宋体" w:eastAsia="黑体"/>
          <w:bCs/>
          <w:color w:val="auto"/>
          <w:sz w:val="32"/>
          <w:szCs w:val="32"/>
          <w:highlight w:val="none"/>
          <w:lang w:eastAsia="zh-CN"/>
        </w:rPr>
      </w:pPr>
      <w:r>
        <w:rPr>
          <w:rFonts w:hint="eastAsia" w:ascii="黑体" w:hAnsi="宋体" w:eastAsia="黑体"/>
          <w:bCs/>
          <w:color w:val="auto"/>
          <w:sz w:val="36"/>
          <w:szCs w:val="36"/>
          <w:highlight w:val="none"/>
          <w:lang w:eastAsia="zh-CN"/>
        </w:rPr>
        <w:t>高淳区常态化疫情防控核酸检测项目</w:t>
      </w:r>
    </w:p>
    <w:p>
      <w:pPr>
        <w:pStyle w:val="25"/>
        <w:rPr>
          <w:rFonts w:ascii="黑体" w:hAnsi="宋体"/>
          <w:bCs/>
          <w:color w:val="auto"/>
          <w:sz w:val="32"/>
          <w:szCs w:val="32"/>
          <w:highlight w:val="none"/>
        </w:rPr>
      </w:pPr>
    </w:p>
    <w:p>
      <w:pPr>
        <w:rPr>
          <w:color w:val="auto"/>
          <w:highlight w:val="none"/>
        </w:rPr>
      </w:pPr>
    </w:p>
    <w:p>
      <w:pPr>
        <w:rPr>
          <w:rFonts w:ascii="黑体" w:hAnsi="宋体" w:eastAsia="黑体"/>
          <w:bCs/>
          <w:color w:val="auto"/>
          <w:sz w:val="32"/>
          <w:szCs w:val="32"/>
          <w:highlight w:val="none"/>
        </w:rPr>
      </w:pPr>
    </w:p>
    <w:p>
      <w:pPr>
        <w:pStyle w:val="2"/>
        <w:rPr>
          <w:color w:val="auto"/>
          <w:highlight w:val="none"/>
        </w:rPr>
      </w:pPr>
    </w:p>
    <w:p>
      <w:pPr>
        <w:pStyle w:val="3"/>
        <w:rPr>
          <w:color w:val="auto"/>
          <w:highlight w:val="none"/>
        </w:rPr>
      </w:pPr>
    </w:p>
    <w:p>
      <w:pPr>
        <w:rPr>
          <w:color w:val="auto"/>
          <w:highlight w:val="none"/>
        </w:rPr>
      </w:pPr>
    </w:p>
    <w:p>
      <w:pPr>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技术部分</w:t>
      </w:r>
    </w:p>
    <w:p>
      <w:pPr>
        <w:jc w:val="center"/>
        <w:rPr>
          <w:rFonts w:ascii="黑体" w:hAnsi="宋体" w:eastAsia="黑体"/>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rPr>
          <w:rFonts w:ascii="黑体" w:hAnsi="宋体" w:eastAsia="黑体"/>
          <w:bCs/>
          <w:color w:val="auto"/>
          <w:sz w:val="32"/>
          <w:szCs w:val="32"/>
          <w:highlight w:val="none"/>
        </w:rPr>
      </w:pPr>
    </w:p>
    <w:p>
      <w:pPr>
        <w:spacing w:line="360" w:lineRule="auto"/>
        <w:ind w:firstLine="1280" w:firstLineChars="400"/>
        <w:rPr>
          <w:rFonts w:hint="eastAsia" w:ascii="黑体" w:hAnsi="宋体" w:eastAsia="黑体"/>
          <w:bCs/>
          <w:color w:val="auto"/>
          <w:sz w:val="32"/>
          <w:szCs w:val="32"/>
          <w:highlight w:val="none"/>
          <w:u w:val="none"/>
          <w:lang w:val="en-US" w:eastAsia="zh-CN"/>
        </w:rPr>
      </w:pPr>
      <w:r>
        <w:rPr>
          <w:rFonts w:hint="eastAsia" w:ascii="黑体" w:hAnsi="宋体" w:eastAsia="黑体"/>
          <w:color w:val="auto"/>
          <w:sz w:val="32"/>
          <w:szCs w:val="32"/>
          <w:highlight w:val="none"/>
          <w:lang w:eastAsia="zh-CN"/>
        </w:rPr>
        <w:t>项目</w:t>
      </w:r>
      <w:r>
        <w:rPr>
          <w:rFonts w:hint="eastAsia" w:ascii="黑体" w:hAnsi="宋体" w:eastAsia="黑体"/>
          <w:color w:val="auto"/>
          <w:sz w:val="32"/>
          <w:szCs w:val="32"/>
          <w:highlight w:val="none"/>
        </w:rPr>
        <w:t>编号：</w:t>
      </w:r>
      <w:r>
        <w:rPr>
          <w:rFonts w:hint="eastAsia" w:ascii="黑体" w:hAnsi="宋体" w:eastAsia="黑体"/>
          <w:color w:val="auto"/>
          <w:sz w:val="32"/>
          <w:szCs w:val="32"/>
          <w:highlight w:val="none"/>
          <w:u w:val="single"/>
          <w:lang w:val="en-US" w:eastAsia="zh-CN"/>
        </w:rPr>
        <w:t xml:space="preserve">                     </w:t>
      </w:r>
      <w:r>
        <w:rPr>
          <w:rFonts w:hint="eastAsia" w:ascii="黑体" w:hAnsi="宋体" w:eastAsia="黑体"/>
          <w:bCs/>
          <w:color w:val="auto"/>
          <w:sz w:val="32"/>
          <w:szCs w:val="32"/>
          <w:highlight w:val="none"/>
          <w:u w:val="none"/>
          <w:lang w:val="en-US" w:eastAsia="zh-CN"/>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供 应 商：</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（单位公章）</w:t>
      </w:r>
    </w:p>
    <w:p>
      <w:pPr>
        <w:spacing w:line="360" w:lineRule="auto"/>
        <w:ind w:firstLine="1280" w:firstLineChars="400"/>
        <w:rPr>
          <w:rFonts w:ascii="黑体" w:hAnsi="宋体" w:eastAsia="黑体"/>
          <w:bCs/>
          <w:color w:val="auto"/>
          <w:sz w:val="32"/>
          <w:szCs w:val="32"/>
          <w:highlight w:val="none"/>
        </w:rPr>
      </w:pPr>
      <w:r>
        <w:rPr>
          <w:rFonts w:hint="eastAsia" w:ascii="黑体" w:hAnsi="宋体" w:eastAsia="黑体"/>
          <w:color w:val="auto"/>
          <w:sz w:val="32"/>
          <w:szCs w:val="32"/>
          <w:highlight w:val="none"/>
        </w:rPr>
        <w:t>联</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系</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人：</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联系方式：</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单位地址：</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3200" w:firstLineChars="1000"/>
        <w:rPr>
          <w:rFonts w:ascii="黑体" w:hAnsi="仿宋_GB2312" w:eastAsia="黑体" w:cs="仿宋_GB2312"/>
          <w:color w:val="auto"/>
          <w:sz w:val="32"/>
          <w:szCs w:val="32"/>
          <w:highlight w:val="none"/>
          <w:u w:val="single"/>
        </w:rPr>
      </w:pP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日</w:t>
      </w:r>
    </w:p>
    <w:p>
      <w:pPr>
        <w:pStyle w:val="25"/>
        <w:rPr>
          <w:rFonts w:ascii="黑体" w:hAnsi="宋体"/>
          <w:color w:val="auto"/>
          <w:sz w:val="32"/>
          <w:szCs w:val="32"/>
          <w:highlight w:val="none"/>
        </w:rPr>
      </w:pPr>
    </w:p>
    <w:p>
      <w:pPr>
        <w:rPr>
          <w:color w:val="auto"/>
          <w:highlight w:val="none"/>
        </w:rPr>
      </w:pPr>
    </w:p>
    <w:p>
      <w:pPr>
        <w:adjustRightIn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表格格式（仅供参考，可按需调整或删除）</w:t>
      </w:r>
    </w:p>
    <w:p>
      <w:pPr>
        <w:pStyle w:val="25"/>
        <w:rPr>
          <w:color w:val="auto"/>
          <w:highlight w:val="none"/>
        </w:rPr>
      </w:pPr>
    </w:p>
    <w:p>
      <w:pPr>
        <w:snapToGrid w:val="0"/>
        <w:spacing w:line="36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（一）</w:t>
      </w:r>
      <w:r>
        <w:rPr>
          <w:b/>
          <w:color w:val="auto"/>
          <w:sz w:val="24"/>
          <w:highlight w:val="none"/>
        </w:rPr>
        <w:t>拟参与本项目人员情况一览表</w:t>
      </w:r>
    </w:p>
    <w:tbl>
      <w:tblPr>
        <w:tblStyle w:val="28"/>
        <w:tblW w:w="9819"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1046"/>
        <w:gridCol w:w="1047"/>
        <w:gridCol w:w="1046"/>
        <w:gridCol w:w="1194"/>
        <w:gridCol w:w="1812"/>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1380" w:type="dxa"/>
          </w:tcPr>
          <w:p>
            <w:pPr>
              <w:pStyle w:val="69"/>
              <w:spacing w:before="9"/>
              <w:rPr>
                <w:b/>
                <w:color w:val="auto"/>
                <w:sz w:val="26"/>
                <w:highlight w:val="none"/>
                <w:lang w:eastAsia="zh-CN"/>
              </w:rPr>
            </w:pPr>
          </w:p>
          <w:p>
            <w:pPr>
              <w:pStyle w:val="69"/>
              <w:spacing w:before="1"/>
              <w:ind w:left="107"/>
              <w:rPr>
                <w:b/>
                <w:color w:val="auto"/>
                <w:sz w:val="24"/>
                <w:highlight w:val="none"/>
                <w:lang w:eastAsia="zh-CN"/>
              </w:rPr>
            </w:pPr>
            <w:r>
              <w:rPr>
                <w:rFonts w:hint="eastAsia"/>
                <w:b/>
                <w:color w:val="auto"/>
                <w:sz w:val="24"/>
                <w:highlight w:val="none"/>
                <w:lang w:eastAsia="zh-CN"/>
              </w:rPr>
              <w:t>序号</w:t>
            </w:r>
          </w:p>
        </w:tc>
        <w:tc>
          <w:tcPr>
            <w:tcW w:w="1046" w:type="dxa"/>
          </w:tcPr>
          <w:p>
            <w:pPr>
              <w:pStyle w:val="69"/>
              <w:spacing w:before="5"/>
              <w:rPr>
                <w:b/>
                <w:color w:val="auto"/>
                <w:sz w:val="31"/>
                <w:highlight w:val="none"/>
              </w:rPr>
            </w:pPr>
          </w:p>
          <w:p>
            <w:pPr>
              <w:pStyle w:val="69"/>
              <w:spacing w:before="1"/>
              <w:ind w:left="283"/>
              <w:rPr>
                <w:color w:val="auto"/>
                <w:sz w:val="24"/>
                <w:highlight w:val="none"/>
              </w:rPr>
            </w:pPr>
            <w:r>
              <w:rPr>
                <w:color w:val="auto"/>
                <w:sz w:val="24"/>
                <w:highlight w:val="none"/>
              </w:rPr>
              <w:t>姓名</w:t>
            </w:r>
          </w:p>
        </w:tc>
        <w:tc>
          <w:tcPr>
            <w:tcW w:w="1047" w:type="dxa"/>
          </w:tcPr>
          <w:p>
            <w:pPr>
              <w:pStyle w:val="69"/>
              <w:spacing w:before="5"/>
              <w:rPr>
                <w:b/>
                <w:color w:val="auto"/>
                <w:sz w:val="31"/>
                <w:highlight w:val="none"/>
              </w:rPr>
            </w:pPr>
          </w:p>
          <w:p>
            <w:pPr>
              <w:pStyle w:val="69"/>
              <w:spacing w:before="1"/>
              <w:ind w:left="283"/>
              <w:rPr>
                <w:color w:val="auto"/>
                <w:sz w:val="24"/>
                <w:highlight w:val="none"/>
              </w:rPr>
            </w:pPr>
            <w:r>
              <w:rPr>
                <w:color w:val="auto"/>
                <w:sz w:val="24"/>
                <w:highlight w:val="none"/>
              </w:rPr>
              <w:t>年龄</w:t>
            </w:r>
          </w:p>
        </w:tc>
        <w:tc>
          <w:tcPr>
            <w:tcW w:w="1046" w:type="dxa"/>
          </w:tcPr>
          <w:p>
            <w:pPr>
              <w:pStyle w:val="69"/>
              <w:spacing w:before="5"/>
              <w:rPr>
                <w:b/>
                <w:color w:val="auto"/>
                <w:sz w:val="31"/>
                <w:highlight w:val="none"/>
              </w:rPr>
            </w:pPr>
          </w:p>
          <w:p>
            <w:pPr>
              <w:pStyle w:val="69"/>
              <w:spacing w:before="1"/>
              <w:ind w:left="283"/>
              <w:rPr>
                <w:color w:val="auto"/>
                <w:sz w:val="24"/>
                <w:highlight w:val="none"/>
              </w:rPr>
            </w:pPr>
            <w:r>
              <w:rPr>
                <w:color w:val="auto"/>
                <w:sz w:val="24"/>
                <w:highlight w:val="none"/>
              </w:rPr>
              <w:t>性别</w:t>
            </w:r>
          </w:p>
        </w:tc>
        <w:tc>
          <w:tcPr>
            <w:tcW w:w="1194" w:type="dxa"/>
          </w:tcPr>
          <w:p>
            <w:pPr>
              <w:pStyle w:val="69"/>
              <w:spacing w:before="5"/>
              <w:rPr>
                <w:b/>
                <w:color w:val="auto"/>
                <w:sz w:val="31"/>
                <w:highlight w:val="none"/>
              </w:rPr>
            </w:pPr>
          </w:p>
          <w:p>
            <w:pPr>
              <w:pStyle w:val="69"/>
              <w:spacing w:before="1"/>
              <w:ind w:left="281"/>
              <w:rPr>
                <w:color w:val="auto"/>
                <w:sz w:val="24"/>
                <w:highlight w:val="none"/>
              </w:rPr>
            </w:pPr>
            <w:r>
              <w:rPr>
                <w:color w:val="auto"/>
                <w:sz w:val="24"/>
                <w:highlight w:val="none"/>
              </w:rPr>
              <w:t>职称</w:t>
            </w:r>
          </w:p>
        </w:tc>
        <w:tc>
          <w:tcPr>
            <w:tcW w:w="1812" w:type="dxa"/>
          </w:tcPr>
          <w:p>
            <w:pPr>
              <w:pStyle w:val="69"/>
              <w:spacing w:before="8"/>
              <w:rPr>
                <w:b/>
                <w:color w:val="auto"/>
                <w:sz w:val="28"/>
                <w:highlight w:val="none"/>
              </w:rPr>
            </w:pPr>
          </w:p>
          <w:p>
            <w:pPr>
              <w:pStyle w:val="69"/>
              <w:ind w:left="131"/>
              <w:rPr>
                <w:color w:val="auto"/>
                <w:sz w:val="24"/>
                <w:highlight w:val="none"/>
                <w:lang w:eastAsia="zh-CN"/>
              </w:rPr>
            </w:pPr>
            <w:r>
              <w:rPr>
                <w:rFonts w:hint="eastAsia"/>
                <w:color w:val="auto"/>
                <w:sz w:val="24"/>
                <w:highlight w:val="none"/>
                <w:lang w:eastAsia="zh-CN"/>
              </w:rPr>
              <w:t>工作年限</w:t>
            </w:r>
          </w:p>
        </w:tc>
        <w:tc>
          <w:tcPr>
            <w:tcW w:w="2294" w:type="dxa"/>
          </w:tcPr>
          <w:p>
            <w:pPr>
              <w:pStyle w:val="69"/>
              <w:spacing w:before="110"/>
              <w:ind w:right="315"/>
              <w:jc w:val="both"/>
              <w:rPr>
                <w:color w:val="auto"/>
                <w:sz w:val="24"/>
                <w:highlight w:val="none"/>
                <w:lang w:eastAsia="zh-CN"/>
              </w:rPr>
            </w:pPr>
            <w:r>
              <w:rPr>
                <w:color w:val="auto"/>
                <w:sz w:val="24"/>
                <w:highlight w:val="none"/>
                <w:lang w:eastAsia="zh-CN"/>
              </w:rPr>
              <w:t>专业经验及拟在本项目中承担分工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380" w:type="dxa"/>
          </w:tcPr>
          <w:p>
            <w:pPr>
              <w:pStyle w:val="69"/>
              <w:spacing w:before="160"/>
              <w:ind w:left="107"/>
              <w:rPr>
                <w:color w:val="auto"/>
                <w:sz w:val="24"/>
                <w:highlight w:val="none"/>
                <w:lang w:eastAsia="zh-CN"/>
              </w:rPr>
            </w:pPr>
          </w:p>
        </w:tc>
        <w:tc>
          <w:tcPr>
            <w:tcW w:w="1046" w:type="dxa"/>
          </w:tcPr>
          <w:p>
            <w:pPr>
              <w:pStyle w:val="69"/>
              <w:rPr>
                <w:color w:val="auto"/>
                <w:highlight w:val="none"/>
                <w:lang w:eastAsia="zh-CN"/>
              </w:rPr>
            </w:pPr>
          </w:p>
        </w:tc>
        <w:tc>
          <w:tcPr>
            <w:tcW w:w="1047" w:type="dxa"/>
          </w:tcPr>
          <w:p>
            <w:pPr>
              <w:pStyle w:val="69"/>
              <w:rPr>
                <w:color w:val="auto"/>
                <w:highlight w:val="none"/>
                <w:lang w:eastAsia="zh-CN"/>
              </w:rPr>
            </w:pPr>
          </w:p>
        </w:tc>
        <w:tc>
          <w:tcPr>
            <w:tcW w:w="1046" w:type="dxa"/>
          </w:tcPr>
          <w:p>
            <w:pPr>
              <w:pStyle w:val="69"/>
              <w:rPr>
                <w:color w:val="auto"/>
                <w:highlight w:val="none"/>
                <w:lang w:eastAsia="zh-CN"/>
              </w:rPr>
            </w:pPr>
          </w:p>
        </w:tc>
        <w:tc>
          <w:tcPr>
            <w:tcW w:w="1194" w:type="dxa"/>
          </w:tcPr>
          <w:p>
            <w:pPr>
              <w:pStyle w:val="69"/>
              <w:rPr>
                <w:color w:val="auto"/>
                <w:highlight w:val="none"/>
                <w:lang w:eastAsia="zh-CN"/>
              </w:rPr>
            </w:pPr>
          </w:p>
        </w:tc>
        <w:tc>
          <w:tcPr>
            <w:tcW w:w="1812" w:type="dxa"/>
          </w:tcPr>
          <w:p>
            <w:pPr>
              <w:pStyle w:val="69"/>
              <w:rPr>
                <w:color w:val="auto"/>
                <w:highlight w:val="none"/>
                <w:lang w:eastAsia="zh-CN"/>
              </w:rPr>
            </w:pPr>
          </w:p>
        </w:tc>
        <w:tc>
          <w:tcPr>
            <w:tcW w:w="2294" w:type="dxa"/>
          </w:tcPr>
          <w:p>
            <w:pPr>
              <w:pStyle w:val="69"/>
              <w:rPr>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1380" w:type="dxa"/>
          </w:tcPr>
          <w:p>
            <w:pPr>
              <w:pStyle w:val="69"/>
              <w:spacing w:before="199" w:line="364" w:lineRule="auto"/>
              <w:ind w:left="107" w:right="31"/>
              <w:rPr>
                <w:color w:val="auto"/>
                <w:sz w:val="24"/>
                <w:highlight w:val="none"/>
                <w:lang w:eastAsia="zh-CN"/>
              </w:rPr>
            </w:pPr>
          </w:p>
        </w:tc>
        <w:tc>
          <w:tcPr>
            <w:tcW w:w="1046" w:type="dxa"/>
          </w:tcPr>
          <w:p>
            <w:pPr>
              <w:pStyle w:val="69"/>
              <w:rPr>
                <w:color w:val="auto"/>
                <w:highlight w:val="none"/>
                <w:lang w:eastAsia="zh-CN"/>
              </w:rPr>
            </w:pPr>
          </w:p>
        </w:tc>
        <w:tc>
          <w:tcPr>
            <w:tcW w:w="1047" w:type="dxa"/>
          </w:tcPr>
          <w:p>
            <w:pPr>
              <w:pStyle w:val="69"/>
              <w:rPr>
                <w:color w:val="auto"/>
                <w:highlight w:val="none"/>
                <w:lang w:eastAsia="zh-CN"/>
              </w:rPr>
            </w:pPr>
          </w:p>
        </w:tc>
        <w:tc>
          <w:tcPr>
            <w:tcW w:w="1046" w:type="dxa"/>
          </w:tcPr>
          <w:p>
            <w:pPr>
              <w:pStyle w:val="69"/>
              <w:rPr>
                <w:color w:val="auto"/>
                <w:highlight w:val="none"/>
                <w:lang w:eastAsia="zh-CN"/>
              </w:rPr>
            </w:pPr>
          </w:p>
        </w:tc>
        <w:tc>
          <w:tcPr>
            <w:tcW w:w="1194" w:type="dxa"/>
          </w:tcPr>
          <w:p>
            <w:pPr>
              <w:pStyle w:val="69"/>
              <w:rPr>
                <w:color w:val="auto"/>
                <w:highlight w:val="none"/>
                <w:lang w:eastAsia="zh-CN"/>
              </w:rPr>
            </w:pPr>
          </w:p>
        </w:tc>
        <w:tc>
          <w:tcPr>
            <w:tcW w:w="1812" w:type="dxa"/>
          </w:tcPr>
          <w:p>
            <w:pPr>
              <w:pStyle w:val="69"/>
              <w:rPr>
                <w:color w:val="auto"/>
                <w:highlight w:val="none"/>
                <w:lang w:eastAsia="zh-CN"/>
              </w:rPr>
            </w:pPr>
          </w:p>
        </w:tc>
        <w:tc>
          <w:tcPr>
            <w:tcW w:w="2294" w:type="dxa"/>
          </w:tcPr>
          <w:p>
            <w:pPr>
              <w:pStyle w:val="69"/>
              <w:rPr>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380" w:type="dxa"/>
          </w:tcPr>
          <w:p>
            <w:pPr>
              <w:pStyle w:val="69"/>
              <w:spacing w:before="196" w:line="364" w:lineRule="auto"/>
              <w:ind w:left="107" w:right="31"/>
              <w:rPr>
                <w:color w:val="auto"/>
                <w:sz w:val="24"/>
                <w:highlight w:val="none"/>
                <w:lang w:eastAsia="zh-CN"/>
              </w:rPr>
            </w:pPr>
          </w:p>
        </w:tc>
        <w:tc>
          <w:tcPr>
            <w:tcW w:w="1046" w:type="dxa"/>
          </w:tcPr>
          <w:p>
            <w:pPr>
              <w:pStyle w:val="69"/>
              <w:rPr>
                <w:color w:val="auto"/>
                <w:highlight w:val="none"/>
                <w:lang w:eastAsia="zh-CN"/>
              </w:rPr>
            </w:pPr>
          </w:p>
        </w:tc>
        <w:tc>
          <w:tcPr>
            <w:tcW w:w="1047" w:type="dxa"/>
          </w:tcPr>
          <w:p>
            <w:pPr>
              <w:pStyle w:val="69"/>
              <w:rPr>
                <w:color w:val="auto"/>
                <w:highlight w:val="none"/>
                <w:lang w:eastAsia="zh-CN"/>
              </w:rPr>
            </w:pPr>
          </w:p>
        </w:tc>
        <w:tc>
          <w:tcPr>
            <w:tcW w:w="1046" w:type="dxa"/>
          </w:tcPr>
          <w:p>
            <w:pPr>
              <w:pStyle w:val="69"/>
              <w:rPr>
                <w:color w:val="auto"/>
                <w:highlight w:val="none"/>
                <w:lang w:eastAsia="zh-CN"/>
              </w:rPr>
            </w:pPr>
          </w:p>
        </w:tc>
        <w:tc>
          <w:tcPr>
            <w:tcW w:w="1194" w:type="dxa"/>
          </w:tcPr>
          <w:p>
            <w:pPr>
              <w:pStyle w:val="69"/>
              <w:rPr>
                <w:color w:val="auto"/>
                <w:highlight w:val="none"/>
                <w:lang w:eastAsia="zh-CN"/>
              </w:rPr>
            </w:pPr>
          </w:p>
        </w:tc>
        <w:tc>
          <w:tcPr>
            <w:tcW w:w="1812" w:type="dxa"/>
          </w:tcPr>
          <w:p>
            <w:pPr>
              <w:pStyle w:val="69"/>
              <w:rPr>
                <w:color w:val="auto"/>
                <w:highlight w:val="none"/>
                <w:lang w:eastAsia="zh-CN"/>
              </w:rPr>
            </w:pPr>
          </w:p>
        </w:tc>
        <w:tc>
          <w:tcPr>
            <w:tcW w:w="2294" w:type="dxa"/>
          </w:tcPr>
          <w:p>
            <w:pPr>
              <w:pStyle w:val="69"/>
              <w:rPr>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1380" w:type="dxa"/>
          </w:tcPr>
          <w:p>
            <w:pPr>
              <w:pStyle w:val="69"/>
              <w:spacing w:before="108"/>
              <w:jc w:val="center"/>
              <w:rPr>
                <w:color w:val="auto"/>
                <w:sz w:val="24"/>
                <w:highlight w:val="none"/>
                <w:lang w:eastAsia="zh-CN"/>
              </w:rPr>
            </w:pPr>
          </w:p>
        </w:tc>
        <w:tc>
          <w:tcPr>
            <w:tcW w:w="1046" w:type="dxa"/>
          </w:tcPr>
          <w:p>
            <w:pPr>
              <w:pStyle w:val="69"/>
              <w:rPr>
                <w:color w:val="auto"/>
                <w:highlight w:val="none"/>
                <w:lang w:eastAsia="zh-CN"/>
              </w:rPr>
            </w:pPr>
          </w:p>
        </w:tc>
        <w:tc>
          <w:tcPr>
            <w:tcW w:w="1047" w:type="dxa"/>
          </w:tcPr>
          <w:p>
            <w:pPr>
              <w:pStyle w:val="69"/>
              <w:rPr>
                <w:color w:val="auto"/>
                <w:highlight w:val="none"/>
                <w:lang w:eastAsia="zh-CN"/>
              </w:rPr>
            </w:pPr>
          </w:p>
        </w:tc>
        <w:tc>
          <w:tcPr>
            <w:tcW w:w="1046" w:type="dxa"/>
          </w:tcPr>
          <w:p>
            <w:pPr>
              <w:pStyle w:val="69"/>
              <w:rPr>
                <w:color w:val="auto"/>
                <w:highlight w:val="none"/>
                <w:lang w:eastAsia="zh-CN"/>
              </w:rPr>
            </w:pPr>
          </w:p>
        </w:tc>
        <w:tc>
          <w:tcPr>
            <w:tcW w:w="1194" w:type="dxa"/>
          </w:tcPr>
          <w:p>
            <w:pPr>
              <w:pStyle w:val="69"/>
              <w:rPr>
                <w:color w:val="auto"/>
                <w:highlight w:val="none"/>
                <w:lang w:eastAsia="zh-CN"/>
              </w:rPr>
            </w:pPr>
          </w:p>
        </w:tc>
        <w:tc>
          <w:tcPr>
            <w:tcW w:w="1812" w:type="dxa"/>
          </w:tcPr>
          <w:p>
            <w:pPr>
              <w:pStyle w:val="69"/>
              <w:rPr>
                <w:color w:val="auto"/>
                <w:highlight w:val="none"/>
                <w:lang w:eastAsia="zh-CN"/>
              </w:rPr>
            </w:pPr>
          </w:p>
        </w:tc>
        <w:tc>
          <w:tcPr>
            <w:tcW w:w="2294" w:type="dxa"/>
          </w:tcPr>
          <w:p>
            <w:pPr>
              <w:pStyle w:val="69"/>
              <w:rPr>
                <w:color w:val="auto"/>
                <w:highlight w:val="none"/>
                <w:lang w:eastAsia="zh-CN"/>
              </w:rPr>
            </w:pPr>
          </w:p>
        </w:tc>
      </w:tr>
    </w:tbl>
    <w:p>
      <w:pPr>
        <w:snapToGrid w:val="0"/>
        <w:spacing w:line="360" w:lineRule="auto"/>
        <w:rPr>
          <w:rFonts w:ascii="宋体" w:hAnsi="宋体" w:eastAsia="宋体"/>
          <w:b/>
          <w:color w:val="auto"/>
          <w:sz w:val="24"/>
          <w:szCs w:val="24"/>
          <w:highlight w:val="none"/>
        </w:rPr>
      </w:pPr>
    </w:p>
    <w:p>
      <w:pPr>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（二）投标供应商类似</w:t>
      </w:r>
      <w:r>
        <w:rPr>
          <w:rFonts w:hint="eastAsia" w:ascii="宋体" w:hAnsi="宋体"/>
          <w:b/>
          <w:color w:val="auto"/>
          <w:sz w:val="24"/>
          <w:szCs w:val="24"/>
          <w:highlight w:val="none"/>
        </w:rPr>
        <w:t>项目</w:t>
      </w:r>
      <w:r>
        <w:rPr>
          <w:rFonts w:hint="eastAsia" w:ascii="宋体" w:hAnsi="宋体" w:eastAsia="宋体"/>
          <w:b/>
          <w:color w:val="auto"/>
          <w:sz w:val="24"/>
          <w:szCs w:val="24"/>
          <w:highlight w:val="none"/>
        </w:rPr>
        <w:t>业绩情况表格式</w:t>
      </w:r>
    </w:p>
    <w:p>
      <w:pPr>
        <w:autoSpaceDE w:val="0"/>
        <w:autoSpaceDN w:val="0"/>
        <w:adjustRightInd w:val="0"/>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供应商类似业绩情况表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310"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257"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招标单位</w:t>
            </w:r>
          </w:p>
        </w:tc>
        <w:tc>
          <w:tcPr>
            <w:tcW w:w="1255"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1418" w:type="dxa"/>
            <w:noWrap/>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合同签定</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时间</w:t>
            </w:r>
          </w:p>
        </w:tc>
        <w:tc>
          <w:tcPr>
            <w:tcW w:w="1134" w:type="dxa"/>
            <w:noWrap/>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tc>
        <w:tc>
          <w:tcPr>
            <w:tcW w:w="969"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tcPr>
          <w:p>
            <w:pPr>
              <w:spacing w:line="360" w:lineRule="auto"/>
              <w:jc w:val="center"/>
              <w:rPr>
                <w:rFonts w:ascii="宋体" w:hAnsi="宋体" w:eastAsia="宋体"/>
                <w:color w:val="auto"/>
                <w:sz w:val="24"/>
                <w:szCs w:val="24"/>
                <w:highlight w:val="none"/>
              </w:rPr>
            </w:pPr>
          </w:p>
        </w:tc>
        <w:tc>
          <w:tcPr>
            <w:tcW w:w="2310" w:type="dxa"/>
            <w:noWrap/>
          </w:tcPr>
          <w:p>
            <w:pPr>
              <w:spacing w:line="360" w:lineRule="auto"/>
              <w:jc w:val="center"/>
              <w:rPr>
                <w:rFonts w:ascii="宋体" w:hAnsi="宋体" w:eastAsia="宋体"/>
                <w:color w:val="auto"/>
                <w:sz w:val="24"/>
                <w:szCs w:val="24"/>
                <w:highlight w:val="none"/>
              </w:rPr>
            </w:pPr>
          </w:p>
        </w:tc>
        <w:tc>
          <w:tcPr>
            <w:tcW w:w="2257" w:type="dxa"/>
            <w:noWrap/>
          </w:tcPr>
          <w:p>
            <w:pPr>
              <w:spacing w:line="360" w:lineRule="auto"/>
              <w:ind w:firstLine="120" w:firstLineChars="50"/>
              <w:rPr>
                <w:rFonts w:ascii="宋体" w:hAnsi="宋体" w:eastAsia="宋体"/>
                <w:color w:val="auto"/>
                <w:sz w:val="24"/>
                <w:szCs w:val="24"/>
                <w:highlight w:val="none"/>
              </w:rPr>
            </w:pPr>
          </w:p>
        </w:tc>
        <w:tc>
          <w:tcPr>
            <w:tcW w:w="1255" w:type="dxa"/>
            <w:noWrap/>
          </w:tcPr>
          <w:p>
            <w:pPr>
              <w:spacing w:line="360" w:lineRule="auto"/>
              <w:jc w:val="center"/>
              <w:rPr>
                <w:rFonts w:ascii="宋体" w:hAnsi="宋体" w:eastAsia="宋体"/>
                <w:color w:val="auto"/>
                <w:sz w:val="24"/>
                <w:szCs w:val="24"/>
                <w:highlight w:val="none"/>
              </w:rPr>
            </w:pPr>
          </w:p>
        </w:tc>
        <w:tc>
          <w:tcPr>
            <w:tcW w:w="1418" w:type="dxa"/>
            <w:noWrap/>
          </w:tcPr>
          <w:p>
            <w:pPr>
              <w:spacing w:line="360" w:lineRule="auto"/>
              <w:jc w:val="center"/>
              <w:rPr>
                <w:rFonts w:ascii="宋体" w:hAnsi="宋体" w:eastAsia="宋体"/>
                <w:color w:val="auto"/>
                <w:sz w:val="24"/>
                <w:szCs w:val="24"/>
                <w:highlight w:val="none"/>
              </w:rPr>
            </w:pPr>
          </w:p>
        </w:tc>
        <w:tc>
          <w:tcPr>
            <w:tcW w:w="1134" w:type="dxa"/>
            <w:noWrap/>
          </w:tcPr>
          <w:p>
            <w:pPr>
              <w:spacing w:line="360" w:lineRule="auto"/>
              <w:jc w:val="center"/>
              <w:rPr>
                <w:rFonts w:ascii="宋体" w:hAnsi="宋体" w:eastAsia="宋体"/>
                <w:color w:val="auto"/>
                <w:sz w:val="24"/>
                <w:szCs w:val="24"/>
                <w:highlight w:val="none"/>
              </w:rPr>
            </w:pPr>
          </w:p>
        </w:tc>
        <w:tc>
          <w:tcPr>
            <w:tcW w:w="969" w:type="dxa"/>
            <w:noWrap/>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tcPr>
          <w:p>
            <w:pPr>
              <w:spacing w:line="360" w:lineRule="auto"/>
              <w:jc w:val="center"/>
              <w:rPr>
                <w:rFonts w:ascii="宋体" w:hAnsi="宋体" w:eastAsia="宋体"/>
                <w:color w:val="auto"/>
                <w:sz w:val="24"/>
                <w:szCs w:val="24"/>
                <w:highlight w:val="none"/>
              </w:rPr>
            </w:pPr>
          </w:p>
        </w:tc>
        <w:tc>
          <w:tcPr>
            <w:tcW w:w="2310" w:type="dxa"/>
            <w:noWrap/>
          </w:tcPr>
          <w:p>
            <w:pPr>
              <w:spacing w:line="360" w:lineRule="auto"/>
              <w:jc w:val="center"/>
              <w:rPr>
                <w:rFonts w:ascii="宋体" w:hAnsi="宋体" w:eastAsia="宋体"/>
                <w:color w:val="auto"/>
                <w:sz w:val="24"/>
                <w:szCs w:val="24"/>
                <w:highlight w:val="none"/>
              </w:rPr>
            </w:pPr>
          </w:p>
        </w:tc>
        <w:tc>
          <w:tcPr>
            <w:tcW w:w="2257" w:type="dxa"/>
            <w:noWrap/>
          </w:tcPr>
          <w:p>
            <w:pPr>
              <w:spacing w:line="360" w:lineRule="auto"/>
              <w:jc w:val="center"/>
              <w:rPr>
                <w:rFonts w:ascii="宋体" w:hAnsi="宋体" w:eastAsia="宋体"/>
                <w:color w:val="auto"/>
                <w:sz w:val="24"/>
                <w:szCs w:val="24"/>
                <w:highlight w:val="none"/>
              </w:rPr>
            </w:pPr>
          </w:p>
        </w:tc>
        <w:tc>
          <w:tcPr>
            <w:tcW w:w="1255" w:type="dxa"/>
            <w:noWrap/>
          </w:tcPr>
          <w:p>
            <w:pPr>
              <w:spacing w:line="360" w:lineRule="auto"/>
              <w:jc w:val="center"/>
              <w:rPr>
                <w:rFonts w:ascii="宋体" w:hAnsi="宋体" w:eastAsia="宋体"/>
                <w:color w:val="auto"/>
                <w:sz w:val="24"/>
                <w:szCs w:val="24"/>
                <w:highlight w:val="none"/>
              </w:rPr>
            </w:pPr>
          </w:p>
        </w:tc>
        <w:tc>
          <w:tcPr>
            <w:tcW w:w="1418" w:type="dxa"/>
            <w:noWrap/>
          </w:tcPr>
          <w:p>
            <w:pPr>
              <w:spacing w:line="360" w:lineRule="auto"/>
              <w:jc w:val="center"/>
              <w:rPr>
                <w:rFonts w:ascii="宋体" w:hAnsi="宋体" w:eastAsia="宋体"/>
                <w:color w:val="auto"/>
                <w:sz w:val="24"/>
                <w:szCs w:val="24"/>
                <w:highlight w:val="none"/>
              </w:rPr>
            </w:pPr>
          </w:p>
        </w:tc>
        <w:tc>
          <w:tcPr>
            <w:tcW w:w="1134" w:type="dxa"/>
            <w:noWrap/>
          </w:tcPr>
          <w:p>
            <w:pPr>
              <w:spacing w:line="360" w:lineRule="auto"/>
              <w:jc w:val="center"/>
              <w:rPr>
                <w:rFonts w:ascii="宋体" w:hAnsi="宋体" w:eastAsia="宋体"/>
                <w:color w:val="auto"/>
                <w:sz w:val="24"/>
                <w:szCs w:val="24"/>
                <w:highlight w:val="none"/>
              </w:rPr>
            </w:pPr>
          </w:p>
        </w:tc>
        <w:tc>
          <w:tcPr>
            <w:tcW w:w="969" w:type="dxa"/>
            <w:noWrap/>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tcPr>
          <w:p>
            <w:pPr>
              <w:spacing w:line="360" w:lineRule="auto"/>
              <w:jc w:val="center"/>
              <w:rPr>
                <w:rFonts w:ascii="宋体" w:hAnsi="宋体" w:eastAsia="宋体"/>
                <w:color w:val="auto"/>
                <w:sz w:val="24"/>
                <w:szCs w:val="24"/>
                <w:highlight w:val="none"/>
              </w:rPr>
            </w:pPr>
          </w:p>
        </w:tc>
        <w:tc>
          <w:tcPr>
            <w:tcW w:w="2310" w:type="dxa"/>
            <w:noWrap/>
          </w:tcPr>
          <w:p>
            <w:pPr>
              <w:spacing w:line="360" w:lineRule="auto"/>
              <w:jc w:val="center"/>
              <w:rPr>
                <w:rFonts w:ascii="宋体" w:hAnsi="宋体" w:eastAsia="宋体"/>
                <w:color w:val="auto"/>
                <w:sz w:val="24"/>
                <w:szCs w:val="24"/>
                <w:highlight w:val="none"/>
              </w:rPr>
            </w:pPr>
          </w:p>
        </w:tc>
        <w:tc>
          <w:tcPr>
            <w:tcW w:w="2257" w:type="dxa"/>
            <w:noWrap/>
          </w:tcPr>
          <w:p>
            <w:pPr>
              <w:spacing w:line="360" w:lineRule="auto"/>
              <w:jc w:val="center"/>
              <w:rPr>
                <w:rFonts w:ascii="宋体" w:hAnsi="宋体" w:eastAsia="宋体"/>
                <w:color w:val="auto"/>
                <w:sz w:val="24"/>
                <w:szCs w:val="24"/>
                <w:highlight w:val="none"/>
              </w:rPr>
            </w:pPr>
          </w:p>
        </w:tc>
        <w:tc>
          <w:tcPr>
            <w:tcW w:w="1255" w:type="dxa"/>
            <w:noWrap/>
          </w:tcPr>
          <w:p>
            <w:pPr>
              <w:spacing w:line="360" w:lineRule="auto"/>
              <w:jc w:val="center"/>
              <w:rPr>
                <w:rFonts w:ascii="宋体" w:hAnsi="宋体" w:eastAsia="宋体"/>
                <w:color w:val="auto"/>
                <w:sz w:val="24"/>
                <w:szCs w:val="24"/>
                <w:highlight w:val="none"/>
              </w:rPr>
            </w:pPr>
          </w:p>
        </w:tc>
        <w:tc>
          <w:tcPr>
            <w:tcW w:w="1418" w:type="dxa"/>
            <w:noWrap/>
          </w:tcPr>
          <w:p>
            <w:pPr>
              <w:spacing w:line="360" w:lineRule="auto"/>
              <w:jc w:val="center"/>
              <w:rPr>
                <w:rFonts w:ascii="宋体" w:hAnsi="宋体" w:eastAsia="宋体"/>
                <w:color w:val="auto"/>
                <w:sz w:val="24"/>
                <w:szCs w:val="24"/>
                <w:highlight w:val="none"/>
              </w:rPr>
            </w:pPr>
          </w:p>
        </w:tc>
        <w:tc>
          <w:tcPr>
            <w:tcW w:w="1134" w:type="dxa"/>
            <w:noWrap/>
          </w:tcPr>
          <w:p>
            <w:pPr>
              <w:spacing w:line="360" w:lineRule="auto"/>
              <w:jc w:val="center"/>
              <w:rPr>
                <w:rFonts w:ascii="宋体" w:hAnsi="宋体" w:eastAsia="宋体"/>
                <w:color w:val="auto"/>
                <w:sz w:val="24"/>
                <w:szCs w:val="24"/>
                <w:highlight w:val="none"/>
              </w:rPr>
            </w:pPr>
          </w:p>
        </w:tc>
        <w:tc>
          <w:tcPr>
            <w:tcW w:w="969" w:type="dxa"/>
            <w:noWrap/>
          </w:tcPr>
          <w:p>
            <w:pPr>
              <w:spacing w:line="360" w:lineRule="auto"/>
              <w:jc w:val="center"/>
              <w:rPr>
                <w:rFonts w:ascii="宋体" w:hAnsi="宋体" w:eastAsia="宋体"/>
                <w:color w:val="auto"/>
                <w:sz w:val="24"/>
                <w:szCs w:val="24"/>
                <w:highlight w:val="none"/>
              </w:rPr>
            </w:pPr>
          </w:p>
        </w:tc>
      </w:tr>
    </w:tbl>
    <w:p>
      <w:pPr>
        <w:autoSpaceDE w:val="0"/>
        <w:autoSpaceDN w:val="0"/>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说明：投标人根据本格式要求如实填写业绩情况表，并附业绩合同复印件</w:t>
      </w:r>
      <w:r>
        <w:rPr>
          <w:rFonts w:hint="eastAsia" w:ascii="宋体" w:hAnsi="宋体"/>
          <w:bCs/>
          <w:color w:val="auto"/>
          <w:sz w:val="24"/>
          <w:szCs w:val="24"/>
          <w:highlight w:val="none"/>
        </w:rPr>
        <w:t>等</w:t>
      </w:r>
      <w:r>
        <w:rPr>
          <w:rFonts w:hint="eastAsia" w:ascii="宋体" w:hAnsi="宋体" w:eastAsia="宋体"/>
          <w:bCs/>
          <w:color w:val="auto"/>
          <w:sz w:val="24"/>
          <w:szCs w:val="24"/>
          <w:highlight w:val="none"/>
        </w:rPr>
        <w:t>。</w:t>
      </w:r>
    </w:p>
    <w:p>
      <w:pPr>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投标人名称：</w:t>
      </w:r>
      <w:r>
        <w:rPr>
          <w:rFonts w:hint="eastAsia" w:ascii="宋体" w:hAnsi="宋体" w:eastAsia="宋体"/>
          <w:bCs/>
          <w:color w:val="auto"/>
          <w:sz w:val="24"/>
          <w:szCs w:val="24"/>
          <w:highlight w:val="none"/>
          <w:u w:val="single"/>
        </w:rPr>
        <w:t></w:t>
      </w:r>
      <w:r>
        <w:rPr>
          <w:rFonts w:hint="eastAsia" w:ascii="宋体" w:hAnsi="宋体" w:eastAsia="宋体"/>
          <w:bCs/>
          <w:color w:val="auto"/>
          <w:sz w:val="24"/>
          <w:szCs w:val="24"/>
          <w:highlight w:val="none"/>
        </w:rPr>
        <w:t>（盖章）</w:t>
      </w:r>
    </w:p>
    <w:p>
      <w:pPr>
        <w:snapToGrid w:val="0"/>
        <w:spacing w:line="360" w:lineRule="auto"/>
        <w:rPr>
          <w:rFonts w:ascii="宋体" w:hAnsi="宋体" w:eastAsia="宋体"/>
          <w:b/>
          <w:color w:val="auto"/>
          <w:sz w:val="24"/>
          <w:szCs w:val="24"/>
          <w:highlight w:val="none"/>
        </w:rPr>
      </w:pPr>
    </w:p>
    <w:p>
      <w:pPr>
        <w:rPr>
          <w:color w:val="auto"/>
          <w:highlight w:val="none"/>
        </w:rPr>
      </w:pPr>
    </w:p>
    <w:p>
      <w:pPr>
        <w:snapToGrid w:val="0"/>
        <w:spacing w:line="360" w:lineRule="auto"/>
        <w:rPr>
          <w:rFonts w:ascii="宋体" w:hAnsi="宋体" w:eastAsia="宋体"/>
          <w:b/>
          <w:color w:val="auto"/>
          <w:sz w:val="24"/>
          <w:szCs w:val="24"/>
          <w:highlight w:val="none"/>
        </w:rPr>
      </w:pPr>
    </w:p>
    <w:p>
      <w:pPr>
        <w:pStyle w:val="2"/>
        <w:rPr>
          <w:color w:val="auto"/>
          <w:highlight w:val="none"/>
        </w:rPr>
      </w:pPr>
    </w:p>
    <w:p>
      <w:pPr>
        <w:snapToGrid w:val="0"/>
        <w:spacing w:line="360" w:lineRule="auto"/>
        <w:rPr>
          <w:rFonts w:ascii="宋体" w:hAnsi="宋体" w:eastAsia="宋体"/>
          <w:b/>
          <w:color w:val="auto"/>
          <w:sz w:val="24"/>
          <w:szCs w:val="24"/>
          <w:highlight w:val="none"/>
        </w:rPr>
      </w:pPr>
      <w:r>
        <w:rPr>
          <w:rFonts w:hint="eastAsia" w:ascii="宋体" w:hAnsi="宋体"/>
          <w:b/>
          <w:color w:val="auto"/>
          <w:sz w:val="24"/>
          <w:szCs w:val="24"/>
          <w:highlight w:val="none"/>
        </w:rPr>
        <w:t>（三）</w:t>
      </w:r>
      <w:r>
        <w:rPr>
          <w:rFonts w:hint="eastAsia" w:ascii="宋体" w:hAnsi="宋体" w:eastAsia="宋体"/>
          <w:b/>
          <w:color w:val="auto"/>
          <w:sz w:val="24"/>
          <w:szCs w:val="24"/>
          <w:highlight w:val="none"/>
        </w:rPr>
        <w:t>服务方案（格式自拟，加盖单位公章）</w:t>
      </w:r>
    </w:p>
    <w:p>
      <w:pPr>
        <w:snapToGrid w:val="0"/>
        <w:spacing w:line="360" w:lineRule="auto"/>
        <w:rPr>
          <w:rFonts w:ascii="黑体" w:hAnsi="宋体" w:eastAsia="黑体"/>
          <w:color w:val="auto"/>
          <w:sz w:val="32"/>
          <w:szCs w:val="32"/>
          <w:highlight w:val="none"/>
        </w:rPr>
      </w:pPr>
    </w:p>
    <w:p>
      <w:pPr>
        <w:pStyle w:val="25"/>
        <w:jc w:val="both"/>
        <w:rPr>
          <w:color w:val="auto"/>
          <w:highlight w:val="none"/>
        </w:rPr>
      </w:pPr>
      <w:r>
        <w:rPr>
          <w:rFonts w:hint="eastAsia" w:ascii="宋体" w:hAnsi="宋体"/>
          <w:color w:val="auto"/>
          <w:sz w:val="24"/>
          <w:szCs w:val="24"/>
          <w:highlight w:val="none"/>
          <w:lang w:val="en-US"/>
        </w:rPr>
        <w:t>（四）</w:t>
      </w:r>
      <w:r>
        <w:rPr>
          <w:rFonts w:hint="eastAsia" w:ascii="宋体" w:hAnsi="宋体" w:eastAsia="宋体"/>
          <w:color w:val="auto"/>
          <w:sz w:val="24"/>
          <w:szCs w:val="24"/>
          <w:highlight w:val="none"/>
          <w:lang w:val="en-US"/>
        </w:rPr>
        <w:t>其他补充证明资料</w:t>
      </w:r>
    </w:p>
    <w:p>
      <w:pPr>
        <w:numPr>
          <w:ilvl w:val="0"/>
          <w:numId w:val="6"/>
        </w:numPr>
        <w:snapToGrid w:val="0"/>
        <w:spacing w:line="360" w:lineRule="auto"/>
        <w:ind w:firstLine="480" w:firstLineChars="200"/>
        <w:rPr>
          <w:rFonts w:ascii="黑体" w:hAnsi="宋体" w:eastAsia="黑体"/>
          <w:color w:val="auto"/>
          <w:sz w:val="32"/>
          <w:szCs w:val="32"/>
          <w:highlight w:val="none"/>
        </w:rPr>
      </w:pPr>
      <w:r>
        <w:rPr>
          <w:rFonts w:hint="eastAsia" w:ascii="宋体" w:hAnsi="宋体" w:eastAsia="宋体"/>
          <w:color w:val="auto"/>
          <w:sz w:val="24"/>
          <w:szCs w:val="24"/>
          <w:highlight w:val="none"/>
        </w:rPr>
        <w:br w:type="page"/>
      </w:r>
    </w:p>
    <w:p>
      <w:pPr>
        <w:spacing w:line="360" w:lineRule="auto"/>
        <w:ind w:left="660" w:leftChars="300" w:right="660" w:rightChars="300"/>
        <w:jc w:val="center"/>
        <w:rPr>
          <w:rFonts w:hint="eastAsia" w:ascii="黑体" w:hAnsi="宋体" w:eastAsia="黑体"/>
          <w:bCs/>
          <w:color w:val="auto"/>
          <w:sz w:val="32"/>
          <w:szCs w:val="32"/>
          <w:highlight w:val="none"/>
          <w:lang w:eastAsia="zh-CN"/>
        </w:rPr>
      </w:pPr>
      <w:r>
        <w:rPr>
          <w:rFonts w:hint="eastAsia" w:ascii="黑体" w:hAnsi="宋体" w:eastAsia="黑体"/>
          <w:bCs/>
          <w:color w:val="auto"/>
          <w:sz w:val="36"/>
          <w:szCs w:val="36"/>
          <w:highlight w:val="none"/>
          <w:lang w:eastAsia="zh-CN"/>
        </w:rPr>
        <w:t>高淳区常态化疫情防控核酸检测项目</w:t>
      </w:r>
    </w:p>
    <w:p>
      <w:pPr>
        <w:spacing w:line="360" w:lineRule="auto"/>
        <w:ind w:left="660" w:leftChars="300" w:right="660" w:rightChars="300"/>
        <w:jc w:val="center"/>
        <w:rPr>
          <w:rFonts w:ascii="黑体" w:hAnsi="宋体" w:eastAsia="黑体"/>
          <w:bCs/>
          <w:color w:val="auto"/>
          <w:sz w:val="36"/>
          <w:szCs w:val="36"/>
          <w:highlight w:val="none"/>
        </w:rPr>
      </w:pPr>
    </w:p>
    <w:p>
      <w:pPr>
        <w:spacing w:line="360" w:lineRule="auto"/>
        <w:jc w:val="center"/>
        <w:rPr>
          <w:rFonts w:ascii="黑体" w:hAnsi="宋体" w:eastAsia="黑体"/>
          <w:bCs/>
          <w:color w:val="auto"/>
          <w:sz w:val="32"/>
          <w:szCs w:val="32"/>
          <w:highlight w:val="none"/>
        </w:rPr>
      </w:pPr>
    </w:p>
    <w:p>
      <w:pPr>
        <w:pStyle w:val="2"/>
        <w:rPr>
          <w:color w:val="auto"/>
          <w:highlight w:val="none"/>
        </w:rPr>
      </w:pPr>
    </w:p>
    <w:p>
      <w:pPr>
        <w:pStyle w:val="25"/>
        <w:rPr>
          <w:color w:val="auto"/>
          <w:highlight w:val="none"/>
        </w:rPr>
      </w:pPr>
    </w:p>
    <w:p>
      <w:pPr>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价格部分</w:t>
      </w:r>
    </w:p>
    <w:p>
      <w:pPr>
        <w:jc w:val="center"/>
        <w:rPr>
          <w:rFonts w:ascii="黑体" w:hAnsi="宋体" w:eastAsia="黑体"/>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jc w:val="center"/>
        <w:rPr>
          <w:rFonts w:ascii="黑体" w:hAnsi="宋体" w:eastAsia="黑体"/>
          <w:bCs/>
          <w:color w:val="auto"/>
          <w:sz w:val="32"/>
          <w:szCs w:val="32"/>
          <w:highlight w:val="none"/>
        </w:rPr>
      </w:pPr>
    </w:p>
    <w:p>
      <w:pPr>
        <w:spacing w:line="360" w:lineRule="auto"/>
        <w:rPr>
          <w:rFonts w:ascii="黑体" w:hAnsi="宋体" w:eastAsia="黑体"/>
          <w:bCs/>
          <w:color w:val="auto"/>
          <w:sz w:val="32"/>
          <w:szCs w:val="32"/>
          <w:highlight w:val="none"/>
        </w:rPr>
      </w:pPr>
    </w:p>
    <w:p>
      <w:pPr>
        <w:spacing w:line="360" w:lineRule="auto"/>
        <w:ind w:firstLine="1280" w:firstLineChars="400"/>
        <w:rPr>
          <w:rFonts w:hint="eastAsia" w:ascii="黑体" w:hAnsi="宋体" w:eastAsia="黑体"/>
          <w:bCs/>
          <w:color w:val="auto"/>
          <w:sz w:val="32"/>
          <w:szCs w:val="32"/>
          <w:highlight w:val="none"/>
          <w:u w:val="none"/>
          <w:lang w:val="en-US" w:eastAsia="zh-CN"/>
        </w:rPr>
      </w:pPr>
      <w:r>
        <w:rPr>
          <w:rFonts w:hint="eastAsia" w:ascii="黑体" w:hAnsi="宋体" w:eastAsia="黑体"/>
          <w:color w:val="auto"/>
          <w:sz w:val="32"/>
          <w:szCs w:val="32"/>
          <w:highlight w:val="none"/>
          <w:lang w:eastAsia="zh-CN"/>
        </w:rPr>
        <w:t>项目</w:t>
      </w:r>
      <w:r>
        <w:rPr>
          <w:rFonts w:hint="eastAsia" w:ascii="黑体" w:hAnsi="宋体" w:eastAsia="黑体"/>
          <w:color w:val="auto"/>
          <w:sz w:val="32"/>
          <w:szCs w:val="32"/>
          <w:highlight w:val="none"/>
        </w:rPr>
        <w:t>编号：</w:t>
      </w:r>
      <w:r>
        <w:rPr>
          <w:rFonts w:hint="eastAsia" w:ascii="黑体" w:hAnsi="宋体" w:eastAsia="黑体"/>
          <w:color w:val="auto"/>
          <w:sz w:val="32"/>
          <w:szCs w:val="32"/>
          <w:highlight w:val="none"/>
          <w:u w:val="single"/>
          <w:lang w:val="en-US" w:eastAsia="zh-CN"/>
        </w:rPr>
        <w:t xml:space="preserve">                     </w:t>
      </w:r>
      <w:r>
        <w:rPr>
          <w:rFonts w:hint="eastAsia" w:ascii="黑体" w:hAnsi="宋体" w:eastAsia="黑体"/>
          <w:bCs/>
          <w:color w:val="auto"/>
          <w:sz w:val="32"/>
          <w:szCs w:val="32"/>
          <w:highlight w:val="none"/>
          <w:u w:val="none"/>
          <w:lang w:val="en-US" w:eastAsia="zh-CN"/>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供 应 商：</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（单位公章）</w:t>
      </w:r>
    </w:p>
    <w:p>
      <w:pPr>
        <w:spacing w:line="360" w:lineRule="auto"/>
        <w:ind w:firstLine="1280" w:firstLineChars="400"/>
        <w:rPr>
          <w:rFonts w:ascii="黑体" w:hAnsi="宋体" w:eastAsia="黑体"/>
          <w:bCs/>
          <w:color w:val="auto"/>
          <w:sz w:val="32"/>
          <w:szCs w:val="32"/>
          <w:highlight w:val="none"/>
        </w:rPr>
      </w:pPr>
      <w:r>
        <w:rPr>
          <w:rFonts w:hint="eastAsia" w:ascii="黑体" w:hAnsi="宋体" w:eastAsia="黑体"/>
          <w:color w:val="auto"/>
          <w:sz w:val="32"/>
          <w:szCs w:val="32"/>
          <w:highlight w:val="none"/>
        </w:rPr>
        <w:t>联</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系</w:t>
      </w:r>
      <w:r>
        <w:rPr>
          <w:rFonts w:hint="eastAsia" w:ascii="黑体" w:hAnsi="宋体" w:eastAsia="黑体"/>
          <w:color w:val="auto"/>
          <w:sz w:val="32"/>
          <w:szCs w:val="32"/>
          <w:highlight w:val="none"/>
          <w:lang w:val="en-US"/>
        </w:rPr>
        <w:t xml:space="preserve"> </w:t>
      </w:r>
      <w:r>
        <w:rPr>
          <w:rFonts w:hint="eastAsia" w:ascii="黑体" w:hAnsi="宋体" w:eastAsia="黑体"/>
          <w:color w:val="auto"/>
          <w:sz w:val="32"/>
          <w:szCs w:val="32"/>
          <w:highlight w:val="none"/>
        </w:rPr>
        <w:t>人：</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联系方式：</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单位地址：</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rPr>
        <w:t xml:space="preserve">  </w:t>
      </w:r>
      <w:r>
        <w:rPr>
          <w:rFonts w:hint="eastAsia" w:ascii="黑体" w:hAnsi="宋体" w:eastAsia="黑体"/>
          <w:color w:val="auto"/>
          <w:sz w:val="32"/>
          <w:szCs w:val="32"/>
          <w:highlight w:val="none"/>
          <w:u w:val="single"/>
        </w:rPr>
        <w:t xml:space="preserve">      </w:t>
      </w:r>
    </w:p>
    <w:p>
      <w:pPr>
        <w:spacing w:line="360" w:lineRule="auto"/>
        <w:ind w:firstLine="3200" w:firstLineChars="1000"/>
        <w:rPr>
          <w:rFonts w:ascii="黑体" w:hAnsi="仿宋_GB2312" w:eastAsia="黑体" w:cs="仿宋_GB2312"/>
          <w:color w:val="auto"/>
          <w:sz w:val="32"/>
          <w:szCs w:val="32"/>
          <w:highlight w:val="none"/>
          <w:u w:val="single"/>
        </w:rPr>
      </w:pP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日</w:t>
      </w:r>
    </w:p>
    <w:p>
      <w:pPr>
        <w:autoSpaceDE w:val="0"/>
        <w:autoSpaceDN w:val="0"/>
        <w:adjustRightInd w:val="0"/>
        <w:spacing w:line="420" w:lineRule="auto"/>
        <w:outlineLvl w:val="0"/>
        <w:rPr>
          <w:color w:val="auto"/>
          <w:highlight w:val="none"/>
        </w:rPr>
      </w:pPr>
    </w:p>
    <w:p>
      <w:pPr>
        <w:autoSpaceDE w:val="0"/>
        <w:autoSpaceDN w:val="0"/>
        <w:adjustRightInd w:val="0"/>
        <w:spacing w:line="420" w:lineRule="auto"/>
        <w:jc w:val="center"/>
        <w:outlineLvl w:val="0"/>
        <w:rPr>
          <w:rFonts w:hint="eastAsia" w:ascii="黑体" w:hAnsi="黑体" w:eastAsia="黑体" w:cs="宋体"/>
          <w:color w:val="auto"/>
          <w:sz w:val="32"/>
          <w:szCs w:val="32"/>
          <w:highlight w:val="none"/>
        </w:rPr>
      </w:pPr>
      <w:r>
        <w:rPr>
          <w:rFonts w:hint="eastAsia"/>
          <w:color w:val="auto"/>
          <w:highlight w:val="none"/>
        </w:rPr>
        <w:br w:type="page"/>
      </w:r>
      <w:bookmarkStart w:id="15" w:name="_Toc20243"/>
      <w:bookmarkStart w:id="16" w:name="_Toc23587"/>
      <w:bookmarkStart w:id="17" w:name="_Toc20893"/>
      <w:bookmarkStart w:id="18" w:name="_Toc6290"/>
      <w:bookmarkStart w:id="19" w:name="_Toc16853"/>
      <w:bookmarkStart w:id="20" w:name="_Toc24515"/>
      <w:bookmarkStart w:id="21" w:name="_Toc14719"/>
      <w:bookmarkStart w:id="22" w:name="_Toc20908"/>
      <w:bookmarkStart w:id="23" w:name="_Toc19064"/>
      <w:bookmarkStart w:id="24" w:name="_Toc2052"/>
      <w:bookmarkStart w:id="25" w:name="_Toc6781"/>
      <w:r>
        <w:rPr>
          <w:rFonts w:hint="eastAsia" w:ascii="黑体" w:hAnsi="黑体" w:eastAsia="黑体"/>
          <w:color w:val="auto"/>
          <w:sz w:val="32"/>
          <w:szCs w:val="32"/>
          <w:highlight w:val="none"/>
        </w:rPr>
        <w:t>一、</w:t>
      </w:r>
      <w:bookmarkEnd w:id="15"/>
      <w:bookmarkEnd w:id="16"/>
      <w:bookmarkEnd w:id="17"/>
      <w:bookmarkEnd w:id="18"/>
      <w:bookmarkEnd w:id="19"/>
      <w:bookmarkEnd w:id="20"/>
      <w:bookmarkEnd w:id="21"/>
      <w:bookmarkEnd w:id="22"/>
      <w:bookmarkEnd w:id="23"/>
      <w:bookmarkEnd w:id="24"/>
      <w:bookmarkEnd w:id="25"/>
      <w:r>
        <w:rPr>
          <w:rFonts w:hint="eastAsia" w:ascii="黑体" w:hAnsi="黑体" w:eastAsia="黑体" w:cs="宋体"/>
          <w:color w:val="auto"/>
          <w:sz w:val="32"/>
          <w:szCs w:val="32"/>
          <w:highlight w:val="none"/>
        </w:rPr>
        <w:t>投标报价表</w:t>
      </w:r>
    </w:p>
    <w:p>
      <w:pPr>
        <w:pStyle w:val="2"/>
        <w:jc w:val="center"/>
        <w:rPr>
          <w:rFonts w:hint="eastAsia" w:eastAsia="黑体"/>
          <w:sz w:val="21"/>
          <w:szCs w:val="16"/>
          <w:highlight w:val="none"/>
          <w:lang w:val="en-US" w:eastAsia="zh-CN"/>
        </w:rPr>
      </w:pPr>
      <w:r>
        <w:rPr>
          <w:rFonts w:hint="eastAsia" w:ascii="黑体" w:hAnsi="黑体" w:eastAsia="黑体" w:cs="宋体"/>
          <w:color w:val="auto"/>
          <w:sz w:val="24"/>
          <w:szCs w:val="24"/>
          <w:highlight w:val="none"/>
          <w:lang w:val="en-US" w:eastAsia="zh-CN"/>
        </w:rPr>
        <w:t>格式</w:t>
      </w:r>
    </w:p>
    <w:tbl>
      <w:tblPr>
        <w:tblStyle w:val="28"/>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64"/>
        <w:gridCol w:w="856"/>
        <w:gridCol w:w="1168"/>
        <w:gridCol w:w="765"/>
        <w:gridCol w:w="403"/>
        <w:gridCol w:w="282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77" w:type="dxa"/>
          <w:cantSplit/>
          <w:trHeight w:val="284" w:hRule="atLeast"/>
        </w:trPr>
        <w:tc>
          <w:tcPr>
            <w:tcW w:w="5979" w:type="dxa"/>
            <w:gridSpan w:val="5"/>
            <w:tcBorders>
              <w:top w:val="nil"/>
              <w:left w:val="nil"/>
              <w:right w:val="nil"/>
            </w:tcBorders>
            <w:noWrap/>
            <w:vAlign w:val="center"/>
          </w:tcPr>
          <w:p>
            <w:pPr>
              <w:spacing w:line="360" w:lineRule="auto"/>
              <w:ind w:hanging="8"/>
              <w:rPr>
                <w:rFonts w:ascii="宋体" w:hAnsi="宋体" w:eastAsia="宋体"/>
                <w:color w:val="auto"/>
                <w:sz w:val="24"/>
                <w:szCs w:val="24"/>
                <w:highlight w:val="none"/>
              </w:rPr>
            </w:pPr>
            <w:bookmarkStart w:id="26" w:name="_Toc32152"/>
            <w:bookmarkStart w:id="27" w:name="_Toc22870"/>
            <w:bookmarkStart w:id="28" w:name="_Toc12034"/>
            <w:bookmarkStart w:id="29" w:name="_Toc28668"/>
            <w:bookmarkStart w:id="30" w:name="_Toc863"/>
            <w:bookmarkStart w:id="31" w:name="_Toc15448"/>
            <w:bookmarkStart w:id="32" w:name="_Toc922"/>
            <w:bookmarkStart w:id="33" w:name="_Toc8604"/>
            <w:bookmarkStart w:id="34" w:name="_Toc27832"/>
            <w:bookmarkStart w:id="35" w:name="_Toc8342"/>
            <w:bookmarkStart w:id="36" w:name="_Toc27616"/>
            <w:r>
              <w:rPr>
                <w:rFonts w:hint="eastAsia" w:ascii="宋体" w:hAnsi="宋体" w:eastAsia="宋体"/>
                <w:color w:val="auto"/>
                <w:sz w:val="24"/>
                <w:szCs w:val="24"/>
                <w:highlight w:val="none"/>
              </w:rPr>
              <w:t>项目名称：</w:t>
            </w:r>
          </w:p>
        </w:tc>
        <w:tc>
          <w:tcPr>
            <w:tcW w:w="3224" w:type="dxa"/>
            <w:gridSpan w:val="2"/>
            <w:tcBorders>
              <w:top w:val="nil"/>
              <w:left w:val="nil"/>
              <w:right w:val="nil"/>
            </w:tcBorders>
            <w:noWrap/>
            <w:vAlign w:val="center"/>
          </w:tcPr>
          <w:p>
            <w:pPr>
              <w:spacing w:line="360" w:lineRule="auto"/>
              <w:ind w:left="240" w:leftChars="109" w:firstLine="950" w:firstLineChars="396"/>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826" w:type="dxa"/>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3220" w:type="dxa"/>
            <w:gridSpan w:val="2"/>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               称</w:t>
            </w:r>
          </w:p>
        </w:tc>
        <w:tc>
          <w:tcPr>
            <w:tcW w:w="1168" w:type="dxa"/>
            <w:noWrap/>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单价</w:t>
            </w:r>
          </w:p>
        </w:tc>
        <w:tc>
          <w:tcPr>
            <w:tcW w:w="1168" w:type="dxa"/>
            <w:gridSpan w:val="2"/>
            <w:noWrap/>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4098" w:type="dxa"/>
            <w:gridSpan w:val="2"/>
            <w:noWrap/>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0"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1</w:t>
            </w:r>
          </w:p>
        </w:tc>
        <w:tc>
          <w:tcPr>
            <w:tcW w:w="3220" w:type="dxa"/>
            <w:gridSpan w:val="2"/>
            <w:noWrap/>
            <w:vAlign w:val="center"/>
          </w:tcPr>
          <w:p>
            <w:pPr>
              <w:spacing w:line="360" w:lineRule="auto"/>
              <w:jc w:val="center"/>
              <w:rPr>
                <w:rFonts w:hint="eastAsia" w:ascii="宋体" w:hAnsi="宋体" w:eastAsia="宋体"/>
                <w:color w:val="auto"/>
                <w:spacing w:val="-2"/>
                <w:sz w:val="20"/>
                <w:szCs w:val="20"/>
                <w:highlight w:val="none"/>
              </w:rPr>
            </w:pPr>
            <w:r>
              <w:rPr>
                <w:rFonts w:hint="eastAsia" w:ascii="宋体" w:hAnsi="宋体" w:eastAsia="宋体"/>
                <w:color w:val="auto"/>
                <w:spacing w:val="-2"/>
                <w:sz w:val="21"/>
                <w:szCs w:val="21"/>
                <w:highlight w:val="none"/>
              </w:rPr>
              <w:t>核酸检测费用单管报价</w:t>
            </w:r>
          </w:p>
        </w:tc>
        <w:tc>
          <w:tcPr>
            <w:tcW w:w="1168" w:type="dxa"/>
            <w:noWrap/>
            <w:vAlign w:val="center"/>
          </w:tcPr>
          <w:p>
            <w:pPr>
              <w:spacing w:line="360" w:lineRule="auto"/>
              <w:jc w:val="right"/>
              <w:rPr>
                <w:rFonts w:hint="eastAsia" w:ascii="宋体" w:hAnsi="宋体" w:eastAsia="宋体"/>
                <w:color w:val="auto"/>
                <w:sz w:val="21"/>
                <w:szCs w:val="21"/>
                <w:highlight w:val="none"/>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元/人次</w:t>
            </w:r>
          </w:p>
        </w:tc>
        <w:tc>
          <w:tcPr>
            <w:tcW w:w="4098" w:type="dxa"/>
            <w:gridSpan w:val="2"/>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此报价含扩增试剂、提取试剂、采样器具等耗材、标本运输直至发出报告的全部费用。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2</w:t>
            </w:r>
          </w:p>
        </w:tc>
        <w:tc>
          <w:tcPr>
            <w:tcW w:w="3220" w:type="dxa"/>
            <w:gridSpan w:val="2"/>
            <w:noWrap/>
            <w:vAlign w:val="center"/>
          </w:tcPr>
          <w:p>
            <w:pPr>
              <w:spacing w:line="360" w:lineRule="auto"/>
              <w:jc w:val="center"/>
              <w:rPr>
                <w:rFonts w:hint="eastAsia"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核酸检测费用10人管报价</w:t>
            </w:r>
          </w:p>
        </w:tc>
        <w:tc>
          <w:tcPr>
            <w:tcW w:w="1168" w:type="dxa"/>
            <w:noWrap/>
            <w:vAlign w:val="center"/>
          </w:tcPr>
          <w:p>
            <w:pPr>
              <w:spacing w:line="360" w:lineRule="auto"/>
              <w:jc w:val="right"/>
              <w:rPr>
                <w:rFonts w:hint="default" w:ascii="宋体" w:hAnsi="宋体" w:eastAsia="宋体"/>
                <w:color w:val="auto"/>
                <w:sz w:val="21"/>
                <w:szCs w:val="21"/>
                <w:highlight w:val="none"/>
                <w:lang w:val="en-US" w:eastAsia="zh-CN"/>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w:t>
            </w:r>
            <w:r>
              <w:rPr>
                <w:rFonts w:hint="eastAsia" w:ascii="宋体" w:hAnsi="宋体" w:eastAsia="宋体"/>
                <w:color w:val="auto"/>
                <w:sz w:val="21"/>
                <w:szCs w:val="21"/>
                <w:highlight w:val="none"/>
                <w:lang w:val="en-US" w:eastAsia="zh-CN"/>
              </w:rPr>
              <w:t>管</w:t>
            </w:r>
          </w:p>
        </w:tc>
        <w:tc>
          <w:tcPr>
            <w:tcW w:w="4098" w:type="dxa"/>
            <w:gridSpan w:val="2"/>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此报价含扩增试剂、提取试剂、采样器具等耗材、标本运输直至发出报告的全部费用。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826" w:type="dxa"/>
            <w:noWrap/>
            <w:vAlign w:val="center"/>
          </w:tcPr>
          <w:p>
            <w:pPr>
              <w:spacing w:line="360" w:lineRule="auto"/>
              <w:jc w:val="center"/>
              <w:rPr>
                <w:rFonts w:ascii="宋体" w:hAnsi="宋体" w:eastAsia="宋体"/>
                <w:color w:val="auto"/>
                <w:spacing w:val="-2"/>
                <w:sz w:val="21"/>
                <w:szCs w:val="21"/>
                <w:highlight w:val="none"/>
              </w:rPr>
            </w:pPr>
            <w:r>
              <w:rPr>
                <w:rFonts w:hint="eastAsia" w:ascii="宋体" w:hAnsi="宋体" w:eastAsia="宋体"/>
                <w:color w:val="auto"/>
                <w:spacing w:val="-2"/>
                <w:sz w:val="21"/>
                <w:szCs w:val="21"/>
                <w:highlight w:val="none"/>
                <w:lang w:val="en-US" w:eastAsia="zh-CN"/>
              </w:rPr>
              <w:t>3</w:t>
            </w:r>
          </w:p>
        </w:tc>
        <w:tc>
          <w:tcPr>
            <w:tcW w:w="3220" w:type="dxa"/>
            <w:gridSpan w:val="2"/>
            <w:noWrap/>
            <w:vAlign w:val="center"/>
          </w:tcPr>
          <w:p>
            <w:pPr>
              <w:spacing w:line="360" w:lineRule="auto"/>
              <w:jc w:val="center"/>
              <w:rPr>
                <w:rFonts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w:t>
            </w:r>
            <w:r>
              <w:rPr>
                <w:rFonts w:hint="eastAsia" w:ascii="宋体" w:hAnsi="宋体" w:eastAsia="宋体"/>
                <w:color w:val="auto"/>
                <w:spacing w:val="-2"/>
                <w:sz w:val="20"/>
                <w:szCs w:val="20"/>
                <w:highlight w:val="none"/>
                <w:lang w:val="en-US" w:eastAsia="zh-CN"/>
              </w:rPr>
              <w:t>20</w:t>
            </w:r>
            <w:r>
              <w:rPr>
                <w:rFonts w:hint="eastAsia" w:ascii="宋体" w:hAnsi="宋体" w:eastAsia="宋体"/>
                <w:color w:val="auto"/>
                <w:spacing w:val="-2"/>
                <w:sz w:val="20"/>
                <w:szCs w:val="20"/>
                <w:highlight w:val="none"/>
              </w:rPr>
              <w:t>人管报价</w:t>
            </w:r>
          </w:p>
        </w:tc>
        <w:tc>
          <w:tcPr>
            <w:tcW w:w="1168" w:type="dxa"/>
            <w:noWrap/>
            <w:vAlign w:val="center"/>
          </w:tcPr>
          <w:p>
            <w:pPr>
              <w:spacing w:line="360" w:lineRule="auto"/>
              <w:jc w:val="right"/>
              <w:rPr>
                <w:rFonts w:hint="eastAsia" w:ascii="宋体" w:hAnsi="宋体" w:eastAsia="宋体"/>
                <w:color w:val="auto"/>
                <w:sz w:val="21"/>
                <w:szCs w:val="21"/>
                <w:highlight w:val="none"/>
                <w:lang w:val="en-US" w:eastAsia="zh-CN"/>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w:t>
            </w:r>
            <w:r>
              <w:rPr>
                <w:rFonts w:hint="eastAsia" w:ascii="宋体" w:hAnsi="宋体" w:eastAsia="宋体"/>
                <w:color w:val="auto"/>
                <w:sz w:val="21"/>
                <w:szCs w:val="21"/>
                <w:highlight w:val="none"/>
                <w:lang w:val="en-US" w:eastAsia="zh-CN"/>
              </w:rPr>
              <w:t>管</w:t>
            </w:r>
          </w:p>
        </w:tc>
        <w:tc>
          <w:tcPr>
            <w:tcW w:w="4098" w:type="dxa"/>
            <w:gridSpan w:val="2"/>
            <w:noWrap/>
            <w:vAlign w:val="center"/>
          </w:tcPr>
          <w:p>
            <w:pPr>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此报价含扩增试剂、提取试剂、采样器具等耗材、标本运输直至发出报告的全部费用。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eastAsia="zh-CN"/>
              </w:rPr>
            </w:pPr>
            <w:r>
              <w:rPr>
                <w:rFonts w:hint="eastAsia" w:ascii="宋体" w:hAnsi="宋体" w:eastAsia="宋体"/>
                <w:color w:val="auto"/>
                <w:spacing w:val="-2"/>
                <w:sz w:val="21"/>
                <w:szCs w:val="21"/>
                <w:highlight w:val="none"/>
                <w:lang w:val="en-US" w:eastAsia="zh-CN"/>
              </w:rPr>
              <w:t>4</w:t>
            </w:r>
          </w:p>
        </w:tc>
        <w:tc>
          <w:tcPr>
            <w:tcW w:w="3220" w:type="dxa"/>
            <w:gridSpan w:val="2"/>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核酸检测费用单管报价</w:t>
            </w:r>
          </w:p>
        </w:tc>
        <w:tc>
          <w:tcPr>
            <w:tcW w:w="1168" w:type="dxa"/>
            <w:noWrap/>
            <w:vAlign w:val="center"/>
          </w:tcPr>
          <w:p>
            <w:pPr>
              <w:spacing w:line="360" w:lineRule="auto"/>
              <w:jc w:val="right"/>
              <w:rPr>
                <w:rFonts w:hint="eastAsia" w:ascii="宋体" w:hAnsi="宋体" w:eastAsia="宋体"/>
                <w:color w:val="auto"/>
                <w:sz w:val="21"/>
                <w:szCs w:val="21"/>
                <w:highlight w:val="none"/>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元/人次</w:t>
            </w:r>
          </w:p>
        </w:tc>
        <w:tc>
          <w:tcPr>
            <w:tcW w:w="4098" w:type="dxa"/>
            <w:gridSpan w:val="2"/>
            <w:noWrap/>
            <w:vAlign w:val="center"/>
          </w:tcPr>
          <w:p>
            <w:pPr>
              <w:spacing w:line="360" w:lineRule="auto"/>
              <w:jc w:val="left"/>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eastAsia="zh-CN"/>
              </w:rPr>
            </w:pPr>
            <w:r>
              <w:rPr>
                <w:rFonts w:hint="eastAsia" w:ascii="宋体" w:hAnsi="宋体" w:eastAsia="宋体"/>
                <w:color w:val="auto"/>
                <w:spacing w:val="-2"/>
                <w:sz w:val="21"/>
                <w:szCs w:val="21"/>
                <w:highlight w:val="none"/>
                <w:lang w:val="en-US" w:eastAsia="zh-CN"/>
              </w:rPr>
              <w:t>5</w:t>
            </w:r>
          </w:p>
        </w:tc>
        <w:tc>
          <w:tcPr>
            <w:tcW w:w="3220" w:type="dxa"/>
            <w:gridSpan w:val="2"/>
            <w:noWrap/>
            <w:vAlign w:val="center"/>
          </w:tcPr>
          <w:p>
            <w:pPr>
              <w:spacing w:line="360" w:lineRule="auto"/>
              <w:jc w:val="center"/>
              <w:rPr>
                <w:rFonts w:ascii="宋体" w:hAnsi="宋体" w:eastAsia="宋体"/>
                <w:color w:val="auto"/>
                <w:spacing w:val="-2"/>
                <w:sz w:val="20"/>
                <w:szCs w:val="20"/>
                <w:highlight w:val="none"/>
              </w:rPr>
            </w:pPr>
            <w:r>
              <w:rPr>
                <w:rFonts w:hint="eastAsia" w:ascii="宋体" w:hAnsi="宋体" w:eastAsia="宋体"/>
                <w:color w:val="auto"/>
                <w:spacing w:val="-2"/>
                <w:sz w:val="20"/>
                <w:szCs w:val="20"/>
                <w:highlight w:val="none"/>
              </w:rPr>
              <w:t>核酸检测费用10人管报价</w:t>
            </w:r>
          </w:p>
        </w:tc>
        <w:tc>
          <w:tcPr>
            <w:tcW w:w="1168" w:type="dxa"/>
            <w:noWrap/>
            <w:vAlign w:val="center"/>
          </w:tcPr>
          <w:p>
            <w:pPr>
              <w:spacing w:line="360" w:lineRule="auto"/>
              <w:jc w:val="right"/>
              <w:rPr>
                <w:rFonts w:ascii="宋体" w:hAnsi="宋体" w:eastAsia="宋体"/>
                <w:color w:val="auto"/>
                <w:sz w:val="21"/>
                <w:szCs w:val="21"/>
                <w:highlight w:val="none"/>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w:t>
            </w:r>
            <w:r>
              <w:rPr>
                <w:rFonts w:hint="eastAsia" w:ascii="宋体" w:hAnsi="宋体" w:eastAsia="宋体"/>
                <w:color w:val="auto"/>
                <w:sz w:val="21"/>
                <w:szCs w:val="21"/>
                <w:highlight w:val="none"/>
                <w:lang w:val="en-US" w:eastAsia="zh-CN"/>
              </w:rPr>
              <w:t>管</w:t>
            </w:r>
          </w:p>
        </w:tc>
        <w:tc>
          <w:tcPr>
            <w:tcW w:w="4098" w:type="dxa"/>
            <w:gridSpan w:val="2"/>
            <w:noWrap/>
            <w:vAlign w:val="center"/>
          </w:tcPr>
          <w:p>
            <w:pPr>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826" w:type="dxa"/>
            <w:noWrap/>
            <w:vAlign w:val="center"/>
          </w:tcPr>
          <w:p>
            <w:pPr>
              <w:spacing w:line="360" w:lineRule="auto"/>
              <w:jc w:val="center"/>
              <w:rPr>
                <w:rFonts w:hint="eastAsia" w:ascii="宋体" w:hAnsi="宋体" w:eastAsia="宋体"/>
                <w:color w:val="auto"/>
                <w:spacing w:val="-2"/>
                <w:sz w:val="21"/>
                <w:szCs w:val="21"/>
                <w:highlight w:val="none"/>
                <w:lang w:val="en-US" w:eastAsia="zh-CN"/>
              </w:rPr>
            </w:pPr>
            <w:r>
              <w:rPr>
                <w:rFonts w:hint="eastAsia" w:ascii="宋体" w:hAnsi="宋体" w:eastAsia="宋体"/>
                <w:color w:val="auto"/>
                <w:spacing w:val="-2"/>
                <w:sz w:val="21"/>
                <w:szCs w:val="21"/>
                <w:highlight w:val="none"/>
                <w:lang w:val="en-US" w:eastAsia="zh-CN"/>
              </w:rPr>
              <w:t>6</w:t>
            </w:r>
          </w:p>
        </w:tc>
        <w:tc>
          <w:tcPr>
            <w:tcW w:w="3220" w:type="dxa"/>
            <w:gridSpan w:val="2"/>
            <w:noWrap/>
            <w:vAlign w:val="center"/>
          </w:tcPr>
          <w:p>
            <w:pPr>
              <w:spacing w:line="360" w:lineRule="auto"/>
              <w:jc w:val="center"/>
              <w:rPr>
                <w:rFonts w:hint="eastAsia" w:ascii="宋体" w:hAnsi="宋体" w:eastAsia="宋体"/>
                <w:color w:val="auto"/>
                <w:spacing w:val="-2"/>
                <w:sz w:val="21"/>
                <w:szCs w:val="21"/>
                <w:highlight w:val="none"/>
              </w:rPr>
            </w:pPr>
            <w:r>
              <w:rPr>
                <w:rFonts w:hint="eastAsia" w:ascii="宋体" w:hAnsi="宋体" w:eastAsia="宋体"/>
                <w:color w:val="auto"/>
                <w:spacing w:val="-2"/>
                <w:sz w:val="20"/>
                <w:szCs w:val="20"/>
                <w:highlight w:val="none"/>
              </w:rPr>
              <w:t>核酸检测费用</w:t>
            </w:r>
            <w:r>
              <w:rPr>
                <w:rFonts w:hint="eastAsia" w:ascii="宋体" w:hAnsi="宋体" w:eastAsia="宋体"/>
                <w:color w:val="auto"/>
                <w:spacing w:val="-2"/>
                <w:sz w:val="20"/>
                <w:szCs w:val="20"/>
                <w:highlight w:val="none"/>
                <w:lang w:val="en-US" w:eastAsia="zh-CN"/>
              </w:rPr>
              <w:t>20</w:t>
            </w:r>
            <w:r>
              <w:rPr>
                <w:rFonts w:hint="eastAsia" w:ascii="宋体" w:hAnsi="宋体" w:eastAsia="宋体"/>
                <w:color w:val="auto"/>
                <w:spacing w:val="-2"/>
                <w:sz w:val="20"/>
                <w:szCs w:val="20"/>
                <w:highlight w:val="none"/>
              </w:rPr>
              <w:t>人管报价</w:t>
            </w:r>
          </w:p>
        </w:tc>
        <w:tc>
          <w:tcPr>
            <w:tcW w:w="1168" w:type="dxa"/>
            <w:noWrap/>
            <w:vAlign w:val="center"/>
          </w:tcPr>
          <w:p>
            <w:pPr>
              <w:spacing w:line="360" w:lineRule="auto"/>
              <w:jc w:val="right"/>
              <w:rPr>
                <w:rFonts w:hint="eastAsia" w:ascii="宋体" w:hAnsi="宋体" w:eastAsia="宋体"/>
                <w:color w:val="auto"/>
                <w:sz w:val="21"/>
                <w:szCs w:val="21"/>
                <w:highlight w:val="none"/>
              </w:rPr>
            </w:pPr>
          </w:p>
        </w:tc>
        <w:tc>
          <w:tcPr>
            <w:tcW w:w="1168" w:type="dxa"/>
            <w:gridSpan w:val="2"/>
            <w:noWrap/>
            <w:vAlign w:val="center"/>
          </w:tcPr>
          <w:p>
            <w:pPr>
              <w:spacing w:line="36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元/</w:t>
            </w:r>
            <w:r>
              <w:rPr>
                <w:rFonts w:hint="eastAsia" w:ascii="宋体" w:hAnsi="宋体" w:eastAsia="宋体"/>
                <w:color w:val="auto"/>
                <w:sz w:val="21"/>
                <w:szCs w:val="21"/>
                <w:highlight w:val="none"/>
                <w:lang w:val="en-US" w:eastAsia="zh-CN"/>
              </w:rPr>
              <w:t>管</w:t>
            </w:r>
          </w:p>
        </w:tc>
        <w:tc>
          <w:tcPr>
            <w:tcW w:w="4098" w:type="dxa"/>
            <w:gridSpan w:val="2"/>
            <w:noWrap/>
            <w:vAlign w:val="center"/>
          </w:tcPr>
          <w:p>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仅含从标本收集到报告发出的费用，不含采取部分费用</w:t>
            </w:r>
            <w:r>
              <w:rPr>
                <w:rFonts w:hint="eastAsia" w:ascii="宋体" w:hAnsi="宋体" w:eastAsia="宋体"/>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3190" w:type="dxa"/>
            <w:gridSpan w:val="2"/>
            <w:noWrap/>
            <w:vAlign w:val="center"/>
          </w:tcPr>
          <w:p>
            <w:pPr>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供应商是否属于小微型企业</w:t>
            </w:r>
          </w:p>
        </w:tc>
        <w:tc>
          <w:tcPr>
            <w:tcW w:w="7290" w:type="dxa"/>
            <w:gridSpan w:val="6"/>
            <w:noWrap/>
            <w:vAlign w:val="center"/>
          </w:tcPr>
          <w:p>
            <w:pPr>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       否</w:t>
            </w:r>
          </w:p>
        </w:tc>
      </w:tr>
      <w:bookmarkEnd w:id="26"/>
      <w:bookmarkEnd w:id="27"/>
      <w:bookmarkEnd w:id="28"/>
      <w:bookmarkEnd w:id="29"/>
      <w:bookmarkEnd w:id="30"/>
      <w:bookmarkEnd w:id="31"/>
      <w:bookmarkEnd w:id="32"/>
      <w:bookmarkEnd w:id="33"/>
      <w:bookmarkEnd w:id="34"/>
      <w:bookmarkEnd w:id="35"/>
      <w:bookmarkEnd w:id="36"/>
    </w:tbl>
    <w:p>
      <w:pPr>
        <w:spacing w:line="360" w:lineRule="auto"/>
        <w:jc w:val="right"/>
        <w:rPr>
          <w:rFonts w:hint="eastAsia" w:ascii="宋体" w:hAnsi="宋体" w:eastAsia="宋体"/>
          <w:color w:val="auto"/>
          <w:sz w:val="24"/>
          <w:szCs w:val="24"/>
          <w:highlight w:val="none"/>
          <w:lang w:eastAsia="zh-CN"/>
        </w:rPr>
      </w:pPr>
    </w:p>
    <w:p>
      <w:pPr>
        <w:spacing w:line="360" w:lineRule="auto"/>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spacing w:line="360" w:lineRule="auto"/>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法定代表人或授权代理人：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（签字或盖章）</w:t>
      </w:r>
    </w:p>
    <w:p>
      <w:pPr>
        <w:spacing w:line="360" w:lineRule="auto"/>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pPr>
        <w:rPr>
          <w:rFonts w:hint="eastAsia" w:ascii="宋体" w:hAnsi="宋体" w:cs="微软雅黑"/>
          <w:b/>
          <w:color w:val="auto"/>
          <w:highlight w:val="none"/>
        </w:rPr>
      </w:pPr>
      <w:r>
        <w:rPr>
          <w:rFonts w:hint="eastAsia" w:ascii="宋体" w:hAnsi="宋体" w:cs="微软雅黑"/>
          <w:b/>
          <w:color w:val="auto"/>
          <w:highlight w:val="none"/>
        </w:rPr>
        <w:br w:type="page"/>
      </w:r>
    </w:p>
    <w:p>
      <w:pPr>
        <w:spacing w:line="360" w:lineRule="auto"/>
        <w:rPr>
          <w:rFonts w:ascii="宋体" w:hAnsi="宋体" w:cs="微软雅黑"/>
          <w:b/>
          <w:color w:val="auto"/>
          <w:highlight w:val="none"/>
        </w:rPr>
      </w:pPr>
      <w:r>
        <w:rPr>
          <w:rFonts w:hint="eastAsia" w:ascii="宋体" w:hAnsi="宋体" w:cs="微软雅黑"/>
          <w:b/>
          <w:color w:val="auto"/>
          <w:highlight w:val="none"/>
        </w:rPr>
        <w:t>附件一：中小企业声明函格式</w:t>
      </w:r>
    </w:p>
    <w:p>
      <w:pPr>
        <w:pStyle w:val="24"/>
        <w:spacing w:line="360" w:lineRule="auto"/>
        <w:jc w:val="center"/>
        <w:rPr>
          <w:color w:val="auto"/>
          <w:sz w:val="32"/>
          <w:szCs w:val="32"/>
          <w:highlight w:val="none"/>
        </w:rPr>
      </w:pPr>
      <w:r>
        <w:rPr>
          <w:rStyle w:val="31"/>
          <w:rFonts w:hint="eastAsia"/>
          <w:color w:val="auto"/>
          <w:sz w:val="32"/>
          <w:szCs w:val="32"/>
          <w:highlight w:val="none"/>
        </w:rPr>
        <w:t>中小企业声明函</w:t>
      </w:r>
    </w:p>
    <w:p>
      <w:pPr>
        <w:pStyle w:val="24"/>
        <w:spacing w:line="360" w:lineRule="auto"/>
        <w:rPr>
          <w:color w:val="auto"/>
          <w:highlight w:val="none"/>
        </w:rPr>
      </w:pPr>
      <w:r>
        <w:rPr>
          <w:rFonts w:hint="eastAsia"/>
          <w:color w:val="auto"/>
          <w:highlight w:val="none"/>
        </w:rPr>
        <w:t>　　本公司郑重声明，根据《政府采购促进中小企业发展暂行办法》（财库〔2011〕181号）的规定，本公司为______（请填写：中型、小型、微型）企业。即，本公司同时满足以下条件：</w:t>
      </w:r>
    </w:p>
    <w:p>
      <w:pPr>
        <w:pStyle w:val="24"/>
        <w:spacing w:line="360" w:lineRule="auto"/>
        <w:rPr>
          <w:color w:val="auto"/>
          <w:highlight w:val="none"/>
        </w:rPr>
      </w:pPr>
      <w:r>
        <w:rPr>
          <w:rFonts w:hint="eastAsia"/>
          <w:color w:val="auto"/>
          <w:highlight w:val="none"/>
        </w:rPr>
        <w:t>　　1.根据</w:t>
      </w:r>
      <w:r>
        <w:rPr>
          <w:color w:val="auto"/>
          <w:highlight w:val="none"/>
        </w:rPr>
        <w:t>国家统计局关于印发《统计上大中小微型企业划分办法（2017）》的通知</w:t>
      </w:r>
      <w:r>
        <w:rPr>
          <w:rFonts w:hint="eastAsia"/>
          <w:color w:val="auto"/>
          <w:highlight w:val="none"/>
        </w:rPr>
        <w:t>规定的划分标准，本公司为______（请填写：中型、小型、微型）企业。</w:t>
      </w:r>
    </w:p>
    <w:p>
      <w:pPr>
        <w:pStyle w:val="24"/>
        <w:spacing w:line="360" w:lineRule="auto"/>
        <w:rPr>
          <w:color w:val="auto"/>
          <w:highlight w:val="none"/>
        </w:rPr>
      </w:pPr>
      <w:r>
        <w:rPr>
          <w:rFonts w:hint="eastAsia"/>
          <w:color w:val="auto"/>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4"/>
        <w:spacing w:line="360" w:lineRule="auto"/>
        <w:rPr>
          <w:color w:val="auto"/>
          <w:highlight w:val="none"/>
        </w:rPr>
      </w:pPr>
      <w:r>
        <w:rPr>
          <w:rFonts w:hint="eastAsia"/>
          <w:color w:val="auto"/>
          <w:highlight w:val="none"/>
        </w:rPr>
        <w:t>　　本公司对上述声明的真实性负责。如有虚假，将依法承担相应责任。</w:t>
      </w:r>
    </w:p>
    <w:p>
      <w:pPr>
        <w:pStyle w:val="24"/>
        <w:spacing w:line="360" w:lineRule="auto"/>
        <w:rPr>
          <w:color w:val="auto"/>
          <w:highlight w:val="none"/>
        </w:rPr>
      </w:pPr>
      <w:r>
        <w:rPr>
          <w:rFonts w:hint="eastAsia"/>
          <w:color w:val="auto"/>
          <w:highlight w:val="none"/>
        </w:rPr>
        <w:t>　　企业名称（盖章）：</w:t>
      </w:r>
    </w:p>
    <w:p>
      <w:pPr>
        <w:pStyle w:val="24"/>
        <w:spacing w:line="360" w:lineRule="auto"/>
        <w:rPr>
          <w:color w:val="auto"/>
          <w:highlight w:val="none"/>
        </w:rPr>
      </w:pPr>
      <w:r>
        <w:rPr>
          <w:rFonts w:hint="eastAsia"/>
          <w:color w:val="auto"/>
          <w:highlight w:val="none"/>
        </w:rPr>
        <w:t>　　日   期：　　</w:t>
      </w:r>
    </w:p>
    <w:p>
      <w:pPr>
        <w:spacing w:line="360" w:lineRule="auto"/>
        <w:rPr>
          <w:rFonts w:asciiTheme="minorEastAsia" w:hAnsiTheme="minorEastAsia"/>
          <w:color w:val="auto"/>
          <w:szCs w:val="24"/>
          <w:highlight w:val="none"/>
        </w:rPr>
      </w:pPr>
    </w:p>
    <w:p>
      <w:pPr>
        <w:spacing w:line="360" w:lineRule="auto"/>
        <w:rPr>
          <w:rFonts w:asciiTheme="minorEastAsia" w:hAnsiTheme="minorEastAsia"/>
          <w:color w:val="auto"/>
          <w:szCs w:val="24"/>
          <w:highlight w:val="none"/>
        </w:rPr>
      </w:pPr>
      <w:r>
        <w:rPr>
          <w:rFonts w:asciiTheme="minorEastAsia" w:hAnsiTheme="minorEastAsia"/>
          <w:color w:val="auto"/>
          <w:szCs w:val="24"/>
          <w:highlight w:val="none"/>
        </w:rPr>
        <w:br w:type="page"/>
      </w:r>
    </w:p>
    <w:p>
      <w:pPr>
        <w:adjustRightInd w:val="0"/>
        <w:spacing w:line="360" w:lineRule="auto"/>
        <w:rPr>
          <w:rFonts w:ascii="宋体" w:hAnsi="宋体" w:cs="微软雅黑"/>
          <w:b/>
          <w:color w:val="auto"/>
          <w:highlight w:val="none"/>
        </w:rPr>
      </w:pPr>
      <w:r>
        <w:rPr>
          <w:rFonts w:hint="eastAsia" w:ascii="宋体" w:hAnsi="宋体" w:cs="微软雅黑"/>
          <w:b/>
          <w:color w:val="auto"/>
          <w:highlight w:val="none"/>
        </w:rPr>
        <w:t>附件</w:t>
      </w:r>
      <w:r>
        <w:rPr>
          <w:rFonts w:hint="eastAsia" w:ascii="宋体" w:hAnsi="宋体" w:cs="微软雅黑"/>
          <w:b/>
          <w:color w:val="auto"/>
          <w:highlight w:val="none"/>
          <w:lang w:eastAsia="zh-CN"/>
        </w:rPr>
        <w:t>二</w:t>
      </w:r>
      <w:r>
        <w:rPr>
          <w:rFonts w:hint="eastAsia" w:ascii="宋体" w:hAnsi="宋体" w:cs="微软雅黑"/>
          <w:b/>
          <w:color w:val="auto"/>
          <w:highlight w:val="none"/>
        </w:rPr>
        <w:t>、无重大违法记录声明格式</w:t>
      </w:r>
    </w:p>
    <w:p>
      <w:pPr>
        <w:spacing w:line="360" w:lineRule="auto"/>
        <w:jc w:val="center"/>
        <w:rPr>
          <w:rFonts w:ascii="宋体" w:hAnsi="宋体" w:cs="微软雅黑"/>
          <w:color w:val="auto"/>
          <w:highlight w:val="none"/>
        </w:rPr>
      </w:pPr>
      <w:r>
        <w:rPr>
          <w:rFonts w:hint="eastAsia" w:ascii="宋体" w:hAnsi="宋体" w:cs="微软雅黑"/>
          <w:color w:val="auto"/>
          <w:highlight w:val="none"/>
        </w:rPr>
        <w:t>无重大违法记录声明</w:t>
      </w:r>
    </w:p>
    <w:p>
      <w:pPr>
        <w:spacing w:line="360" w:lineRule="auto"/>
        <w:rPr>
          <w:rFonts w:ascii="宋体" w:hAnsi="宋体" w:cs="微软雅黑"/>
          <w:color w:val="auto"/>
          <w:highlight w:val="none"/>
        </w:rPr>
      </w:pPr>
      <w:r>
        <w:rPr>
          <w:rFonts w:hint="eastAsia" w:ascii="宋体" w:hAnsi="宋体" w:cs="微软雅黑"/>
          <w:color w:val="auto"/>
          <w:highlight w:val="none"/>
          <w:lang w:eastAsia="zh-CN"/>
        </w:rPr>
        <w:t>南京淳衡工程项目管理有限公司</w:t>
      </w:r>
      <w:r>
        <w:rPr>
          <w:rFonts w:hint="eastAsia" w:ascii="宋体" w:hAnsi="宋体" w:cs="微软雅黑"/>
          <w:color w:val="auto"/>
          <w:highlight w:val="none"/>
        </w:rPr>
        <w:t>：</w:t>
      </w:r>
    </w:p>
    <w:p>
      <w:pPr>
        <w:spacing w:line="360" w:lineRule="auto"/>
        <w:ind w:firstLine="420"/>
        <w:rPr>
          <w:rFonts w:ascii="宋体" w:hAnsi="宋体" w:cs="微软雅黑"/>
          <w:color w:val="auto"/>
          <w:highlight w:val="none"/>
        </w:rPr>
      </w:pPr>
      <w:r>
        <w:rPr>
          <w:rFonts w:hint="eastAsia" w:ascii="宋体" w:hAnsi="宋体" w:cs="微软雅黑"/>
          <w:color w:val="auto"/>
          <w:highlight w:val="none"/>
        </w:rPr>
        <w:t>我单位</w:t>
      </w:r>
      <w:r>
        <w:rPr>
          <w:rFonts w:hint="eastAsia" w:ascii="宋体" w:hAnsi="宋体" w:cs="微软雅黑"/>
          <w:color w:val="auto"/>
          <w:highlight w:val="none"/>
          <w:u w:val="single"/>
        </w:rPr>
        <w:t xml:space="preserve">   </w:t>
      </w:r>
      <w:r>
        <w:rPr>
          <w:rFonts w:hint="eastAsia" w:ascii="宋体" w:hAnsi="宋体" w:cs="微软雅黑"/>
          <w:color w:val="auto"/>
          <w:highlight w:val="none"/>
          <w:u w:val="single"/>
          <w:lang w:val="en-US" w:eastAsia="zh-CN"/>
        </w:rPr>
        <w:t xml:space="preserve">   </w:t>
      </w:r>
      <w:r>
        <w:rPr>
          <w:rFonts w:hint="eastAsia" w:ascii="宋体" w:hAnsi="宋体" w:cs="微软雅黑"/>
          <w:color w:val="auto"/>
          <w:highlight w:val="none"/>
          <w:u w:val="single"/>
        </w:rPr>
        <w:t xml:space="preserve">  </w:t>
      </w:r>
      <w:r>
        <w:rPr>
          <w:rFonts w:hint="eastAsia" w:ascii="宋体" w:hAnsi="宋体" w:cs="微软雅黑"/>
          <w:color w:val="auto"/>
          <w:highlight w:val="none"/>
        </w:rPr>
        <w:t>（供应商名称）郑重声明：</w:t>
      </w:r>
    </w:p>
    <w:p>
      <w:pPr>
        <w:spacing w:line="360" w:lineRule="auto"/>
        <w:ind w:firstLine="420"/>
        <w:rPr>
          <w:rFonts w:ascii="宋体" w:hAnsi="宋体" w:cs="微软雅黑"/>
          <w:color w:val="auto"/>
          <w:highlight w:val="none"/>
        </w:rPr>
      </w:pPr>
      <w:r>
        <w:rPr>
          <w:rFonts w:hint="eastAsia" w:ascii="宋体" w:hAnsi="宋体" w:cs="微软雅黑"/>
          <w:color w:val="auto"/>
          <w:highlight w:val="none"/>
        </w:rPr>
        <w:t>参加政府采购活动前3年内在经营活动中</w:t>
      </w:r>
      <w:r>
        <w:rPr>
          <w:rFonts w:hint="eastAsia" w:ascii="宋体" w:hAnsi="宋体" w:cs="微软雅黑"/>
          <w:color w:val="auto"/>
          <w:highlight w:val="none"/>
          <w:u w:val="single"/>
        </w:rPr>
        <w:t xml:space="preserve"> </w:t>
      </w:r>
      <w:r>
        <w:rPr>
          <w:rFonts w:hint="eastAsia" w:ascii="宋体" w:hAnsi="宋体" w:cs="微软雅黑"/>
          <w:color w:val="auto"/>
          <w:highlight w:val="none"/>
          <w:u w:val="single"/>
          <w:lang w:val="en-US" w:eastAsia="zh-CN"/>
        </w:rPr>
        <w:t xml:space="preserve">   </w:t>
      </w:r>
      <w:r>
        <w:rPr>
          <w:rFonts w:hint="eastAsia" w:ascii="宋体" w:hAnsi="宋体" w:cs="微软雅黑"/>
          <w:color w:val="auto"/>
          <w:highlight w:val="none"/>
          <w:u w:val="single"/>
        </w:rPr>
        <w:t xml:space="preserve">    </w:t>
      </w:r>
      <w:r>
        <w:rPr>
          <w:rFonts w:hint="eastAsia" w:ascii="宋体" w:hAnsi="宋体" w:cs="微软雅黑"/>
          <w:color w:val="auto"/>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pPr>
        <w:spacing w:line="360" w:lineRule="auto"/>
        <w:ind w:firstLine="420"/>
        <w:rPr>
          <w:rFonts w:ascii="宋体" w:hAnsi="宋体" w:cs="微软雅黑"/>
          <w:color w:val="auto"/>
          <w:highlight w:val="none"/>
        </w:rPr>
      </w:pPr>
      <w:r>
        <w:rPr>
          <w:rFonts w:hint="eastAsia" w:ascii="宋体" w:hAnsi="宋体" w:cs="微软雅黑"/>
          <w:color w:val="auto"/>
          <w:highlight w:val="none"/>
        </w:rPr>
        <w:t xml:space="preserve">                            声明人： </w:t>
      </w:r>
      <w:r>
        <w:rPr>
          <w:rFonts w:hint="eastAsia" w:ascii="宋体" w:hAnsi="宋体" w:cs="微软雅黑"/>
          <w:color w:val="auto"/>
          <w:highlight w:val="none"/>
          <w:u w:val="single"/>
          <w:lang w:val="en-US" w:eastAsia="zh-CN"/>
        </w:rPr>
        <w:t xml:space="preserve">                         </w:t>
      </w:r>
      <w:r>
        <w:rPr>
          <w:rFonts w:hint="eastAsia" w:ascii="宋体" w:hAnsi="宋体" w:cs="微软雅黑"/>
          <w:color w:val="auto"/>
          <w:highlight w:val="none"/>
        </w:rPr>
        <w:t>（公章）</w:t>
      </w:r>
    </w:p>
    <w:p>
      <w:pPr>
        <w:spacing w:line="360" w:lineRule="auto"/>
        <w:ind w:firstLine="420"/>
        <w:rPr>
          <w:rFonts w:ascii="宋体" w:hAnsi="宋体" w:cs="微软雅黑"/>
          <w:color w:val="auto"/>
          <w:highlight w:val="none"/>
        </w:rPr>
      </w:pPr>
    </w:p>
    <w:p>
      <w:pPr>
        <w:spacing w:line="360" w:lineRule="auto"/>
        <w:rPr>
          <w:rFonts w:ascii="宋体" w:hAnsi="宋体" w:cs="微软雅黑"/>
          <w:b/>
          <w:color w:val="auto"/>
          <w:highlight w:val="none"/>
        </w:rPr>
      </w:pPr>
      <w:r>
        <w:rPr>
          <w:rFonts w:hint="eastAsia" w:ascii="宋体" w:hAnsi="宋体" w:cs="微软雅黑"/>
          <w:b/>
          <w:color w:val="auto"/>
          <w:highlight w:val="none"/>
        </w:rPr>
        <w:t>附件</w:t>
      </w:r>
      <w:r>
        <w:rPr>
          <w:rFonts w:hint="eastAsia" w:ascii="宋体" w:hAnsi="宋体" w:cs="微软雅黑"/>
          <w:b/>
          <w:color w:val="auto"/>
          <w:highlight w:val="none"/>
          <w:lang w:eastAsia="zh-CN"/>
        </w:rPr>
        <w:t>三</w:t>
      </w:r>
      <w:r>
        <w:rPr>
          <w:rFonts w:hint="eastAsia" w:ascii="宋体" w:hAnsi="宋体" w:cs="微软雅黑"/>
          <w:b/>
          <w:color w:val="auto"/>
          <w:highlight w:val="none"/>
        </w:rPr>
        <w:t>、具备履行合同所必需的设备和专业技术能力的声明格式及证明材料</w:t>
      </w:r>
    </w:p>
    <w:p>
      <w:pPr>
        <w:spacing w:line="360" w:lineRule="auto"/>
        <w:jc w:val="center"/>
        <w:rPr>
          <w:rFonts w:ascii="宋体" w:hAnsi="宋体" w:cs="微软雅黑"/>
          <w:color w:val="auto"/>
          <w:highlight w:val="none"/>
        </w:rPr>
      </w:pPr>
      <w:r>
        <w:rPr>
          <w:rFonts w:hint="eastAsia" w:ascii="宋体" w:hAnsi="宋体" w:cs="微软雅黑"/>
          <w:color w:val="auto"/>
          <w:highlight w:val="none"/>
        </w:rPr>
        <w:t>具备履行合同所必需的设备和专业技术能力的声明格式</w:t>
      </w:r>
    </w:p>
    <w:p>
      <w:pPr>
        <w:spacing w:line="360" w:lineRule="auto"/>
        <w:rPr>
          <w:rFonts w:ascii="宋体" w:hAnsi="宋体" w:cs="微软雅黑"/>
          <w:color w:val="auto"/>
          <w:highlight w:val="none"/>
        </w:rPr>
      </w:pPr>
      <w:r>
        <w:rPr>
          <w:rFonts w:hint="eastAsia" w:ascii="宋体" w:hAnsi="宋体" w:cs="微软雅黑"/>
          <w:color w:val="auto"/>
          <w:highlight w:val="none"/>
          <w:lang w:eastAsia="zh-CN"/>
        </w:rPr>
        <w:t>南京淳衡工程项目管理有限公司</w:t>
      </w:r>
      <w:r>
        <w:rPr>
          <w:rFonts w:hint="eastAsia" w:ascii="宋体" w:hAnsi="宋体" w:cs="微软雅黑"/>
          <w:color w:val="auto"/>
          <w:highlight w:val="none"/>
        </w:rPr>
        <w:t>：</w:t>
      </w:r>
    </w:p>
    <w:p>
      <w:pPr>
        <w:spacing w:line="360" w:lineRule="auto"/>
        <w:ind w:firstLine="492"/>
        <w:rPr>
          <w:rFonts w:ascii="宋体" w:hAnsi="宋体" w:cs="微软雅黑"/>
          <w:color w:val="auto"/>
          <w:highlight w:val="none"/>
        </w:rPr>
      </w:pPr>
      <w:r>
        <w:rPr>
          <w:rFonts w:hint="eastAsia" w:ascii="宋体" w:hAnsi="宋体" w:cs="微软雅黑"/>
          <w:color w:val="auto"/>
          <w:highlight w:val="none"/>
        </w:rPr>
        <w:t>我单位</w:t>
      </w:r>
      <w:r>
        <w:rPr>
          <w:rFonts w:hint="eastAsia" w:ascii="宋体" w:hAnsi="宋体" w:cs="微软雅黑"/>
          <w:color w:val="auto"/>
          <w:highlight w:val="none"/>
          <w:u w:val="single"/>
        </w:rPr>
        <w:t xml:space="preserve">       </w:t>
      </w:r>
      <w:r>
        <w:rPr>
          <w:rFonts w:hint="eastAsia" w:ascii="宋体" w:hAnsi="宋体" w:cs="微软雅黑"/>
          <w:color w:val="auto"/>
          <w:highlight w:val="none"/>
        </w:rPr>
        <w:t>（供应商名称）郑重声明：我公司具备履行本项采购合同所必需的设备和专业技术能力，为履行本项采购合同我单位具备如下主要设备和主要专业技术能力：</w:t>
      </w:r>
    </w:p>
    <w:p>
      <w:pPr>
        <w:spacing w:line="360" w:lineRule="auto"/>
        <w:ind w:firstLine="492"/>
        <w:rPr>
          <w:rFonts w:ascii="宋体" w:hAnsi="宋体" w:cs="微软雅黑"/>
          <w:color w:val="auto"/>
          <w:highlight w:val="none"/>
        </w:rPr>
      </w:pPr>
      <w:r>
        <w:rPr>
          <w:rFonts w:hint="eastAsia" w:ascii="宋体" w:hAnsi="宋体" w:cs="微软雅黑"/>
          <w:color w:val="auto"/>
          <w:highlight w:val="none"/>
        </w:rPr>
        <w:t>主要设备有：</w:t>
      </w:r>
      <w:r>
        <w:rPr>
          <w:rFonts w:hint="eastAsia" w:ascii="宋体" w:hAnsi="宋体" w:cs="微软雅黑"/>
          <w:color w:val="auto"/>
          <w:highlight w:val="none"/>
          <w:u w:val="single"/>
        </w:rPr>
        <w:t xml:space="preserve">       </w:t>
      </w:r>
      <w:r>
        <w:rPr>
          <w:rFonts w:hint="eastAsia" w:ascii="宋体" w:hAnsi="宋体" w:cs="微软雅黑"/>
          <w:color w:val="auto"/>
          <w:highlight w:val="none"/>
        </w:rPr>
        <w:t xml:space="preserve"> 。( 若有 )</w:t>
      </w:r>
    </w:p>
    <w:p>
      <w:pPr>
        <w:spacing w:line="360" w:lineRule="auto"/>
        <w:ind w:firstLine="492"/>
        <w:rPr>
          <w:rFonts w:ascii="宋体" w:hAnsi="宋体" w:cs="微软雅黑"/>
          <w:color w:val="auto"/>
          <w:highlight w:val="none"/>
        </w:rPr>
      </w:pPr>
      <w:r>
        <w:rPr>
          <w:rFonts w:hint="eastAsia" w:ascii="宋体" w:hAnsi="宋体" w:cs="微软雅黑"/>
          <w:color w:val="auto"/>
          <w:highlight w:val="none"/>
        </w:rPr>
        <w:t>主要专业技术能力有：</w:t>
      </w:r>
      <w:r>
        <w:rPr>
          <w:rFonts w:hint="eastAsia" w:ascii="宋体" w:hAnsi="宋体" w:cs="微软雅黑"/>
          <w:color w:val="auto"/>
          <w:highlight w:val="none"/>
          <w:u w:val="single"/>
        </w:rPr>
        <w:t xml:space="preserve">       </w:t>
      </w:r>
      <w:r>
        <w:rPr>
          <w:rFonts w:hint="eastAsia" w:ascii="宋体" w:hAnsi="宋体" w:cs="微软雅黑"/>
          <w:color w:val="auto"/>
          <w:highlight w:val="none"/>
        </w:rPr>
        <w:t xml:space="preserve"> 。( 若有 )</w:t>
      </w:r>
    </w:p>
    <w:p>
      <w:pPr>
        <w:spacing w:line="360" w:lineRule="auto"/>
        <w:rPr>
          <w:rFonts w:ascii="宋体" w:hAnsi="宋体" w:cs="微软雅黑"/>
          <w:color w:val="auto"/>
          <w:highlight w:val="none"/>
        </w:rPr>
      </w:pPr>
      <w:r>
        <w:rPr>
          <w:rFonts w:hint="eastAsia" w:ascii="宋体" w:hAnsi="宋体" w:cs="微软雅黑"/>
          <w:color w:val="auto"/>
          <w:highlight w:val="none"/>
        </w:rPr>
        <w:t xml:space="preserve">                                      </w:t>
      </w:r>
    </w:p>
    <w:p>
      <w:pPr>
        <w:spacing w:line="360" w:lineRule="auto"/>
        <w:rPr>
          <w:rFonts w:ascii="宋体" w:hAnsi="宋体" w:cs="微软雅黑"/>
          <w:color w:val="auto"/>
          <w:highlight w:val="none"/>
        </w:rPr>
      </w:pPr>
    </w:p>
    <w:p>
      <w:pPr>
        <w:spacing w:line="360" w:lineRule="auto"/>
        <w:ind w:left="4840" w:hanging="4840" w:hangingChars="2200"/>
        <w:rPr>
          <w:rFonts w:ascii="宋体" w:hAnsi="宋体" w:cs="微软雅黑"/>
          <w:color w:val="auto"/>
          <w:highlight w:val="none"/>
        </w:rPr>
      </w:pPr>
      <w:r>
        <w:rPr>
          <w:rFonts w:hint="eastAsia" w:ascii="宋体" w:hAnsi="宋体" w:cs="微软雅黑"/>
          <w:color w:val="auto"/>
          <w:highlight w:val="none"/>
        </w:rPr>
        <w:t xml:space="preserve">                                           声明人：（公章）</w:t>
      </w:r>
      <w:r>
        <w:rPr>
          <w:rFonts w:hint="eastAsia" w:ascii="宋体" w:hAnsi="宋体" w:cs="微软雅黑"/>
          <w:color w:val="auto"/>
          <w:highlight w:val="none"/>
          <w:u w:val="single"/>
          <w:lang w:val="en-US" w:eastAsia="zh-CN"/>
        </w:rPr>
        <w:t xml:space="preserve">                       </w:t>
      </w:r>
      <w:r>
        <w:rPr>
          <w:rFonts w:hint="eastAsia" w:ascii="宋体" w:hAnsi="宋体" w:cs="微软雅黑"/>
          <w:color w:val="auto"/>
          <w:highlight w:val="none"/>
        </w:rPr>
        <w:t xml:space="preserve">                                    </w:t>
      </w:r>
      <w:r>
        <w:rPr>
          <w:rFonts w:hint="eastAsia" w:ascii="宋体" w:hAnsi="宋体" w:cs="微软雅黑"/>
          <w:color w:val="auto"/>
          <w:highlight w:val="none"/>
          <w:lang w:val="en-US" w:eastAsia="zh-CN"/>
        </w:rPr>
        <w:t xml:space="preserve">      </w:t>
      </w:r>
      <w:r>
        <w:rPr>
          <w:rFonts w:hint="eastAsia" w:ascii="宋体" w:hAnsi="宋体" w:cs="微软雅黑"/>
          <w:color w:val="auto"/>
          <w:highlight w:val="none"/>
        </w:rPr>
        <w:t xml:space="preserve"> 日期：      年     月     日</w:t>
      </w:r>
    </w:p>
    <w:p>
      <w:pPr>
        <w:spacing w:line="360" w:lineRule="auto"/>
        <w:rPr>
          <w:rFonts w:asciiTheme="minorEastAsia" w:hAnsiTheme="minorEastAsia"/>
          <w:color w:val="auto"/>
          <w:szCs w:val="24"/>
          <w:highlight w:val="none"/>
        </w:rPr>
      </w:pPr>
    </w:p>
    <w:p>
      <w:pPr>
        <w:spacing w:line="360" w:lineRule="auto"/>
        <w:rPr>
          <w:rFonts w:asciiTheme="minorEastAsia" w:hAnsiTheme="minorEastAsia"/>
          <w:color w:val="auto"/>
          <w:szCs w:val="24"/>
          <w:highlight w:val="none"/>
        </w:rPr>
      </w:pPr>
    </w:p>
    <w:p>
      <w:pPr>
        <w:spacing w:line="360" w:lineRule="auto"/>
        <w:rPr>
          <w:rFonts w:asciiTheme="minorEastAsia" w:hAnsiTheme="minorEastAsia"/>
          <w:color w:val="auto"/>
          <w:szCs w:val="24"/>
          <w:highlight w:val="none"/>
        </w:rPr>
      </w:pPr>
    </w:p>
    <w:p>
      <w:pPr>
        <w:spacing w:line="360" w:lineRule="auto"/>
        <w:rPr>
          <w:rFonts w:hint="eastAsia" w:ascii="宋体" w:hAnsi="宋体" w:cs="微软雅黑"/>
          <w:b/>
          <w:color w:val="auto"/>
          <w:highlight w:val="none"/>
        </w:rPr>
      </w:pPr>
      <w:r>
        <w:rPr>
          <w:rFonts w:hint="eastAsia" w:ascii="宋体" w:hAnsi="宋体" w:cs="微软雅黑"/>
          <w:b/>
          <w:color w:val="auto"/>
          <w:highlight w:val="none"/>
          <w:lang w:eastAsia="zh-CN"/>
        </w:rPr>
        <w:t>附件四：</w:t>
      </w:r>
      <w:r>
        <w:rPr>
          <w:rFonts w:hint="eastAsia" w:ascii="宋体" w:hAnsi="宋体" w:cs="微软雅黑"/>
          <w:b/>
          <w:color w:val="auto"/>
          <w:highlight w:val="none"/>
        </w:rPr>
        <w:t>其他供应商认为有必要提供的文件资料</w:t>
      </w:r>
    </w:p>
    <w:p>
      <w:pPr>
        <w:spacing w:line="360" w:lineRule="auto"/>
        <w:rPr>
          <w:rFonts w:ascii="宋体" w:hAnsi="宋体" w:cs="微软雅黑"/>
          <w:b/>
          <w:color w:val="auto"/>
          <w:highlight w:val="none"/>
        </w:rPr>
      </w:pPr>
    </w:p>
    <w:sectPr>
      <w:pgSz w:w="12240" w:h="15840"/>
      <w:pgMar w:top="1440" w:right="1080" w:bottom="1440" w:left="1080" w:header="0" w:footer="0" w:gutter="0"/>
      <w:cols w:equalWidth="0" w:num="1">
        <w:col w:w="104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1"/>
        <w:szCs w:val="21"/>
      </w:rPr>
    </w:pPr>
    <w:r>
      <w:rPr>
        <w:sz w:val="21"/>
      </w:rPr>
      <w:pict>
        <v:shape id="_x0000_s1026" o:spid="_x0000_s1026" o:spt="202" type="#_x0000_t202" style="position:absolute;left:0pt;margin-left:349.75pt;margin-top:-0.95pt;height:12.6pt;width:90.15pt;mso-position-horizontal-relative:margin;z-index:251659264;mso-width-relative:page;mso-height-relative:page;" filled="f" stroked="f" coordsize="21600,21600" o:gfxdata="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IvE72QAAAAkB&#10;AAAPAAAAAAAAAAEAIAAAACIAAABkcnMvZG93bnJldi54bWxQSwECFAAUAAAACACHTuJAHMQeFKgB&#10;AAAuAwAADgAAAAAAAAABACAAAAAoAQAAZHJzL2Uyb0RvYy54bWxQSwUGAAAAAAYABgBZAQAAQgUA&#10;AAAA&#10;">
          <v:path/>
          <v:fill on="f" focussize="0,0"/>
          <v:stroke on="f" weight="1.25pt" joinstyle="miter"/>
          <v:imagedata o:title=""/>
          <o:lock v:ext="edit"/>
          <v:textbox inset="0mm,0mm,0mm,0mm">
            <w:txbxContent>
              <w:p>
                <w:pPr>
                  <w:pStyle w:val="18"/>
                  <w:rPr>
                    <w:rFonts w:eastAsia="宋体"/>
                  </w:rPr>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ED43A"/>
    <w:multiLevelType w:val="singleLevel"/>
    <w:tmpl w:val="800ED43A"/>
    <w:lvl w:ilvl="0" w:tentative="0">
      <w:start w:val="6"/>
      <w:numFmt w:val="chineseCounting"/>
      <w:suff w:val="space"/>
      <w:lvlText w:val="第%1章"/>
      <w:lvlJc w:val="left"/>
      <w:rPr>
        <w:rFonts w:hint="eastAsia"/>
      </w:rPr>
    </w:lvl>
  </w:abstractNum>
  <w:abstractNum w:abstractNumId="1">
    <w:nsid w:val="BAE7AAB5"/>
    <w:multiLevelType w:val="singleLevel"/>
    <w:tmpl w:val="BAE7AAB5"/>
    <w:lvl w:ilvl="0" w:tentative="0">
      <w:start w:val="1"/>
      <w:numFmt w:val="chineseCounting"/>
      <w:suff w:val="nothing"/>
      <w:lvlText w:val="%1、"/>
      <w:lvlJc w:val="left"/>
      <w:rPr>
        <w:rFonts w:hint="eastAsia"/>
      </w:rPr>
    </w:lvl>
  </w:abstractNum>
  <w:abstractNum w:abstractNumId="2">
    <w:nsid w:val="F862D4F3"/>
    <w:multiLevelType w:val="singleLevel"/>
    <w:tmpl w:val="F862D4F3"/>
    <w:lvl w:ilvl="0" w:tentative="0">
      <w:start w:val="2"/>
      <w:numFmt w:val="chineseCounting"/>
      <w:suff w:val="space"/>
      <w:lvlText w:val="第%1章"/>
      <w:lvlJc w:val="left"/>
      <w:rPr>
        <w:rFonts w:hint="eastAsia"/>
      </w:rPr>
    </w:lvl>
  </w:abstractNum>
  <w:abstractNum w:abstractNumId="3">
    <w:nsid w:val="05CD91BC"/>
    <w:multiLevelType w:val="singleLevel"/>
    <w:tmpl w:val="05CD91BC"/>
    <w:lvl w:ilvl="0" w:tentative="0">
      <w:start w:val="1"/>
      <w:numFmt w:val="chineseCounting"/>
      <w:suff w:val="nothing"/>
      <w:lvlText w:val="（%1）"/>
      <w:lvlJc w:val="left"/>
      <w:rPr>
        <w:rFonts w:hint="eastAsia"/>
      </w:rPr>
    </w:lvl>
  </w:abstractNum>
  <w:abstractNum w:abstractNumId="4">
    <w:nsid w:val="07F97D18"/>
    <w:multiLevelType w:val="singleLevel"/>
    <w:tmpl w:val="07F97D18"/>
    <w:lvl w:ilvl="0" w:tentative="0">
      <w:start w:val="1"/>
      <w:numFmt w:val="upperLetter"/>
      <w:pStyle w:val="6"/>
      <w:lvlText w:val="%1．"/>
      <w:lvlJc w:val="left"/>
      <w:pPr>
        <w:tabs>
          <w:tab w:val="left" w:pos="480"/>
        </w:tabs>
        <w:ind w:left="412" w:hanging="480"/>
      </w:pPr>
      <w:rPr>
        <w:rFonts w:hint="eastAsia"/>
      </w:rPr>
    </w:lvl>
  </w:abstractNum>
  <w:abstractNum w:abstractNumId="5">
    <w:nsid w:val="68BD9A1E"/>
    <w:multiLevelType w:val="singleLevel"/>
    <w:tmpl w:val="68BD9A1E"/>
    <w:lvl w:ilvl="0" w:tentative="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5550"/>
    <w:rsid w:val="0000086C"/>
    <w:rsid w:val="000061B4"/>
    <w:rsid w:val="000205F2"/>
    <w:rsid w:val="00020FA2"/>
    <w:rsid w:val="0002119D"/>
    <w:rsid w:val="0002782E"/>
    <w:rsid w:val="00027BA4"/>
    <w:rsid w:val="00067326"/>
    <w:rsid w:val="00086DE9"/>
    <w:rsid w:val="000929F1"/>
    <w:rsid w:val="000A2542"/>
    <w:rsid w:val="000A2E02"/>
    <w:rsid w:val="000C3DB7"/>
    <w:rsid w:val="000D2E11"/>
    <w:rsid w:val="000D6FAB"/>
    <w:rsid w:val="000E19E2"/>
    <w:rsid w:val="000E5143"/>
    <w:rsid w:val="000E5B4C"/>
    <w:rsid w:val="000E6250"/>
    <w:rsid w:val="000E639D"/>
    <w:rsid w:val="001001A6"/>
    <w:rsid w:val="00107050"/>
    <w:rsid w:val="00107D62"/>
    <w:rsid w:val="001203AD"/>
    <w:rsid w:val="00122B10"/>
    <w:rsid w:val="001241D2"/>
    <w:rsid w:val="00133D54"/>
    <w:rsid w:val="001373C3"/>
    <w:rsid w:val="00143154"/>
    <w:rsid w:val="00157929"/>
    <w:rsid w:val="00162C2A"/>
    <w:rsid w:val="0016496B"/>
    <w:rsid w:val="00170B83"/>
    <w:rsid w:val="00176106"/>
    <w:rsid w:val="001809E0"/>
    <w:rsid w:val="001849DB"/>
    <w:rsid w:val="00185E64"/>
    <w:rsid w:val="00192EAC"/>
    <w:rsid w:val="00192F7F"/>
    <w:rsid w:val="001A0C3B"/>
    <w:rsid w:val="001A2912"/>
    <w:rsid w:val="001A323F"/>
    <w:rsid w:val="001B1695"/>
    <w:rsid w:val="001B2DBA"/>
    <w:rsid w:val="001B3687"/>
    <w:rsid w:val="001B6172"/>
    <w:rsid w:val="001C3A45"/>
    <w:rsid w:val="001E02E6"/>
    <w:rsid w:val="001E7FF7"/>
    <w:rsid w:val="001F481A"/>
    <w:rsid w:val="001F5875"/>
    <w:rsid w:val="002261B1"/>
    <w:rsid w:val="0022700A"/>
    <w:rsid w:val="00227ACC"/>
    <w:rsid w:val="00235F55"/>
    <w:rsid w:val="002365CE"/>
    <w:rsid w:val="0024016F"/>
    <w:rsid w:val="00240260"/>
    <w:rsid w:val="002406C0"/>
    <w:rsid w:val="00256517"/>
    <w:rsid w:val="0026162C"/>
    <w:rsid w:val="00266FFE"/>
    <w:rsid w:val="00267AAE"/>
    <w:rsid w:val="00272229"/>
    <w:rsid w:val="00281268"/>
    <w:rsid w:val="002850ED"/>
    <w:rsid w:val="00290E5C"/>
    <w:rsid w:val="002B2070"/>
    <w:rsid w:val="002B59BD"/>
    <w:rsid w:val="002C5205"/>
    <w:rsid w:val="00302A1E"/>
    <w:rsid w:val="003101F7"/>
    <w:rsid w:val="00322645"/>
    <w:rsid w:val="0034719B"/>
    <w:rsid w:val="00353D7D"/>
    <w:rsid w:val="003A0CA6"/>
    <w:rsid w:val="003A4D6C"/>
    <w:rsid w:val="003B0B04"/>
    <w:rsid w:val="003D01EA"/>
    <w:rsid w:val="003D04A7"/>
    <w:rsid w:val="003D2F42"/>
    <w:rsid w:val="003E34A0"/>
    <w:rsid w:val="003E4525"/>
    <w:rsid w:val="003F0BF6"/>
    <w:rsid w:val="004007FD"/>
    <w:rsid w:val="00410A54"/>
    <w:rsid w:val="00415873"/>
    <w:rsid w:val="00424AAA"/>
    <w:rsid w:val="00433EAE"/>
    <w:rsid w:val="00440B8F"/>
    <w:rsid w:val="00440C6F"/>
    <w:rsid w:val="0045020C"/>
    <w:rsid w:val="0047050D"/>
    <w:rsid w:val="00483BC7"/>
    <w:rsid w:val="004A293B"/>
    <w:rsid w:val="004B18B7"/>
    <w:rsid w:val="004B3FA8"/>
    <w:rsid w:val="004C0EBD"/>
    <w:rsid w:val="004D0397"/>
    <w:rsid w:val="004D7618"/>
    <w:rsid w:val="004E373D"/>
    <w:rsid w:val="004F3506"/>
    <w:rsid w:val="004F7F7A"/>
    <w:rsid w:val="0050022B"/>
    <w:rsid w:val="00503CEF"/>
    <w:rsid w:val="0051651F"/>
    <w:rsid w:val="00523BA0"/>
    <w:rsid w:val="00533668"/>
    <w:rsid w:val="00545854"/>
    <w:rsid w:val="00550181"/>
    <w:rsid w:val="0056347F"/>
    <w:rsid w:val="005739D7"/>
    <w:rsid w:val="00581189"/>
    <w:rsid w:val="00587118"/>
    <w:rsid w:val="005B342A"/>
    <w:rsid w:val="005C411B"/>
    <w:rsid w:val="005D142F"/>
    <w:rsid w:val="005D1B25"/>
    <w:rsid w:val="005D6EFB"/>
    <w:rsid w:val="006115DD"/>
    <w:rsid w:val="00613E99"/>
    <w:rsid w:val="006230E2"/>
    <w:rsid w:val="0063566D"/>
    <w:rsid w:val="00646676"/>
    <w:rsid w:val="00647CA6"/>
    <w:rsid w:val="00653B9B"/>
    <w:rsid w:val="006656B6"/>
    <w:rsid w:val="006672B1"/>
    <w:rsid w:val="0067775F"/>
    <w:rsid w:val="00681B2D"/>
    <w:rsid w:val="00690BF2"/>
    <w:rsid w:val="006978B8"/>
    <w:rsid w:val="006C1B75"/>
    <w:rsid w:val="006D0944"/>
    <w:rsid w:val="006F1011"/>
    <w:rsid w:val="007023CC"/>
    <w:rsid w:val="0070707C"/>
    <w:rsid w:val="00707E72"/>
    <w:rsid w:val="00711A6F"/>
    <w:rsid w:val="007158D3"/>
    <w:rsid w:val="007161F0"/>
    <w:rsid w:val="00720FCF"/>
    <w:rsid w:val="00722210"/>
    <w:rsid w:val="007379DC"/>
    <w:rsid w:val="00737A14"/>
    <w:rsid w:val="00741C15"/>
    <w:rsid w:val="0075349B"/>
    <w:rsid w:val="007612E1"/>
    <w:rsid w:val="00766337"/>
    <w:rsid w:val="00771511"/>
    <w:rsid w:val="00791F65"/>
    <w:rsid w:val="0079299F"/>
    <w:rsid w:val="007945D1"/>
    <w:rsid w:val="007979A9"/>
    <w:rsid w:val="007A60E4"/>
    <w:rsid w:val="007A6492"/>
    <w:rsid w:val="007D654F"/>
    <w:rsid w:val="007E1A1E"/>
    <w:rsid w:val="007E7500"/>
    <w:rsid w:val="00802DC5"/>
    <w:rsid w:val="008200DE"/>
    <w:rsid w:val="008579D0"/>
    <w:rsid w:val="00857F08"/>
    <w:rsid w:val="00863F0F"/>
    <w:rsid w:val="00867ED1"/>
    <w:rsid w:val="00886001"/>
    <w:rsid w:val="00897D88"/>
    <w:rsid w:val="008A3D8B"/>
    <w:rsid w:val="008A7D7C"/>
    <w:rsid w:val="008C0F6E"/>
    <w:rsid w:val="008E3717"/>
    <w:rsid w:val="0090136B"/>
    <w:rsid w:val="0091015E"/>
    <w:rsid w:val="00910B9E"/>
    <w:rsid w:val="00923ED7"/>
    <w:rsid w:val="00931EEA"/>
    <w:rsid w:val="00936942"/>
    <w:rsid w:val="009379D0"/>
    <w:rsid w:val="00940E88"/>
    <w:rsid w:val="00942494"/>
    <w:rsid w:val="009443E8"/>
    <w:rsid w:val="009465D0"/>
    <w:rsid w:val="00965550"/>
    <w:rsid w:val="00970664"/>
    <w:rsid w:val="009848B1"/>
    <w:rsid w:val="009860F0"/>
    <w:rsid w:val="0099486B"/>
    <w:rsid w:val="00997BD3"/>
    <w:rsid w:val="009A1AF5"/>
    <w:rsid w:val="009A411A"/>
    <w:rsid w:val="009C7069"/>
    <w:rsid w:val="009D2123"/>
    <w:rsid w:val="009D4473"/>
    <w:rsid w:val="009D5515"/>
    <w:rsid w:val="009D574F"/>
    <w:rsid w:val="009E062A"/>
    <w:rsid w:val="009E0B0F"/>
    <w:rsid w:val="009E260D"/>
    <w:rsid w:val="00A0111A"/>
    <w:rsid w:val="00A23DCF"/>
    <w:rsid w:val="00A31052"/>
    <w:rsid w:val="00A32614"/>
    <w:rsid w:val="00A34A37"/>
    <w:rsid w:val="00A45782"/>
    <w:rsid w:val="00A45868"/>
    <w:rsid w:val="00A50D19"/>
    <w:rsid w:val="00A54259"/>
    <w:rsid w:val="00A63958"/>
    <w:rsid w:val="00A86269"/>
    <w:rsid w:val="00A92744"/>
    <w:rsid w:val="00AA47C5"/>
    <w:rsid w:val="00AD4C2A"/>
    <w:rsid w:val="00AD724B"/>
    <w:rsid w:val="00AD7DA3"/>
    <w:rsid w:val="00AE2A17"/>
    <w:rsid w:val="00AE2D04"/>
    <w:rsid w:val="00AE358D"/>
    <w:rsid w:val="00AF293F"/>
    <w:rsid w:val="00AF47D9"/>
    <w:rsid w:val="00B0799E"/>
    <w:rsid w:val="00B12767"/>
    <w:rsid w:val="00B239E0"/>
    <w:rsid w:val="00B30CCE"/>
    <w:rsid w:val="00B508DD"/>
    <w:rsid w:val="00B649C6"/>
    <w:rsid w:val="00B718D3"/>
    <w:rsid w:val="00B75089"/>
    <w:rsid w:val="00B779D6"/>
    <w:rsid w:val="00B8600D"/>
    <w:rsid w:val="00B9781D"/>
    <w:rsid w:val="00BB5221"/>
    <w:rsid w:val="00BC5F30"/>
    <w:rsid w:val="00BD070F"/>
    <w:rsid w:val="00BE1F5D"/>
    <w:rsid w:val="00BE5AF2"/>
    <w:rsid w:val="00BF152F"/>
    <w:rsid w:val="00BF638D"/>
    <w:rsid w:val="00BF67BA"/>
    <w:rsid w:val="00C03B24"/>
    <w:rsid w:val="00C14CB4"/>
    <w:rsid w:val="00C17640"/>
    <w:rsid w:val="00C3525F"/>
    <w:rsid w:val="00C36C24"/>
    <w:rsid w:val="00C402E1"/>
    <w:rsid w:val="00C43EDA"/>
    <w:rsid w:val="00C50862"/>
    <w:rsid w:val="00C5462A"/>
    <w:rsid w:val="00C578CD"/>
    <w:rsid w:val="00C65109"/>
    <w:rsid w:val="00C72645"/>
    <w:rsid w:val="00C7666D"/>
    <w:rsid w:val="00C8695E"/>
    <w:rsid w:val="00C9197B"/>
    <w:rsid w:val="00CA2782"/>
    <w:rsid w:val="00CA2CB1"/>
    <w:rsid w:val="00CA5955"/>
    <w:rsid w:val="00CB74F9"/>
    <w:rsid w:val="00CC144B"/>
    <w:rsid w:val="00CC59D9"/>
    <w:rsid w:val="00CC5CB7"/>
    <w:rsid w:val="00CD62E4"/>
    <w:rsid w:val="00CD7B68"/>
    <w:rsid w:val="00CE56A2"/>
    <w:rsid w:val="00CF7346"/>
    <w:rsid w:val="00D06912"/>
    <w:rsid w:val="00D073C1"/>
    <w:rsid w:val="00D23FAD"/>
    <w:rsid w:val="00D36309"/>
    <w:rsid w:val="00D36CC0"/>
    <w:rsid w:val="00D4194B"/>
    <w:rsid w:val="00D46431"/>
    <w:rsid w:val="00D74484"/>
    <w:rsid w:val="00D81398"/>
    <w:rsid w:val="00D818E3"/>
    <w:rsid w:val="00D90F9F"/>
    <w:rsid w:val="00D961E6"/>
    <w:rsid w:val="00DA3021"/>
    <w:rsid w:val="00DA4E4E"/>
    <w:rsid w:val="00DA740C"/>
    <w:rsid w:val="00DB053A"/>
    <w:rsid w:val="00DB09EC"/>
    <w:rsid w:val="00DB59DF"/>
    <w:rsid w:val="00DC2D49"/>
    <w:rsid w:val="00DD0EBC"/>
    <w:rsid w:val="00DD134C"/>
    <w:rsid w:val="00DD4B69"/>
    <w:rsid w:val="00DD607D"/>
    <w:rsid w:val="00DE3E1F"/>
    <w:rsid w:val="00DF249D"/>
    <w:rsid w:val="00DF77A6"/>
    <w:rsid w:val="00E0573D"/>
    <w:rsid w:val="00E11061"/>
    <w:rsid w:val="00E11D04"/>
    <w:rsid w:val="00E22665"/>
    <w:rsid w:val="00E32226"/>
    <w:rsid w:val="00E45CAB"/>
    <w:rsid w:val="00E53618"/>
    <w:rsid w:val="00E55AC4"/>
    <w:rsid w:val="00E55B3D"/>
    <w:rsid w:val="00E56059"/>
    <w:rsid w:val="00E56D03"/>
    <w:rsid w:val="00E65231"/>
    <w:rsid w:val="00E747C1"/>
    <w:rsid w:val="00E75A82"/>
    <w:rsid w:val="00E77D45"/>
    <w:rsid w:val="00E848F2"/>
    <w:rsid w:val="00EB6A4F"/>
    <w:rsid w:val="00EC0148"/>
    <w:rsid w:val="00ED1582"/>
    <w:rsid w:val="00EE0F87"/>
    <w:rsid w:val="00EE25DA"/>
    <w:rsid w:val="00EF1C78"/>
    <w:rsid w:val="00F017DB"/>
    <w:rsid w:val="00F05298"/>
    <w:rsid w:val="00F055BC"/>
    <w:rsid w:val="00F1373F"/>
    <w:rsid w:val="00F21BCC"/>
    <w:rsid w:val="00F233AE"/>
    <w:rsid w:val="00F3389B"/>
    <w:rsid w:val="00F3518D"/>
    <w:rsid w:val="00F5366B"/>
    <w:rsid w:val="00F62503"/>
    <w:rsid w:val="00F77CEB"/>
    <w:rsid w:val="00F77DD0"/>
    <w:rsid w:val="00F90D6C"/>
    <w:rsid w:val="00F94A03"/>
    <w:rsid w:val="00F96A55"/>
    <w:rsid w:val="00FA0606"/>
    <w:rsid w:val="00FA2FC9"/>
    <w:rsid w:val="00FB2C73"/>
    <w:rsid w:val="00FB6DDE"/>
    <w:rsid w:val="00FB73F6"/>
    <w:rsid w:val="00FC16FC"/>
    <w:rsid w:val="00FC6F51"/>
    <w:rsid w:val="00FD3392"/>
    <w:rsid w:val="00FE3CEC"/>
    <w:rsid w:val="00FE79D9"/>
    <w:rsid w:val="017442FA"/>
    <w:rsid w:val="02006231"/>
    <w:rsid w:val="02984EE5"/>
    <w:rsid w:val="02DD68A9"/>
    <w:rsid w:val="037164FA"/>
    <w:rsid w:val="03A1318A"/>
    <w:rsid w:val="03FB660C"/>
    <w:rsid w:val="04635C6F"/>
    <w:rsid w:val="04E11CA6"/>
    <w:rsid w:val="052E117F"/>
    <w:rsid w:val="053D7FEC"/>
    <w:rsid w:val="059816C4"/>
    <w:rsid w:val="06157AD8"/>
    <w:rsid w:val="06862B05"/>
    <w:rsid w:val="068C63E6"/>
    <w:rsid w:val="06E7040C"/>
    <w:rsid w:val="0767057B"/>
    <w:rsid w:val="07724E37"/>
    <w:rsid w:val="07B172B0"/>
    <w:rsid w:val="07D30480"/>
    <w:rsid w:val="07EA5872"/>
    <w:rsid w:val="08776CAC"/>
    <w:rsid w:val="08840EAA"/>
    <w:rsid w:val="08854A84"/>
    <w:rsid w:val="08AF494A"/>
    <w:rsid w:val="093F0413"/>
    <w:rsid w:val="09B3608E"/>
    <w:rsid w:val="0ADB05E1"/>
    <w:rsid w:val="0AEE57C7"/>
    <w:rsid w:val="0AEF5D5B"/>
    <w:rsid w:val="0B3306FD"/>
    <w:rsid w:val="0B350656"/>
    <w:rsid w:val="0B7218AA"/>
    <w:rsid w:val="0BD16E51"/>
    <w:rsid w:val="0C3038B1"/>
    <w:rsid w:val="0C596A1F"/>
    <w:rsid w:val="0C6236CC"/>
    <w:rsid w:val="0CED03E8"/>
    <w:rsid w:val="0D5F5D41"/>
    <w:rsid w:val="0D6B07A5"/>
    <w:rsid w:val="0DD77CC5"/>
    <w:rsid w:val="0DE34A7E"/>
    <w:rsid w:val="0DF8150B"/>
    <w:rsid w:val="0E1F6BCA"/>
    <w:rsid w:val="0E4951D9"/>
    <w:rsid w:val="0E7E33A5"/>
    <w:rsid w:val="0E9F5FA8"/>
    <w:rsid w:val="0EA43108"/>
    <w:rsid w:val="0F580DB7"/>
    <w:rsid w:val="0F5B6C83"/>
    <w:rsid w:val="1076198C"/>
    <w:rsid w:val="10DE2451"/>
    <w:rsid w:val="114879F4"/>
    <w:rsid w:val="11716D0C"/>
    <w:rsid w:val="118B428C"/>
    <w:rsid w:val="11D663FD"/>
    <w:rsid w:val="121870B2"/>
    <w:rsid w:val="12425988"/>
    <w:rsid w:val="1262740E"/>
    <w:rsid w:val="12797F63"/>
    <w:rsid w:val="12B14149"/>
    <w:rsid w:val="131813FD"/>
    <w:rsid w:val="1386076A"/>
    <w:rsid w:val="13B77C29"/>
    <w:rsid w:val="13C95C9A"/>
    <w:rsid w:val="14B43E38"/>
    <w:rsid w:val="14E76E65"/>
    <w:rsid w:val="15075595"/>
    <w:rsid w:val="1523137A"/>
    <w:rsid w:val="152D04A4"/>
    <w:rsid w:val="157A2952"/>
    <w:rsid w:val="15FF4AF4"/>
    <w:rsid w:val="16663DB9"/>
    <w:rsid w:val="16713C8D"/>
    <w:rsid w:val="16D308E4"/>
    <w:rsid w:val="16E322C7"/>
    <w:rsid w:val="174207DE"/>
    <w:rsid w:val="175B7696"/>
    <w:rsid w:val="176516CF"/>
    <w:rsid w:val="18100D90"/>
    <w:rsid w:val="181313A5"/>
    <w:rsid w:val="18932E60"/>
    <w:rsid w:val="18977FCB"/>
    <w:rsid w:val="18D4774E"/>
    <w:rsid w:val="190178D8"/>
    <w:rsid w:val="19B52C9C"/>
    <w:rsid w:val="19BD1366"/>
    <w:rsid w:val="19ED1C89"/>
    <w:rsid w:val="1A174755"/>
    <w:rsid w:val="1A1B6B97"/>
    <w:rsid w:val="1A2D2A2B"/>
    <w:rsid w:val="1A2D55F1"/>
    <w:rsid w:val="1ABB2418"/>
    <w:rsid w:val="1B0F7DFB"/>
    <w:rsid w:val="1B34539F"/>
    <w:rsid w:val="1B874277"/>
    <w:rsid w:val="1B924D21"/>
    <w:rsid w:val="1BEC3F24"/>
    <w:rsid w:val="1C057BD0"/>
    <w:rsid w:val="1C656BB2"/>
    <w:rsid w:val="1C6A2129"/>
    <w:rsid w:val="1C6A2EE2"/>
    <w:rsid w:val="1D0C4F8F"/>
    <w:rsid w:val="1D4B6138"/>
    <w:rsid w:val="1D630917"/>
    <w:rsid w:val="1D8F0F14"/>
    <w:rsid w:val="1DB83695"/>
    <w:rsid w:val="1E3D7AF5"/>
    <w:rsid w:val="1E402A51"/>
    <w:rsid w:val="1F540913"/>
    <w:rsid w:val="1F63358C"/>
    <w:rsid w:val="1F875920"/>
    <w:rsid w:val="1FE16B50"/>
    <w:rsid w:val="2039404B"/>
    <w:rsid w:val="204612BD"/>
    <w:rsid w:val="206059B5"/>
    <w:rsid w:val="209B222C"/>
    <w:rsid w:val="21336B8A"/>
    <w:rsid w:val="21451F5F"/>
    <w:rsid w:val="21A86B34"/>
    <w:rsid w:val="21ED538F"/>
    <w:rsid w:val="22054A43"/>
    <w:rsid w:val="22105521"/>
    <w:rsid w:val="22291070"/>
    <w:rsid w:val="22333DC1"/>
    <w:rsid w:val="22673E9B"/>
    <w:rsid w:val="22D236F5"/>
    <w:rsid w:val="23305E7B"/>
    <w:rsid w:val="23535F79"/>
    <w:rsid w:val="2391357A"/>
    <w:rsid w:val="23A77EC3"/>
    <w:rsid w:val="23C7779A"/>
    <w:rsid w:val="23CD22EA"/>
    <w:rsid w:val="24107605"/>
    <w:rsid w:val="24193D83"/>
    <w:rsid w:val="24C71865"/>
    <w:rsid w:val="24E348ED"/>
    <w:rsid w:val="253677AF"/>
    <w:rsid w:val="25A04A17"/>
    <w:rsid w:val="26587FF5"/>
    <w:rsid w:val="267E3DC9"/>
    <w:rsid w:val="26A5768E"/>
    <w:rsid w:val="26D05957"/>
    <w:rsid w:val="26D072F6"/>
    <w:rsid w:val="26DD1E76"/>
    <w:rsid w:val="26E670D2"/>
    <w:rsid w:val="271F2EF8"/>
    <w:rsid w:val="278872C5"/>
    <w:rsid w:val="279369D8"/>
    <w:rsid w:val="27BA21B7"/>
    <w:rsid w:val="284D3EC1"/>
    <w:rsid w:val="286744D7"/>
    <w:rsid w:val="28A63F29"/>
    <w:rsid w:val="28C0157D"/>
    <w:rsid w:val="28DA030A"/>
    <w:rsid w:val="28EE3ED2"/>
    <w:rsid w:val="29065E0D"/>
    <w:rsid w:val="292A2652"/>
    <w:rsid w:val="29660891"/>
    <w:rsid w:val="297A73B6"/>
    <w:rsid w:val="297F2261"/>
    <w:rsid w:val="29A9312A"/>
    <w:rsid w:val="29C71815"/>
    <w:rsid w:val="2A1B4A63"/>
    <w:rsid w:val="2A2B739C"/>
    <w:rsid w:val="2A4C64DE"/>
    <w:rsid w:val="2B777861"/>
    <w:rsid w:val="2B7D0859"/>
    <w:rsid w:val="2BA70F21"/>
    <w:rsid w:val="2C0408BB"/>
    <w:rsid w:val="2C08629C"/>
    <w:rsid w:val="2C6C5C09"/>
    <w:rsid w:val="2D695AB1"/>
    <w:rsid w:val="2DA43FF5"/>
    <w:rsid w:val="2DCA0C7A"/>
    <w:rsid w:val="2DE1096D"/>
    <w:rsid w:val="2DE759D9"/>
    <w:rsid w:val="2E3A548A"/>
    <w:rsid w:val="2EC67693"/>
    <w:rsid w:val="2F0864CA"/>
    <w:rsid w:val="2F3445FD"/>
    <w:rsid w:val="2F927575"/>
    <w:rsid w:val="2FB92D54"/>
    <w:rsid w:val="2FCD72CB"/>
    <w:rsid w:val="2FDE253E"/>
    <w:rsid w:val="309418B1"/>
    <w:rsid w:val="30AF1AA2"/>
    <w:rsid w:val="31613482"/>
    <w:rsid w:val="31FE045E"/>
    <w:rsid w:val="32452586"/>
    <w:rsid w:val="32C974A1"/>
    <w:rsid w:val="33262BA7"/>
    <w:rsid w:val="33923FE8"/>
    <w:rsid w:val="33BD3319"/>
    <w:rsid w:val="34B40DBB"/>
    <w:rsid w:val="34BD42F1"/>
    <w:rsid w:val="34EB37E6"/>
    <w:rsid w:val="34F95F10"/>
    <w:rsid w:val="351D2AD7"/>
    <w:rsid w:val="35706F8D"/>
    <w:rsid w:val="35982323"/>
    <w:rsid w:val="359A4549"/>
    <w:rsid w:val="36342874"/>
    <w:rsid w:val="366000F6"/>
    <w:rsid w:val="376937D9"/>
    <w:rsid w:val="385A1C13"/>
    <w:rsid w:val="386C45A5"/>
    <w:rsid w:val="38B93D1D"/>
    <w:rsid w:val="38F94E95"/>
    <w:rsid w:val="39324107"/>
    <w:rsid w:val="39C84966"/>
    <w:rsid w:val="39DF5AAD"/>
    <w:rsid w:val="3A653A19"/>
    <w:rsid w:val="3A687850"/>
    <w:rsid w:val="3AEC3319"/>
    <w:rsid w:val="3B7D40B5"/>
    <w:rsid w:val="3BD43002"/>
    <w:rsid w:val="3BED2B17"/>
    <w:rsid w:val="3C064501"/>
    <w:rsid w:val="3C120920"/>
    <w:rsid w:val="3C2D186D"/>
    <w:rsid w:val="3CB60D47"/>
    <w:rsid w:val="3CD220F7"/>
    <w:rsid w:val="3CF056C6"/>
    <w:rsid w:val="3D2C3A69"/>
    <w:rsid w:val="3D864B4F"/>
    <w:rsid w:val="3DD21B5B"/>
    <w:rsid w:val="3DFA1640"/>
    <w:rsid w:val="3E081DDA"/>
    <w:rsid w:val="3E2055E2"/>
    <w:rsid w:val="3E5B5C4F"/>
    <w:rsid w:val="3E5E6E3B"/>
    <w:rsid w:val="3F483965"/>
    <w:rsid w:val="3F7319C0"/>
    <w:rsid w:val="3FA06623"/>
    <w:rsid w:val="3FA50BCE"/>
    <w:rsid w:val="3FAD0ECC"/>
    <w:rsid w:val="3FAF1A7E"/>
    <w:rsid w:val="402449BF"/>
    <w:rsid w:val="40385F17"/>
    <w:rsid w:val="409D1A7E"/>
    <w:rsid w:val="40E1035D"/>
    <w:rsid w:val="4107214A"/>
    <w:rsid w:val="41780CC1"/>
    <w:rsid w:val="417D18E3"/>
    <w:rsid w:val="419B3DB4"/>
    <w:rsid w:val="420D7BBB"/>
    <w:rsid w:val="428B662C"/>
    <w:rsid w:val="42E859D2"/>
    <w:rsid w:val="42E86C89"/>
    <w:rsid w:val="435B0104"/>
    <w:rsid w:val="43944935"/>
    <w:rsid w:val="43965906"/>
    <w:rsid w:val="440B06FA"/>
    <w:rsid w:val="440C749E"/>
    <w:rsid w:val="441D6176"/>
    <w:rsid w:val="44313278"/>
    <w:rsid w:val="4438469C"/>
    <w:rsid w:val="44BF1C4E"/>
    <w:rsid w:val="44D53D3E"/>
    <w:rsid w:val="450E4BBE"/>
    <w:rsid w:val="45AE7F7C"/>
    <w:rsid w:val="45F75632"/>
    <w:rsid w:val="46800816"/>
    <w:rsid w:val="46B856BC"/>
    <w:rsid w:val="47220E3B"/>
    <w:rsid w:val="475B723F"/>
    <w:rsid w:val="47A47D30"/>
    <w:rsid w:val="48530CA8"/>
    <w:rsid w:val="48861B82"/>
    <w:rsid w:val="49440FFE"/>
    <w:rsid w:val="494860E0"/>
    <w:rsid w:val="498D767E"/>
    <w:rsid w:val="4A9B7542"/>
    <w:rsid w:val="4ABC3EE6"/>
    <w:rsid w:val="4AE65D82"/>
    <w:rsid w:val="4B0B04B0"/>
    <w:rsid w:val="4BCB7EE8"/>
    <w:rsid w:val="4BD5382D"/>
    <w:rsid w:val="4BF47FD2"/>
    <w:rsid w:val="4C522DF2"/>
    <w:rsid w:val="4C954326"/>
    <w:rsid w:val="4CB644F0"/>
    <w:rsid w:val="4CDC58FC"/>
    <w:rsid w:val="4D027C28"/>
    <w:rsid w:val="4D2F3D82"/>
    <w:rsid w:val="4D426699"/>
    <w:rsid w:val="4D5906DD"/>
    <w:rsid w:val="4D5E48AE"/>
    <w:rsid w:val="4D6F2E9D"/>
    <w:rsid w:val="4DA44BEC"/>
    <w:rsid w:val="4DAE10A2"/>
    <w:rsid w:val="4DB844B1"/>
    <w:rsid w:val="4DC16B11"/>
    <w:rsid w:val="4DEF1E51"/>
    <w:rsid w:val="4E6600F3"/>
    <w:rsid w:val="4E6A7BE3"/>
    <w:rsid w:val="4EA56E6D"/>
    <w:rsid w:val="4F3F411A"/>
    <w:rsid w:val="4F9118FA"/>
    <w:rsid w:val="4FBD34C3"/>
    <w:rsid w:val="4FFA4F97"/>
    <w:rsid w:val="501740DB"/>
    <w:rsid w:val="504508C3"/>
    <w:rsid w:val="50C47385"/>
    <w:rsid w:val="50C64D55"/>
    <w:rsid w:val="5147093D"/>
    <w:rsid w:val="51555F71"/>
    <w:rsid w:val="5176213C"/>
    <w:rsid w:val="52713EDB"/>
    <w:rsid w:val="52974D1F"/>
    <w:rsid w:val="52B0193D"/>
    <w:rsid w:val="532E321C"/>
    <w:rsid w:val="534D4D26"/>
    <w:rsid w:val="53812AD9"/>
    <w:rsid w:val="53871AD6"/>
    <w:rsid w:val="53AF6F20"/>
    <w:rsid w:val="5414196A"/>
    <w:rsid w:val="543C1DE9"/>
    <w:rsid w:val="547F3042"/>
    <w:rsid w:val="54A43723"/>
    <w:rsid w:val="54C33BA9"/>
    <w:rsid w:val="54FB2BA6"/>
    <w:rsid w:val="556B52B3"/>
    <w:rsid w:val="56695A4D"/>
    <w:rsid w:val="569665AE"/>
    <w:rsid w:val="56F24C1A"/>
    <w:rsid w:val="575548AE"/>
    <w:rsid w:val="57572CCF"/>
    <w:rsid w:val="57593B7A"/>
    <w:rsid w:val="57C57C38"/>
    <w:rsid w:val="57CC1344"/>
    <w:rsid w:val="582A4DDF"/>
    <w:rsid w:val="58E10AA2"/>
    <w:rsid w:val="58FE2A07"/>
    <w:rsid w:val="594A269C"/>
    <w:rsid w:val="59E62347"/>
    <w:rsid w:val="59EB31F8"/>
    <w:rsid w:val="5A59758B"/>
    <w:rsid w:val="5A8A0C76"/>
    <w:rsid w:val="5B067D60"/>
    <w:rsid w:val="5C2279B6"/>
    <w:rsid w:val="5C237623"/>
    <w:rsid w:val="5C7301AC"/>
    <w:rsid w:val="5CFC4241"/>
    <w:rsid w:val="5D2453D0"/>
    <w:rsid w:val="5D455843"/>
    <w:rsid w:val="5E210A4D"/>
    <w:rsid w:val="5E6B0AF6"/>
    <w:rsid w:val="5E924190"/>
    <w:rsid w:val="5EB35309"/>
    <w:rsid w:val="5EFD5B05"/>
    <w:rsid w:val="5F3E65DE"/>
    <w:rsid w:val="5F9D4719"/>
    <w:rsid w:val="5FF82F93"/>
    <w:rsid w:val="608A4105"/>
    <w:rsid w:val="613C72A0"/>
    <w:rsid w:val="616B4AD4"/>
    <w:rsid w:val="6265236C"/>
    <w:rsid w:val="627227E9"/>
    <w:rsid w:val="632E0C40"/>
    <w:rsid w:val="63AA7807"/>
    <w:rsid w:val="63AC5DD8"/>
    <w:rsid w:val="63FF2A84"/>
    <w:rsid w:val="64CF20F6"/>
    <w:rsid w:val="64DD1C77"/>
    <w:rsid w:val="65017E0A"/>
    <w:rsid w:val="653752BB"/>
    <w:rsid w:val="65447C90"/>
    <w:rsid w:val="658A63A1"/>
    <w:rsid w:val="65D87C33"/>
    <w:rsid w:val="65F64678"/>
    <w:rsid w:val="66657450"/>
    <w:rsid w:val="666C2E5E"/>
    <w:rsid w:val="66A24DDE"/>
    <w:rsid w:val="66BE6020"/>
    <w:rsid w:val="67A2063E"/>
    <w:rsid w:val="67B948E7"/>
    <w:rsid w:val="67C01107"/>
    <w:rsid w:val="67E206EB"/>
    <w:rsid w:val="67FF33DC"/>
    <w:rsid w:val="681F15E7"/>
    <w:rsid w:val="68377859"/>
    <w:rsid w:val="683E3DF0"/>
    <w:rsid w:val="68447EF6"/>
    <w:rsid w:val="68B775B4"/>
    <w:rsid w:val="691E606F"/>
    <w:rsid w:val="6983036A"/>
    <w:rsid w:val="698C2810"/>
    <w:rsid w:val="69BB2B78"/>
    <w:rsid w:val="6A072332"/>
    <w:rsid w:val="6A9242A2"/>
    <w:rsid w:val="6AD374A7"/>
    <w:rsid w:val="6B6C1997"/>
    <w:rsid w:val="6B7347A8"/>
    <w:rsid w:val="6D2E412A"/>
    <w:rsid w:val="6D465A44"/>
    <w:rsid w:val="6DF143BA"/>
    <w:rsid w:val="6E386F5E"/>
    <w:rsid w:val="6E4D7FA9"/>
    <w:rsid w:val="6E7759F3"/>
    <w:rsid w:val="6EAE3737"/>
    <w:rsid w:val="6EC83C07"/>
    <w:rsid w:val="6F3D5594"/>
    <w:rsid w:val="6F424D5C"/>
    <w:rsid w:val="6F46176F"/>
    <w:rsid w:val="6F7B14B1"/>
    <w:rsid w:val="6FD16D0C"/>
    <w:rsid w:val="70545BA6"/>
    <w:rsid w:val="70731016"/>
    <w:rsid w:val="71267E76"/>
    <w:rsid w:val="71297032"/>
    <w:rsid w:val="71453863"/>
    <w:rsid w:val="71506DA8"/>
    <w:rsid w:val="7199515E"/>
    <w:rsid w:val="71A43BF9"/>
    <w:rsid w:val="71D07B84"/>
    <w:rsid w:val="72097BAE"/>
    <w:rsid w:val="727D13E4"/>
    <w:rsid w:val="729D382E"/>
    <w:rsid w:val="72BC63B0"/>
    <w:rsid w:val="72BC7259"/>
    <w:rsid w:val="72D3552A"/>
    <w:rsid w:val="73143AAC"/>
    <w:rsid w:val="733F48EB"/>
    <w:rsid w:val="737971E0"/>
    <w:rsid w:val="73811A7B"/>
    <w:rsid w:val="73EB27F0"/>
    <w:rsid w:val="74292983"/>
    <w:rsid w:val="74333382"/>
    <w:rsid w:val="749D3FBF"/>
    <w:rsid w:val="74EB596C"/>
    <w:rsid w:val="74EC075A"/>
    <w:rsid w:val="74F17146"/>
    <w:rsid w:val="751B5E88"/>
    <w:rsid w:val="754742BA"/>
    <w:rsid w:val="756E0F3E"/>
    <w:rsid w:val="75885CE5"/>
    <w:rsid w:val="75F052ED"/>
    <w:rsid w:val="7607787E"/>
    <w:rsid w:val="762510E0"/>
    <w:rsid w:val="764370F3"/>
    <w:rsid w:val="76594F64"/>
    <w:rsid w:val="76903E56"/>
    <w:rsid w:val="7706298F"/>
    <w:rsid w:val="7757250B"/>
    <w:rsid w:val="77695268"/>
    <w:rsid w:val="778842D6"/>
    <w:rsid w:val="778C4A8E"/>
    <w:rsid w:val="77C013B1"/>
    <w:rsid w:val="77D6119D"/>
    <w:rsid w:val="7807775C"/>
    <w:rsid w:val="784833AC"/>
    <w:rsid w:val="787C0654"/>
    <w:rsid w:val="78B22BA1"/>
    <w:rsid w:val="790309BB"/>
    <w:rsid w:val="7A113575"/>
    <w:rsid w:val="7ABA2C91"/>
    <w:rsid w:val="7AC53E94"/>
    <w:rsid w:val="7B8A192F"/>
    <w:rsid w:val="7BD929B3"/>
    <w:rsid w:val="7C345209"/>
    <w:rsid w:val="7C5C3573"/>
    <w:rsid w:val="7D3D56AD"/>
    <w:rsid w:val="7D5B547D"/>
    <w:rsid w:val="7D5C0881"/>
    <w:rsid w:val="7E0A29B9"/>
    <w:rsid w:val="7E221091"/>
    <w:rsid w:val="7E4B1E30"/>
    <w:rsid w:val="7E5912A5"/>
    <w:rsid w:val="7EA1645A"/>
    <w:rsid w:val="7EDE145C"/>
    <w:rsid w:val="7EF413ED"/>
    <w:rsid w:val="7F8B5395"/>
    <w:rsid w:val="7F8E5E6A"/>
    <w:rsid w:val="7FDE6A02"/>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4">
    <w:name w:val="heading 1"/>
    <w:basedOn w:val="1"/>
    <w:next w:val="1"/>
    <w:link w:val="43"/>
    <w:qFormat/>
    <w:uiPriority w:val="0"/>
    <w:pPr>
      <w:keepNext/>
      <w:keepLines/>
      <w:widowControl w:val="0"/>
      <w:spacing w:before="340" w:after="330" w:line="578" w:lineRule="auto"/>
      <w:jc w:val="both"/>
      <w:outlineLvl w:val="0"/>
    </w:pPr>
    <w:rPr>
      <w:rFonts w:eastAsia="宋体"/>
      <w:b/>
      <w:bCs/>
      <w:kern w:val="44"/>
      <w:sz w:val="44"/>
      <w:szCs w:val="44"/>
    </w:rPr>
  </w:style>
  <w:style w:type="paragraph" w:styleId="5">
    <w:name w:val="heading 2"/>
    <w:basedOn w:val="1"/>
    <w:next w:val="1"/>
    <w:link w:val="44"/>
    <w:qFormat/>
    <w:uiPriority w:val="0"/>
    <w:pPr>
      <w:keepNext/>
      <w:keepLines/>
      <w:widowControl w:val="0"/>
      <w:spacing w:before="260" w:after="260" w:line="413" w:lineRule="auto"/>
      <w:jc w:val="both"/>
      <w:outlineLvl w:val="1"/>
    </w:pPr>
    <w:rPr>
      <w:rFonts w:ascii="Arial" w:hAnsi="Arial" w:eastAsia="黑体"/>
      <w:b/>
      <w:bCs/>
      <w:kern w:val="2"/>
      <w:sz w:val="32"/>
      <w:szCs w:val="32"/>
    </w:rPr>
  </w:style>
  <w:style w:type="paragraph" w:styleId="6">
    <w:name w:val="heading 3"/>
    <w:basedOn w:val="1"/>
    <w:next w:val="1"/>
    <w:link w:val="45"/>
    <w:qFormat/>
    <w:uiPriority w:val="0"/>
    <w:pPr>
      <w:keepNext/>
      <w:widowControl w:val="0"/>
      <w:numPr>
        <w:ilvl w:val="0"/>
        <w:numId w:val="1"/>
      </w:numPr>
      <w:spacing w:line="400" w:lineRule="exact"/>
      <w:jc w:val="center"/>
      <w:outlineLvl w:val="2"/>
    </w:pPr>
    <w:rPr>
      <w:rFonts w:ascii="仿宋_GB2312" w:eastAsia="仿宋_GB2312"/>
      <w:kern w:val="2"/>
      <w:sz w:val="32"/>
      <w:szCs w:val="20"/>
    </w:rPr>
  </w:style>
  <w:style w:type="paragraph" w:styleId="7">
    <w:name w:val="heading 4"/>
    <w:basedOn w:val="1"/>
    <w:next w:val="1"/>
    <w:link w:val="46"/>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styleId="8">
    <w:name w:val="heading 7"/>
    <w:basedOn w:val="1"/>
    <w:next w:val="1"/>
    <w:qFormat/>
    <w:uiPriority w:val="1"/>
    <w:pPr>
      <w:spacing w:before="14"/>
      <w:ind w:left="120"/>
      <w:outlineLvl w:val="6"/>
    </w:pPr>
    <w:rPr>
      <w:rFonts w:ascii="宋体" w:hAnsi="宋体" w:eastAsia="宋体"/>
      <w:b/>
      <w:bCs/>
    </w:rPr>
  </w:style>
  <w:style w:type="paragraph" w:styleId="9">
    <w:name w:val="heading 8"/>
    <w:basedOn w:val="1"/>
    <w:next w:val="1"/>
    <w:qFormat/>
    <w:uiPriority w:val="1"/>
    <w:pPr>
      <w:spacing w:before="113"/>
      <w:ind w:left="120"/>
      <w:outlineLvl w:val="7"/>
    </w:pPr>
    <w:rPr>
      <w:rFonts w:ascii="宋体" w:hAnsi="宋体" w:eastAsia="宋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
    <w:qFormat/>
    <w:uiPriority w:val="0"/>
    <w:pPr>
      <w:widowControl w:val="0"/>
      <w:spacing w:line="312" w:lineRule="auto"/>
      <w:ind w:firstLine="397"/>
      <w:jc w:val="both"/>
    </w:pPr>
    <w:rPr>
      <w:rFonts w:eastAsia="宋体"/>
      <w:kern w:val="2"/>
      <w:sz w:val="24"/>
      <w:szCs w:val="20"/>
    </w:rPr>
  </w:style>
  <w:style w:type="paragraph" w:styleId="3">
    <w:name w:val="Normal Indent"/>
    <w:basedOn w:val="1"/>
    <w:next w:val="2"/>
    <w:link w:val="62"/>
    <w:qFormat/>
    <w:uiPriority w:val="0"/>
    <w:pPr>
      <w:widowControl w:val="0"/>
      <w:ind w:firstLine="420"/>
      <w:jc w:val="both"/>
    </w:pPr>
    <w:rPr>
      <w:rFonts w:eastAsia="宋体"/>
      <w:b/>
      <w:kern w:val="2"/>
      <w:sz w:val="24"/>
      <w:szCs w:val="20"/>
    </w:rPr>
  </w:style>
  <w:style w:type="paragraph" w:styleId="10">
    <w:name w:val="annotation text"/>
    <w:basedOn w:val="1"/>
    <w:link w:val="58"/>
    <w:qFormat/>
    <w:uiPriority w:val="0"/>
    <w:pPr>
      <w:widowControl w:val="0"/>
    </w:pPr>
    <w:rPr>
      <w:rFonts w:eastAsia="宋体"/>
      <w:kern w:val="2"/>
      <w:sz w:val="21"/>
      <w:szCs w:val="20"/>
    </w:rPr>
  </w:style>
  <w:style w:type="paragraph" w:styleId="11">
    <w:name w:val="Body Text 3"/>
    <w:basedOn w:val="1"/>
    <w:link w:val="55"/>
    <w:qFormat/>
    <w:uiPriority w:val="0"/>
    <w:pPr>
      <w:widowControl w:val="0"/>
      <w:spacing w:line="360" w:lineRule="auto"/>
      <w:jc w:val="both"/>
    </w:pPr>
    <w:rPr>
      <w:rFonts w:ascii="宋体" w:eastAsia="宋体"/>
      <w:kern w:val="2"/>
      <w:sz w:val="24"/>
      <w:szCs w:val="20"/>
    </w:rPr>
  </w:style>
  <w:style w:type="paragraph" w:styleId="12">
    <w:name w:val="Body Text"/>
    <w:basedOn w:val="1"/>
    <w:link w:val="48"/>
    <w:unhideWhenUsed/>
    <w:qFormat/>
    <w:uiPriority w:val="0"/>
    <w:pPr>
      <w:widowControl w:val="0"/>
      <w:spacing w:after="120"/>
      <w:jc w:val="both"/>
    </w:pPr>
    <w:rPr>
      <w:rFonts w:eastAsia="宋体"/>
      <w:sz w:val="24"/>
      <w:szCs w:val="20"/>
    </w:rPr>
  </w:style>
  <w:style w:type="paragraph" w:styleId="13">
    <w:name w:val="Block Text"/>
    <w:basedOn w:val="1"/>
    <w:qFormat/>
    <w:uiPriority w:val="0"/>
    <w:pPr>
      <w:widowControl w:val="0"/>
      <w:spacing w:line="360" w:lineRule="auto"/>
      <w:ind w:left="735" w:leftChars="328" w:right="-332" w:rightChars="-158" w:hanging="46" w:hangingChars="19"/>
      <w:jc w:val="both"/>
    </w:pPr>
    <w:rPr>
      <w:rFonts w:ascii="宋体" w:eastAsia="宋体"/>
      <w:bCs/>
      <w:color w:val="000000"/>
      <w:kern w:val="2"/>
      <w:sz w:val="24"/>
      <w:szCs w:val="20"/>
    </w:rPr>
  </w:style>
  <w:style w:type="paragraph" w:styleId="14">
    <w:name w:val="index 4"/>
    <w:basedOn w:val="1"/>
    <w:next w:val="1"/>
    <w:qFormat/>
    <w:uiPriority w:val="0"/>
    <w:pPr>
      <w:widowControl w:val="0"/>
      <w:ind w:left="1260"/>
      <w:jc w:val="both"/>
    </w:pPr>
    <w:rPr>
      <w:rFonts w:eastAsia="宋体"/>
      <w:kern w:val="2"/>
      <w:sz w:val="21"/>
      <w:szCs w:val="20"/>
    </w:rPr>
  </w:style>
  <w:style w:type="paragraph" w:styleId="15">
    <w:name w:val="Plain Text"/>
    <w:basedOn w:val="1"/>
    <w:link w:val="40"/>
    <w:qFormat/>
    <w:uiPriority w:val="0"/>
    <w:pPr>
      <w:widowControl w:val="0"/>
      <w:jc w:val="both"/>
    </w:pPr>
    <w:rPr>
      <w:rFonts w:ascii="宋体" w:hAnsi="Courier New" w:eastAsia="黑体" w:cs="Courier New"/>
      <w:kern w:val="2"/>
      <w:sz w:val="21"/>
      <w:szCs w:val="21"/>
    </w:rPr>
  </w:style>
  <w:style w:type="paragraph" w:styleId="16">
    <w:name w:val="Body Text Indent 2"/>
    <w:basedOn w:val="1"/>
    <w:link w:val="51"/>
    <w:qFormat/>
    <w:uiPriority w:val="0"/>
    <w:pPr>
      <w:widowControl w:val="0"/>
      <w:spacing w:line="420" w:lineRule="exact"/>
      <w:ind w:firstLine="525"/>
      <w:jc w:val="both"/>
    </w:pPr>
    <w:rPr>
      <w:rFonts w:ascii="宋体" w:eastAsia="宋体"/>
      <w:kern w:val="2"/>
      <w:sz w:val="21"/>
      <w:szCs w:val="20"/>
    </w:rPr>
  </w:style>
  <w:style w:type="paragraph" w:styleId="17">
    <w:name w:val="Balloon Text"/>
    <w:basedOn w:val="1"/>
    <w:link w:val="54"/>
    <w:qFormat/>
    <w:uiPriority w:val="0"/>
    <w:pPr>
      <w:widowControl w:val="0"/>
      <w:jc w:val="both"/>
    </w:pPr>
    <w:rPr>
      <w:rFonts w:eastAsia="宋体"/>
      <w:kern w:val="2"/>
      <w:sz w:val="18"/>
      <w:szCs w:val="18"/>
    </w:rPr>
  </w:style>
  <w:style w:type="paragraph" w:styleId="18">
    <w:name w:val="footer"/>
    <w:basedOn w:val="1"/>
    <w:link w:val="37"/>
    <w:unhideWhenUsed/>
    <w:qFormat/>
    <w:uiPriority w:val="99"/>
    <w:pPr>
      <w:tabs>
        <w:tab w:val="center" w:pos="4153"/>
        <w:tab w:val="right" w:pos="8306"/>
      </w:tabs>
      <w:snapToGrid w:val="0"/>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val="0"/>
      <w:tabs>
        <w:tab w:val="right" w:leader="dot" w:pos="9174"/>
      </w:tabs>
      <w:jc w:val="center"/>
    </w:pPr>
    <w:rPr>
      <w:rFonts w:eastAsia="宋体"/>
      <w:b/>
      <w:kern w:val="2"/>
      <w:sz w:val="30"/>
      <w:szCs w:val="30"/>
    </w:rPr>
  </w:style>
  <w:style w:type="paragraph" w:styleId="21">
    <w:name w:val="Subtitle"/>
    <w:basedOn w:val="1"/>
    <w:next w:val="1"/>
    <w:link w:val="61"/>
    <w:qFormat/>
    <w:uiPriority w:val="0"/>
    <w:pPr>
      <w:spacing w:after="600" w:line="276" w:lineRule="auto"/>
    </w:pPr>
    <w:rPr>
      <w:rFonts w:ascii="Cambria" w:hAnsi="Cambria" w:eastAsia="宋体"/>
      <w:i/>
      <w:iCs/>
      <w:spacing w:val="13"/>
      <w:sz w:val="24"/>
      <w:szCs w:val="24"/>
      <w:lang w:val="zh-CN" w:eastAsia="en-US" w:bidi="en-US"/>
    </w:rPr>
  </w:style>
  <w:style w:type="paragraph" w:styleId="22">
    <w:name w:val="Body Text Indent 3"/>
    <w:basedOn w:val="1"/>
    <w:link w:val="52"/>
    <w:qFormat/>
    <w:uiPriority w:val="0"/>
    <w:pPr>
      <w:widowControl w:val="0"/>
      <w:tabs>
        <w:tab w:val="left" w:pos="0"/>
      </w:tabs>
      <w:spacing w:line="440" w:lineRule="exact"/>
      <w:ind w:left="1050" w:leftChars="500"/>
      <w:jc w:val="both"/>
    </w:pPr>
    <w:rPr>
      <w:rFonts w:ascii="宋体" w:eastAsia="宋体"/>
      <w:kern w:val="2"/>
      <w:sz w:val="21"/>
      <w:szCs w:val="20"/>
    </w:rPr>
  </w:style>
  <w:style w:type="paragraph" w:styleId="23">
    <w:name w:val="Body Text 2"/>
    <w:basedOn w:val="1"/>
    <w:link w:val="56"/>
    <w:qFormat/>
    <w:uiPriority w:val="0"/>
    <w:pPr>
      <w:widowControl w:val="0"/>
      <w:spacing w:line="400" w:lineRule="exact"/>
      <w:jc w:val="both"/>
    </w:pPr>
    <w:rPr>
      <w:rFonts w:eastAsia="宋体"/>
      <w:b/>
      <w:color w:val="000000"/>
      <w:kern w:val="2"/>
      <w:sz w:val="24"/>
      <w:szCs w:val="20"/>
    </w:rPr>
  </w:style>
  <w:style w:type="paragraph" w:styleId="24">
    <w:name w:val="Normal (Web)"/>
    <w:basedOn w:val="1"/>
    <w:unhideWhenUsed/>
    <w:qFormat/>
    <w:uiPriority w:val="0"/>
    <w:pPr>
      <w:spacing w:before="100" w:beforeAutospacing="1" w:after="100" w:afterAutospacing="1"/>
    </w:pPr>
    <w:rPr>
      <w:rFonts w:ascii="宋体" w:hAnsi="宋体" w:eastAsia="宋体" w:cs="宋体"/>
      <w:color w:val="000000"/>
      <w:sz w:val="24"/>
      <w:szCs w:val="24"/>
    </w:rPr>
  </w:style>
  <w:style w:type="paragraph" w:styleId="25">
    <w:name w:val="Title"/>
    <w:basedOn w:val="1"/>
    <w:next w:val="1"/>
    <w:qFormat/>
    <w:uiPriority w:val="0"/>
    <w:pPr>
      <w:overflowPunct w:val="0"/>
      <w:autoSpaceDE w:val="0"/>
      <w:autoSpaceDN w:val="0"/>
      <w:adjustRightInd w:val="0"/>
      <w:spacing w:line="420" w:lineRule="exact"/>
      <w:jc w:val="center"/>
      <w:textAlignment w:val="baseline"/>
    </w:pPr>
    <w:rPr>
      <w:rFonts w:eastAsia="黑体"/>
      <w:b/>
      <w:sz w:val="28"/>
      <w:lang w:val="en-GB"/>
    </w:rPr>
  </w:style>
  <w:style w:type="paragraph" w:styleId="26">
    <w:name w:val="annotation subject"/>
    <w:basedOn w:val="10"/>
    <w:next w:val="10"/>
    <w:link w:val="59"/>
    <w:qFormat/>
    <w:uiPriority w:val="0"/>
    <w:rPr>
      <w:b/>
      <w:bCs/>
    </w:rPr>
  </w:style>
  <w:style w:type="paragraph" w:styleId="27">
    <w:name w:val="Body Text First Indent"/>
    <w:basedOn w:val="12"/>
    <w:qFormat/>
    <w:uiPriority w:val="0"/>
    <w:pPr>
      <w:ind w:firstLine="420" w:firstLineChars="100"/>
    </w:pPr>
    <w:rPr>
      <w:sz w:val="21"/>
      <w:szCs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basedOn w:val="30"/>
    <w:qFormat/>
    <w:uiPriority w:val="0"/>
    <w:rPr>
      <w:color w:val="0000FF"/>
      <w:u w:val="single"/>
    </w:rPr>
  </w:style>
  <w:style w:type="character" w:styleId="35">
    <w:name w:val="annotation reference"/>
    <w:qFormat/>
    <w:uiPriority w:val="0"/>
    <w:rPr>
      <w:sz w:val="21"/>
      <w:szCs w:val="21"/>
    </w:rPr>
  </w:style>
  <w:style w:type="character" w:customStyle="1" w:styleId="36">
    <w:name w:val="页眉 Char"/>
    <w:basedOn w:val="30"/>
    <w:link w:val="19"/>
    <w:qFormat/>
    <w:uiPriority w:val="99"/>
    <w:rPr>
      <w:sz w:val="18"/>
      <w:szCs w:val="18"/>
    </w:rPr>
  </w:style>
  <w:style w:type="character" w:customStyle="1" w:styleId="37">
    <w:name w:val="页脚 Char"/>
    <w:basedOn w:val="30"/>
    <w:link w:val="18"/>
    <w:qFormat/>
    <w:uiPriority w:val="99"/>
    <w:rPr>
      <w:sz w:val="18"/>
      <w:szCs w:val="18"/>
    </w:rPr>
  </w:style>
  <w:style w:type="paragraph" w:styleId="38">
    <w:name w:val="List Paragraph"/>
    <w:basedOn w:val="1"/>
    <w:qFormat/>
    <w:uiPriority w:val="34"/>
    <w:pPr>
      <w:ind w:firstLine="420" w:firstLineChars="200"/>
    </w:pPr>
  </w:style>
  <w:style w:type="character" w:customStyle="1" w:styleId="39">
    <w:name w:val="纯文本 Char1"/>
    <w:qFormat/>
    <w:uiPriority w:val="0"/>
    <w:rPr>
      <w:rFonts w:ascii="宋体" w:hAnsi="Courier New" w:eastAsia="黑体" w:cs="Courier New"/>
      <w:kern w:val="2"/>
      <w:sz w:val="21"/>
      <w:szCs w:val="21"/>
    </w:rPr>
  </w:style>
  <w:style w:type="character" w:customStyle="1" w:styleId="40">
    <w:name w:val="纯文本 Char"/>
    <w:basedOn w:val="30"/>
    <w:link w:val="15"/>
    <w:qFormat/>
    <w:uiPriority w:val="0"/>
    <w:rPr>
      <w:rFonts w:ascii="宋体" w:hAnsi="Courier New" w:eastAsia="宋体" w:cs="Courier New"/>
      <w:sz w:val="21"/>
      <w:szCs w:val="21"/>
    </w:rPr>
  </w:style>
  <w:style w:type="table" w:customStyle="1" w:styleId="41">
    <w:name w:val="网格型1"/>
    <w:basedOn w:val="2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正文1"/>
    <w:basedOn w:val="1"/>
    <w:next w:val="1"/>
    <w:qFormat/>
    <w:uiPriority w:val="0"/>
    <w:pPr>
      <w:widowControl w:val="0"/>
      <w:autoSpaceDE w:val="0"/>
      <w:autoSpaceDN w:val="0"/>
      <w:spacing w:before="156" w:line="360" w:lineRule="auto"/>
      <w:ind w:firstLine="510" w:firstLineChars="200"/>
    </w:pPr>
    <w:rPr>
      <w:rFonts w:eastAsia="宋体"/>
      <w:sz w:val="24"/>
      <w:lang w:val="zh-CN" w:bidi="zh-CN"/>
    </w:rPr>
  </w:style>
  <w:style w:type="character" w:customStyle="1" w:styleId="43">
    <w:name w:val="标题 1 Char"/>
    <w:basedOn w:val="30"/>
    <w:link w:val="4"/>
    <w:qFormat/>
    <w:uiPriority w:val="0"/>
    <w:rPr>
      <w:b/>
      <w:bCs/>
      <w:kern w:val="44"/>
      <w:sz w:val="44"/>
      <w:szCs w:val="44"/>
    </w:rPr>
  </w:style>
  <w:style w:type="character" w:customStyle="1" w:styleId="44">
    <w:name w:val="标题 2 Char"/>
    <w:basedOn w:val="30"/>
    <w:link w:val="5"/>
    <w:qFormat/>
    <w:uiPriority w:val="0"/>
    <w:rPr>
      <w:rFonts w:ascii="Arial" w:hAnsi="Arial" w:eastAsia="黑体"/>
      <w:b/>
      <w:bCs/>
      <w:kern w:val="2"/>
      <w:sz w:val="32"/>
      <w:szCs w:val="32"/>
    </w:rPr>
  </w:style>
  <w:style w:type="character" w:customStyle="1" w:styleId="45">
    <w:name w:val="标题 3 Char"/>
    <w:basedOn w:val="30"/>
    <w:link w:val="6"/>
    <w:qFormat/>
    <w:uiPriority w:val="0"/>
    <w:rPr>
      <w:rFonts w:ascii="仿宋_GB2312" w:eastAsia="仿宋_GB2312"/>
      <w:kern w:val="2"/>
      <w:sz w:val="32"/>
    </w:rPr>
  </w:style>
  <w:style w:type="character" w:customStyle="1" w:styleId="46">
    <w:name w:val="标题 4 Char"/>
    <w:basedOn w:val="30"/>
    <w:link w:val="7"/>
    <w:qFormat/>
    <w:uiPriority w:val="0"/>
    <w:rPr>
      <w:rFonts w:ascii="Arial" w:hAnsi="Arial" w:eastAsia="黑体"/>
      <w:b/>
      <w:bCs/>
      <w:kern w:val="2"/>
      <w:sz w:val="28"/>
      <w:szCs w:val="28"/>
    </w:rPr>
  </w:style>
  <w:style w:type="character" w:customStyle="1" w:styleId="47">
    <w:name w:val="正文文本缩进 Char"/>
    <w:basedOn w:val="30"/>
    <w:link w:val="2"/>
    <w:qFormat/>
    <w:uiPriority w:val="0"/>
    <w:rPr>
      <w:kern w:val="2"/>
      <w:sz w:val="24"/>
    </w:rPr>
  </w:style>
  <w:style w:type="character" w:customStyle="1" w:styleId="48">
    <w:name w:val="正文文本 Char"/>
    <w:basedOn w:val="30"/>
    <w:link w:val="12"/>
    <w:qFormat/>
    <w:uiPriority w:val="0"/>
    <w:rPr>
      <w:sz w:val="24"/>
    </w:rPr>
  </w:style>
  <w:style w:type="character" w:customStyle="1" w:styleId="49">
    <w:name w:val="普通正文 Char"/>
    <w:link w:val="50"/>
    <w:qFormat/>
    <w:uiPriority w:val="0"/>
    <w:rPr>
      <w:rFonts w:ascii="Arial" w:hAnsi="Arial" w:cs="Arial"/>
      <w:sz w:val="24"/>
      <w:szCs w:val="24"/>
    </w:rPr>
  </w:style>
  <w:style w:type="paragraph" w:customStyle="1" w:styleId="50">
    <w:name w:val="普通正文"/>
    <w:basedOn w:val="1"/>
    <w:link w:val="49"/>
    <w:qFormat/>
    <w:uiPriority w:val="0"/>
    <w:pPr>
      <w:widowControl w:val="0"/>
      <w:adjustRightInd w:val="0"/>
      <w:spacing w:before="120" w:after="120" w:line="360" w:lineRule="auto"/>
      <w:ind w:firstLine="480"/>
      <w:textAlignment w:val="baseline"/>
    </w:pPr>
    <w:rPr>
      <w:rFonts w:ascii="Arial" w:hAnsi="Arial" w:eastAsia="宋体" w:cs="Arial"/>
      <w:sz w:val="24"/>
      <w:szCs w:val="24"/>
    </w:rPr>
  </w:style>
  <w:style w:type="character" w:customStyle="1" w:styleId="51">
    <w:name w:val="正文文本缩进 2 Char"/>
    <w:basedOn w:val="30"/>
    <w:link w:val="16"/>
    <w:qFormat/>
    <w:uiPriority w:val="0"/>
    <w:rPr>
      <w:rFonts w:ascii="宋体"/>
      <w:kern w:val="2"/>
      <w:sz w:val="21"/>
    </w:rPr>
  </w:style>
  <w:style w:type="character" w:customStyle="1" w:styleId="52">
    <w:name w:val="正文文本缩进 3 Char"/>
    <w:basedOn w:val="30"/>
    <w:link w:val="22"/>
    <w:qFormat/>
    <w:uiPriority w:val="0"/>
    <w:rPr>
      <w:rFonts w:ascii="宋体"/>
      <w:kern w:val="2"/>
      <w:sz w:val="21"/>
    </w:rPr>
  </w:style>
  <w:style w:type="paragraph" w:customStyle="1" w:styleId="5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4">
    <w:name w:val="批注框文本 Char"/>
    <w:basedOn w:val="30"/>
    <w:link w:val="17"/>
    <w:qFormat/>
    <w:uiPriority w:val="0"/>
    <w:rPr>
      <w:kern w:val="2"/>
      <w:sz w:val="18"/>
      <w:szCs w:val="18"/>
    </w:rPr>
  </w:style>
  <w:style w:type="character" w:customStyle="1" w:styleId="55">
    <w:name w:val="正文文本 3 Char"/>
    <w:basedOn w:val="30"/>
    <w:link w:val="11"/>
    <w:qFormat/>
    <w:uiPriority w:val="0"/>
    <w:rPr>
      <w:rFonts w:ascii="宋体"/>
      <w:kern w:val="2"/>
      <w:sz w:val="24"/>
    </w:rPr>
  </w:style>
  <w:style w:type="character" w:customStyle="1" w:styleId="56">
    <w:name w:val="正文文本 2 Char"/>
    <w:basedOn w:val="30"/>
    <w:link w:val="23"/>
    <w:qFormat/>
    <w:uiPriority w:val="0"/>
    <w:rPr>
      <w:b/>
      <w:color w:val="000000"/>
      <w:kern w:val="2"/>
      <w:sz w:val="24"/>
    </w:rPr>
  </w:style>
  <w:style w:type="paragraph" w:customStyle="1" w:styleId="57">
    <w:name w:val="Char Char Char Char Char Char Char"/>
    <w:basedOn w:val="1"/>
    <w:qFormat/>
    <w:uiPriority w:val="0"/>
    <w:pPr>
      <w:spacing w:after="160" w:line="240" w:lineRule="exact"/>
    </w:pPr>
    <w:rPr>
      <w:rFonts w:ascii="Tahoma" w:hAnsi="Tahoma" w:eastAsia="宋体" w:cs="Tahoma"/>
      <w:sz w:val="20"/>
      <w:szCs w:val="20"/>
      <w:lang w:eastAsia="en-US"/>
    </w:rPr>
  </w:style>
  <w:style w:type="character" w:customStyle="1" w:styleId="58">
    <w:name w:val="批注文字 Char"/>
    <w:basedOn w:val="30"/>
    <w:link w:val="10"/>
    <w:qFormat/>
    <w:uiPriority w:val="0"/>
    <w:rPr>
      <w:kern w:val="2"/>
      <w:sz w:val="21"/>
    </w:rPr>
  </w:style>
  <w:style w:type="character" w:customStyle="1" w:styleId="59">
    <w:name w:val="批注主题 Char"/>
    <w:basedOn w:val="58"/>
    <w:link w:val="26"/>
    <w:qFormat/>
    <w:uiPriority w:val="0"/>
    <w:rPr>
      <w:b/>
      <w:bCs/>
      <w:kern w:val="2"/>
      <w:sz w:val="21"/>
    </w:rPr>
  </w:style>
  <w:style w:type="character" w:customStyle="1" w:styleId="60">
    <w:name w:val="副标题 Char"/>
    <w:basedOn w:val="30"/>
    <w:qFormat/>
    <w:uiPriority w:val="0"/>
    <w:rPr>
      <w:rFonts w:asciiTheme="majorHAnsi" w:hAnsiTheme="majorHAnsi" w:cstheme="majorBidi"/>
      <w:b/>
      <w:bCs/>
      <w:kern w:val="28"/>
      <w:sz w:val="32"/>
      <w:szCs w:val="32"/>
    </w:rPr>
  </w:style>
  <w:style w:type="character" w:customStyle="1" w:styleId="61">
    <w:name w:val="副标题 Char1"/>
    <w:link w:val="21"/>
    <w:qFormat/>
    <w:uiPriority w:val="0"/>
    <w:rPr>
      <w:rFonts w:ascii="Cambria" w:hAnsi="Cambria"/>
      <w:i/>
      <w:iCs/>
      <w:spacing w:val="13"/>
      <w:sz w:val="24"/>
      <w:szCs w:val="24"/>
      <w:lang w:val="zh-CN" w:eastAsia="en-US" w:bidi="en-US"/>
    </w:rPr>
  </w:style>
  <w:style w:type="character" w:customStyle="1" w:styleId="62">
    <w:name w:val="正文缩进 Char"/>
    <w:link w:val="3"/>
    <w:qFormat/>
    <w:locked/>
    <w:uiPriority w:val="0"/>
    <w:rPr>
      <w:b/>
      <w:kern w:val="2"/>
      <w:sz w:val="24"/>
    </w:rPr>
  </w:style>
  <w:style w:type="character" w:customStyle="1" w:styleId="63">
    <w:name w:val="标题 2 字符"/>
    <w:qFormat/>
    <w:uiPriority w:val="99"/>
    <w:rPr>
      <w:rFonts w:ascii="宋体" w:hAnsi="宋体" w:eastAsia="宋体" w:cs="Times New Roman"/>
      <w:b/>
      <w:szCs w:val="24"/>
    </w:rPr>
  </w:style>
  <w:style w:type="paragraph" w:customStyle="1" w:styleId="64">
    <w:name w:val="首行缩进"/>
    <w:basedOn w:val="1"/>
    <w:qFormat/>
    <w:uiPriority w:val="0"/>
    <w:pPr>
      <w:ind w:firstLine="480" w:firstLineChars="200"/>
    </w:pPr>
    <w:rPr>
      <w:szCs w:val="20"/>
      <w:lang w:val="zh-CN"/>
    </w:rPr>
  </w:style>
  <w:style w:type="paragraph" w:customStyle="1" w:styleId="65">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66">
    <w:name w:val="列表段落1"/>
    <w:basedOn w:val="1"/>
    <w:qFormat/>
    <w:uiPriority w:val="0"/>
    <w:pPr>
      <w:ind w:firstLine="420" w:firstLineChars="200"/>
    </w:pPr>
    <w:rPr>
      <w:szCs w:val="24"/>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列出段落1"/>
    <w:basedOn w:val="1"/>
    <w:qFormat/>
    <w:uiPriority w:val="0"/>
    <w:pPr>
      <w:ind w:left="720"/>
      <w:contextualSpacing/>
    </w:pPr>
    <w:rPr>
      <w:rFonts w:ascii="Arial" w:hAnsi="Arial" w:eastAsia="黑体"/>
      <w:sz w:val="24"/>
      <w:szCs w:val="24"/>
      <w:lang w:eastAsia="en-US"/>
    </w:rPr>
  </w:style>
  <w:style w:type="paragraph" w:customStyle="1" w:styleId="69">
    <w:name w:val="Table Paragraph"/>
    <w:basedOn w:val="1"/>
    <w:qFormat/>
    <w:uiPriority w:val="1"/>
    <w:rPr>
      <w:rFonts w:eastAsia="宋体"/>
      <w:lang w:eastAsia="en-US"/>
    </w:rPr>
  </w:style>
  <w:style w:type="paragraph" w:customStyle="1" w:styleId="70">
    <w:name w:val="BodyText"/>
    <w:basedOn w:val="1"/>
    <w:next w:val="1"/>
    <w:qFormat/>
    <w:uiPriority w:val="6"/>
    <w:pPr>
      <w:jc w:val="both"/>
      <w:textAlignment w:val="baseline"/>
    </w:pPr>
    <w:rPr>
      <w:rFonts w:ascii="楷体_GB2312" w:hAnsi="楷体_GB2312" w:eastAsia="楷体_GB2312" w:cs="Arial"/>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CED82-5272-4288-9C92-1227A4869D5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22719</Words>
  <Characters>23621</Characters>
  <Lines>159</Lines>
  <Paragraphs>44</Paragraphs>
  <TotalTime>21</TotalTime>
  <ScaleCrop>false</ScaleCrop>
  <LinksUpToDate>false</LinksUpToDate>
  <CharactersWithSpaces>25555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2022-04-04T09:50:00Z</dcterms:created>
  <dc:creator>Windows User</dc:creator>
  <cp:lastModifiedBy>南边的燕子</cp:lastModifiedBy>
  <cp:lastPrinted>2022-04-13T01:44:00Z</cp:lastPrinted>
  <dcterms:modified xsi:type="dcterms:W3CDTF">2022-04-18T08:59:57Z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C14AC153C9DE41A88B956A77E6E39156</vt:lpwstr>
  </property>
</Properties>
</file>